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ink/ink7.xml" ContentType="application/inkml+xml"/>
  <Override PartName="/word/ink/ink8.xml" ContentType="application/inkml+xml"/>
  <Override PartName="/word/ink/ink9.xml" ContentType="application/inkml+xml"/>
  <Override PartName="/word/ink/ink10.xml" ContentType="application/inkml+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DD86" w14:textId="77777777" w:rsidR="00D535FE" w:rsidRDefault="006B10BE" w:rsidP="006B10BE">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14:anchorId="5FAE6EB6" wp14:editId="41DA132F">
            <wp:extent cx="2838450" cy="855924"/>
            <wp:effectExtent l="0" t="0" r="0" b="1905"/>
            <wp:docPr id="2" name="Picture 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595F4CF2" w14:textId="77777777" w:rsidR="00D535FE" w:rsidRDefault="00D535FE" w:rsidP="00D535FE">
      <w:pPr>
        <w:autoSpaceDE w:val="0"/>
        <w:autoSpaceDN w:val="0"/>
        <w:adjustRightInd w:val="0"/>
        <w:spacing w:after="0"/>
        <w:rPr>
          <w:rFonts w:asciiTheme="majorBidi" w:hAnsiTheme="majorBidi" w:cstheme="majorBidi"/>
          <w:sz w:val="24"/>
          <w:szCs w:val="24"/>
        </w:rPr>
      </w:pPr>
    </w:p>
    <w:p w14:paraId="3817D614" w14:textId="77777777" w:rsidR="00D535FE" w:rsidRDefault="00D535FE" w:rsidP="00D535FE">
      <w:pPr>
        <w:autoSpaceDE w:val="0"/>
        <w:autoSpaceDN w:val="0"/>
        <w:adjustRightInd w:val="0"/>
        <w:spacing w:after="0"/>
        <w:rPr>
          <w:rFonts w:asciiTheme="majorBidi" w:hAnsiTheme="majorBidi" w:cstheme="majorBidi"/>
          <w:sz w:val="24"/>
          <w:szCs w:val="24"/>
        </w:rPr>
      </w:pPr>
    </w:p>
    <w:p w14:paraId="057C81E7" w14:textId="77777777" w:rsidR="00D535FE" w:rsidRDefault="00D535FE" w:rsidP="00D535FE">
      <w:pPr>
        <w:autoSpaceDE w:val="0"/>
        <w:autoSpaceDN w:val="0"/>
        <w:adjustRightInd w:val="0"/>
        <w:spacing w:after="0"/>
        <w:rPr>
          <w:rFonts w:asciiTheme="majorBidi" w:hAnsiTheme="majorBidi" w:cstheme="majorBidi"/>
          <w:sz w:val="24"/>
          <w:szCs w:val="24"/>
        </w:rPr>
      </w:pPr>
    </w:p>
    <w:p w14:paraId="14903D15" w14:textId="77777777" w:rsidR="00D81745" w:rsidRDefault="00D81745" w:rsidP="00D535FE">
      <w:pPr>
        <w:autoSpaceDE w:val="0"/>
        <w:autoSpaceDN w:val="0"/>
        <w:adjustRightInd w:val="0"/>
        <w:spacing w:after="0"/>
        <w:jc w:val="center"/>
        <w:rPr>
          <w:rFonts w:asciiTheme="majorBidi" w:hAnsiTheme="majorBidi" w:cstheme="majorBidi"/>
          <w:sz w:val="24"/>
          <w:szCs w:val="24"/>
        </w:rPr>
      </w:pPr>
    </w:p>
    <w:p w14:paraId="7C841103" w14:textId="77777777" w:rsidR="00C66A65" w:rsidRDefault="00C66A65" w:rsidP="00D535FE">
      <w:pPr>
        <w:autoSpaceDE w:val="0"/>
        <w:autoSpaceDN w:val="0"/>
        <w:adjustRightInd w:val="0"/>
        <w:spacing w:after="0"/>
        <w:jc w:val="center"/>
        <w:rPr>
          <w:rFonts w:asciiTheme="majorBidi" w:hAnsiTheme="majorBidi" w:cstheme="majorBidi"/>
          <w:sz w:val="24"/>
          <w:szCs w:val="24"/>
        </w:rPr>
      </w:pPr>
    </w:p>
    <w:p w14:paraId="718D9DBE" w14:textId="77777777" w:rsidR="00C66A65" w:rsidRDefault="00C66A65" w:rsidP="00D535FE">
      <w:pPr>
        <w:autoSpaceDE w:val="0"/>
        <w:autoSpaceDN w:val="0"/>
        <w:adjustRightInd w:val="0"/>
        <w:spacing w:after="0"/>
        <w:jc w:val="center"/>
        <w:rPr>
          <w:rFonts w:asciiTheme="majorBidi" w:hAnsiTheme="majorBidi" w:cstheme="majorBidi"/>
          <w:sz w:val="24"/>
          <w:szCs w:val="24"/>
        </w:rPr>
      </w:pPr>
    </w:p>
    <w:p w14:paraId="60E97363" w14:textId="77777777" w:rsidR="00D87252" w:rsidRDefault="00D87252" w:rsidP="00D535FE">
      <w:pPr>
        <w:autoSpaceDE w:val="0"/>
        <w:autoSpaceDN w:val="0"/>
        <w:adjustRightInd w:val="0"/>
        <w:spacing w:after="0"/>
        <w:jc w:val="center"/>
        <w:rPr>
          <w:rFonts w:asciiTheme="majorBidi" w:hAnsiTheme="majorBidi" w:cstheme="majorBidi"/>
          <w:sz w:val="24"/>
          <w:szCs w:val="24"/>
        </w:rPr>
      </w:pPr>
    </w:p>
    <w:p w14:paraId="76FC966C" w14:textId="77777777" w:rsidR="00C66A65" w:rsidRDefault="00C66A65" w:rsidP="00D535FE">
      <w:pPr>
        <w:autoSpaceDE w:val="0"/>
        <w:autoSpaceDN w:val="0"/>
        <w:adjustRightInd w:val="0"/>
        <w:spacing w:after="0"/>
        <w:jc w:val="center"/>
        <w:rPr>
          <w:rFonts w:asciiTheme="majorBidi" w:hAnsiTheme="majorBidi" w:cstheme="majorBidi"/>
          <w:sz w:val="24"/>
          <w:szCs w:val="24"/>
        </w:rPr>
      </w:pPr>
    </w:p>
    <w:p w14:paraId="532397EE" w14:textId="77777777" w:rsidR="00C66A65" w:rsidRDefault="00C66A65" w:rsidP="00D535FE">
      <w:pPr>
        <w:autoSpaceDE w:val="0"/>
        <w:autoSpaceDN w:val="0"/>
        <w:adjustRightInd w:val="0"/>
        <w:spacing w:after="0"/>
        <w:jc w:val="center"/>
        <w:rPr>
          <w:rFonts w:asciiTheme="majorBidi" w:hAnsiTheme="majorBidi" w:cstheme="majorBidi"/>
          <w:sz w:val="24"/>
          <w:szCs w:val="24"/>
        </w:rPr>
      </w:pPr>
    </w:p>
    <w:p w14:paraId="1788787B" w14:textId="77777777" w:rsidR="00D81745" w:rsidRDefault="00D81745" w:rsidP="00D535FE">
      <w:pPr>
        <w:autoSpaceDE w:val="0"/>
        <w:autoSpaceDN w:val="0"/>
        <w:adjustRightInd w:val="0"/>
        <w:spacing w:after="0"/>
        <w:jc w:val="center"/>
        <w:rPr>
          <w:rFonts w:asciiTheme="majorBidi" w:hAnsiTheme="majorBidi" w:cstheme="majorBidi"/>
          <w:sz w:val="24"/>
          <w:szCs w:val="24"/>
        </w:rPr>
      </w:pPr>
    </w:p>
    <w:p w14:paraId="6982B330" w14:textId="77777777" w:rsidR="0070651F" w:rsidRDefault="0070651F" w:rsidP="00E561C9">
      <w:pPr>
        <w:autoSpaceDE w:val="0"/>
        <w:autoSpaceDN w:val="0"/>
        <w:adjustRightInd w:val="0"/>
        <w:spacing w:after="0"/>
        <w:jc w:val="center"/>
        <w:rPr>
          <w:rFonts w:asciiTheme="majorBidi" w:hAnsiTheme="majorBidi" w:cstheme="majorBidi"/>
          <w:b/>
          <w:bCs/>
          <w:color w:val="222222"/>
          <w:sz w:val="28"/>
          <w:szCs w:val="28"/>
          <w:shd w:val="clear" w:color="auto" w:fill="FFFFFF"/>
        </w:rPr>
      </w:pPr>
    </w:p>
    <w:p w14:paraId="56213498" w14:textId="7371F5D1" w:rsidR="00177AB6" w:rsidRPr="00D73B9D" w:rsidRDefault="007347AE" w:rsidP="00E561C9">
      <w:pPr>
        <w:autoSpaceDE w:val="0"/>
        <w:autoSpaceDN w:val="0"/>
        <w:adjustRightInd w:val="0"/>
        <w:spacing w:after="0"/>
        <w:jc w:val="center"/>
        <w:rPr>
          <w:rFonts w:cstheme="minorHAnsi"/>
          <w:b/>
          <w:bCs/>
          <w:sz w:val="28"/>
          <w:szCs w:val="28"/>
        </w:rPr>
      </w:pPr>
      <w:bookmarkStart w:id="0" w:name="_Hlk216028662"/>
      <w:r w:rsidRPr="00D73B9D">
        <w:rPr>
          <w:rFonts w:cstheme="minorHAnsi"/>
          <w:b/>
          <w:bCs/>
          <w:color w:val="222222"/>
          <w:sz w:val="28"/>
          <w:szCs w:val="28"/>
          <w:shd w:val="clear" w:color="auto" w:fill="FFFFFF"/>
        </w:rPr>
        <w:t xml:space="preserve">Out of the Shadows: Shining a light on </w:t>
      </w:r>
      <w:r w:rsidR="00A65013" w:rsidRPr="00D73B9D">
        <w:rPr>
          <w:rFonts w:cstheme="minorHAnsi"/>
          <w:b/>
          <w:bCs/>
          <w:color w:val="222222"/>
          <w:sz w:val="28"/>
          <w:szCs w:val="28"/>
          <w:shd w:val="clear" w:color="auto" w:fill="FFFFFF"/>
        </w:rPr>
        <w:t>the lived experience journeys of HE teachers</w:t>
      </w:r>
      <w:r w:rsidR="008C4C74" w:rsidRPr="00D73B9D">
        <w:rPr>
          <w:rFonts w:cstheme="minorHAnsi"/>
          <w:b/>
          <w:bCs/>
          <w:color w:val="222222"/>
          <w:sz w:val="28"/>
          <w:szCs w:val="28"/>
          <w:shd w:val="clear" w:color="auto" w:fill="FFFFFF"/>
        </w:rPr>
        <w:t xml:space="preserve"> during and beyond their teacher training</w:t>
      </w:r>
      <w:r w:rsidR="001D3BF3" w:rsidRPr="00D73B9D">
        <w:rPr>
          <w:rFonts w:cstheme="minorHAnsi"/>
          <w:b/>
          <w:bCs/>
          <w:color w:val="222222"/>
          <w:sz w:val="28"/>
          <w:szCs w:val="28"/>
        </w:rPr>
        <w:br/>
      </w:r>
      <w:bookmarkEnd w:id="0"/>
      <w:r w:rsidR="001D3BF3" w:rsidRPr="00D73B9D">
        <w:rPr>
          <w:rFonts w:cstheme="minorHAnsi"/>
          <w:b/>
          <w:bCs/>
          <w:color w:val="222222"/>
          <w:sz w:val="28"/>
          <w:szCs w:val="28"/>
        </w:rPr>
        <w:br/>
      </w:r>
    </w:p>
    <w:p w14:paraId="52EB843C" w14:textId="77777777" w:rsidR="001D36B7" w:rsidRPr="00D73B9D" w:rsidRDefault="001D36B7" w:rsidP="00D535FE">
      <w:pPr>
        <w:autoSpaceDE w:val="0"/>
        <w:autoSpaceDN w:val="0"/>
        <w:adjustRightInd w:val="0"/>
        <w:spacing w:after="0"/>
        <w:jc w:val="center"/>
        <w:rPr>
          <w:rFonts w:cstheme="minorHAnsi"/>
          <w:sz w:val="24"/>
          <w:szCs w:val="24"/>
        </w:rPr>
      </w:pPr>
    </w:p>
    <w:p w14:paraId="303CC38C" w14:textId="77777777" w:rsidR="0070651F" w:rsidRPr="00D73B9D" w:rsidRDefault="0070651F" w:rsidP="00D535FE">
      <w:pPr>
        <w:autoSpaceDE w:val="0"/>
        <w:autoSpaceDN w:val="0"/>
        <w:adjustRightInd w:val="0"/>
        <w:spacing w:after="0"/>
        <w:jc w:val="center"/>
        <w:rPr>
          <w:rFonts w:cstheme="minorHAnsi"/>
          <w:b/>
          <w:bCs/>
          <w:sz w:val="28"/>
          <w:szCs w:val="28"/>
        </w:rPr>
      </w:pPr>
    </w:p>
    <w:p w14:paraId="26268BDB" w14:textId="0ED59A0E" w:rsidR="00D535FE" w:rsidRPr="00D73B9D" w:rsidRDefault="008C4C74" w:rsidP="00951BB3">
      <w:pPr>
        <w:autoSpaceDE w:val="0"/>
        <w:autoSpaceDN w:val="0"/>
        <w:adjustRightInd w:val="0"/>
        <w:spacing w:after="0"/>
        <w:ind w:left="2880" w:firstLine="720"/>
        <w:rPr>
          <w:rFonts w:cstheme="minorHAnsi"/>
          <w:b/>
          <w:bCs/>
          <w:sz w:val="28"/>
          <w:szCs w:val="28"/>
        </w:rPr>
      </w:pPr>
      <w:r w:rsidRPr="00D73B9D">
        <w:rPr>
          <w:rFonts w:cstheme="minorHAnsi"/>
          <w:b/>
          <w:bCs/>
          <w:sz w:val="28"/>
          <w:szCs w:val="28"/>
        </w:rPr>
        <w:t>Su</w:t>
      </w:r>
      <w:r w:rsidR="008C787E">
        <w:rPr>
          <w:rFonts w:cstheme="minorHAnsi"/>
          <w:b/>
          <w:bCs/>
          <w:sz w:val="28"/>
          <w:szCs w:val="28"/>
        </w:rPr>
        <w:t>z</w:t>
      </w:r>
      <w:r w:rsidRPr="00D73B9D">
        <w:rPr>
          <w:rFonts w:cstheme="minorHAnsi"/>
          <w:b/>
          <w:bCs/>
          <w:sz w:val="28"/>
          <w:szCs w:val="28"/>
        </w:rPr>
        <w:t>anne Schultz</w:t>
      </w:r>
    </w:p>
    <w:p w14:paraId="2FD01AAA" w14:textId="77777777" w:rsidR="0070651F" w:rsidRPr="00D73B9D" w:rsidRDefault="0070651F" w:rsidP="00D535FE">
      <w:pPr>
        <w:autoSpaceDE w:val="0"/>
        <w:autoSpaceDN w:val="0"/>
        <w:adjustRightInd w:val="0"/>
        <w:spacing w:after="0"/>
        <w:jc w:val="center"/>
        <w:rPr>
          <w:rFonts w:cstheme="minorHAnsi"/>
          <w:b/>
          <w:bCs/>
          <w:sz w:val="28"/>
          <w:szCs w:val="28"/>
        </w:rPr>
      </w:pPr>
    </w:p>
    <w:p w14:paraId="5D9BB7E2" w14:textId="77777777" w:rsidR="0070651F" w:rsidRPr="00D73B9D" w:rsidRDefault="0070651F" w:rsidP="00D535FE">
      <w:pPr>
        <w:autoSpaceDE w:val="0"/>
        <w:autoSpaceDN w:val="0"/>
        <w:adjustRightInd w:val="0"/>
        <w:spacing w:after="0"/>
        <w:jc w:val="center"/>
        <w:rPr>
          <w:rFonts w:cstheme="minorHAnsi"/>
          <w:b/>
          <w:bCs/>
          <w:sz w:val="28"/>
          <w:szCs w:val="28"/>
        </w:rPr>
      </w:pPr>
    </w:p>
    <w:p w14:paraId="39EA47EC" w14:textId="77777777" w:rsidR="00D535FE" w:rsidRPr="00D73B9D" w:rsidRDefault="00D535FE" w:rsidP="00D535FE">
      <w:pPr>
        <w:autoSpaceDE w:val="0"/>
        <w:autoSpaceDN w:val="0"/>
        <w:adjustRightInd w:val="0"/>
        <w:spacing w:after="0"/>
        <w:rPr>
          <w:rFonts w:cstheme="minorHAnsi"/>
          <w:sz w:val="28"/>
          <w:szCs w:val="28"/>
        </w:rPr>
      </w:pPr>
    </w:p>
    <w:p w14:paraId="6BD5F502" w14:textId="77777777" w:rsidR="00DD4E40" w:rsidRPr="00D73B9D" w:rsidRDefault="00DD4E40" w:rsidP="00D535FE">
      <w:pPr>
        <w:autoSpaceDE w:val="0"/>
        <w:autoSpaceDN w:val="0"/>
        <w:adjustRightInd w:val="0"/>
        <w:spacing w:after="0"/>
        <w:rPr>
          <w:rFonts w:cstheme="minorHAnsi"/>
          <w:sz w:val="24"/>
          <w:szCs w:val="24"/>
        </w:rPr>
      </w:pPr>
    </w:p>
    <w:p w14:paraId="0A254A7C" w14:textId="77777777" w:rsidR="00C40509" w:rsidRPr="00D73B9D" w:rsidRDefault="00C40509" w:rsidP="00D535FE">
      <w:pPr>
        <w:autoSpaceDE w:val="0"/>
        <w:autoSpaceDN w:val="0"/>
        <w:adjustRightInd w:val="0"/>
        <w:spacing w:after="0"/>
        <w:rPr>
          <w:rFonts w:cstheme="minorHAnsi"/>
          <w:sz w:val="24"/>
          <w:szCs w:val="24"/>
        </w:rPr>
      </w:pPr>
    </w:p>
    <w:p w14:paraId="53A73B28" w14:textId="77777777" w:rsidR="00DD4E40" w:rsidRPr="00D73B9D" w:rsidRDefault="00DD4E40" w:rsidP="00D535FE">
      <w:pPr>
        <w:autoSpaceDE w:val="0"/>
        <w:autoSpaceDN w:val="0"/>
        <w:adjustRightInd w:val="0"/>
        <w:spacing w:after="0"/>
        <w:rPr>
          <w:rFonts w:cstheme="minorHAnsi"/>
          <w:sz w:val="24"/>
          <w:szCs w:val="24"/>
        </w:rPr>
      </w:pPr>
    </w:p>
    <w:p w14:paraId="51954BA4" w14:textId="77777777" w:rsidR="00D535FE" w:rsidRPr="00D73B9D" w:rsidRDefault="00D535FE" w:rsidP="001E7C75">
      <w:pPr>
        <w:autoSpaceDE w:val="0"/>
        <w:autoSpaceDN w:val="0"/>
        <w:adjustRightInd w:val="0"/>
        <w:spacing w:after="0"/>
        <w:jc w:val="center"/>
        <w:rPr>
          <w:rFonts w:cstheme="minorHAnsi"/>
          <w:sz w:val="24"/>
          <w:szCs w:val="24"/>
        </w:rPr>
      </w:pPr>
      <w:r w:rsidRPr="00D73B9D">
        <w:rPr>
          <w:rFonts w:cstheme="minorHAnsi"/>
          <w:sz w:val="24"/>
          <w:szCs w:val="24"/>
        </w:rPr>
        <w:t xml:space="preserve">A thesis submitted in </w:t>
      </w:r>
      <w:r w:rsidR="00C40509" w:rsidRPr="00D73B9D">
        <w:rPr>
          <w:rFonts w:cstheme="minorHAnsi"/>
          <w:sz w:val="24"/>
          <w:szCs w:val="24"/>
        </w:rPr>
        <w:t>partial</w:t>
      </w:r>
      <w:r w:rsidRPr="00D73B9D">
        <w:rPr>
          <w:rFonts w:cstheme="minorHAnsi"/>
          <w:sz w:val="24"/>
          <w:szCs w:val="24"/>
        </w:rPr>
        <w:t xml:space="preserve"> fulfilment of the requirements </w:t>
      </w:r>
      <w:r w:rsidR="001E7C75" w:rsidRPr="00D73B9D">
        <w:rPr>
          <w:rFonts w:cstheme="minorHAnsi"/>
          <w:sz w:val="24"/>
          <w:szCs w:val="24"/>
        </w:rPr>
        <w:t>for</w:t>
      </w:r>
      <w:r w:rsidRPr="00D73B9D">
        <w:rPr>
          <w:rFonts w:cstheme="minorHAnsi"/>
          <w:sz w:val="24"/>
          <w:szCs w:val="24"/>
        </w:rPr>
        <w:t xml:space="preserve"> the degree of</w:t>
      </w:r>
    </w:p>
    <w:p w14:paraId="6783B1CF" w14:textId="3E5629C9" w:rsidR="001032C0" w:rsidRPr="00D73B9D" w:rsidRDefault="00D535FE" w:rsidP="00D87252">
      <w:pPr>
        <w:jc w:val="center"/>
        <w:rPr>
          <w:rFonts w:cstheme="minorHAnsi"/>
          <w:sz w:val="24"/>
          <w:szCs w:val="24"/>
        </w:rPr>
      </w:pPr>
      <w:r w:rsidRPr="00D73B9D">
        <w:rPr>
          <w:rFonts w:cstheme="minorHAnsi"/>
          <w:sz w:val="24"/>
          <w:szCs w:val="24"/>
        </w:rPr>
        <w:t xml:space="preserve">Doctor of </w:t>
      </w:r>
      <w:r w:rsidR="0009224C" w:rsidRPr="00D73B9D">
        <w:rPr>
          <w:rFonts w:cstheme="minorHAnsi"/>
          <w:sz w:val="24"/>
          <w:szCs w:val="24"/>
        </w:rPr>
        <w:t>Education</w:t>
      </w:r>
      <w:r w:rsidR="006F71DD" w:rsidRPr="00D73B9D">
        <w:rPr>
          <w:rFonts w:cstheme="minorHAnsi"/>
          <w:sz w:val="24"/>
          <w:szCs w:val="24"/>
        </w:rPr>
        <w:t xml:space="preserve"> </w:t>
      </w:r>
    </w:p>
    <w:p w14:paraId="42494D3B" w14:textId="77777777" w:rsidR="00DD4E40" w:rsidRPr="00D73B9D" w:rsidRDefault="00DD4E40" w:rsidP="00D535FE">
      <w:pPr>
        <w:jc w:val="center"/>
        <w:rPr>
          <w:rFonts w:cstheme="minorHAnsi"/>
          <w:sz w:val="24"/>
          <w:szCs w:val="24"/>
        </w:rPr>
      </w:pPr>
    </w:p>
    <w:p w14:paraId="1124B404" w14:textId="77777777" w:rsidR="00B55FD0" w:rsidRPr="00D73B9D" w:rsidRDefault="00B55FD0" w:rsidP="00D535FE">
      <w:pPr>
        <w:jc w:val="center"/>
        <w:rPr>
          <w:rFonts w:cstheme="minorHAnsi"/>
          <w:sz w:val="24"/>
          <w:szCs w:val="24"/>
        </w:rPr>
      </w:pPr>
    </w:p>
    <w:p w14:paraId="481AC04A" w14:textId="77777777" w:rsidR="00B55FD0" w:rsidRPr="00D73B9D" w:rsidRDefault="00B55FD0" w:rsidP="00D535FE">
      <w:pPr>
        <w:jc w:val="center"/>
        <w:rPr>
          <w:rFonts w:cstheme="minorHAnsi"/>
          <w:sz w:val="24"/>
          <w:szCs w:val="24"/>
        </w:rPr>
      </w:pPr>
    </w:p>
    <w:p w14:paraId="454FB19F" w14:textId="77777777" w:rsidR="00DD4E40" w:rsidRPr="00D73B9D" w:rsidRDefault="00DD4E40" w:rsidP="00DD4E40">
      <w:pPr>
        <w:spacing w:after="0"/>
        <w:jc w:val="center"/>
        <w:rPr>
          <w:rFonts w:cstheme="minorHAnsi"/>
          <w:sz w:val="24"/>
          <w:szCs w:val="24"/>
        </w:rPr>
      </w:pPr>
      <w:r w:rsidRPr="00D73B9D">
        <w:rPr>
          <w:rFonts w:cstheme="minorHAnsi"/>
          <w:sz w:val="24"/>
          <w:szCs w:val="24"/>
        </w:rPr>
        <w:t>The University of Sheffield</w:t>
      </w:r>
    </w:p>
    <w:p w14:paraId="1D5DF954" w14:textId="207FC79E" w:rsidR="00D535FE" w:rsidRPr="00D73B9D" w:rsidRDefault="00D535FE" w:rsidP="001F36AE">
      <w:pPr>
        <w:autoSpaceDE w:val="0"/>
        <w:autoSpaceDN w:val="0"/>
        <w:adjustRightInd w:val="0"/>
        <w:spacing w:after="0"/>
        <w:jc w:val="center"/>
        <w:rPr>
          <w:rFonts w:cstheme="minorHAnsi"/>
          <w:sz w:val="24"/>
          <w:szCs w:val="24"/>
        </w:rPr>
      </w:pPr>
      <w:r w:rsidRPr="00D73B9D">
        <w:rPr>
          <w:rFonts w:cstheme="minorHAnsi"/>
          <w:sz w:val="24"/>
          <w:szCs w:val="24"/>
        </w:rPr>
        <w:t xml:space="preserve">Faculty of </w:t>
      </w:r>
      <w:r w:rsidR="00D73B9D" w:rsidRPr="00D73B9D">
        <w:rPr>
          <w:rFonts w:cstheme="minorHAnsi"/>
          <w:sz w:val="24"/>
          <w:szCs w:val="24"/>
        </w:rPr>
        <w:t>Social Sciences</w:t>
      </w:r>
    </w:p>
    <w:p w14:paraId="3932D9D1" w14:textId="06024F99" w:rsidR="00D535FE" w:rsidRPr="00D73B9D" w:rsidRDefault="00D535FE" w:rsidP="0070651F">
      <w:pPr>
        <w:jc w:val="center"/>
        <w:rPr>
          <w:rFonts w:cstheme="minorHAnsi"/>
          <w:sz w:val="24"/>
          <w:szCs w:val="24"/>
        </w:rPr>
      </w:pPr>
      <w:r w:rsidRPr="00D73B9D">
        <w:rPr>
          <w:rFonts w:cstheme="minorHAnsi"/>
          <w:sz w:val="24"/>
          <w:szCs w:val="24"/>
        </w:rPr>
        <w:t>School</w:t>
      </w:r>
      <w:r w:rsidR="001F36AE" w:rsidRPr="00D73B9D">
        <w:rPr>
          <w:rFonts w:cstheme="minorHAnsi"/>
          <w:sz w:val="24"/>
          <w:szCs w:val="24"/>
        </w:rPr>
        <w:t xml:space="preserve"> </w:t>
      </w:r>
      <w:r w:rsidRPr="00D73B9D">
        <w:rPr>
          <w:rFonts w:cstheme="minorHAnsi"/>
          <w:sz w:val="24"/>
          <w:szCs w:val="24"/>
        </w:rPr>
        <w:t xml:space="preserve">of </w:t>
      </w:r>
      <w:r w:rsidR="009F5C6E" w:rsidRPr="00D73B9D">
        <w:rPr>
          <w:rFonts w:cstheme="minorHAnsi"/>
          <w:sz w:val="24"/>
          <w:szCs w:val="24"/>
        </w:rPr>
        <w:t>Education</w:t>
      </w:r>
    </w:p>
    <w:p w14:paraId="6EDAF9A5" w14:textId="77777777" w:rsidR="00D535FE" w:rsidRPr="00D73B9D" w:rsidRDefault="00D535FE" w:rsidP="00D535FE">
      <w:pPr>
        <w:jc w:val="center"/>
        <w:rPr>
          <w:rFonts w:cstheme="minorHAnsi"/>
          <w:sz w:val="24"/>
          <w:szCs w:val="24"/>
        </w:rPr>
      </w:pPr>
    </w:p>
    <w:p w14:paraId="61A81D29" w14:textId="77777777" w:rsidR="00DD4E40" w:rsidRPr="00D73B9D" w:rsidRDefault="005C08BF" w:rsidP="00D535FE">
      <w:pPr>
        <w:jc w:val="center"/>
        <w:rPr>
          <w:rFonts w:cstheme="minorHAnsi"/>
          <w:sz w:val="24"/>
          <w:szCs w:val="24"/>
        </w:rPr>
      </w:pPr>
      <w:r w:rsidRPr="00D73B9D">
        <w:rPr>
          <w:rFonts w:cstheme="minorHAnsi"/>
          <w:sz w:val="24"/>
          <w:szCs w:val="24"/>
        </w:rPr>
        <w:t xml:space="preserve"> </w:t>
      </w:r>
    </w:p>
    <w:p w14:paraId="314A7C0A" w14:textId="0022615B" w:rsidR="0070651F" w:rsidRPr="004276A2" w:rsidRDefault="001F36AE" w:rsidP="00733379">
      <w:pPr>
        <w:rPr>
          <w:rFonts w:ascii="Source Sans Pro" w:hAnsi="Source Sans Pro" w:cstheme="majorBidi"/>
          <w:sz w:val="24"/>
          <w:szCs w:val="24"/>
        </w:rPr>
      </w:pPr>
      <w:r w:rsidRPr="00D73B9D">
        <w:rPr>
          <w:rFonts w:cstheme="minorHAnsi"/>
          <w:sz w:val="24"/>
          <w:szCs w:val="24"/>
        </w:rPr>
        <w:t>Submission</w:t>
      </w:r>
      <w:r w:rsidR="00DE2DFA" w:rsidRPr="00D73B9D">
        <w:rPr>
          <w:rFonts w:cstheme="minorHAnsi"/>
          <w:sz w:val="24"/>
          <w:szCs w:val="24"/>
        </w:rPr>
        <w:t xml:space="preserve"> Date</w:t>
      </w:r>
      <w:r w:rsidR="009F5C6E" w:rsidRPr="00D73B9D">
        <w:rPr>
          <w:rFonts w:cstheme="minorHAnsi"/>
          <w:sz w:val="24"/>
          <w:szCs w:val="24"/>
        </w:rPr>
        <w:t xml:space="preserve">: January </w:t>
      </w:r>
      <w:r w:rsidR="00BB3A95">
        <w:rPr>
          <w:rFonts w:cstheme="minorHAnsi"/>
          <w:sz w:val="24"/>
          <w:szCs w:val="24"/>
        </w:rPr>
        <w:t>2</w:t>
      </w:r>
      <w:r w:rsidR="00A10C96">
        <w:rPr>
          <w:rFonts w:cstheme="minorHAnsi"/>
          <w:sz w:val="24"/>
          <w:szCs w:val="24"/>
        </w:rPr>
        <w:t>3rd</w:t>
      </w:r>
      <w:r w:rsidR="00BA0B0B">
        <w:rPr>
          <w:rFonts w:cstheme="minorHAnsi"/>
          <w:sz w:val="24"/>
          <w:szCs w:val="24"/>
        </w:rPr>
        <w:t>, 2026</w:t>
      </w:r>
      <w:r w:rsidR="00733379" w:rsidRPr="00D73B9D">
        <w:rPr>
          <w:rFonts w:cstheme="minorHAnsi"/>
          <w:sz w:val="24"/>
          <w:szCs w:val="24"/>
        </w:rPr>
        <w:t xml:space="preserve">                                                              Word count: </w:t>
      </w:r>
      <w:r w:rsidR="00754AFC" w:rsidRPr="00D73B9D">
        <w:rPr>
          <w:rFonts w:cstheme="minorHAnsi"/>
          <w:sz w:val="24"/>
          <w:szCs w:val="24"/>
        </w:rPr>
        <w:t>6</w:t>
      </w:r>
      <w:r w:rsidR="008C787E">
        <w:rPr>
          <w:rFonts w:cstheme="minorHAnsi"/>
          <w:sz w:val="24"/>
          <w:szCs w:val="24"/>
        </w:rPr>
        <w:t>5</w:t>
      </w:r>
      <w:r w:rsidR="00AE243D" w:rsidRPr="00D73B9D">
        <w:rPr>
          <w:rFonts w:cstheme="minorHAnsi"/>
          <w:sz w:val="24"/>
          <w:szCs w:val="24"/>
        </w:rPr>
        <w:t xml:space="preserve">, </w:t>
      </w:r>
      <w:r w:rsidR="00AC5664">
        <w:rPr>
          <w:rFonts w:cstheme="minorHAnsi"/>
          <w:sz w:val="24"/>
          <w:szCs w:val="24"/>
        </w:rPr>
        <w:t>756</w:t>
      </w:r>
      <w:r w:rsidR="0070651F" w:rsidRPr="004276A2">
        <w:rPr>
          <w:rFonts w:ascii="Source Sans Pro" w:hAnsi="Source Sans Pro" w:cstheme="majorBidi"/>
          <w:sz w:val="24"/>
          <w:szCs w:val="24"/>
        </w:rPr>
        <w:br w:type="page"/>
      </w:r>
    </w:p>
    <w:p w14:paraId="21BAE86A" w14:textId="77777777" w:rsidR="00583AD6" w:rsidRPr="0003453A" w:rsidRDefault="00583AD6" w:rsidP="00583AD6">
      <w:pPr>
        <w:jc w:val="center"/>
        <w:rPr>
          <w:rFonts w:ascii="Source Sans Pro" w:eastAsia="Calibri" w:hAnsi="Source Sans Pro" w:cs="Times New Roman"/>
          <w:b/>
          <w:bCs/>
          <w:sz w:val="28"/>
          <w:szCs w:val="28"/>
        </w:rPr>
      </w:pPr>
      <w:r w:rsidRPr="0003453A">
        <w:rPr>
          <w:rFonts w:ascii="Source Sans Pro" w:eastAsia="Calibri" w:hAnsi="Source Sans Pro" w:cs="Times New Roman"/>
          <w:b/>
          <w:bCs/>
          <w:sz w:val="28"/>
          <w:szCs w:val="28"/>
        </w:rPr>
        <w:lastRenderedPageBreak/>
        <w:t>Abstract</w:t>
      </w:r>
    </w:p>
    <w:p w14:paraId="1A72DE96" w14:textId="26F3205E" w:rsidR="00583AD6" w:rsidRPr="00583AD6" w:rsidRDefault="00CB1497" w:rsidP="00583AD6">
      <w:pPr>
        <w:spacing w:after="160" w:line="360" w:lineRule="auto"/>
        <w:rPr>
          <w:rFonts w:ascii="Calibri" w:eastAsia="Aptos" w:hAnsi="Calibri" w:cs="Calibri"/>
          <w:kern w:val="2"/>
          <w:sz w:val="24"/>
          <w:szCs w:val="24"/>
          <w14:ligatures w14:val="standardContextual"/>
        </w:rPr>
      </w:pPr>
      <w:r>
        <w:rPr>
          <w:rFonts w:ascii="Calibri" w:eastAsia="Aptos" w:hAnsi="Calibri" w:cs="Calibri"/>
          <w:kern w:val="2"/>
          <w:sz w:val="24"/>
          <w:szCs w:val="24"/>
          <w14:ligatures w14:val="standardContextual"/>
        </w:rPr>
        <w:t xml:space="preserve">Generic </w:t>
      </w:r>
      <w:r w:rsidR="008957AB">
        <w:rPr>
          <w:rFonts w:ascii="Calibri" w:eastAsia="Aptos" w:hAnsi="Calibri" w:cs="Calibri"/>
          <w:kern w:val="2"/>
          <w:sz w:val="24"/>
          <w:szCs w:val="24"/>
          <w14:ligatures w14:val="standardContextual"/>
        </w:rPr>
        <w:t xml:space="preserve">academic support </w:t>
      </w:r>
      <w:r w:rsidR="00583AD6" w:rsidRPr="00583AD6">
        <w:rPr>
          <w:rFonts w:ascii="Calibri" w:eastAsia="Aptos" w:hAnsi="Calibri" w:cs="Calibri"/>
          <w:kern w:val="2"/>
          <w:sz w:val="24"/>
          <w:szCs w:val="24"/>
          <w14:ligatures w14:val="standardContextual"/>
        </w:rPr>
        <w:t>needs of modern-day students entering the world of university include, increasingly, those of their emotional well-being</w:t>
      </w:r>
      <w:r w:rsidR="00822BB0">
        <w:rPr>
          <w:rFonts w:ascii="Calibri" w:eastAsia="Aptos" w:hAnsi="Calibri" w:cs="Calibri"/>
          <w:kern w:val="2"/>
          <w:sz w:val="24"/>
          <w:szCs w:val="24"/>
          <w14:ligatures w14:val="standardContextual"/>
        </w:rPr>
        <w:t xml:space="preserve"> and pastoral care</w:t>
      </w:r>
      <w:r w:rsidR="00583AD6" w:rsidRPr="00583AD6">
        <w:rPr>
          <w:rFonts w:ascii="Calibri" w:eastAsia="Aptos" w:hAnsi="Calibri" w:cs="Calibri"/>
          <w:kern w:val="2"/>
          <w:sz w:val="24"/>
          <w:szCs w:val="24"/>
          <w14:ligatures w14:val="standardContextual"/>
        </w:rPr>
        <w:t xml:space="preserve">. Amid significant concerns regarding student mental health in HE, little attention is being paid to who, and what supports the teacher encountering their students’ emotions, </w:t>
      </w:r>
      <w:r w:rsidR="0055051C">
        <w:rPr>
          <w:rFonts w:ascii="Calibri" w:eastAsia="Aptos" w:hAnsi="Calibri" w:cs="Calibri"/>
          <w:kern w:val="2"/>
          <w:sz w:val="24"/>
          <w:szCs w:val="24"/>
          <w14:ligatures w14:val="standardContextual"/>
        </w:rPr>
        <w:t>or</w:t>
      </w:r>
      <w:r w:rsidR="00583AD6" w:rsidRPr="00583AD6">
        <w:rPr>
          <w:rFonts w:ascii="Calibri" w:eastAsia="Aptos" w:hAnsi="Calibri" w:cs="Calibri"/>
          <w:kern w:val="2"/>
          <w:sz w:val="24"/>
          <w:szCs w:val="24"/>
          <w14:ligatures w14:val="standardContextual"/>
        </w:rPr>
        <w:t xml:space="preserve"> indeed, if teachers </w:t>
      </w:r>
      <w:r w:rsidR="00283029">
        <w:rPr>
          <w:rFonts w:ascii="Calibri" w:eastAsia="Aptos" w:hAnsi="Calibri" w:cs="Calibri"/>
          <w:kern w:val="2"/>
          <w:sz w:val="24"/>
          <w:szCs w:val="24"/>
          <w14:ligatures w14:val="standardContextual"/>
        </w:rPr>
        <w:t>themselves</w:t>
      </w:r>
      <w:r>
        <w:rPr>
          <w:rFonts w:ascii="Calibri" w:eastAsia="Aptos" w:hAnsi="Calibri" w:cs="Calibri"/>
          <w:kern w:val="2"/>
          <w:sz w:val="24"/>
          <w:szCs w:val="24"/>
          <w14:ligatures w14:val="standardContextual"/>
        </w:rPr>
        <w:t xml:space="preserve"> </w:t>
      </w:r>
      <w:r w:rsidR="00583AD6" w:rsidRPr="00583AD6">
        <w:rPr>
          <w:rFonts w:ascii="Calibri" w:eastAsia="Aptos" w:hAnsi="Calibri" w:cs="Calibri"/>
          <w:kern w:val="2"/>
          <w:sz w:val="24"/>
          <w:szCs w:val="24"/>
          <w14:ligatures w14:val="standardContextual"/>
        </w:rPr>
        <w:t>require emotional support during their initial teacher training</w:t>
      </w:r>
      <w:r w:rsidR="007E68C5">
        <w:rPr>
          <w:rFonts w:ascii="Calibri" w:eastAsia="Aptos" w:hAnsi="Calibri" w:cs="Calibri"/>
          <w:kern w:val="2"/>
          <w:sz w:val="24"/>
          <w:szCs w:val="24"/>
          <w14:ligatures w14:val="standardContextual"/>
        </w:rPr>
        <w:t>,</w:t>
      </w:r>
      <w:r w:rsidR="00583AD6" w:rsidRPr="00583AD6">
        <w:rPr>
          <w:rFonts w:ascii="Calibri" w:eastAsia="Aptos" w:hAnsi="Calibri" w:cs="Calibri"/>
          <w:kern w:val="2"/>
          <w:sz w:val="24"/>
          <w:szCs w:val="24"/>
          <w14:ligatures w14:val="standardContextual"/>
        </w:rPr>
        <w:t xml:space="preserve"> and beyond.</w:t>
      </w:r>
    </w:p>
    <w:p w14:paraId="43D1DD2F" w14:textId="3735CD7E" w:rsidR="00583AD6" w:rsidRPr="00583AD6" w:rsidRDefault="00583AD6" w:rsidP="00583AD6">
      <w:pPr>
        <w:spacing w:after="160" w:line="360" w:lineRule="auto"/>
        <w:rPr>
          <w:rFonts w:ascii="Calibri" w:eastAsia="Aptos" w:hAnsi="Calibri" w:cs="Calibri"/>
          <w:kern w:val="2"/>
          <w:sz w:val="24"/>
          <w:szCs w:val="24"/>
          <w14:ligatures w14:val="standardContextual"/>
        </w:rPr>
      </w:pPr>
      <w:r w:rsidRPr="00583AD6">
        <w:rPr>
          <w:rFonts w:ascii="Calibri" w:eastAsia="Aptos" w:hAnsi="Calibri" w:cs="Calibri"/>
          <w:kern w:val="2"/>
          <w:sz w:val="24"/>
          <w:szCs w:val="24"/>
          <w14:ligatures w14:val="standardContextual"/>
        </w:rPr>
        <w:t>This qualitative study is unique and distinctive in its combined focus on staff perceptions of their psychosocial experiences and support mechanisms during their own journeys as teachers, and training to become teacher</w:t>
      </w:r>
      <w:r w:rsidR="00D113EC">
        <w:rPr>
          <w:rFonts w:ascii="Calibri" w:eastAsia="Aptos" w:hAnsi="Calibri" w:cs="Calibri"/>
          <w:kern w:val="2"/>
          <w:sz w:val="24"/>
          <w:szCs w:val="24"/>
          <w14:ligatures w14:val="standardContextual"/>
        </w:rPr>
        <w:t>s</w:t>
      </w:r>
      <w:r w:rsidRPr="00583AD6">
        <w:rPr>
          <w:rFonts w:ascii="Calibri" w:eastAsia="Aptos" w:hAnsi="Calibri" w:cs="Calibri"/>
          <w:kern w:val="2"/>
          <w:sz w:val="24"/>
          <w:szCs w:val="24"/>
          <w14:ligatures w14:val="standardContextual"/>
        </w:rPr>
        <w:t xml:space="preserve">. An intimate exploration of </w:t>
      </w:r>
      <w:r w:rsidR="005B779D">
        <w:rPr>
          <w:rFonts w:ascii="Calibri" w:eastAsia="Aptos" w:hAnsi="Calibri" w:cs="Calibri"/>
          <w:kern w:val="2"/>
          <w:sz w:val="24"/>
          <w:szCs w:val="24"/>
          <w14:ligatures w14:val="standardContextual"/>
        </w:rPr>
        <w:t>nine</w:t>
      </w:r>
      <w:r w:rsidRPr="00583AD6">
        <w:rPr>
          <w:rFonts w:ascii="Calibri" w:eastAsia="Aptos" w:hAnsi="Calibri" w:cs="Calibri"/>
          <w:kern w:val="2"/>
          <w:sz w:val="24"/>
          <w:szCs w:val="24"/>
          <w14:ligatures w14:val="standardContextual"/>
        </w:rPr>
        <w:t xml:space="preserve"> teachers’ stories in their own words, in a two-part semi structured interview with a narrative focus process, teachers were invited to reflect upon the psychoanalytic concept of “holding” (Winnicott, 1965, pp.43-44), the use of reflective practice and its role in their supportive web, and to reflect upon their own lived experiences of teacher training and teaching praxis.</w:t>
      </w:r>
    </w:p>
    <w:p w14:paraId="651F32DB" w14:textId="7C5B5491" w:rsidR="00583AD6" w:rsidRPr="00583AD6" w:rsidRDefault="00583AD6" w:rsidP="00583AD6">
      <w:pPr>
        <w:spacing w:after="160" w:line="360" w:lineRule="auto"/>
        <w:rPr>
          <w:rFonts w:ascii="Calibri" w:eastAsia="Aptos" w:hAnsi="Calibri" w:cs="Calibri"/>
          <w:kern w:val="2"/>
          <w:sz w:val="24"/>
          <w:szCs w:val="24"/>
          <w14:ligatures w14:val="standardContextual"/>
        </w:rPr>
      </w:pPr>
      <w:r w:rsidRPr="00583AD6">
        <w:rPr>
          <w:rFonts w:ascii="Calibri" w:eastAsia="Aptos" w:hAnsi="Calibri" w:cs="Calibri"/>
          <w:kern w:val="2"/>
          <w:sz w:val="24"/>
          <w:szCs w:val="24"/>
          <w14:ligatures w14:val="standardContextual"/>
        </w:rPr>
        <w:t xml:space="preserve">Findings indicate that key to HE teachers’ </w:t>
      </w:r>
      <w:r w:rsidR="006727B7">
        <w:rPr>
          <w:rFonts w:ascii="Calibri" w:eastAsia="Aptos" w:hAnsi="Calibri" w:cs="Calibri"/>
          <w:kern w:val="2"/>
          <w:sz w:val="24"/>
          <w:szCs w:val="24"/>
          <w14:ligatures w14:val="standardContextual"/>
        </w:rPr>
        <w:t>“</w:t>
      </w:r>
      <w:r w:rsidRPr="00583AD6">
        <w:rPr>
          <w:rFonts w:ascii="Calibri" w:eastAsia="Aptos" w:hAnsi="Calibri" w:cs="Calibri"/>
          <w:kern w:val="2"/>
          <w:sz w:val="24"/>
          <w:szCs w:val="24"/>
          <w14:ligatures w14:val="standardContextual"/>
        </w:rPr>
        <w:t>holding</w:t>
      </w:r>
      <w:r w:rsidR="006727B7">
        <w:rPr>
          <w:rFonts w:ascii="Calibri" w:eastAsia="Aptos" w:hAnsi="Calibri" w:cs="Calibri"/>
          <w:kern w:val="2"/>
          <w:sz w:val="24"/>
          <w:szCs w:val="24"/>
          <w14:ligatures w14:val="standardContextual"/>
        </w:rPr>
        <w:t>”</w:t>
      </w:r>
      <w:r w:rsidRPr="00583AD6">
        <w:rPr>
          <w:rFonts w:ascii="Calibri" w:eastAsia="Aptos" w:hAnsi="Calibri" w:cs="Calibri"/>
          <w:kern w:val="2"/>
          <w:sz w:val="24"/>
          <w:szCs w:val="24"/>
          <w14:ligatures w14:val="standardContextual"/>
        </w:rPr>
        <w:t xml:space="preserve"> (support) were both reflective dialogue with self-selected, trustworthy “critical friends”, and the early embedding of reflection in initial teacher trainings. Furthermore, it was the relationship with a method, theory, teacher trainer, mentor, colleague, partner and even a cat that “held” them in their learning journeys and teaching praxis. There were consequences when participants, specifically adult returners experienced inadequate holding during teacher trainings: they were thrust into a hero’s journey and having to navigate unknown territory with few tools at their disposal.</w:t>
      </w:r>
    </w:p>
    <w:p w14:paraId="78EEF324" w14:textId="77777777" w:rsidR="00583AD6" w:rsidRPr="00583AD6" w:rsidRDefault="00583AD6" w:rsidP="00583AD6">
      <w:pPr>
        <w:spacing w:after="160" w:line="360" w:lineRule="auto"/>
        <w:rPr>
          <w:rFonts w:ascii="Calibri" w:eastAsia="Aptos" w:hAnsi="Calibri" w:cs="Calibri"/>
          <w:kern w:val="2"/>
          <w:sz w:val="24"/>
          <w:szCs w:val="24"/>
          <w14:ligatures w14:val="standardContextual"/>
        </w:rPr>
      </w:pPr>
      <w:r w:rsidRPr="00583AD6">
        <w:rPr>
          <w:rFonts w:ascii="Calibri" w:eastAsia="Aptos" w:hAnsi="Calibri" w:cs="Calibri"/>
          <w:kern w:val="2"/>
          <w:sz w:val="24"/>
          <w:szCs w:val="24"/>
          <w14:ligatures w14:val="standardContextual"/>
        </w:rPr>
        <w:t>This thesis contributes to knowledge in the field of education by viewing teacher support from a psychosocial perspective and utilises a depth pedagogy conceptual framework to understand the lived experiences and support needs of HE teachers, the tools they utilised and required to navigate an ever-changing HE landscape, and the importance of the university system exercising and reflecting upon an ethic of care (Noddings, 2002) for their emotional needs.</w:t>
      </w:r>
    </w:p>
    <w:p w14:paraId="5F96E415" w14:textId="53CE70E5" w:rsidR="0070651F" w:rsidRPr="00837368" w:rsidRDefault="00583AD6" w:rsidP="00837368">
      <w:pPr>
        <w:spacing w:after="160" w:line="360" w:lineRule="auto"/>
        <w:rPr>
          <w:rFonts w:ascii="Calibri" w:eastAsia="Aptos" w:hAnsi="Calibri" w:cs="Calibri"/>
          <w:kern w:val="2"/>
          <w:sz w:val="24"/>
          <w:szCs w:val="24"/>
          <w14:ligatures w14:val="standardContextual"/>
        </w:rPr>
      </w:pPr>
      <w:r w:rsidRPr="00583AD6">
        <w:rPr>
          <w:rFonts w:ascii="Calibri" w:eastAsia="Aptos" w:hAnsi="Calibri" w:cs="Calibri"/>
          <w:kern w:val="2"/>
          <w:sz w:val="24"/>
          <w:szCs w:val="24"/>
          <w14:ligatures w14:val="standardContextual"/>
        </w:rPr>
        <w:t xml:space="preserve">Keywords: Archetypes; ethic of care; fairy tales; higher education; holding; mental health and well-being; reflective practice; </w:t>
      </w:r>
      <w:r w:rsidR="00297CF0">
        <w:rPr>
          <w:rFonts w:ascii="Calibri" w:eastAsia="Aptos" w:hAnsi="Calibri" w:cs="Calibri"/>
          <w:kern w:val="2"/>
          <w:sz w:val="24"/>
          <w:szCs w:val="24"/>
          <w14:ligatures w14:val="standardContextual"/>
        </w:rPr>
        <w:t>resilience</w:t>
      </w:r>
      <w:r w:rsidR="00F06F59">
        <w:rPr>
          <w:rFonts w:ascii="Calibri" w:eastAsia="Aptos" w:hAnsi="Calibri" w:cs="Calibri"/>
          <w:kern w:val="2"/>
          <w:sz w:val="24"/>
          <w:szCs w:val="24"/>
          <w14:ligatures w14:val="standardContextual"/>
        </w:rPr>
        <w:t xml:space="preserve">; </w:t>
      </w:r>
      <w:r w:rsidRPr="00583AD6">
        <w:rPr>
          <w:rFonts w:ascii="Calibri" w:eastAsia="Aptos" w:hAnsi="Calibri" w:cs="Calibri"/>
          <w:kern w:val="2"/>
          <w:sz w:val="24"/>
          <w:szCs w:val="24"/>
          <w14:ligatures w14:val="standardContextual"/>
        </w:rPr>
        <w:t>stories and storytelling; university context.</w:t>
      </w:r>
    </w:p>
    <w:p w14:paraId="3AB8D0B2" w14:textId="77777777" w:rsidR="0070651F" w:rsidRPr="004276A2" w:rsidRDefault="0070651F" w:rsidP="0070651F">
      <w:pPr>
        <w:rPr>
          <w:rFonts w:ascii="Source Sans Pro" w:hAnsi="Source Sans Pro" w:cstheme="majorBidi"/>
          <w:sz w:val="24"/>
          <w:szCs w:val="24"/>
        </w:rPr>
      </w:pPr>
    </w:p>
    <w:p w14:paraId="6D51DD93" w14:textId="77777777" w:rsidR="0069623E" w:rsidRDefault="0069623E" w:rsidP="009E737D">
      <w:pPr>
        <w:rPr>
          <w:rFonts w:ascii="Source Sans Pro" w:eastAsia="Calibri" w:hAnsi="Source Sans Pro" w:cs="Times New Roman"/>
          <w:i/>
          <w:iCs/>
          <w:sz w:val="24"/>
          <w:szCs w:val="24"/>
        </w:rPr>
      </w:pPr>
    </w:p>
    <w:p w14:paraId="27FD33A0" w14:textId="5A4E8F08" w:rsidR="00B07675" w:rsidRPr="0003453A" w:rsidRDefault="0040212B" w:rsidP="0040212B">
      <w:pPr>
        <w:ind w:left="2880" w:firstLine="720"/>
        <w:rPr>
          <w:rFonts w:eastAsia="Calibri" w:cstheme="minorHAnsi"/>
          <w:sz w:val="28"/>
          <w:szCs w:val="28"/>
        </w:rPr>
      </w:pPr>
      <w:r w:rsidRPr="0003453A">
        <w:rPr>
          <w:rFonts w:eastAsia="Calibri" w:cstheme="minorHAnsi"/>
          <w:sz w:val="28"/>
          <w:szCs w:val="28"/>
        </w:rPr>
        <w:t>Declaration</w:t>
      </w:r>
    </w:p>
    <w:p w14:paraId="4D4AAA94" w14:textId="77777777" w:rsidR="00B07675" w:rsidRDefault="00B07675" w:rsidP="009E737D">
      <w:pPr>
        <w:rPr>
          <w:rFonts w:ascii="Source Sans Pro" w:eastAsia="Calibri" w:hAnsi="Source Sans Pro" w:cs="Times New Roman"/>
          <w:i/>
          <w:iCs/>
          <w:sz w:val="24"/>
          <w:szCs w:val="24"/>
        </w:rPr>
      </w:pPr>
    </w:p>
    <w:p w14:paraId="5039C345" w14:textId="77777777" w:rsidR="00B07675" w:rsidRDefault="00B07675" w:rsidP="009E737D">
      <w:pPr>
        <w:rPr>
          <w:rFonts w:ascii="Source Sans Pro" w:eastAsia="Calibri" w:hAnsi="Source Sans Pro" w:cs="Times New Roman"/>
          <w:i/>
          <w:iCs/>
          <w:sz w:val="24"/>
          <w:szCs w:val="24"/>
        </w:rPr>
      </w:pPr>
    </w:p>
    <w:p w14:paraId="06827920" w14:textId="77777777" w:rsidR="00B07675" w:rsidRDefault="00B07675" w:rsidP="009E737D">
      <w:pPr>
        <w:rPr>
          <w:rFonts w:ascii="Source Sans Pro" w:eastAsia="Calibri" w:hAnsi="Source Sans Pro" w:cs="Times New Roman"/>
          <w:i/>
          <w:iCs/>
          <w:sz w:val="24"/>
          <w:szCs w:val="24"/>
        </w:rPr>
      </w:pPr>
    </w:p>
    <w:p w14:paraId="563B8A17" w14:textId="77777777" w:rsidR="0040212B" w:rsidRDefault="0040212B" w:rsidP="009E737D">
      <w:pPr>
        <w:rPr>
          <w:rFonts w:ascii="Source Sans Pro" w:eastAsia="Calibri" w:hAnsi="Source Sans Pro" w:cs="Times New Roman"/>
          <w:i/>
          <w:iCs/>
          <w:sz w:val="24"/>
          <w:szCs w:val="24"/>
        </w:rPr>
      </w:pPr>
    </w:p>
    <w:p w14:paraId="7E02A223" w14:textId="323BF908" w:rsidR="0040212B" w:rsidRDefault="005E42DF" w:rsidP="009E737D">
      <w:pPr>
        <w:rPr>
          <w:rFonts w:ascii="Source Sans Pro" w:eastAsia="Calibri" w:hAnsi="Source Sans Pro" w:cs="Times New Roman"/>
          <w:i/>
          <w:iCs/>
          <w:sz w:val="24"/>
          <w:szCs w:val="24"/>
        </w:rPr>
      </w:pPr>
      <w:r>
        <w:rPr>
          <w:rFonts w:ascii="Source Sans Pro" w:eastAsia="Calibri" w:hAnsi="Source Sans Pro" w:cs="Times New Roman"/>
          <w:i/>
          <w:iCs/>
          <w:noProof/>
          <w:sz w:val="24"/>
          <w:szCs w:val="24"/>
        </w:rPr>
        <mc:AlternateContent>
          <mc:Choice Requires="wpi">
            <w:drawing>
              <wp:anchor distT="0" distB="0" distL="114300" distR="114300" simplePos="0" relativeHeight="251677696" behindDoc="0" locked="0" layoutInCell="1" allowOverlap="1" wp14:anchorId="41CD71F0" wp14:editId="111D9D3E">
                <wp:simplePos x="0" y="0"/>
                <wp:positionH relativeFrom="column">
                  <wp:posOffset>2941200</wp:posOffset>
                </wp:positionH>
                <wp:positionV relativeFrom="paragraph">
                  <wp:posOffset>273050</wp:posOffset>
                </wp:positionV>
                <wp:extent cx="360" cy="3240"/>
                <wp:effectExtent l="38100" t="38100" r="38100" b="34925"/>
                <wp:wrapNone/>
                <wp:docPr id="662892596" name="Ink 41"/>
                <wp:cNvGraphicFramePr/>
                <a:graphic xmlns:a="http://schemas.openxmlformats.org/drawingml/2006/main">
                  <a:graphicData uri="http://schemas.microsoft.com/office/word/2010/wordprocessingInk">
                    <w14:contentPart bwMode="auto" r:id="rId9">
                      <w14:nvContentPartPr>
                        <w14:cNvContentPartPr/>
                      </w14:nvContentPartPr>
                      <w14:xfrm>
                        <a:off x="0" y="0"/>
                        <a:ext cx="360" cy="3240"/>
                      </w14:xfrm>
                    </w14:contentPart>
                  </a:graphicData>
                </a:graphic>
              </wp:anchor>
            </w:drawing>
          </mc:Choice>
          <mc:Fallback>
            <w:pict>
              <v:shapetype w14:anchorId="20D4A7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231.25pt;margin-top:21.15pt;width:.75pt;height:.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">
                <v:imagedata r:id="rId10" o:title=""/>
              </v:shape>
            </w:pict>
          </mc:Fallback>
        </mc:AlternateContent>
      </w:r>
    </w:p>
    <w:p w14:paraId="67A3EA9D" w14:textId="77777777" w:rsidR="0040212B" w:rsidRDefault="0040212B" w:rsidP="009E737D">
      <w:pPr>
        <w:rPr>
          <w:rFonts w:ascii="Source Sans Pro" w:eastAsia="Calibri" w:hAnsi="Source Sans Pro" w:cs="Times New Roman"/>
          <w:i/>
          <w:iCs/>
          <w:sz w:val="24"/>
          <w:szCs w:val="24"/>
        </w:rPr>
      </w:pPr>
    </w:p>
    <w:p w14:paraId="59DA3D5C" w14:textId="77777777" w:rsidR="0040212B" w:rsidRDefault="0040212B" w:rsidP="009E737D">
      <w:pPr>
        <w:rPr>
          <w:rFonts w:ascii="Source Sans Pro" w:eastAsia="Calibri" w:hAnsi="Source Sans Pro" w:cs="Times New Roman"/>
          <w:i/>
          <w:iCs/>
          <w:sz w:val="24"/>
          <w:szCs w:val="24"/>
        </w:rPr>
      </w:pPr>
    </w:p>
    <w:p w14:paraId="1A32EBA8" w14:textId="77777777" w:rsidR="0040212B" w:rsidRDefault="0040212B" w:rsidP="009E737D">
      <w:pPr>
        <w:rPr>
          <w:rFonts w:ascii="Source Sans Pro" w:eastAsia="Calibri" w:hAnsi="Source Sans Pro" w:cs="Times New Roman"/>
          <w:i/>
          <w:iCs/>
          <w:sz w:val="24"/>
          <w:szCs w:val="24"/>
        </w:rPr>
      </w:pPr>
    </w:p>
    <w:p w14:paraId="3F7C2195" w14:textId="77777777" w:rsidR="00B07675" w:rsidRDefault="00B07675" w:rsidP="009E737D">
      <w:pPr>
        <w:rPr>
          <w:rFonts w:ascii="Source Sans Pro" w:eastAsia="Calibri" w:hAnsi="Source Sans Pro" w:cs="Times New Roman"/>
          <w:i/>
          <w:iCs/>
          <w:sz w:val="24"/>
          <w:szCs w:val="24"/>
        </w:rPr>
      </w:pPr>
    </w:p>
    <w:p w14:paraId="4ED92433" w14:textId="566D705A" w:rsidR="0069623E" w:rsidRDefault="0069623E" w:rsidP="009E737D">
      <w:pPr>
        <w:rPr>
          <w:rFonts w:eastAsia="Calibri" w:cstheme="minorHAnsi"/>
          <w:i/>
          <w:iCs/>
          <w:sz w:val="24"/>
          <w:szCs w:val="24"/>
        </w:rPr>
      </w:pPr>
      <w:r w:rsidRPr="00ED7FE3">
        <w:rPr>
          <w:rFonts w:eastAsia="Calibri" w:cstheme="minorHAnsi"/>
          <w:i/>
          <w:iCs/>
          <w:sz w:val="24"/>
          <w:szCs w:val="24"/>
        </w:rPr>
        <w:t>I, Su</w:t>
      </w:r>
      <w:r w:rsidR="009F3ED4" w:rsidRPr="00ED7FE3">
        <w:rPr>
          <w:rFonts w:eastAsia="Calibri" w:cstheme="minorHAnsi"/>
          <w:i/>
          <w:iCs/>
          <w:sz w:val="24"/>
          <w:szCs w:val="24"/>
        </w:rPr>
        <w:t>z</w:t>
      </w:r>
      <w:r w:rsidRPr="00ED7FE3">
        <w:rPr>
          <w:rFonts w:eastAsia="Calibri" w:cstheme="minorHAnsi"/>
          <w:i/>
          <w:iCs/>
          <w:sz w:val="24"/>
          <w:szCs w:val="24"/>
        </w:rPr>
        <w:t>anne Schultz, confirm that the Thesis is my own work. I am aware of the University’s Guidance on the Use of Unfair Means</w:t>
      </w:r>
      <w:r w:rsidRPr="009E737D">
        <w:rPr>
          <w:rFonts w:ascii="Source Sans Pro" w:eastAsia="Calibri" w:hAnsi="Source Sans Pro" w:cs="Times New Roman"/>
          <w:i/>
          <w:iCs/>
          <w:sz w:val="24"/>
          <w:szCs w:val="24"/>
        </w:rPr>
        <w:t xml:space="preserve"> (</w:t>
      </w:r>
      <w:hyperlink r:id="rId11" w:history="1">
        <w:r w:rsidRPr="009E737D">
          <w:rPr>
            <w:rFonts w:ascii="Source Sans Pro" w:eastAsia="Calibri" w:hAnsi="Source Sans Pro" w:cs="Times New Roman"/>
            <w:i/>
            <w:iCs/>
            <w:color w:val="0000FF"/>
            <w:sz w:val="24"/>
            <w:szCs w:val="24"/>
            <w:u w:val="single"/>
          </w:rPr>
          <w:t>https://www.sheffield.ac.uk/study-skills/assessment/academic-integrity/academic-integrity</w:t>
        </w:r>
      </w:hyperlink>
      <w:r w:rsidRPr="009E737D">
        <w:rPr>
          <w:rFonts w:ascii="Source Sans Pro" w:eastAsia="Calibri" w:hAnsi="Source Sans Pro" w:cs="Times New Roman"/>
          <w:i/>
          <w:iCs/>
          <w:sz w:val="24"/>
          <w:szCs w:val="24"/>
        </w:rPr>
        <w:t xml:space="preserve">).  </w:t>
      </w:r>
      <w:r w:rsidRPr="00ED7FE3">
        <w:rPr>
          <w:rFonts w:eastAsia="Calibri" w:cstheme="minorHAnsi"/>
          <w:i/>
          <w:iCs/>
          <w:sz w:val="24"/>
          <w:szCs w:val="24"/>
        </w:rPr>
        <w:t xml:space="preserve">This work has not previously been presented for an award at this, or any other, university.  </w:t>
      </w:r>
    </w:p>
    <w:p w14:paraId="6EF2316E" w14:textId="08C2AE5E" w:rsidR="00742FA2" w:rsidRDefault="00742FA2" w:rsidP="009E737D">
      <w:pPr>
        <w:rPr>
          <w:rFonts w:eastAsia="Calibri" w:cstheme="minorHAnsi"/>
          <w:i/>
          <w:iCs/>
          <w:sz w:val="24"/>
          <w:szCs w:val="24"/>
        </w:rPr>
      </w:pPr>
    </w:p>
    <w:p w14:paraId="69B30871" w14:textId="32998831" w:rsidR="00D949D8" w:rsidRDefault="0069623E" w:rsidP="00DE1227">
      <w:pPr>
        <w:rPr>
          <w:rFonts w:eastAsia="Calibri" w:cstheme="minorHAnsi"/>
          <w:i/>
          <w:iCs/>
          <w:noProof/>
          <w:sz w:val="24"/>
          <w:szCs w:val="24"/>
        </w:rPr>
      </w:pPr>
      <w:r w:rsidRPr="00ED7FE3">
        <w:rPr>
          <w:rFonts w:eastAsia="Calibri" w:cstheme="minorHAnsi"/>
          <w:i/>
          <w:iCs/>
          <w:sz w:val="24"/>
          <w:szCs w:val="24"/>
        </w:rPr>
        <w:t xml:space="preserve">   </w:t>
      </w:r>
      <w:r w:rsidR="005C33F9">
        <w:rPr>
          <w:rFonts w:eastAsia="Calibri" w:cstheme="minorHAnsi"/>
          <w:i/>
          <w:iCs/>
          <w:noProof/>
          <w:sz w:val="24"/>
          <w:szCs w:val="24"/>
        </w:rPr>
        <mc:AlternateContent>
          <mc:Choice Requires="aink">
            <w:drawing>
              <wp:anchor distT="0" distB="0" distL="114300" distR="114300" simplePos="0" relativeHeight="251679744" behindDoc="0" locked="0" layoutInCell="1" allowOverlap="1" wp14:anchorId="20BD6735" wp14:editId="36AA9B13">
                <wp:simplePos x="0" y="0"/>
                <wp:positionH relativeFrom="column">
                  <wp:posOffset>921960</wp:posOffset>
                </wp:positionH>
                <wp:positionV relativeFrom="paragraph">
                  <wp:posOffset>99635</wp:posOffset>
                </wp:positionV>
                <wp:extent cx="360" cy="360"/>
                <wp:effectExtent l="0" t="0" r="0" b="0"/>
                <wp:wrapNone/>
                <wp:docPr id="1949125030" name="Ink 5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679744" behindDoc="0" locked="0" layoutInCell="1" allowOverlap="1" wp14:anchorId="20BD6735" wp14:editId="36AA9B13">
                <wp:simplePos x="0" y="0"/>
                <wp:positionH relativeFrom="column">
                  <wp:posOffset>921960</wp:posOffset>
                </wp:positionH>
                <wp:positionV relativeFrom="paragraph">
                  <wp:posOffset>99635</wp:posOffset>
                </wp:positionV>
                <wp:extent cx="360" cy="360"/>
                <wp:effectExtent l="0" t="0" r="0" b="0"/>
                <wp:wrapNone/>
                <wp:docPr id="1949125030" name="Ink 55"/>
                <wp:cNvGraphicFramePr/>
                <a:graphic xmlns:a="http://schemas.openxmlformats.org/drawingml/2006/main">
                  <a:graphicData uri="http://schemas.openxmlformats.org/drawingml/2006/picture">
                    <pic:pic xmlns:pic="http://schemas.openxmlformats.org/drawingml/2006/picture">
                      <pic:nvPicPr>
                        <pic:cNvPr id="1949125030" name="Ink 55"/>
                        <pic:cNvPicPr/>
                      </pic:nvPicPr>
                      <pic:blipFill>
                        <a:blip r:embed="rId13"/>
                        <a:stretch>
                          <a:fillRect/>
                        </a:stretch>
                      </pic:blipFill>
                      <pic:spPr>
                        <a:xfrm>
                          <a:off x="0" y="0"/>
                          <a:ext cx="18000" cy="108000"/>
                        </a:xfrm>
                        <a:prstGeom prst="rect">
                          <a:avLst/>
                        </a:prstGeom>
                      </pic:spPr>
                    </pic:pic>
                  </a:graphicData>
                </a:graphic>
              </wp:anchor>
            </w:drawing>
          </mc:Fallback>
        </mc:AlternateContent>
      </w:r>
      <w:r w:rsidR="005C33F9">
        <w:rPr>
          <w:rFonts w:eastAsia="Calibri" w:cstheme="minorHAnsi"/>
          <w:i/>
          <w:iCs/>
          <w:noProof/>
          <w:sz w:val="24"/>
          <w:szCs w:val="24"/>
        </w:rPr>
        <mc:AlternateContent>
          <mc:Choice Requires="aink">
            <w:drawing>
              <wp:anchor distT="0" distB="0" distL="114300" distR="114300" simplePos="0" relativeHeight="251678720" behindDoc="0" locked="0" layoutInCell="1" allowOverlap="1" wp14:anchorId="6F8D9500" wp14:editId="46B98C20">
                <wp:simplePos x="0" y="0"/>
                <wp:positionH relativeFrom="column">
                  <wp:posOffset>1737240</wp:posOffset>
                </wp:positionH>
                <wp:positionV relativeFrom="paragraph">
                  <wp:posOffset>69395</wp:posOffset>
                </wp:positionV>
                <wp:extent cx="360" cy="360"/>
                <wp:effectExtent l="0" t="0" r="0" b="0"/>
                <wp:wrapNone/>
                <wp:docPr id="1394788355" name="Ink 4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78720" behindDoc="0" locked="0" layoutInCell="1" allowOverlap="1" wp14:anchorId="6F8D9500" wp14:editId="46B98C20">
                <wp:simplePos x="0" y="0"/>
                <wp:positionH relativeFrom="column">
                  <wp:posOffset>1737240</wp:posOffset>
                </wp:positionH>
                <wp:positionV relativeFrom="paragraph">
                  <wp:posOffset>69395</wp:posOffset>
                </wp:positionV>
                <wp:extent cx="360" cy="360"/>
                <wp:effectExtent l="0" t="0" r="0" b="0"/>
                <wp:wrapNone/>
                <wp:docPr id="1394788355" name="Ink 49"/>
                <wp:cNvGraphicFramePr/>
                <a:graphic xmlns:a="http://schemas.openxmlformats.org/drawingml/2006/main">
                  <a:graphicData uri="http://schemas.openxmlformats.org/drawingml/2006/picture">
                    <pic:pic xmlns:pic="http://schemas.openxmlformats.org/drawingml/2006/picture">
                      <pic:nvPicPr>
                        <pic:cNvPr id="1394788355" name="Ink 49"/>
                        <pic:cNvPicPr/>
                      </pic:nvPicPr>
                      <pic:blipFill>
                        <a:blip r:embed="rId13"/>
                        <a:stretch>
                          <a:fillRect/>
                        </a:stretch>
                      </pic:blipFill>
                      <pic:spPr>
                        <a:xfrm>
                          <a:off x="0" y="0"/>
                          <a:ext cx="18000" cy="108000"/>
                        </a:xfrm>
                        <a:prstGeom prst="rect">
                          <a:avLst/>
                        </a:prstGeom>
                      </pic:spPr>
                    </pic:pic>
                  </a:graphicData>
                </a:graphic>
              </wp:anchor>
            </w:drawing>
          </mc:Fallback>
        </mc:AlternateContent>
      </w:r>
      <w:r w:rsidR="005C33F9">
        <w:rPr>
          <w:rFonts w:eastAsia="Calibri" w:cstheme="minorHAnsi"/>
          <w:i/>
          <w:iCs/>
          <w:noProof/>
          <w:sz w:val="24"/>
          <w:szCs w:val="24"/>
        </w:rPr>
        <mc:AlternateContent>
          <mc:Choice Requires="aink">
            <w:drawing>
              <wp:anchor distT="0" distB="0" distL="114300" distR="114300" simplePos="0" relativeHeight="251638784" behindDoc="0" locked="0" layoutInCell="1" allowOverlap="1" wp14:anchorId="180A61F5" wp14:editId="31C35B5E">
                <wp:simplePos x="0" y="0"/>
                <wp:positionH relativeFrom="column">
                  <wp:posOffset>1722120</wp:posOffset>
                </wp:positionH>
                <wp:positionV relativeFrom="paragraph">
                  <wp:posOffset>99635</wp:posOffset>
                </wp:positionV>
                <wp:extent cx="360" cy="360"/>
                <wp:effectExtent l="0" t="0" r="0" b="0"/>
                <wp:wrapNone/>
                <wp:docPr id="2130593963" name="Ink 4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38784" behindDoc="0" locked="0" layoutInCell="1" allowOverlap="1" wp14:anchorId="180A61F5" wp14:editId="31C35B5E">
                <wp:simplePos x="0" y="0"/>
                <wp:positionH relativeFrom="column">
                  <wp:posOffset>1722120</wp:posOffset>
                </wp:positionH>
                <wp:positionV relativeFrom="paragraph">
                  <wp:posOffset>99635</wp:posOffset>
                </wp:positionV>
                <wp:extent cx="360" cy="360"/>
                <wp:effectExtent l="0" t="0" r="0" b="0"/>
                <wp:wrapNone/>
                <wp:docPr id="2130593963" name="Ink 48"/>
                <wp:cNvGraphicFramePr/>
                <a:graphic xmlns:a="http://schemas.openxmlformats.org/drawingml/2006/main">
                  <a:graphicData uri="http://schemas.openxmlformats.org/drawingml/2006/picture">
                    <pic:pic xmlns:pic="http://schemas.openxmlformats.org/drawingml/2006/picture">
                      <pic:nvPicPr>
                        <pic:cNvPr id="2130593963" name="Ink 48"/>
                        <pic:cNvPicPr/>
                      </pic:nvPicPr>
                      <pic:blipFill>
                        <a:blip r:embed="rId13"/>
                        <a:stretch>
                          <a:fillRect/>
                        </a:stretch>
                      </pic:blipFill>
                      <pic:spPr>
                        <a:xfrm>
                          <a:off x="0" y="0"/>
                          <a:ext cx="18000" cy="108000"/>
                        </a:xfrm>
                        <a:prstGeom prst="rect">
                          <a:avLst/>
                        </a:prstGeom>
                      </pic:spPr>
                    </pic:pic>
                  </a:graphicData>
                </a:graphic>
              </wp:anchor>
            </w:drawing>
          </mc:Fallback>
        </mc:AlternateContent>
      </w:r>
      <w:r w:rsidR="005C33F9">
        <w:rPr>
          <w:rFonts w:eastAsia="Calibri" w:cstheme="minorHAnsi"/>
          <w:i/>
          <w:iCs/>
          <w:noProof/>
          <w:sz w:val="24"/>
          <w:szCs w:val="24"/>
        </w:rPr>
        <mc:AlternateContent>
          <mc:Choice Requires="aink">
            <w:drawing>
              <wp:anchor distT="0" distB="0" distL="114300" distR="114300" simplePos="0" relativeHeight="251636736" behindDoc="0" locked="0" layoutInCell="1" allowOverlap="1" wp14:anchorId="681699C2" wp14:editId="7425282C">
                <wp:simplePos x="0" y="0"/>
                <wp:positionH relativeFrom="column">
                  <wp:posOffset>1082040</wp:posOffset>
                </wp:positionH>
                <wp:positionV relativeFrom="paragraph">
                  <wp:posOffset>130235</wp:posOffset>
                </wp:positionV>
                <wp:extent cx="360" cy="360"/>
                <wp:effectExtent l="0" t="0" r="0" b="0"/>
                <wp:wrapNone/>
                <wp:docPr id="1187779633" name="Ink 4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36736" behindDoc="0" locked="0" layoutInCell="1" allowOverlap="1" wp14:anchorId="681699C2" wp14:editId="7425282C">
                <wp:simplePos x="0" y="0"/>
                <wp:positionH relativeFrom="column">
                  <wp:posOffset>1082040</wp:posOffset>
                </wp:positionH>
                <wp:positionV relativeFrom="paragraph">
                  <wp:posOffset>130235</wp:posOffset>
                </wp:positionV>
                <wp:extent cx="360" cy="360"/>
                <wp:effectExtent l="0" t="0" r="0" b="0"/>
                <wp:wrapNone/>
                <wp:docPr id="1187779633" name="Ink 47"/>
                <wp:cNvGraphicFramePr/>
                <a:graphic xmlns:a="http://schemas.openxmlformats.org/drawingml/2006/main">
                  <a:graphicData uri="http://schemas.openxmlformats.org/drawingml/2006/picture">
                    <pic:pic xmlns:pic="http://schemas.openxmlformats.org/drawingml/2006/picture">
                      <pic:nvPicPr>
                        <pic:cNvPr id="1187779633" name="Ink 47"/>
                        <pic:cNvPicPr/>
                      </pic:nvPicPr>
                      <pic:blipFill>
                        <a:blip r:embed="rId13"/>
                        <a:stretch>
                          <a:fillRect/>
                        </a:stretch>
                      </pic:blipFill>
                      <pic:spPr>
                        <a:xfrm>
                          <a:off x="0" y="0"/>
                          <a:ext cx="18000" cy="108000"/>
                        </a:xfrm>
                        <a:prstGeom prst="rect">
                          <a:avLst/>
                        </a:prstGeom>
                      </pic:spPr>
                    </pic:pic>
                  </a:graphicData>
                </a:graphic>
              </wp:anchor>
            </w:drawing>
          </mc:Fallback>
        </mc:AlternateContent>
      </w:r>
      <w:r w:rsidR="005C33F9">
        <w:rPr>
          <w:rFonts w:eastAsia="Calibri" w:cstheme="minorHAnsi"/>
          <w:i/>
          <w:iCs/>
          <w:noProof/>
          <w:sz w:val="24"/>
          <w:szCs w:val="24"/>
        </w:rPr>
        <mc:AlternateContent>
          <mc:Choice Requires="aink">
            <w:drawing>
              <wp:anchor distT="0" distB="0" distL="114300" distR="114300" simplePos="0" relativeHeight="251635712" behindDoc="0" locked="0" layoutInCell="1" allowOverlap="1" wp14:anchorId="6354AEBF" wp14:editId="0EE2431C">
                <wp:simplePos x="0" y="0"/>
                <wp:positionH relativeFrom="column">
                  <wp:posOffset>1726440</wp:posOffset>
                </wp:positionH>
                <wp:positionV relativeFrom="paragraph">
                  <wp:posOffset>107195</wp:posOffset>
                </wp:positionV>
                <wp:extent cx="3240" cy="360"/>
                <wp:effectExtent l="38100" t="38100" r="53975" b="57150"/>
                <wp:wrapNone/>
                <wp:docPr id="153395579" name="Ink 46"/>
                <wp:cNvGraphicFramePr/>
                <a:graphic xmlns:a="http://schemas.openxmlformats.org/drawingml/2006/main">
                  <a:graphicData uri="http://schemas.microsoft.com/office/word/2010/wordprocessingInk">
                    <w14:contentPart bwMode="auto" r:id="rId17">
                      <w14:nvContentPartPr>
                        <w14:cNvContentPartPr/>
                      </w14:nvContentPartPr>
                      <w14:xfrm>
                        <a:off x="0" y="0"/>
                        <a:ext cx="3240" cy="360"/>
                      </w14:xfrm>
                    </w14:contentPart>
                  </a:graphicData>
                </a:graphic>
              </wp:anchor>
            </w:drawing>
          </mc:Choice>
          <mc:Fallback>
            <w:drawing>
              <wp:anchor distT="0" distB="0" distL="114300" distR="114300" simplePos="0" relativeHeight="251635712" behindDoc="0" locked="0" layoutInCell="1" allowOverlap="1" wp14:anchorId="6354AEBF" wp14:editId="0EE2431C">
                <wp:simplePos x="0" y="0"/>
                <wp:positionH relativeFrom="column">
                  <wp:posOffset>1726440</wp:posOffset>
                </wp:positionH>
                <wp:positionV relativeFrom="paragraph">
                  <wp:posOffset>107195</wp:posOffset>
                </wp:positionV>
                <wp:extent cx="3240" cy="360"/>
                <wp:effectExtent l="38100" t="38100" r="53975" b="57150"/>
                <wp:wrapNone/>
                <wp:docPr id="153395579" name="Ink 46"/>
                <wp:cNvGraphicFramePr/>
                <a:graphic xmlns:a="http://schemas.openxmlformats.org/drawingml/2006/main">
                  <a:graphicData uri="http://schemas.openxmlformats.org/drawingml/2006/picture">
                    <pic:pic xmlns:pic="http://schemas.openxmlformats.org/drawingml/2006/picture">
                      <pic:nvPicPr>
                        <pic:cNvPr id="153395579" name="Ink 46"/>
                        <pic:cNvPicPr/>
                      </pic:nvPicPr>
                      <pic:blipFill>
                        <a:blip r:embed="rId18"/>
                        <a:stretch>
                          <a:fillRect/>
                        </a:stretch>
                      </pic:blipFill>
                      <pic:spPr>
                        <a:xfrm>
                          <a:off x="0" y="0"/>
                          <a:ext cx="20880" cy="108000"/>
                        </a:xfrm>
                        <a:prstGeom prst="rect">
                          <a:avLst/>
                        </a:prstGeom>
                      </pic:spPr>
                    </pic:pic>
                  </a:graphicData>
                </a:graphic>
              </wp:anchor>
            </w:drawing>
          </mc:Fallback>
        </mc:AlternateContent>
      </w:r>
      <w:r w:rsidR="00863DE2">
        <w:rPr>
          <w:rFonts w:eastAsia="Calibri" w:cstheme="minorHAnsi"/>
          <w:i/>
          <w:iCs/>
          <w:sz w:val="24"/>
          <w:szCs w:val="24"/>
        </w:rPr>
        <w:t>Signed:</w:t>
      </w:r>
      <w:r w:rsidR="00E84042">
        <w:rPr>
          <w:rFonts w:eastAsia="Calibri" w:cstheme="minorHAnsi"/>
          <w:i/>
          <w:iCs/>
          <w:sz w:val="24"/>
          <w:szCs w:val="24"/>
        </w:rPr>
        <w:t xml:space="preserve">  </w:t>
      </w:r>
      <w:r w:rsidR="006A12CF">
        <w:rPr>
          <w:rFonts w:eastAsia="Calibri" w:cstheme="minorHAnsi"/>
          <w:i/>
          <w:iCs/>
          <w:sz w:val="24"/>
          <w:szCs w:val="24"/>
        </w:rPr>
        <w:t xml:space="preserve">          </w:t>
      </w:r>
      <w:r w:rsidR="00E84042">
        <w:rPr>
          <w:rFonts w:eastAsia="Calibri" w:cstheme="minorHAnsi"/>
          <w:i/>
          <w:iCs/>
          <w:sz w:val="24"/>
          <w:szCs w:val="24"/>
        </w:rPr>
        <w:t xml:space="preserve">                </w:t>
      </w:r>
      <w:r w:rsidR="00604BBB">
        <w:rPr>
          <w:rFonts w:eastAsia="Calibri" w:cstheme="minorHAnsi"/>
          <w:i/>
          <w:iCs/>
          <w:sz w:val="24"/>
          <w:szCs w:val="24"/>
        </w:rPr>
        <w:tab/>
      </w:r>
      <w:r w:rsidR="00604BBB">
        <w:rPr>
          <w:rFonts w:eastAsia="Calibri" w:cstheme="minorHAnsi"/>
          <w:i/>
          <w:iCs/>
          <w:sz w:val="24"/>
          <w:szCs w:val="24"/>
        </w:rPr>
        <w:tab/>
      </w:r>
      <w:r w:rsidR="00604BBB">
        <w:rPr>
          <w:rFonts w:eastAsia="Calibri" w:cstheme="minorHAnsi"/>
          <w:i/>
          <w:iCs/>
          <w:sz w:val="24"/>
          <w:szCs w:val="24"/>
        </w:rPr>
        <w:tab/>
      </w:r>
      <w:r w:rsidR="00604BBB">
        <w:rPr>
          <w:rFonts w:eastAsia="Calibri" w:cstheme="minorHAnsi"/>
          <w:i/>
          <w:iCs/>
          <w:sz w:val="24"/>
          <w:szCs w:val="24"/>
        </w:rPr>
        <w:tab/>
      </w:r>
      <w:r w:rsidR="00E84042">
        <w:rPr>
          <w:rFonts w:eastAsia="Calibri" w:cstheme="minorHAnsi"/>
          <w:i/>
          <w:iCs/>
          <w:sz w:val="24"/>
          <w:szCs w:val="24"/>
        </w:rPr>
        <w:t xml:space="preserve"> </w:t>
      </w:r>
      <w:r w:rsidR="00B10421">
        <w:rPr>
          <w:rFonts w:eastAsia="Calibri" w:cstheme="minorHAnsi"/>
          <w:i/>
          <w:iCs/>
          <w:sz w:val="24"/>
          <w:szCs w:val="24"/>
        </w:rPr>
        <w:t xml:space="preserve">  </w:t>
      </w:r>
    </w:p>
    <w:p w14:paraId="0432609B" w14:textId="2F8571D3" w:rsidR="00D949D8" w:rsidRDefault="00255488" w:rsidP="00B10421">
      <w:pPr>
        <w:ind w:left="108"/>
        <w:rPr>
          <w:rFonts w:eastAsia="Calibri" w:cstheme="minorHAnsi"/>
          <w:i/>
          <w:iCs/>
          <w:sz w:val="24"/>
          <w:szCs w:val="24"/>
        </w:rPr>
      </w:pPr>
      <w:r>
        <w:rPr>
          <w:rFonts w:eastAsia="Calibri" w:cstheme="minorHAnsi"/>
          <w:i/>
          <w:iCs/>
          <w:noProof/>
          <w:sz w:val="24"/>
          <w:szCs w:val="24"/>
        </w:rPr>
        <w:t>Suzanne D Schultz</w:t>
      </w:r>
      <w:r w:rsidR="00412EEF">
        <w:rPr>
          <w:rFonts w:eastAsia="Calibri" w:cstheme="minorHAnsi"/>
          <w:i/>
          <w:iCs/>
          <w:noProof/>
          <w:sz w:val="24"/>
          <w:szCs w:val="24"/>
        </w:rPr>
        <w:t xml:space="preserve"> (typed)</w:t>
      </w:r>
    </w:p>
    <w:p w14:paraId="245E2F7E" w14:textId="77777777" w:rsidR="00CB3151" w:rsidRDefault="00CB3151" w:rsidP="00CB3151">
      <w:pPr>
        <w:rPr>
          <w:rFonts w:eastAsia="Calibri" w:cstheme="minorHAnsi"/>
          <w:i/>
          <w:iCs/>
          <w:sz w:val="24"/>
          <w:szCs w:val="24"/>
        </w:rPr>
      </w:pPr>
    </w:p>
    <w:p w14:paraId="7B4EA1A6" w14:textId="1B1F8C83" w:rsidR="0069623E" w:rsidRPr="00ED7FE3" w:rsidRDefault="0069623E" w:rsidP="00CB3151">
      <w:pPr>
        <w:rPr>
          <w:rFonts w:eastAsia="Calibri" w:cstheme="minorHAnsi"/>
          <w:i/>
          <w:iCs/>
          <w:sz w:val="24"/>
          <w:szCs w:val="24"/>
        </w:rPr>
      </w:pPr>
      <w:r w:rsidRPr="00ED7FE3">
        <w:rPr>
          <w:rFonts w:eastAsia="Calibri" w:cstheme="minorHAnsi"/>
          <w:i/>
          <w:iCs/>
          <w:sz w:val="24"/>
          <w:szCs w:val="24"/>
        </w:rPr>
        <w:t>Date:</w:t>
      </w:r>
      <w:r w:rsidR="00C2069B">
        <w:rPr>
          <w:rFonts w:eastAsia="Calibri" w:cstheme="minorHAnsi"/>
          <w:i/>
          <w:iCs/>
          <w:sz w:val="24"/>
          <w:szCs w:val="24"/>
        </w:rPr>
        <w:t xml:space="preserve"> January 22</w:t>
      </w:r>
      <w:r w:rsidR="00C2069B" w:rsidRPr="00C2069B">
        <w:rPr>
          <w:rFonts w:eastAsia="Calibri" w:cstheme="minorHAnsi"/>
          <w:i/>
          <w:iCs/>
          <w:sz w:val="24"/>
          <w:szCs w:val="24"/>
          <w:vertAlign w:val="superscript"/>
        </w:rPr>
        <w:t>nd</w:t>
      </w:r>
      <w:r w:rsidR="000030C2">
        <w:rPr>
          <w:rFonts w:eastAsia="Calibri" w:cstheme="minorHAnsi"/>
          <w:i/>
          <w:iCs/>
          <w:sz w:val="24"/>
          <w:szCs w:val="24"/>
        </w:rPr>
        <w:t>, 2026</w:t>
      </w:r>
    </w:p>
    <w:p w14:paraId="129C5771" w14:textId="02F3EFF2" w:rsidR="0069623E" w:rsidRDefault="00E87E2B">
      <w:r>
        <w:t xml:space="preserve">  </w:t>
      </w:r>
      <w:r>
        <w:tab/>
      </w:r>
      <w:r>
        <w:tab/>
      </w:r>
    </w:p>
    <w:p w14:paraId="74831F1A" w14:textId="4963BCF0" w:rsidR="00FF020E" w:rsidRDefault="00FF020E">
      <w:pPr>
        <w:rPr>
          <w:rFonts w:ascii="Source Sans Pro" w:hAnsi="Source Sans Pro" w:cstheme="majorBidi"/>
          <w:sz w:val="24"/>
          <w:szCs w:val="24"/>
        </w:rPr>
      </w:pPr>
    </w:p>
    <w:p w14:paraId="4FA0AB0D" w14:textId="2E185D42" w:rsidR="0003453A" w:rsidRDefault="0003453A">
      <w:pPr>
        <w:rPr>
          <w:rFonts w:ascii="Source Sans Pro" w:hAnsi="Source Sans Pro" w:cstheme="majorBidi"/>
          <w:sz w:val="24"/>
          <w:szCs w:val="24"/>
        </w:rPr>
      </w:pPr>
    </w:p>
    <w:p w14:paraId="49D4BF8E" w14:textId="77777777" w:rsidR="00E84042" w:rsidRDefault="00E84042">
      <w:pPr>
        <w:rPr>
          <w:rFonts w:ascii="Source Sans Pro" w:hAnsi="Source Sans Pro" w:cstheme="majorBidi"/>
          <w:sz w:val="24"/>
          <w:szCs w:val="24"/>
        </w:rPr>
      </w:pPr>
    </w:p>
    <w:p w14:paraId="5563CCA1" w14:textId="77777777" w:rsidR="00E84042" w:rsidRDefault="00E84042">
      <w:pPr>
        <w:rPr>
          <w:rFonts w:ascii="Source Sans Pro" w:hAnsi="Source Sans Pro" w:cstheme="majorBidi"/>
          <w:sz w:val="24"/>
          <w:szCs w:val="24"/>
        </w:rPr>
      </w:pPr>
    </w:p>
    <w:p w14:paraId="556C7A25" w14:textId="77777777" w:rsidR="00BF6D88" w:rsidRDefault="00BF6D88">
      <w:pPr>
        <w:rPr>
          <w:rFonts w:ascii="Source Sans Pro" w:hAnsi="Source Sans Pro" w:cstheme="majorBidi"/>
          <w:sz w:val="24"/>
          <w:szCs w:val="24"/>
        </w:rPr>
      </w:pPr>
    </w:p>
    <w:p w14:paraId="4045CAAC" w14:textId="77777777" w:rsidR="00BF2DA7" w:rsidRDefault="00BF2DA7">
      <w:pPr>
        <w:rPr>
          <w:rFonts w:ascii="Source Sans Pro" w:hAnsi="Source Sans Pro" w:cstheme="majorBidi"/>
          <w:sz w:val="24"/>
          <w:szCs w:val="24"/>
        </w:rPr>
      </w:pPr>
    </w:p>
    <w:p w14:paraId="278A3733" w14:textId="77777777" w:rsidR="006829C8" w:rsidRDefault="006829C8">
      <w:pPr>
        <w:rPr>
          <w:rFonts w:ascii="Source Sans Pro" w:hAnsi="Source Sans Pro" w:cstheme="majorBidi"/>
          <w:sz w:val="24"/>
          <w:szCs w:val="24"/>
        </w:rPr>
      </w:pPr>
    </w:p>
    <w:p w14:paraId="743E1BDB" w14:textId="77777777" w:rsidR="00CB1971" w:rsidRDefault="00CB1971" w:rsidP="00A10C8C">
      <w:pPr>
        <w:rPr>
          <w:rFonts w:ascii="Calibri" w:hAnsi="Calibri" w:cs="Calibri"/>
          <w:b/>
          <w:bCs/>
          <w:sz w:val="24"/>
          <w:szCs w:val="24"/>
        </w:rPr>
      </w:pPr>
    </w:p>
    <w:p w14:paraId="04A21A00" w14:textId="04C6C304" w:rsidR="00CB1971" w:rsidRPr="0003453A" w:rsidRDefault="00CB1971" w:rsidP="00CB1971">
      <w:pPr>
        <w:rPr>
          <w:rFonts w:ascii="Calibri" w:hAnsi="Calibri" w:cs="Calibri"/>
          <w:b/>
          <w:bCs/>
          <w:sz w:val="28"/>
          <w:szCs w:val="28"/>
        </w:rPr>
      </w:pPr>
      <w:r>
        <w:rPr>
          <w:rFonts w:ascii="Calibri" w:hAnsi="Calibri" w:cs="Calibri"/>
          <w:b/>
          <w:bCs/>
          <w:sz w:val="24"/>
          <w:szCs w:val="24"/>
        </w:rPr>
        <w:lastRenderedPageBreak/>
        <w:t xml:space="preserve">                                              </w:t>
      </w:r>
      <w:r w:rsidRPr="0003453A">
        <w:rPr>
          <w:rFonts w:ascii="Calibri" w:hAnsi="Calibri" w:cs="Calibri"/>
          <w:b/>
          <w:bCs/>
          <w:sz w:val="28"/>
          <w:szCs w:val="28"/>
        </w:rPr>
        <w:t xml:space="preserve">  </w:t>
      </w:r>
      <w:r w:rsidR="0003453A">
        <w:rPr>
          <w:rFonts w:ascii="Calibri" w:hAnsi="Calibri" w:cs="Calibri"/>
          <w:b/>
          <w:bCs/>
          <w:sz w:val="28"/>
          <w:szCs w:val="28"/>
        </w:rPr>
        <w:tab/>
      </w:r>
      <w:r w:rsidRPr="0003453A">
        <w:rPr>
          <w:rFonts w:ascii="Calibri" w:hAnsi="Calibri" w:cs="Calibri"/>
          <w:b/>
          <w:bCs/>
          <w:sz w:val="28"/>
          <w:szCs w:val="28"/>
        </w:rPr>
        <w:t xml:space="preserve"> Acknowledgements</w:t>
      </w:r>
    </w:p>
    <w:p w14:paraId="59CC2D1E" w14:textId="77777777" w:rsidR="00CB1971" w:rsidRPr="004539F0" w:rsidRDefault="00CB1971" w:rsidP="004539F0">
      <w:pPr>
        <w:ind w:left="3600"/>
        <w:rPr>
          <w:rFonts w:ascii="Calibri" w:hAnsi="Calibri" w:cs="Calibri"/>
          <w:b/>
          <w:bCs/>
          <w:sz w:val="24"/>
          <w:szCs w:val="24"/>
        </w:rPr>
      </w:pPr>
    </w:p>
    <w:p w14:paraId="08EBBDCE" w14:textId="77777777" w:rsidR="00CB1971" w:rsidRPr="001D0067" w:rsidRDefault="00CB1971" w:rsidP="00F2376D">
      <w:pPr>
        <w:ind w:left="2160" w:firstLine="720"/>
        <w:rPr>
          <w:rFonts w:ascii="Calibri" w:hAnsi="Calibri" w:cs="Calibri"/>
          <w:sz w:val="24"/>
          <w:szCs w:val="24"/>
        </w:rPr>
      </w:pPr>
      <w:r w:rsidRPr="001D0067">
        <w:rPr>
          <w:rFonts w:ascii="Calibri" w:hAnsi="Calibri" w:cs="Calibri"/>
          <w:sz w:val="24"/>
          <w:szCs w:val="24"/>
        </w:rPr>
        <w:t xml:space="preserve">The Journey to Ithaka </w:t>
      </w:r>
    </w:p>
    <w:p w14:paraId="56DD3C82" w14:textId="77777777" w:rsidR="00CB1971" w:rsidRDefault="00CB1971" w:rsidP="001D0067">
      <w:pPr>
        <w:rPr>
          <w:rFonts w:ascii="Calibri" w:hAnsi="Calibri" w:cs="Calibri"/>
          <w:sz w:val="24"/>
          <w:szCs w:val="24"/>
        </w:rPr>
      </w:pPr>
      <w:r w:rsidRPr="001D0067">
        <w:rPr>
          <w:rFonts w:ascii="Calibri" w:hAnsi="Calibri" w:cs="Calibri"/>
          <w:sz w:val="24"/>
          <w:szCs w:val="24"/>
        </w:rPr>
        <w:t xml:space="preserve">          </w:t>
      </w:r>
      <w:r w:rsidRPr="001D0067">
        <w:rPr>
          <w:rFonts w:ascii="Calibri" w:hAnsi="Calibri" w:cs="Calibri"/>
          <w:sz w:val="24"/>
          <w:szCs w:val="24"/>
        </w:rPr>
        <w:tab/>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14:paraId="00673BAB" w14:textId="77777777" w:rsidR="00CB1971" w:rsidRPr="001D0067" w:rsidRDefault="00CB1971" w:rsidP="00F2376D">
      <w:pPr>
        <w:ind w:left="2160" w:firstLine="720"/>
        <w:rPr>
          <w:rFonts w:ascii="Calibri" w:hAnsi="Calibri" w:cs="Calibri"/>
          <w:sz w:val="24"/>
          <w:szCs w:val="24"/>
        </w:rPr>
      </w:pPr>
      <w:r w:rsidRPr="001D0067">
        <w:rPr>
          <w:rFonts w:ascii="Calibri" w:hAnsi="Calibri" w:cs="Calibri"/>
          <w:sz w:val="24"/>
          <w:szCs w:val="24"/>
        </w:rPr>
        <w:t xml:space="preserve">As you set out for Ithaka </w:t>
      </w:r>
    </w:p>
    <w:p w14:paraId="1368CCF1"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hope the voyage is a long one, </w:t>
      </w:r>
    </w:p>
    <w:p w14:paraId="368AE769"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full of adventure, full of discovery. </w:t>
      </w:r>
    </w:p>
    <w:p w14:paraId="09DC6F49"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 Laistrygonians and Cyclops, </w:t>
      </w:r>
    </w:p>
    <w:p w14:paraId="68A5FBCA"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wild Poseidon - don't be afraid of them: </w:t>
      </w:r>
    </w:p>
    <w:p w14:paraId="42B95E08"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 you'll never find things like that on your way </w:t>
      </w:r>
    </w:p>
    <w:p w14:paraId="5C593717"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as long as you keep your thoughts raised high, </w:t>
      </w:r>
    </w:p>
    <w:p w14:paraId="65A3538E"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 as long as a rare excitement </w:t>
      </w:r>
    </w:p>
    <w:p w14:paraId="45C9657F"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 xml:space="preserve">                                             </w:t>
      </w:r>
      <w:r w:rsidRPr="001D0067">
        <w:rPr>
          <w:rFonts w:ascii="Calibri" w:hAnsi="Calibri" w:cs="Calibri"/>
          <w:sz w:val="24"/>
          <w:szCs w:val="24"/>
        </w:rPr>
        <w:t xml:space="preserve"> stirs your spirit and your body. </w:t>
      </w:r>
    </w:p>
    <w:p w14:paraId="5A479D17"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t xml:space="preserve">                                     </w:t>
      </w:r>
      <w:r w:rsidRPr="001D0067">
        <w:rPr>
          <w:rFonts w:ascii="Calibri" w:hAnsi="Calibri" w:cs="Calibri"/>
          <w:sz w:val="24"/>
          <w:szCs w:val="24"/>
        </w:rPr>
        <w:t xml:space="preserve"> </w:t>
      </w:r>
      <w:bookmarkStart w:id="1" w:name="_Hlk214704296"/>
      <w:r w:rsidRPr="001D0067">
        <w:rPr>
          <w:rFonts w:ascii="Calibri" w:hAnsi="Calibri" w:cs="Calibri"/>
          <w:sz w:val="24"/>
          <w:szCs w:val="24"/>
        </w:rPr>
        <w:t>Laistrygonians and Cyclops</w:t>
      </w:r>
      <w:bookmarkEnd w:id="1"/>
      <w:r w:rsidRPr="001D0067">
        <w:rPr>
          <w:rFonts w:ascii="Calibri" w:hAnsi="Calibri" w:cs="Calibri"/>
          <w:sz w:val="24"/>
          <w:szCs w:val="24"/>
        </w:rPr>
        <w:t xml:space="preserve">, </w:t>
      </w:r>
    </w:p>
    <w:p w14:paraId="08626109"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wild Poseidon- you won't encounter them </w:t>
      </w:r>
    </w:p>
    <w:p w14:paraId="41315C67"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t xml:space="preserve">         </w:t>
      </w:r>
      <w:r w:rsidRPr="001D0067">
        <w:rPr>
          <w:rFonts w:ascii="Calibri" w:hAnsi="Calibri" w:cs="Calibri"/>
          <w:sz w:val="24"/>
          <w:szCs w:val="24"/>
        </w:rPr>
        <w:t xml:space="preserve">unless you bring them along inside your soul, </w:t>
      </w:r>
    </w:p>
    <w:p w14:paraId="1DB2B5DC"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ab/>
        <w:t xml:space="preserve">                      </w:t>
      </w:r>
      <w:r w:rsidRPr="001D0067">
        <w:rPr>
          <w:rFonts w:ascii="Calibri" w:hAnsi="Calibri" w:cs="Calibri"/>
          <w:sz w:val="24"/>
          <w:szCs w:val="24"/>
        </w:rPr>
        <w:t>unless your soul sets them up in front of you.</w:t>
      </w:r>
    </w:p>
    <w:p w14:paraId="6BF7759D" w14:textId="77777777" w:rsidR="00CB1971" w:rsidRPr="001D0067" w:rsidRDefault="00CB1971" w:rsidP="001D0067">
      <w:pPr>
        <w:rPr>
          <w:rFonts w:ascii="Calibri" w:hAnsi="Calibri" w:cs="Calibri"/>
          <w:sz w:val="24"/>
          <w:szCs w:val="24"/>
        </w:rPr>
      </w:pPr>
      <w:r w:rsidRPr="001D0067">
        <w:rPr>
          <w:rFonts w:ascii="Calibri" w:hAnsi="Calibri" w:cs="Calibri"/>
          <w:sz w:val="24"/>
          <w:szCs w:val="24"/>
        </w:rPr>
        <w:t xml:space="preserve">                                   </w:t>
      </w:r>
      <w:r>
        <w:rPr>
          <w:rFonts w:ascii="Calibri" w:hAnsi="Calibri" w:cs="Calibri"/>
          <w:sz w:val="24"/>
          <w:szCs w:val="24"/>
        </w:rPr>
        <w:t xml:space="preserve">    </w:t>
      </w:r>
      <w:r w:rsidRPr="001D0067">
        <w:rPr>
          <w:rFonts w:ascii="Calibri" w:hAnsi="Calibri" w:cs="Calibri"/>
          <w:sz w:val="24"/>
          <w:szCs w:val="24"/>
        </w:rPr>
        <w:t xml:space="preserve"> Ithaka gave you the marvellous journey. </w:t>
      </w:r>
    </w:p>
    <w:p w14:paraId="0F67E6D3" w14:textId="77777777" w:rsidR="00CB1971" w:rsidRPr="001D0067" w:rsidRDefault="00CB1971" w:rsidP="00EA69B8">
      <w:pPr>
        <w:ind w:left="720" w:firstLine="720"/>
        <w:rPr>
          <w:rFonts w:ascii="Calibri" w:hAnsi="Calibri" w:cs="Calibri"/>
          <w:sz w:val="24"/>
          <w:szCs w:val="24"/>
        </w:rPr>
      </w:pPr>
      <w:r>
        <w:rPr>
          <w:rFonts w:ascii="Calibri" w:hAnsi="Calibri" w:cs="Calibri"/>
          <w:sz w:val="24"/>
          <w:szCs w:val="24"/>
        </w:rPr>
        <w:t xml:space="preserve">              </w:t>
      </w:r>
      <w:r w:rsidRPr="001D0067">
        <w:rPr>
          <w:rFonts w:ascii="Calibri" w:hAnsi="Calibri" w:cs="Calibri"/>
          <w:sz w:val="24"/>
          <w:szCs w:val="24"/>
        </w:rPr>
        <w:t xml:space="preserve">Without her you wouldn't have set out. </w:t>
      </w:r>
    </w:p>
    <w:p w14:paraId="200ED797" w14:textId="77777777" w:rsidR="00CB1971" w:rsidRPr="001D0067" w:rsidRDefault="00CB1971" w:rsidP="00EA69B8">
      <w:pPr>
        <w:ind w:left="1440" w:firstLine="720"/>
        <w:rPr>
          <w:rFonts w:ascii="Calibri" w:hAnsi="Calibri" w:cs="Calibri"/>
          <w:sz w:val="24"/>
          <w:szCs w:val="24"/>
        </w:rPr>
      </w:pPr>
      <w:r>
        <w:rPr>
          <w:rFonts w:ascii="Calibri" w:hAnsi="Calibri" w:cs="Calibri"/>
          <w:sz w:val="24"/>
          <w:szCs w:val="24"/>
        </w:rPr>
        <w:t xml:space="preserve">  </w:t>
      </w:r>
      <w:r w:rsidRPr="001D0067">
        <w:rPr>
          <w:rFonts w:ascii="Calibri" w:hAnsi="Calibri" w:cs="Calibri"/>
          <w:sz w:val="24"/>
          <w:szCs w:val="24"/>
        </w:rPr>
        <w:t xml:space="preserve">She has nothing left to give you now. </w:t>
      </w:r>
    </w:p>
    <w:p w14:paraId="74717267" w14:textId="77777777" w:rsidR="00CB1971" w:rsidRPr="001D0067" w:rsidRDefault="00CB1971" w:rsidP="00DB498A">
      <w:pPr>
        <w:ind w:firstLine="720"/>
        <w:rPr>
          <w:rFonts w:ascii="Calibri" w:hAnsi="Calibri" w:cs="Calibri"/>
          <w:sz w:val="24"/>
          <w:szCs w:val="24"/>
        </w:rPr>
      </w:pPr>
      <w:r>
        <w:rPr>
          <w:rFonts w:ascii="Calibri" w:hAnsi="Calibri" w:cs="Calibri"/>
          <w:sz w:val="24"/>
          <w:szCs w:val="24"/>
        </w:rPr>
        <w:t xml:space="preserve">              </w:t>
      </w:r>
      <w:r w:rsidRPr="001D0067">
        <w:rPr>
          <w:rFonts w:ascii="Calibri" w:hAnsi="Calibri" w:cs="Calibri"/>
          <w:sz w:val="24"/>
          <w:szCs w:val="24"/>
        </w:rPr>
        <w:t>And if you find her poor, Ithaka won't have fooled you.</w:t>
      </w:r>
    </w:p>
    <w:p w14:paraId="3F3EBC40" w14:textId="77777777" w:rsidR="00CB1971" w:rsidRPr="001D0067" w:rsidRDefault="00CB1971" w:rsidP="00DB498A">
      <w:pPr>
        <w:ind w:left="720" w:firstLine="720"/>
        <w:rPr>
          <w:rFonts w:ascii="Calibri" w:hAnsi="Calibri" w:cs="Calibri"/>
          <w:sz w:val="24"/>
          <w:szCs w:val="24"/>
        </w:rPr>
      </w:pPr>
      <w:r>
        <w:rPr>
          <w:rFonts w:ascii="Calibri" w:hAnsi="Calibri" w:cs="Calibri"/>
          <w:sz w:val="24"/>
          <w:szCs w:val="24"/>
        </w:rPr>
        <w:t xml:space="preserve">   </w:t>
      </w:r>
      <w:r w:rsidRPr="001D0067">
        <w:rPr>
          <w:rFonts w:ascii="Calibri" w:hAnsi="Calibri" w:cs="Calibri"/>
          <w:sz w:val="24"/>
          <w:szCs w:val="24"/>
        </w:rPr>
        <w:t xml:space="preserve">Wise as you will have become, so full of experience, </w:t>
      </w:r>
    </w:p>
    <w:p w14:paraId="64C8AD34" w14:textId="77777777" w:rsidR="00CB1971" w:rsidRPr="001D0067" w:rsidRDefault="00CB1971" w:rsidP="00DB498A">
      <w:pPr>
        <w:ind w:left="720"/>
        <w:rPr>
          <w:rFonts w:ascii="Calibri" w:hAnsi="Calibri" w:cs="Calibri"/>
          <w:sz w:val="24"/>
          <w:szCs w:val="24"/>
        </w:rPr>
      </w:pPr>
      <w:r>
        <w:rPr>
          <w:rFonts w:ascii="Calibri" w:hAnsi="Calibri" w:cs="Calibri"/>
          <w:sz w:val="24"/>
          <w:szCs w:val="24"/>
        </w:rPr>
        <w:t xml:space="preserve">           </w:t>
      </w:r>
      <w:r w:rsidRPr="001D0067">
        <w:rPr>
          <w:rFonts w:ascii="Calibri" w:hAnsi="Calibri" w:cs="Calibri"/>
          <w:sz w:val="24"/>
          <w:szCs w:val="24"/>
        </w:rPr>
        <w:t>You'll have understood by then what these “Ithakas” mean.</w:t>
      </w:r>
    </w:p>
    <w:p w14:paraId="01A98873" w14:textId="77777777" w:rsidR="00CB1971" w:rsidRDefault="00CB1971" w:rsidP="001D0067">
      <w:pPr>
        <w:rPr>
          <w:rFonts w:ascii="Calibri" w:hAnsi="Calibri" w:cs="Calibri"/>
          <w:sz w:val="24"/>
          <w:szCs w:val="24"/>
        </w:rPr>
      </w:pPr>
      <w:r w:rsidRPr="001D0067">
        <w:rPr>
          <w:rFonts w:ascii="Calibri" w:hAnsi="Calibri" w:cs="Calibri"/>
          <w:sz w:val="24"/>
          <w:szCs w:val="24"/>
        </w:rPr>
        <w:t xml:space="preserve"> </w:t>
      </w:r>
    </w:p>
    <w:p w14:paraId="5FE44E1C" w14:textId="77777777" w:rsidR="00CB1971" w:rsidRPr="00DD27BD" w:rsidRDefault="00CB1971" w:rsidP="001D57D3">
      <w:pPr>
        <w:ind w:left="2880" w:firstLine="720"/>
        <w:rPr>
          <w:rFonts w:ascii="Calibri" w:hAnsi="Calibri" w:cs="Calibri"/>
        </w:rPr>
      </w:pPr>
      <w:r w:rsidRPr="00DD27BD">
        <w:rPr>
          <w:rFonts w:ascii="Calibri" w:hAnsi="Calibri" w:cs="Calibri"/>
        </w:rPr>
        <w:t xml:space="preserve">(Cavafy, 1992) </w:t>
      </w:r>
    </w:p>
    <w:p w14:paraId="54957A10" w14:textId="77777777" w:rsidR="00CB1971" w:rsidRPr="00606B22" w:rsidRDefault="00CB1971">
      <w:pPr>
        <w:rPr>
          <w:rFonts w:ascii="Calibri" w:hAnsi="Calibri" w:cs="Calibri"/>
          <w:sz w:val="24"/>
          <w:szCs w:val="24"/>
        </w:rPr>
      </w:pPr>
    </w:p>
    <w:p w14:paraId="782316E3" w14:textId="77777777" w:rsidR="00925241" w:rsidRDefault="00925241" w:rsidP="00F61BC1">
      <w:pPr>
        <w:spacing w:line="360" w:lineRule="auto"/>
        <w:rPr>
          <w:rFonts w:ascii="Calibri" w:hAnsi="Calibri" w:cs="Calibri"/>
          <w:sz w:val="24"/>
          <w:szCs w:val="24"/>
        </w:rPr>
      </w:pPr>
    </w:p>
    <w:p w14:paraId="0578A0B7" w14:textId="7739ADBD" w:rsidR="00CB1971" w:rsidRPr="00606B22" w:rsidRDefault="00CB1971" w:rsidP="00F61BC1">
      <w:pPr>
        <w:spacing w:line="360" w:lineRule="auto"/>
        <w:rPr>
          <w:rFonts w:ascii="Calibri" w:hAnsi="Calibri" w:cs="Calibri"/>
          <w:sz w:val="24"/>
          <w:szCs w:val="24"/>
        </w:rPr>
      </w:pPr>
      <w:r>
        <w:rPr>
          <w:rFonts w:ascii="Calibri" w:hAnsi="Calibri" w:cs="Calibri"/>
          <w:sz w:val="24"/>
          <w:szCs w:val="24"/>
        </w:rPr>
        <w:lastRenderedPageBreak/>
        <w:t>As with any individuation journey</w:t>
      </w:r>
      <w:r w:rsidR="00D534CE">
        <w:rPr>
          <w:rFonts w:ascii="Calibri" w:hAnsi="Calibri" w:cs="Calibri"/>
          <w:sz w:val="24"/>
          <w:szCs w:val="24"/>
        </w:rPr>
        <w:t xml:space="preserve"> and quest</w:t>
      </w:r>
      <w:r>
        <w:rPr>
          <w:rFonts w:ascii="Calibri" w:hAnsi="Calibri" w:cs="Calibri"/>
          <w:sz w:val="24"/>
          <w:szCs w:val="24"/>
        </w:rPr>
        <w:t xml:space="preserve">, this research was forged in a gap, written around the gap and sought to fill a gap with the aim of bestowing boons on the community (Campbell, 1949). During the process an inordinate number of </w:t>
      </w:r>
      <w:r w:rsidRPr="00130842">
        <w:rPr>
          <w:rFonts w:ascii="Calibri" w:hAnsi="Calibri" w:cs="Calibri"/>
          <w:sz w:val="24"/>
          <w:szCs w:val="24"/>
        </w:rPr>
        <w:t>Laistrygonians and Cyclops</w:t>
      </w:r>
      <w:r>
        <w:rPr>
          <w:rFonts w:ascii="Calibri" w:hAnsi="Calibri" w:cs="Calibri"/>
          <w:sz w:val="24"/>
          <w:szCs w:val="24"/>
        </w:rPr>
        <w:t xml:space="preserve"> figures stepped forward and served the purpose of both thwarting and strengthening the journey. Although I have now become wiser as a consequence, that wisdom owes much to others who provided emotional sustenance and helped breathe life into me as a researcher, so I could breathe life into the “Ithakaness” which was ofttimes hiding in the shadows of this research tale. Much like a “gossip” in a tale (Maitlin, 2012) there were fairy godmothers/father, and trusted guides who helped birth this research by providing encouragement through private </w:t>
      </w:r>
      <w:r w:rsidR="006A39EE">
        <w:rPr>
          <w:rFonts w:ascii="Calibri" w:hAnsi="Calibri" w:cs="Calibri"/>
          <w:sz w:val="24"/>
          <w:szCs w:val="24"/>
        </w:rPr>
        <w:t>“</w:t>
      </w:r>
      <w:r>
        <w:rPr>
          <w:rFonts w:ascii="Calibri" w:hAnsi="Calibri" w:cs="Calibri"/>
          <w:sz w:val="24"/>
          <w:szCs w:val="24"/>
        </w:rPr>
        <w:t>holding</w:t>
      </w:r>
      <w:r w:rsidR="006A39EE">
        <w:rPr>
          <w:rFonts w:ascii="Calibri" w:hAnsi="Calibri" w:cs="Calibri"/>
          <w:sz w:val="24"/>
          <w:szCs w:val="24"/>
        </w:rPr>
        <w:t>”</w:t>
      </w:r>
      <w:r>
        <w:rPr>
          <w:rFonts w:ascii="Calibri" w:hAnsi="Calibri" w:cs="Calibri"/>
          <w:sz w:val="24"/>
          <w:szCs w:val="24"/>
        </w:rPr>
        <w:t xml:space="preserve"> conversations. Replete with an ethic of care (Noddings, 2002) these gossips held the space whilst I endured the labour pains of conducting research and, in keeping with the storytelling tradition inherent in this study, it is entirely fitting that my gratitude is expressed by</w:t>
      </w:r>
      <w:r w:rsidR="0098697E">
        <w:rPr>
          <w:rFonts w:ascii="Calibri" w:hAnsi="Calibri" w:cs="Calibri"/>
          <w:sz w:val="24"/>
          <w:szCs w:val="24"/>
        </w:rPr>
        <w:t xml:space="preserve"> my</w:t>
      </w:r>
      <w:r>
        <w:rPr>
          <w:rFonts w:ascii="Calibri" w:hAnsi="Calibri" w:cs="Calibri"/>
          <w:sz w:val="24"/>
          <w:szCs w:val="24"/>
        </w:rPr>
        <w:t xml:space="preserve"> telling a little of their stories…</w:t>
      </w:r>
    </w:p>
    <w:p w14:paraId="7FBA4B57" w14:textId="77777777" w:rsidR="00CB1971" w:rsidRDefault="00CB1971">
      <w:pPr>
        <w:rPr>
          <w:rFonts w:ascii="Calibri" w:hAnsi="Calibri" w:cs="Calibri"/>
          <w:sz w:val="24"/>
          <w:szCs w:val="24"/>
        </w:rPr>
      </w:pPr>
      <w:r w:rsidRPr="00F46B01">
        <w:rPr>
          <w:rFonts w:ascii="Calibri" w:hAnsi="Calibri" w:cs="Calibri"/>
          <w:b/>
          <w:bCs/>
          <w:sz w:val="24"/>
          <w:szCs w:val="24"/>
        </w:rPr>
        <w:t>The trusted circle</w:t>
      </w:r>
      <w:r w:rsidRPr="00F46B01">
        <w:rPr>
          <w:rFonts w:ascii="Calibri" w:hAnsi="Calibri" w:cs="Calibri"/>
          <w:sz w:val="24"/>
          <w:szCs w:val="24"/>
        </w:rPr>
        <w:t xml:space="preserve"> </w:t>
      </w:r>
    </w:p>
    <w:p w14:paraId="28E95805" w14:textId="77777777" w:rsidR="00CB1971" w:rsidRDefault="00CB1971" w:rsidP="001D57D3">
      <w:pPr>
        <w:spacing w:line="360" w:lineRule="auto"/>
        <w:rPr>
          <w:rFonts w:ascii="Calibri" w:hAnsi="Calibri" w:cs="Calibri"/>
          <w:sz w:val="24"/>
          <w:szCs w:val="24"/>
        </w:rPr>
      </w:pPr>
      <w:r>
        <w:rPr>
          <w:rFonts w:ascii="Calibri" w:hAnsi="Calibri" w:cs="Calibri"/>
          <w:sz w:val="24"/>
          <w:szCs w:val="24"/>
        </w:rPr>
        <w:t>Dr. Rachel Briggs who eagerly responded to an email enquiry in 2024. She generously went on to offer me space to talk through difficulties and celebratory moments in the research process. Thank you.</w:t>
      </w:r>
    </w:p>
    <w:p w14:paraId="144ACC97" w14:textId="29ECCCB1" w:rsidR="00CB1971" w:rsidRDefault="00CB1971" w:rsidP="001D57D3">
      <w:pPr>
        <w:spacing w:line="360" w:lineRule="auto"/>
        <w:rPr>
          <w:rFonts w:ascii="Calibri" w:hAnsi="Calibri" w:cs="Calibri"/>
          <w:sz w:val="24"/>
          <w:szCs w:val="24"/>
        </w:rPr>
      </w:pPr>
      <w:r w:rsidRPr="007D7F21">
        <w:rPr>
          <w:rFonts w:ascii="Calibri" w:hAnsi="Calibri" w:cs="Calibri"/>
          <w:sz w:val="24"/>
          <w:szCs w:val="24"/>
        </w:rPr>
        <w:t>Jackie Dell- Cowling</w:t>
      </w:r>
      <w:r>
        <w:rPr>
          <w:rFonts w:ascii="Calibri" w:hAnsi="Calibri" w:cs="Calibri"/>
          <w:sz w:val="24"/>
          <w:szCs w:val="24"/>
        </w:rPr>
        <w:t>, a colleague of some 30 years, reached out to offer me occasional support sessions when I embarked on the doctoral journey some 6 years ago. She is the embodiment of the perfect “gossip”: “One who has contracted a spiritual relationship with another by acting as a sponsor at a baptism” (Maitlin, 2012</w:t>
      </w:r>
      <w:r w:rsidR="00047733">
        <w:rPr>
          <w:rFonts w:ascii="Calibri" w:hAnsi="Calibri" w:cs="Calibri"/>
          <w:sz w:val="24"/>
          <w:szCs w:val="24"/>
        </w:rPr>
        <w:t>: Epigraph</w:t>
      </w:r>
      <w:r>
        <w:rPr>
          <w:rFonts w:ascii="Calibri" w:hAnsi="Calibri" w:cs="Calibri"/>
          <w:sz w:val="24"/>
          <w:szCs w:val="24"/>
        </w:rPr>
        <w:t>). Thank you.</w:t>
      </w:r>
    </w:p>
    <w:p w14:paraId="14977115" w14:textId="44356E9F" w:rsidR="00CB1971" w:rsidRDefault="00CB1971" w:rsidP="001D57D3">
      <w:pPr>
        <w:spacing w:line="360" w:lineRule="auto"/>
        <w:rPr>
          <w:rFonts w:ascii="Calibri" w:hAnsi="Calibri" w:cs="Calibri"/>
          <w:sz w:val="24"/>
          <w:szCs w:val="24"/>
        </w:rPr>
      </w:pPr>
      <w:r w:rsidRPr="00B03C5F">
        <w:rPr>
          <w:rFonts w:ascii="Calibri" w:hAnsi="Calibri" w:cs="Calibri"/>
          <w:sz w:val="24"/>
          <w:szCs w:val="24"/>
        </w:rPr>
        <w:t xml:space="preserve">EdD colleagues </w:t>
      </w:r>
      <w:r w:rsidR="00F83750" w:rsidRPr="00F83750">
        <w:rPr>
          <w:rFonts w:ascii="Calibri" w:hAnsi="Calibri" w:cs="Calibri"/>
          <w:sz w:val="24"/>
          <w:szCs w:val="24"/>
        </w:rPr>
        <w:t>Hina Agarwala</w:t>
      </w:r>
      <w:r w:rsidR="00F83750">
        <w:rPr>
          <w:rFonts w:ascii="Calibri" w:hAnsi="Calibri" w:cs="Calibri"/>
          <w:sz w:val="24"/>
          <w:szCs w:val="24"/>
        </w:rPr>
        <w:t xml:space="preserve">, </w:t>
      </w:r>
      <w:r w:rsidR="00F83750" w:rsidRPr="00F83750">
        <w:rPr>
          <w:rFonts w:ascii="Calibri" w:hAnsi="Calibri" w:cs="Calibri"/>
          <w:sz w:val="24"/>
          <w:szCs w:val="24"/>
        </w:rPr>
        <w:t>Philip Draper</w:t>
      </w:r>
      <w:r w:rsidR="00F83750">
        <w:rPr>
          <w:rFonts w:ascii="Calibri" w:hAnsi="Calibri" w:cs="Calibri"/>
          <w:sz w:val="24"/>
          <w:szCs w:val="24"/>
        </w:rPr>
        <w:t>, J</w:t>
      </w:r>
      <w:r w:rsidRPr="00B03C5F">
        <w:rPr>
          <w:rFonts w:ascii="Calibri" w:hAnsi="Calibri" w:cs="Calibri"/>
          <w:sz w:val="24"/>
          <w:szCs w:val="24"/>
        </w:rPr>
        <w:t>ordan Macrow</w:t>
      </w:r>
      <w:r w:rsidR="00F83750">
        <w:rPr>
          <w:rFonts w:ascii="Calibri" w:hAnsi="Calibri" w:cs="Calibri"/>
          <w:sz w:val="24"/>
          <w:szCs w:val="24"/>
        </w:rPr>
        <w:t xml:space="preserve"> and </w:t>
      </w:r>
      <w:r w:rsidRPr="00B03C5F">
        <w:rPr>
          <w:rFonts w:ascii="Calibri" w:hAnsi="Calibri" w:cs="Calibri"/>
          <w:sz w:val="24"/>
          <w:szCs w:val="24"/>
        </w:rPr>
        <w:t>Megan Stead</w:t>
      </w:r>
      <w:r w:rsidR="00F83750">
        <w:rPr>
          <w:rFonts w:ascii="Calibri" w:hAnsi="Calibri" w:cs="Calibri"/>
          <w:sz w:val="24"/>
          <w:szCs w:val="24"/>
        </w:rPr>
        <w:t xml:space="preserve"> </w:t>
      </w:r>
      <w:r w:rsidRPr="00B03C5F">
        <w:rPr>
          <w:rFonts w:ascii="Calibri" w:hAnsi="Calibri" w:cs="Calibri"/>
          <w:sz w:val="24"/>
          <w:szCs w:val="24"/>
        </w:rPr>
        <w:t>who held me</w:t>
      </w:r>
      <w:r>
        <w:rPr>
          <w:rFonts w:ascii="Calibri" w:hAnsi="Calibri" w:cs="Calibri"/>
          <w:sz w:val="24"/>
          <w:szCs w:val="24"/>
        </w:rPr>
        <w:t xml:space="preserve"> with love, respect, humour and playfulness </w:t>
      </w:r>
      <w:r w:rsidRPr="00B03C5F">
        <w:rPr>
          <w:rFonts w:ascii="Calibri" w:hAnsi="Calibri" w:cs="Calibri"/>
          <w:sz w:val="24"/>
          <w:szCs w:val="24"/>
        </w:rPr>
        <w:t>throughout the doctoral journey.</w:t>
      </w:r>
    </w:p>
    <w:p w14:paraId="746C027A" w14:textId="4CAF5987" w:rsidR="004773AD" w:rsidRDefault="004773AD" w:rsidP="001D57D3">
      <w:pPr>
        <w:spacing w:line="360" w:lineRule="auto"/>
        <w:rPr>
          <w:rFonts w:ascii="Calibri" w:hAnsi="Calibri" w:cs="Calibri"/>
          <w:sz w:val="24"/>
          <w:szCs w:val="24"/>
        </w:rPr>
      </w:pPr>
      <w:r w:rsidRPr="004773AD">
        <w:rPr>
          <w:rFonts w:ascii="Calibri" w:hAnsi="Calibri" w:cs="Calibri"/>
          <w:sz w:val="24"/>
          <w:szCs w:val="24"/>
        </w:rPr>
        <w:t>Dr Steve Hannon provided guidance on research skills and suggestions that strengthened my confidence as a researcher. Thank you.</w:t>
      </w:r>
    </w:p>
    <w:p w14:paraId="660ADA17" w14:textId="62BB072F" w:rsidR="005C60C2" w:rsidRDefault="00855420" w:rsidP="001D57D3">
      <w:pPr>
        <w:spacing w:line="360" w:lineRule="auto"/>
        <w:rPr>
          <w:rFonts w:ascii="Calibri" w:hAnsi="Calibri" w:cs="Calibri"/>
          <w:sz w:val="24"/>
          <w:szCs w:val="24"/>
        </w:rPr>
      </w:pPr>
      <w:r>
        <w:rPr>
          <w:rFonts w:ascii="Calibri" w:hAnsi="Calibri" w:cs="Calibri"/>
          <w:sz w:val="24"/>
          <w:szCs w:val="24"/>
        </w:rPr>
        <w:t xml:space="preserve">The Lim-Clark family. </w:t>
      </w:r>
      <w:r w:rsidRPr="00855420">
        <w:rPr>
          <w:rFonts w:ascii="Calibri" w:hAnsi="Calibri" w:cs="Calibri"/>
          <w:sz w:val="24"/>
          <w:szCs w:val="24"/>
        </w:rPr>
        <w:t>Theresa Clark was a learning support group member whilst attending the PGCHE. When I embarked on the doctoral journey, she simply stated: “You’ve got this, and I’ve got you”. She still has…thank you.</w:t>
      </w:r>
      <w:r>
        <w:rPr>
          <w:rFonts w:ascii="Calibri" w:hAnsi="Calibri" w:cs="Calibri"/>
          <w:sz w:val="24"/>
          <w:szCs w:val="24"/>
        </w:rPr>
        <w:t xml:space="preserve"> </w:t>
      </w:r>
      <w:r w:rsidRPr="00855420">
        <w:rPr>
          <w:rFonts w:ascii="Calibri" w:hAnsi="Calibri" w:cs="Calibri"/>
          <w:sz w:val="24"/>
          <w:szCs w:val="24"/>
        </w:rPr>
        <w:t xml:space="preserve">Charlie Lim, a quiet presence who provided me </w:t>
      </w:r>
      <w:r w:rsidRPr="00855420">
        <w:rPr>
          <w:rFonts w:ascii="Calibri" w:hAnsi="Calibri" w:cs="Calibri"/>
          <w:sz w:val="24"/>
          <w:szCs w:val="24"/>
        </w:rPr>
        <w:lastRenderedPageBreak/>
        <w:t>with background benign and powerful holding, and with Chinese chicken and rice just when it was needed. Thank you.</w:t>
      </w:r>
    </w:p>
    <w:p w14:paraId="10D9FD43" w14:textId="49B2A904" w:rsidR="00CB1971" w:rsidRPr="00B03C5F" w:rsidRDefault="00CB1971" w:rsidP="001D57D3">
      <w:pPr>
        <w:spacing w:line="360" w:lineRule="auto"/>
        <w:rPr>
          <w:rFonts w:ascii="Calibri" w:hAnsi="Calibri" w:cs="Calibri"/>
          <w:sz w:val="24"/>
          <w:szCs w:val="24"/>
        </w:rPr>
      </w:pPr>
      <w:r>
        <w:rPr>
          <w:rFonts w:ascii="Calibri" w:hAnsi="Calibri" w:cs="Calibri"/>
          <w:sz w:val="24"/>
          <w:szCs w:val="24"/>
        </w:rPr>
        <w:t>Professor Helen Payne</w:t>
      </w:r>
      <w:r w:rsidR="00CB62A4">
        <w:rPr>
          <w:rFonts w:ascii="Calibri" w:hAnsi="Calibri" w:cs="Calibri"/>
          <w:sz w:val="24"/>
          <w:szCs w:val="24"/>
        </w:rPr>
        <w:t>:</w:t>
      </w:r>
      <w:r>
        <w:rPr>
          <w:rFonts w:ascii="Calibri" w:hAnsi="Calibri" w:cs="Calibri"/>
          <w:sz w:val="24"/>
          <w:szCs w:val="24"/>
        </w:rPr>
        <w:t xml:space="preserve"> At just the right time in every case, over the past four years Helen sent me a paper of interest, or a Ted Talk, or a book recommendation and delighted in seeing me grow on the journey. Thank you. </w:t>
      </w:r>
    </w:p>
    <w:p w14:paraId="15D5A386" w14:textId="77777777" w:rsidR="00CB1971" w:rsidRDefault="00CB1971" w:rsidP="001D57D3">
      <w:pPr>
        <w:spacing w:line="360" w:lineRule="auto"/>
        <w:rPr>
          <w:rFonts w:ascii="Calibri" w:hAnsi="Calibri" w:cs="Calibri"/>
          <w:sz w:val="24"/>
          <w:szCs w:val="24"/>
        </w:rPr>
      </w:pPr>
      <w:r>
        <w:rPr>
          <w:rFonts w:ascii="Calibri" w:hAnsi="Calibri" w:cs="Calibri"/>
          <w:sz w:val="24"/>
          <w:szCs w:val="24"/>
        </w:rPr>
        <w:t xml:space="preserve">Research supervisors at the University of Sheffield: Professor Dan Goodley and Dr Tim Herrick. There were some unexpected external challenges in the latter part of my journey, and both kept me upright in what was a strong wind. Tim kindly agreed to provide mini-holding-check-ins with me to help anchor me and the research during this time. Thank you both. </w:t>
      </w:r>
    </w:p>
    <w:p w14:paraId="3FEEF74A" w14:textId="7C9FB6A1" w:rsidR="00CB1971" w:rsidRDefault="00CB1971" w:rsidP="001D57D3">
      <w:pPr>
        <w:spacing w:line="360" w:lineRule="auto"/>
        <w:rPr>
          <w:rFonts w:ascii="Calibri" w:hAnsi="Calibri" w:cs="Calibri"/>
          <w:sz w:val="24"/>
          <w:szCs w:val="24"/>
        </w:rPr>
      </w:pPr>
      <w:r w:rsidRPr="00606B22">
        <w:rPr>
          <w:rFonts w:ascii="Calibri" w:hAnsi="Calibri" w:cs="Calibri"/>
          <w:sz w:val="24"/>
          <w:szCs w:val="24"/>
        </w:rPr>
        <w:t xml:space="preserve">Sarah </w:t>
      </w:r>
      <w:r>
        <w:rPr>
          <w:rFonts w:ascii="Calibri" w:hAnsi="Calibri" w:cs="Calibri"/>
          <w:sz w:val="24"/>
          <w:szCs w:val="24"/>
        </w:rPr>
        <w:t xml:space="preserve">A. </w:t>
      </w:r>
      <w:r w:rsidRPr="00606B22">
        <w:rPr>
          <w:rFonts w:ascii="Calibri" w:hAnsi="Calibri" w:cs="Calibri"/>
          <w:sz w:val="24"/>
          <w:szCs w:val="24"/>
        </w:rPr>
        <w:t>Shaw ke</w:t>
      </w:r>
      <w:r>
        <w:rPr>
          <w:rFonts w:ascii="Calibri" w:hAnsi="Calibri" w:cs="Calibri"/>
          <w:sz w:val="24"/>
          <w:szCs w:val="24"/>
        </w:rPr>
        <w:t>pt</w:t>
      </w:r>
      <w:r w:rsidRPr="00606B22">
        <w:rPr>
          <w:rFonts w:ascii="Calibri" w:hAnsi="Calibri" w:cs="Calibri"/>
          <w:sz w:val="24"/>
          <w:szCs w:val="24"/>
        </w:rPr>
        <w:t xml:space="preserve"> </w:t>
      </w:r>
      <w:r w:rsidR="00A527ED">
        <w:rPr>
          <w:rFonts w:ascii="Calibri" w:hAnsi="Calibri" w:cs="Calibri"/>
          <w:sz w:val="24"/>
          <w:szCs w:val="24"/>
        </w:rPr>
        <w:t xml:space="preserve">me </w:t>
      </w:r>
      <w:r>
        <w:rPr>
          <w:rFonts w:ascii="Calibri" w:hAnsi="Calibri" w:cs="Calibri"/>
          <w:sz w:val="24"/>
          <w:szCs w:val="24"/>
        </w:rPr>
        <w:t>grounded and has been my strongest supporter for the last 14 years. Without either of us knowing</w:t>
      </w:r>
      <w:r w:rsidR="00A527ED">
        <w:rPr>
          <w:rFonts w:ascii="Calibri" w:hAnsi="Calibri" w:cs="Calibri"/>
          <w:sz w:val="24"/>
          <w:szCs w:val="24"/>
        </w:rPr>
        <w:t xml:space="preserve"> it</w:t>
      </w:r>
      <w:r>
        <w:rPr>
          <w:rFonts w:ascii="Calibri" w:hAnsi="Calibri" w:cs="Calibri"/>
          <w:sz w:val="24"/>
          <w:szCs w:val="24"/>
        </w:rPr>
        <w:t>, a conversation we had in 2014 on the ascending steps whilst leaving a performance of Romeo and Juliet formed one of the tentative roots for my conducting this research. With the final, berating words of Prince Escalus ringing in our ears questioning a petty feud that resulted in the death of the young protagonists, Sarah turned to me and asked: “What have we learnt?” Thank you.</w:t>
      </w:r>
    </w:p>
    <w:p w14:paraId="21DB4EA7" w14:textId="53269017" w:rsidR="00ED0F98" w:rsidRDefault="00CB1971" w:rsidP="00925241">
      <w:pPr>
        <w:spacing w:line="360" w:lineRule="auto"/>
        <w:rPr>
          <w:rFonts w:ascii="Calibri" w:hAnsi="Calibri" w:cs="Calibri"/>
          <w:sz w:val="24"/>
          <w:szCs w:val="24"/>
        </w:rPr>
      </w:pPr>
      <w:r w:rsidRPr="00606B22">
        <w:rPr>
          <w:rFonts w:ascii="Calibri" w:hAnsi="Calibri" w:cs="Calibri"/>
          <w:sz w:val="24"/>
          <w:szCs w:val="24"/>
        </w:rPr>
        <w:t>John Waterston</w:t>
      </w:r>
      <w:r>
        <w:rPr>
          <w:rFonts w:ascii="Calibri" w:hAnsi="Calibri" w:cs="Calibri"/>
          <w:sz w:val="24"/>
          <w:szCs w:val="24"/>
        </w:rPr>
        <w:t xml:space="preserve">, M.A., </w:t>
      </w:r>
      <w:r w:rsidR="00433794" w:rsidRPr="00433794">
        <w:rPr>
          <w:rFonts w:ascii="Calibri" w:hAnsi="Calibri" w:cs="Calibri"/>
          <w:sz w:val="24"/>
          <w:szCs w:val="24"/>
        </w:rPr>
        <w:t>last but certainly not least</w:t>
      </w:r>
      <w:r w:rsidR="004877D2">
        <w:rPr>
          <w:rFonts w:ascii="Calibri" w:hAnsi="Calibri" w:cs="Calibri"/>
          <w:sz w:val="24"/>
          <w:szCs w:val="24"/>
        </w:rPr>
        <w:t xml:space="preserve">, </w:t>
      </w:r>
      <w:r>
        <w:rPr>
          <w:rFonts w:ascii="Calibri" w:hAnsi="Calibri" w:cs="Calibri"/>
          <w:sz w:val="24"/>
          <w:szCs w:val="24"/>
        </w:rPr>
        <w:t xml:space="preserve">my psychotherapy supervisor since 2014. Six years ago, whilst supervising my clinical and teaching work, he challenged me to </w:t>
      </w:r>
      <w:r w:rsidRPr="00606B22">
        <w:rPr>
          <w:rFonts w:ascii="Calibri" w:hAnsi="Calibri" w:cs="Calibri"/>
          <w:sz w:val="24"/>
          <w:szCs w:val="24"/>
        </w:rPr>
        <w:t xml:space="preserve">find </w:t>
      </w:r>
      <w:r>
        <w:rPr>
          <w:rFonts w:ascii="Calibri" w:hAnsi="Calibri" w:cs="Calibri"/>
          <w:sz w:val="24"/>
          <w:szCs w:val="24"/>
        </w:rPr>
        <w:t xml:space="preserve">my own </w:t>
      </w:r>
      <w:r w:rsidRPr="00606B22">
        <w:rPr>
          <w:rFonts w:ascii="Calibri" w:hAnsi="Calibri" w:cs="Calibri"/>
          <w:sz w:val="24"/>
          <w:szCs w:val="24"/>
        </w:rPr>
        <w:t xml:space="preserve">gold, </w:t>
      </w:r>
      <w:r>
        <w:rPr>
          <w:rFonts w:ascii="Calibri" w:hAnsi="Calibri" w:cs="Calibri"/>
          <w:sz w:val="24"/>
          <w:szCs w:val="24"/>
        </w:rPr>
        <w:t xml:space="preserve">noting that I seemed to help others find theirs. That </w:t>
      </w:r>
      <w:r w:rsidR="00CA582A">
        <w:rPr>
          <w:rFonts w:ascii="Calibri" w:hAnsi="Calibri" w:cs="Calibri"/>
          <w:sz w:val="24"/>
          <w:szCs w:val="24"/>
        </w:rPr>
        <w:t>simple</w:t>
      </w:r>
      <w:r w:rsidR="003F675B">
        <w:rPr>
          <w:rFonts w:ascii="Calibri" w:hAnsi="Calibri" w:cs="Calibri"/>
          <w:sz w:val="24"/>
          <w:szCs w:val="24"/>
        </w:rPr>
        <w:t xml:space="preserve"> yet challenging</w:t>
      </w:r>
      <w:r>
        <w:rPr>
          <w:rFonts w:ascii="Calibri" w:hAnsi="Calibri" w:cs="Calibri"/>
          <w:sz w:val="24"/>
          <w:szCs w:val="24"/>
        </w:rPr>
        <w:t xml:space="preserve"> prompt resulted in </w:t>
      </w:r>
      <w:r w:rsidR="003F675B">
        <w:rPr>
          <w:rFonts w:ascii="Calibri" w:hAnsi="Calibri" w:cs="Calibri"/>
          <w:sz w:val="24"/>
          <w:szCs w:val="24"/>
        </w:rPr>
        <w:t xml:space="preserve">my </w:t>
      </w:r>
      <w:r>
        <w:rPr>
          <w:rFonts w:ascii="Calibri" w:hAnsi="Calibri" w:cs="Calibri"/>
          <w:sz w:val="24"/>
          <w:szCs w:val="24"/>
        </w:rPr>
        <w:t xml:space="preserve">applying to be a doctoral student some three weeks later. Towards the </w:t>
      </w:r>
      <w:r w:rsidRPr="00606B22">
        <w:rPr>
          <w:rFonts w:ascii="Calibri" w:hAnsi="Calibri" w:cs="Calibri"/>
          <w:sz w:val="24"/>
          <w:szCs w:val="24"/>
        </w:rPr>
        <w:t>end</w:t>
      </w:r>
      <w:r>
        <w:rPr>
          <w:rFonts w:ascii="Calibri" w:hAnsi="Calibri" w:cs="Calibri"/>
          <w:sz w:val="24"/>
          <w:szCs w:val="24"/>
        </w:rPr>
        <w:t xml:space="preserve"> of the doctoral journey and following a significant bereavement, I was given the option of taking a leave of absence from my studying. After discussions with John, he proposed my taking a leave of absence from psychotherapy work to focus on completing the thesis. Not only did he ignite my individuation story of becoming a researcher, but he also held </w:t>
      </w:r>
      <w:r w:rsidRPr="00606B22">
        <w:rPr>
          <w:rFonts w:ascii="Calibri" w:hAnsi="Calibri" w:cs="Calibri"/>
          <w:sz w:val="24"/>
          <w:szCs w:val="24"/>
        </w:rPr>
        <w:t xml:space="preserve">me </w:t>
      </w:r>
      <w:r>
        <w:rPr>
          <w:rFonts w:ascii="Calibri" w:hAnsi="Calibri" w:cs="Calibri"/>
          <w:sz w:val="24"/>
          <w:szCs w:val="24"/>
        </w:rPr>
        <w:t xml:space="preserve">in </w:t>
      </w:r>
      <w:r w:rsidRPr="00606B22">
        <w:rPr>
          <w:rFonts w:ascii="Calibri" w:hAnsi="Calibri" w:cs="Calibri"/>
          <w:sz w:val="24"/>
          <w:szCs w:val="24"/>
        </w:rPr>
        <w:t>reflective space</w:t>
      </w:r>
      <w:r>
        <w:rPr>
          <w:rFonts w:ascii="Calibri" w:hAnsi="Calibri" w:cs="Calibri"/>
          <w:sz w:val="24"/>
          <w:szCs w:val="24"/>
        </w:rPr>
        <w:t xml:space="preserve"> at the end</w:t>
      </w:r>
      <w:r w:rsidRPr="00606B22">
        <w:rPr>
          <w:rFonts w:ascii="Calibri" w:hAnsi="Calibri" w:cs="Calibri"/>
          <w:sz w:val="24"/>
          <w:szCs w:val="24"/>
        </w:rPr>
        <w:t>, trusting I would make the right decision for me</w:t>
      </w:r>
      <w:r>
        <w:rPr>
          <w:rFonts w:ascii="Calibri" w:hAnsi="Calibri" w:cs="Calibri"/>
          <w:sz w:val="24"/>
          <w:szCs w:val="24"/>
        </w:rPr>
        <w:t>, and the research. Without his support I would not have understood what all these “Ithakas” mean. Thank you.</w:t>
      </w:r>
    </w:p>
    <w:p w14:paraId="2708B43C" w14:textId="77777777" w:rsidR="00925241" w:rsidRPr="00925241" w:rsidRDefault="00925241" w:rsidP="00925241">
      <w:pPr>
        <w:spacing w:line="360" w:lineRule="auto"/>
        <w:rPr>
          <w:rFonts w:ascii="Calibri" w:hAnsi="Calibri" w:cs="Calibri"/>
          <w:sz w:val="24"/>
          <w:szCs w:val="24"/>
        </w:rPr>
      </w:pPr>
    </w:p>
    <w:p w14:paraId="7C4A8869" w14:textId="77777777" w:rsidR="00ED0F98" w:rsidRPr="004276A2" w:rsidRDefault="00ED0F98">
      <w:pPr>
        <w:rPr>
          <w:rFonts w:ascii="Source Sans Pro" w:hAnsi="Source Sans Pro" w:cstheme="majorBidi"/>
          <w:sz w:val="24"/>
          <w:szCs w:val="24"/>
        </w:rPr>
      </w:pPr>
    </w:p>
    <w:p w14:paraId="654D316A" w14:textId="77777777" w:rsidR="0070651F" w:rsidRPr="00DD27BD" w:rsidRDefault="0070651F" w:rsidP="006829C8">
      <w:pPr>
        <w:ind w:left="2880" w:firstLine="720"/>
        <w:rPr>
          <w:rFonts w:cstheme="minorHAnsi"/>
          <w:b/>
          <w:bCs/>
          <w:sz w:val="28"/>
          <w:szCs w:val="28"/>
        </w:rPr>
      </w:pPr>
      <w:r w:rsidRPr="00DD27BD">
        <w:rPr>
          <w:rFonts w:cstheme="minorHAnsi"/>
          <w:b/>
          <w:bCs/>
          <w:sz w:val="28"/>
          <w:szCs w:val="28"/>
        </w:rPr>
        <w:lastRenderedPageBreak/>
        <w:t>List of contents</w:t>
      </w:r>
    </w:p>
    <w:p w14:paraId="1FD7E239" w14:textId="77777777" w:rsidR="008E5EEC" w:rsidRDefault="008E5EEC" w:rsidP="00024826">
      <w:pPr>
        <w:rPr>
          <w:rFonts w:cstheme="minorHAnsi"/>
          <w:sz w:val="24"/>
          <w:szCs w:val="24"/>
        </w:rPr>
      </w:pPr>
    </w:p>
    <w:p w14:paraId="5D2FD2CF" w14:textId="5E43843B" w:rsidR="00A639C2" w:rsidRPr="00112931" w:rsidRDefault="00024826" w:rsidP="00024826">
      <w:pPr>
        <w:rPr>
          <w:rFonts w:cstheme="minorHAnsi"/>
          <w:sz w:val="24"/>
          <w:szCs w:val="24"/>
        </w:rPr>
      </w:pPr>
      <w:r w:rsidRPr="00112931">
        <w:rPr>
          <w:rFonts w:cstheme="minorHAnsi"/>
          <w:sz w:val="24"/>
          <w:szCs w:val="24"/>
        </w:rPr>
        <w:t>Abstract</w:t>
      </w:r>
      <w:r w:rsidR="007B1643" w:rsidRPr="00112931">
        <w:rPr>
          <w:rFonts w:cstheme="minorHAnsi"/>
          <w:sz w:val="24"/>
          <w:szCs w:val="24"/>
        </w:rPr>
        <w:t xml:space="preserve">                                                                                              </w:t>
      </w:r>
      <w:r w:rsidR="00C864E2">
        <w:rPr>
          <w:rFonts w:cstheme="minorHAnsi"/>
          <w:sz w:val="24"/>
          <w:szCs w:val="24"/>
        </w:rPr>
        <w:tab/>
      </w:r>
      <w:r w:rsidR="00C864E2">
        <w:rPr>
          <w:rFonts w:cstheme="minorHAnsi"/>
          <w:sz w:val="24"/>
          <w:szCs w:val="24"/>
        </w:rPr>
        <w:tab/>
      </w:r>
      <w:r w:rsidR="007B1643" w:rsidRPr="00112931">
        <w:rPr>
          <w:rFonts w:cstheme="minorHAnsi"/>
          <w:sz w:val="24"/>
          <w:szCs w:val="24"/>
        </w:rPr>
        <w:t xml:space="preserve"> </w:t>
      </w:r>
      <w:r w:rsidR="007B1643" w:rsidRPr="0078651A">
        <w:rPr>
          <w:rFonts w:cstheme="minorHAnsi"/>
        </w:rPr>
        <w:t xml:space="preserve">page </w:t>
      </w:r>
      <w:r w:rsidR="00ED0F98" w:rsidRPr="0078651A">
        <w:rPr>
          <w:rFonts w:cstheme="minorHAnsi"/>
        </w:rPr>
        <w:t>1</w:t>
      </w:r>
    </w:p>
    <w:p w14:paraId="06B675C7" w14:textId="00FD11A8" w:rsidR="00A94F31" w:rsidRPr="00112931" w:rsidRDefault="007B1643" w:rsidP="00024826">
      <w:pPr>
        <w:rPr>
          <w:rFonts w:cstheme="minorHAnsi"/>
          <w:sz w:val="24"/>
          <w:szCs w:val="24"/>
        </w:rPr>
      </w:pPr>
      <w:r w:rsidRPr="00112931">
        <w:rPr>
          <w:rFonts w:cstheme="minorHAnsi"/>
          <w:sz w:val="24"/>
          <w:szCs w:val="24"/>
        </w:rPr>
        <w:t>Author’s Declaration</w:t>
      </w:r>
      <w:r w:rsidRPr="00112931">
        <w:rPr>
          <w:rFonts w:cstheme="minorHAnsi"/>
          <w:sz w:val="24"/>
          <w:szCs w:val="24"/>
        </w:rPr>
        <w:tab/>
      </w:r>
      <w:r w:rsidR="00024826" w:rsidRPr="00112931">
        <w:rPr>
          <w:rFonts w:cstheme="minorHAnsi"/>
          <w:sz w:val="24"/>
          <w:szCs w:val="24"/>
        </w:rPr>
        <w:tab/>
      </w:r>
      <w:r w:rsidR="00290341" w:rsidRPr="00112931">
        <w:rPr>
          <w:rFonts w:cstheme="minorHAnsi"/>
          <w:sz w:val="24"/>
          <w:szCs w:val="24"/>
        </w:rPr>
        <w:tab/>
      </w:r>
      <w:r w:rsidR="00290341" w:rsidRPr="00112931">
        <w:rPr>
          <w:rFonts w:cstheme="minorHAnsi"/>
          <w:sz w:val="24"/>
          <w:szCs w:val="24"/>
        </w:rPr>
        <w:tab/>
      </w:r>
      <w:r w:rsidR="00290341" w:rsidRPr="00112931">
        <w:rPr>
          <w:rFonts w:cstheme="minorHAnsi"/>
          <w:sz w:val="24"/>
          <w:szCs w:val="24"/>
        </w:rPr>
        <w:tab/>
      </w:r>
      <w:r w:rsidR="00290341" w:rsidRPr="00112931">
        <w:rPr>
          <w:rFonts w:cstheme="minorHAnsi"/>
          <w:sz w:val="24"/>
          <w:szCs w:val="24"/>
        </w:rPr>
        <w:tab/>
      </w:r>
      <w:r w:rsidR="00290341" w:rsidRPr="00112931">
        <w:rPr>
          <w:rFonts w:cstheme="minorHAnsi"/>
          <w:sz w:val="24"/>
          <w:szCs w:val="24"/>
        </w:rPr>
        <w:tab/>
      </w:r>
      <w:r w:rsidR="00A94F31" w:rsidRPr="00112931">
        <w:rPr>
          <w:rFonts w:cstheme="minorHAnsi"/>
          <w:sz w:val="24"/>
          <w:szCs w:val="24"/>
        </w:rPr>
        <w:t xml:space="preserve">              </w:t>
      </w:r>
      <w:r w:rsidR="00290341" w:rsidRPr="0078651A">
        <w:rPr>
          <w:rFonts w:cstheme="minorHAnsi"/>
        </w:rPr>
        <w:t xml:space="preserve">page </w:t>
      </w:r>
      <w:r w:rsidR="00562B8A" w:rsidRPr="0078651A">
        <w:rPr>
          <w:rFonts w:cstheme="minorHAnsi"/>
        </w:rPr>
        <w:t>2</w:t>
      </w:r>
    </w:p>
    <w:p w14:paraId="24E71A92" w14:textId="7D9CBC9F" w:rsidR="00C7540D" w:rsidRPr="00112931" w:rsidRDefault="00290341" w:rsidP="00024826">
      <w:pPr>
        <w:rPr>
          <w:rFonts w:cstheme="minorHAnsi"/>
          <w:sz w:val="24"/>
          <w:szCs w:val="24"/>
        </w:rPr>
      </w:pPr>
      <w:r w:rsidRPr="00112931">
        <w:rPr>
          <w:rFonts w:cstheme="minorHAnsi"/>
          <w:sz w:val="24"/>
          <w:szCs w:val="24"/>
        </w:rPr>
        <w:t>Acknowledgements</w:t>
      </w:r>
      <w:r w:rsidRPr="00112931">
        <w:rPr>
          <w:rFonts w:cstheme="minorHAnsi"/>
          <w:sz w:val="24"/>
          <w:szCs w:val="24"/>
        </w:rPr>
        <w:tab/>
      </w:r>
      <w:r w:rsidR="00024826" w:rsidRPr="00112931">
        <w:rPr>
          <w:rFonts w:cstheme="minorHAnsi"/>
          <w:sz w:val="24"/>
          <w:szCs w:val="24"/>
        </w:rPr>
        <w:tab/>
      </w:r>
      <w:r w:rsidR="00024826"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bookmarkStart w:id="2" w:name="_Hlk215998999"/>
      <w:r w:rsidR="00A94F31" w:rsidRPr="00112931">
        <w:rPr>
          <w:rFonts w:cstheme="minorHAnsi"/>
          <w:sz w:val="24"/>
          <w:szCs w:val="24"/>
        </w:rPr>
        <w:t xml:space="preserve">            </w:t>
      </w:r>
      <w:r w:rsidR="00A94F31" w:rsidRPr="0078651A">
        <w:rPr>
          <w:rFonts w:cstheme="minorHAnsi"/>
        </w:rPr>
        <w:t xml:space="preserve">  </w:t>
      </w:r>
      <w:r w:rsidR="0060667D" w:rsidRPr="0078651A">
        <w:rPr>
          <w:rFonts w:cstheme="minorHAnsi"/>
        </w:rPr>
        <w:t>p</w:t>
      </w:r>
      <w:r w:rsidR="00024826" w:rsidRPr="0078651A">
        <w:rPr>
          <w:rFonts w:cstheme="minorHAnsi"/>
        </w:rPr>
        <w:t xml:space="preserve">age </w:t>
      </w:r>
      <w:bookmarkEnd w:id="2"/>
      <w:r w:rsidR="00562B8A" w:rsidRPr="0078651A">
        <w:rPr>
          <w:rFonts w:cstheme="minorHAnsi"/>
        </w:rPr>
        <w:t>3</w:t>
      </w:r>
    </w:p>
    <w:p w14:paraId="5EEFB664" w14:textId="2B1C3E3A" w:rsidR="00792225" w:rsidRPr="00112931" w:rsidRDefault="00C92FCF" w:rsidP="00792225">
      <w:pPr>
        <w:rPr>
          <w:rFonts w:cstheme="minorHAnsi"/>
          <w:sz w:val="24"/>
          <w:szCs w:val="24"/>
        </w:rPr>
      </w:pPr>
      <w:r>
        <w:rPr>
          <w:rFonts w:cstheme="minorHAnsi"/>
          <w:sz w:val="24"/>
          <w:szCs w:val="24"/>
        </w:rPr>
        <w:t>List</w:t>
      </w:r>
      <w:r w:rsidR="00792225" w:rsidRPr="00112931">
        <w:rPr>
          <w:rFonts w:cstheme="minorHAnsi"/>
          <w:sz w:val="24"/>
          <w:szCs w:val="24"/>
        </w:rPr>
        <w:t xml:space="preserve"> of Contents</w:t>
      </w:r>
      <w:r w:rsidR="00792225" w:rsidRPr="00112931">
        <w:rPr>
          <w:rFonts w:cstheme="minorHAnsi"/>
          <w:sz w:val="24"/>
          <w:szCs w:val="24"/>
        </w:rPr>
        <w:tab/>
      </w:r>
      <w:r w:rsidR="00792225" w:rsidRPr="00112931">
        <w:rPr>
          <w:rFonts w:cstheme="minorHAnsi"/>
          <w:sz w:val="24"/>
          <w:szCs w:val="24"/>
        </w:rPr>
        <w:tab/>
      </w:r>
      <w:r w:rsidR="00792225" w:rsidRPr="00112931">
        <w:rPr>
          <w:rFonts w:cstheme="minorHAnsi"/>
          <w:sz w:val="24"/>
          <w:szCs w:val="24"/>
        </w:rPr>
        <w:tab/>
      </w:r>
      <w:r w:rsidR="00432F85"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BB60E5">
        <w:rPr>
          <w:rFonts w:cstheme="minorHAnsi"/>
          <w:sz w:val="24"/>
          <w:szCs w:val="24"/>
        </w:rPr>
        <w:t xml:space="preserve">                          </w:t>
      </w:r>
      <w:r w:rsidR="00BA57E3">
        <w:rPr>
          <w:rFonts w:cstheme="minorHAnsi"/>
          <w:sz w:val="24"/>
          <w:szCs w:val="24"/>
        </w:rPr>
        <w:t xml:space="preserve"> </w:t>
      </w:r>
      <w:r w:rsidR="005E2927" w:rsidRPr="0078651A">
        <w:rPr>
          <w:rFonts w:cstheme="minorHAnsi"/>
        </w:rPr>
        <w:t xml:space="preserve">page </w:t>
      </w:r>
      <w:r w:rsidR="00562B8A" w:rsidRPr="0078651A">
        <w:rPr>
          <w:rFonts w:cstheme="minorHAnsi"/>
        </w:rPr>
        <w:t>6</w:t>
      </w:r>
    </w:p>
    <w:p w14:paraId="2D3512BD" w14:textId="43BA903A" w:rsidR="00792225" w:rsidRPr="00112931" w:rsidRDefault="00792225" w:rsidP="0070651F">
      <w:pPr>
        <w:rPr>
          <w:rFonts w:cstheme="minorHAnsi"/>
          <w:sz w:val="24"/>
          <w:szCs w:val="24"/>
        </w:rPr>
      </w:pPr>
      <w:r w:rsidRPr="00112931">
        <w:rPr>
          <w:rFonts w:cstheme="minorHAnsi"/>
          <w:sz w:val="24"/>
          <w:szCs w:val="24"/>
        </w:rPr>
        <w:t xml:space="preserve">List of </w:t>
      </w:r>
      <w:r w:rsidR="00B95251" w:rsidRPr="00112931">
        <w:rPr>
          <w:rFonts w:cstheme="minorHAnsi"/>
          <w:sz w:val="24"/>
          <w:szCs w:val="24"/>
        </w:rPr>
        <w:t>Figures</w:t>
      </w:r>
      <w:r w:rsidRPr="00112931">
        <w:rPr>
          <w:rFonts w:cstheme="minorHAnsi"/>
          <w:sz w:val="24"/>
          <w:szCs w:val="24"/>
        </w:rPr>
        <w:tab/>
      </w:r>
      <w:r w:rsidRPr="00112931">
        <w:rPr>
          <w:rFonts w:cstheme="minorHAnsi"/>
          <w:sz w:val="24"/>
          <w:szCs w:val="24"/>
        </w:rPr>
        <w:tab/>
      </w:r>
      <w:r w:rsidRPr="00112931">
        <w:rPr>
          <w:rFonts w:cstheme="minorHAnsi"/>
          <w:sz w:val="24"/>
          <w:szCs w:val="24"/>
        </w:rPr>
        <w:tab/>
      </w:r>
      <w:r w:rsidRPr="00112931">
        <w:rPr>
          <w:rFonts w:cstheme="minorHAnsi"/>
          <w:sz w:val="24"/>
          <w:szCs w:val="24"/>
        </w:rPr>
        <w:tab/>
      </w:r>
      <w:r w:rsidR="00432F85"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BB60E5">
        <w:rPr>
          <w:rFonts w:cstheme="minorHAnsi"/>
          <w:sz w:val="24"/>
          <w:szCs w:val="24"/>
        </w:rPr>
        <w:t xml:space="preserve">              </w:t>
      </w:r>
      <w:r w:rsidR="005E2927" w:rsidRPr="0078651A">
        <w:rPr>
          <w:rFonts w:cstheme="minorHAnsi"/>
        </w:rPr>
        <w:t xml:space="preserve">page </w:t>
      </w:r>
      <w:r w:rsidR="00293BD1" w:rsidRPr="0078651A">
        <w:rPr>
          <w:rFonts w:cstheme="minorHAnsi"/>
        </w:rPr>
        <w:t>1</w:t>
      </w:r>
      <w:r w:rsidR="00D9363E" w:rsidRPr="0078651A">
        <w:rPr>
          <w:rFonts w:cstheme="minorHAnsi"/>
        </w:rPr>
        <w:t>3</w:t>
      </w:r>
    </w:p>
    <w:p w14:paraId="681CB287" w14:textId="00609644" w:rsidR="00792225" w:rsidRDefault="00792225" w:rsidP="00792225">
      <w:pPr>
        <w:rPr>
          <w:rFonts w:cstheme="minorHAnsi"/>
          <w:sz w:val="24"/>
          <w:szCs w:val="24"/>
        </w:rPr>
      </w:pPr>
      <w:r w:rsidRPr="00112931">
        <w:rPr>
          <w:rFonts w:cstheme="minorHAnsi"/>
          <w:sz w:val="24"/>
          <w:szCs w:val="24"/>
        </w:rPr>
        <w:t xml:space="preserve">List of </w:t>
      </w:r>
      <w:r w:rsidR="00B95251" w:rsidRPr="00112931">
        <w:rPr>
          <w:rFonts w:cstheme="minorHAnsi"/>
          <w:sz w:val="24"/>
          <w:szCs w:val="24"/>
        </w:rPr>
        <w:t>Tables</w:t>
      </w:r>
      <w:r w:rsidRPr="00112931">
        <w:rPr>
          <w:rFonts w:cstheme="minorHAnsi"/>
          <w:sz w:val="24"/>
          <w:szCs w:val="24"/>
        </w:rPr>
        <w:tab/>
      </w:r>
      <w:r w:rsidRPr="00112931">
        <w:rPr>
          <w:rFonts w:cstheme="minorHAnsi"/>
          <w:sz w:val="24"/>
          <w:szCs w:val="24"/>
        </w:rPr>
        <w:tab/>
      </w:r>
      <w:r w:rsidRPr="00112931">
        <w:rPr>
          <w:rFonts w:cstheme="minorHAnsi"/>
          <w:sz w:val="24"/>
          <w:szCs w:val="24"/>
        </w:rPr>
        <w:tab/>
      </w:r>
      <w:r w:rsidR="00432F85" w:rsidRPr="00112931">
        <w:rPr>
          <w:rFonts w:cstheme="minorHAnsi"/>
          <w:sz w:val="24"/>
          <w:szCs w:val="24"/>
        </w:rPr>
        <w:tab/>
      </w:r>
      <w:r w:rsidR="009A5462"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AD1CDB" w:rsidRPr="00112931">
        <w:rPr>
          <w:rFonts w:cstheme="minorHAnsi"/>
          <w:sz w:val="24"/>
          <w:szCs w:val="24"/>
        </w:rPr>
        <w:tab/>
      </w:r>
      <w:r w:rsidR="00BA57E3" w:rsidRPr="0078651A">
        <w:rPr>
          <w:rFonts w:cstheme="minorHAnsi"/>
        </w:rPr>
        <w:t xml:space="preserve"> </w:t>
      </w:r>
      <w:r w:rsidR="005E2927" w:rsidRPr="0078651A">
        <w:rPr>
          <w:rFonts w:cstheme="minorHAnsi"/>
        </w:rPr>
        <w:t xml:space="preserve">page </w:t>
      </w:r>
      <w:r w:rsidR="008C6909" w:rsidRPr="0078651A">
        <w:rPr>
          <w:rFonts w:cstheme="minorHAnsi"/>
        </w:rPr>
        <w:t>1</w:t>
      </w:r>
      <w:r w:rsidR="00D9363E" w:rsidRPr="0078651A">
        <w:rPr>
          <w:rFonts w:cstheme="minorHAnsi"/>
        </w:rPr>
        <w:t>4</w:t>
      </w:r>
    </w:p>
    <w:p w14:paraId="09F7F61C" w14:textId="5CDBCFDE" w:rsidR="005E6A11" w:rsidRPr="00112931" w:rsidRDefault="005E6A11" w:rsidP="00792225">
      <w:pPr>
        <w:rPr>
          <w:rFonts w:cstheme="minorHAnsi"/>
          <w:sz w:val="24"/>
          <w:szCs w:val="24"/>
        </w:rPr>
      </w:pPr>
      <w:r>
        <w:rPr>
          <w:rFonts w:cstheme="minorHAnsi"/>
          <w:sz w:val="24"/>
          <w:szCs w:val="24"/>
        </w:rPr>
        <w:t>List of Appendices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4501E1">
        <w:rPr>
          <w:rFonts w:cstheme="minorHAnsi"/>
          <w:sz w:val="24"/>
          <w:szCs w:val="24"/>
        </w:rPr>
        <w:t xml:space="preserve"> </w:t>
      </w:r>
      <w:r w:rsidRPr="0078651A">
        <w:rPr>
          <w:rFonts w:cstheme="minorHAnsi"/>
        </w:rPr>
        <w:t>page</w:t>
      </w:r>
      <w:r w:rsidR="0026672C" w:rsidRPr="0078651A">
        <w:rPr>
          <w:rFonts w:cstheme="minorHAnsi"/>
        </w:rPr>
        <w:t xml:space="preserve"> </w:t>
      </w:r>
      <w:r w:rsidR="008C6909" w:rsidRPr="0078651A">
        <w:rPr>
          <w:rFonts w:cstheme="minorHAnsi"/>
        </w:rPr>
        <w:t>1</w:t>
      </w:r>
      <w:r w:rsidR="00D9363E" w:rsidRPr="0078651A">
        <w:rPr>
          <w:rFonts w:cstheme="minorHAnsi"/>
        </w:rPr>
        <w:t>5</w:t>
      </w:r>
    </w:p>
    <w:p w14:paraId="42DCCC4E" w14:textId="745A8687" w:rsidR="00BA2478" w:rsidRDefault="005B558A" w:rsidP="00DA2ECE">
      <w:pPr>
        <w:rPr>
          <w:rFonts w:cstheme="minorHAnsi"/>
          <w:sz w:val="24"/>
          <w:szCs w:val="24"/>
        </w:rPr>
      </w:pPr>
      <w:r w:rsidRPr="00112931">
        <w:rPr>
          <w:rFonts w:cstheme="minorHAnsi"/>
          <w:sz w:val="24"/>
          <w:szCs w:val="24"/>
        </w:rPr>
        <w:t>Preface</w:t>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0034172D" w:rsidRPr="00112931">
        <w:rPr>
          <w:rFonts w:cstheme="minorHAnsi"/>
          <w:sz w:val="24"/>
          <w:szCs w:val="24"/>
        </w:rPr>
        <w:tab/>
      </w:r>
      <w:r w:rsidRPr="0078260A">
        <w:rPr>
          <w:rFonts w:cstheme="minorHAnsi"/>
        </w:rPr>
        <w:t xml:space="preserve"> page</w:t>
      </w:r>
      <w:r w:rsidR="001C4008" w:rsidRPr="0078260A">
        <w:rPr>
          <w:rFonts w:cstheme="minorHAnsi"/>
        </w:rPr>
        <w:t xml:space="preserve"> 1</w:t>
      </w:r>
      <w:r w:rsidR="00D9363E" w:rsidRPr="0078260A">
        <w:rPr>
          <w:rFonts w:cstheme="minorHAnsi"/>
        </w:rPr>
        <w:t>6</w:t>
      </w:r>
      <w:r w:rsidRPr="00112931">
        <w:rPr>
          <w:rFonts w:cstheme="minorHAnsi"/>
          <w:sz w:val="24"/>
          <w:szCs w:val="24"/>
        </w:rPr>
        <w:tab/>
      </w:r>
    </w:p>
    <w:p w14:paraId="03051680" w14:textId="0D483A85" w:rsidR="00DA2ECE" w:rsidRDefault="00DA2ECE" w:rsidP="00DA2ECE">
      <w:pPr>
        <w:rPr>
          <w:rFonts w:cstheme="minorHAnsi"/>
          <w:sz w:val="24"/>
          <w:szCs w:val="24"/>
        </w:rPr>
      </w:pPr>
      <w:r w:rsidRPr="00DA2ECE">
        <w:rPr>
          <w:rFonts w:cstheme="minorHAnsi"/>
          <w:sz w:val="24"/>
          <w:szCs w:val="24"/>
        </w:rPr>
        <w:t>Chapter One: The Exposition</w:t>
      </w:r>
      <w:r w:rsidR="00E4432F" w:rsidRPr="00112931">
        <w:rPr>
          <w:rFonts w:cstheme="minorHAnsi"/>
          <w:sz w:val="24"/>
          <w:szCs w:val="24"/>
        </w:rPr>
        <w:tab/>
      </w:r>
      <w:r w:rsidR="000D2088" w:rsidRPr="00112931">
        <w:rPr>
          <w:rFonts w:cstheme="minorHAnsi"/>
          <w:sz w:val="24"/>
          <w:szCs w:val="24"/>
        </w:rPr>
        <w:t>(Introduction)</w:t>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BA57E3" w:rsidRPr="0078260A">
        <w:rPr>
          <w:rFonts w:cstheme="minorHAnsi"/>
        </w:rPr>
        <w:t xml:space="preserve"> </w:t>
      </w:r>
      <w:r w:rsidR="00E4432F" w:rsidRPr="0078260A">
        <w:rPr>
          <w:rFonts w:cstheme="minorHAnsi"/>
        </w:rPr>
        <w:t>page</w:t>
      </w:r>
      <w:r w:rsidR="002D6DA2" w:rsidRPr="0078260A">
        <w:rPr>
          <w:rFonts w:cstheme="minorHAnsi"/>
        </w:rPr>
        <w:t xml:space="preserve"> 1</w:t>
      </w:r>
      <w:r w:rsidR="00D9363E" w:rsidRPr="0078260A">
        <w:rPr>
          <w:rFonts w:cstheme="minorHAnsi"/>
        </w:rPr>
        <w:t>8</w:t>
      </w:r>
    </w:p>
    <w:p w14:paraId="09B04746" w14:textId="1AD7445F" w:rsidR="00823A88" w:rsidRPr="001E0180" w:rsidRDefault="00823A88" w:rsidP="00823A88">
      <w:pPr>
        <w:ind w:firstLine="720"/>
        <w:rPr>
          <w:rFonts w:ascii="Calibri" w:eastAsia="Calibri" w:hAnsi="Calibri" w:cs="Calibri"/>
          <w:sz w:val="24"/>
          <w:szCs w:val="24"/>
        </w:rPr>
      </w:pPr>
      <w:r w:rsidRPr="00823A88">
        <w:rPr>
          <w:rFonts w:ascii="Calibri" w:eastAsia="Calibri" w:hAnsi="Calibri" w:cs="Calibri"/>
        </w:rPr>
        <w:t>Introduction</w:t>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2E2CFA">
        <w:rPr>
          <w:rFonts w:ascii="Calibri" w:eastAsia="Calibri" w:hAnsi="Calibri" w:cs="Calibri"/>
        </w:rPr>
        <w:tab/>
      </w:r>
      <w:r w:rsidR="00A731D3" w:rsidRPr="001E0180">
        <w:rPr>
          <w:rFonts w:ascii="Calibri" w:eastAsia="Calibri" w:hAnsi="Calibri" w:cs="Calibri"/>
          <w:sz w:val="24"/>
          <w:szCs w:val="24"/>
        </w:rPr>
        <w:t xml:space="preserve"> </w:t>
      </w:r>
      <w:r w:rsidR="00A731D3" w:rsidRPr="0078260A">
        <w:rPr>
          <w:rFonts w:ascii="Calibri" w:eastAsia="Calibri" w:hAnsi="Calibri" w:cs="Calibri"/>
        </w:rPr>
        <w:t>page 19</w:t>
      </w:r>
    </w:p>
    <w:p w14:paraId="4AAB10A9" w14:textId="3664FF46"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The research journey framework</w:t>
      </w:r>
      <w:r w:rsidR="00A731D3" w:rsidRPr="001E0180">
        <w:rPr>
          <w:rFonts w:ascii="Calibri" w:eastAsia="Calibri" w:hAnsi="Calibri" w:cs="Calibri"/>
          <w:sz w:val="24"/>
          <w:szCs w:val="24"/>
        </w:rPr>
        <w:tab/>
      </w:r>
      <w:r w:rsidR="00A731D3" w:rsidRPr="001E0180">
        <w:rPr>
          <w:rFonts w:ascii="Calibri" w:eastAsia="Calibri" w:hAnsi="Calibri" w:cs="Calibri"/>
          <w:sz w:val="24"/>
          <w:szCs w:val="24"/>
        </w:rPr>
        <w:tab/>
      </w:r>
      <w:r w:rsidR="00A731D3" w:rsidRPr="001E0180">
        <w:rPr>
          <w:rFonts w:ascii="Calibri" w:eastAsia="Calibri" w:hAnsi="Calibri" w:cs="Calibri"/>
          <w:sz w:val="24"/>
          <w:szCs w:val="24"/>
        </w:rPr>
        <w:tab/>
      </w:r>
      <w:r w:rsidR="00A731D3" w:rsidRPr="001E0180">
        <w:rPr>
          <w:rFonts w:ascii="Calibri" w:eastAsia="Calibri" w:hAnsi="Calibri" w:cs="Calibri"/>
          <w:sz w:val="24"/>
          <w:szCs w:val="24"/>
        </w:rPr>
        <w:tab/>
      </w:r>
      <w:r w:rsidR="00A731D3" w:rsidRPr="0078260A">
        <w:rPr>
          <w:rFonts w:ascii="Calibri" w:eastAsia="Calibri" w:hAnsi="Calibri" w:cs="Calibri"/>
        </w:rPr>
        <w:tab/>
      </w:r>
      <w:r w:rsidR="00EE26CF" w:rsidRPr="0078260A">
        <w:rPr>
          <w:rFonts w:ascii="Calibri" w:eastAsia="Calibri" w:hAnsi="Calibri" w:cs="Calibri"/>
        </w:rPr>
        <w:t xml:space="preserve"> page 20</w:t>
      </w:r>
    </w:p>
    <w:p w14:paraId="1FAB0122" w14:textId="7F919BEC"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Aims</w:t>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t xml:space="preserve"> </w:t>
      </w:r>
      <w:r w:rsidR="00EE26CF" w:rsidRPr="0078260A">
        <w:rPr>
          <w:rFonts w:ascii="Calibri" w:eastAsia="Calibri" w:hAnsi="Calibri" w:cs="Calibri"/>
        </w:rPr>
        <w:t>page 21</w:t>
      </w:r>
    </w:p>
    <w:p w14:paraId="7E5731BE" w14:textId="0C773143"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The context</w:t>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EE26CF" w:rsidRPr="001E0180">
        <w:rPr>
          <w:rFonts w:ascii="Calibri" w:eastAsia="Calibri" w:hAnsi="Calibri" w:cs="Calibri"/>
          <w:sz w:val="24"/>
          <w:szCs w:val="24"/>
        </w:rPr>
        <w:tab/>
      </w:r>
      <w:r w:rsidR="001E0180">
        <w:rPr>
          <w:rFonts w:ascii="Calibri" w:eastAsia="Calibri" w:hAnsi="Calibri" w:cs="Calibri"/>
          <w:sz w:val="24"/>
          <w:szCs w:val="24"/>
        </w:rPr>
        <w:t xml:space="preserve"> </w:t>
      </w:r>
      <w:r w:rsidR="00EE26CF" w:rsidRPr="0078260A">
        <w:rPr>
          <w:rFonts w:ascii="Calibri" w:eastAsia="Calibri" w:hAnsi="Calibri" w:cs="Calibri"/>
        </w:rPr>
        <w:t>page 22</w:t>
      </w:r>
    </w:p>
    <w:p w14:paraId="721C2F4C" w14:textId="53A98139"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Theoretical influences</w:t>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1E0180" w:rsidRPr="0078260A">
        <w:rPr>
          <w:rFonts w:ascii="Calibri" w:eastAsia="Calibri" w:hAnsi="Calibri" w:cs="Calibri"/>
        </w:rPr>
        <w:t xml:space="preserve"> </w:t>
      </w:r>
      <w:r w:rsidR="005A5C5E" w:rsidRPr="0078260A">
        <w:rPr>
          <w:rFonts w:ascii="Calibri" w:eastAsia="Calibri" w:hAnsi="Calibri" w:cs="Calibri"/>
        </w:rPr>
        <w:t>page 23</w:t>
      </w:r>
    </w:p>
    <w:p w14:paraId="3E4F5864" w14:textId="28CF5627"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Research design</w:t>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1E0180">
        <w:rPr>
          <w:rFonts w:ascii="Calibri" w:eastAsia="Calibri" w:hAnsi="Calibri" w:cs="Calibri"/>
          <w:sz w:val="24"/>
          <w:szCs w:val="24"/>
        </w:rPr>
        <w:t xml:space="preserve"> </w:t>
      </w:r>
      <w:r w:rsidR="005A5C5E" w:rsidRPr="0078260A">
        <w:rPr>
          <w:rFonts w:ascii="Calibri" w:eastAsia="Calibri" w:hAnsi="Calibri" w:cs="Calibri"/>
        </w:rPr>
        <w:t>page 24</w:t>
      </w:r>
    </w:p>
    <w:p w14:paraId="04FECFD2" w14:textId="3528E5F8"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The researcher’s exposition story</w:t>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5A5C5E" w:rsidRPr="001E0180">
        <w:rPr>
          <w:rFonts w:ascii="Calibri" w:eastAsia="Calibri" w:hAnsi="Calibri" w:cs="Calibri"/>
          <w:sz w:val="24"/>
          <w:szCs w:val="24"/>
        </w:rPr>
        <w:tab/>
      </w:r>
      <w:r w:rsidR="001E0180" w:rsidRPr="0078260A">
        <w:rPr>
          <w:rFonts w:ascii="Calibri" w:eastAsia="Calibri" w:hAnsi="Calibri" w:cs="Calibri"/>
        </w:rPr>
        <w:t xml:space="preserve"> </w:t>
      </w:r>
      <w:r w:rsidR="005A5C5E" w:rsidRPr="0078260A">
        <w:rPr>
          <w:rFonts w:ascii="Calibri" w:eastAsia="Calibri" w:hAnsi="Calibri" w:cs="Calibri"/>
        </w:rPr>
        <w:t>page 24</w:t>
      </w:r>
    </w:p>
    <w:p w14:paraId="3E775673" w14:textId="7D0B1FBA" w:rsidR="00823A88" w:rsidRPr="001E0180" w:rsidRDefault="00823A88" w:rsidP="00823A88">
      <w:pPr>
        <w:ind w:firstLine="720"/>
        <w:rPr>
          <w:rFonts w:ascii="Calibri" w:eastAsia="Calibri" w:hAnsi="Calibri" w:cs="Calibri"/>
          <w:sz w:val="24"/>
          <w:szCs w:val="24"/>
        </w:rPr>
      </w:pPr>
      <w:r w:rsidRPr="001E0180">
        <w:rPr>
          <w:rFonts w:ascii="Calibri" w:eastAsia="Calibri" w:hAnsi="Calibri" w:cs="Calibri"/>
        </w:rPr>
        <w:t>A series of (un) fortunate events</w:t>
      </w:r>
      <w:r w:rsidR="00533F69" w:rsidRPr="001E0180">
        <w:rPr>
          <w:rFonts w:ascii="Calibri" w:eastAsia="Calibri" w:hAnsi="Calibri" w:cs="Calibri"/>
          <w:sz w:val="24"/>
          <w:szCs w:val="24"/>
        </w:rPr>
        <w:tab/>
      </w:r>
      <w:r w:rsidR="00533F69" w:rsidRPr="001E0180">
        <w:rPr>
          <w:rFonts w:ascii="Calibri" w:eastAsia="Calibri" w:hAnsi="Calibri" w:cs="Calibri"/>
          <w:sz w:val="24"/>
          <w:szCs w:val="24"/>
        </w:rPr>
        <w:tab/>
      </w:r>
      <w:r w:rsidR="00533F69" w:rsidRPr="001E0180">
        <w:rPr>
          <w:rFonts w:ascii="Calibri" w:eastAsia="Calibri" w:hAnsi="Calibri" w:cs="Calibri"/>
          <w:sz w:val="24"/>
          <w:szCs w:val="24"/>
        </w:rPr>
        <w:tab/>
      </w:r>
      <w:r w:rsidR="00533F69" w:rsidRPr="001E0180">
        <w:rPr>
          <w:rFonts w:ascii="Calibri" w:eastAsia="Calibri" w:hAnsi="Calibri" w:cs="Calibri"/>
          <w:sz w:val="24"/>
          <w:szCs w:val="24"/>
        </w:rPr>
        <w:tab/>
      </w:r>
      <w:r w:rsidR="00533F69" w:rsidRPr="001E0180">
        <w:rPr>
          <w:rFonts w:ascii="Calibri" w:eastAsia="Calibri" w:hAnsi="Calibri" w:cs="Calibri"/>
          <w:sz w:val="24"/>
          <w:szCs w:val="24"/>
        </w:rPr>
        <w:tab/>
      </w:r>
      <w:r w:rsidR="001E0180" w:rsidRPr="0078260A">
        <w:rPr>
          <w:rFonts w:ascii="Calibri" w:eastAsia="Calibri" w:hAnsi="Calibri" w:cs="Calibri"/>
        </w:rPr>
        <w:t xml:space="preserve"> </w:t>
      </w:r>
      <w:r w:rsidR="00533F69" w:rsidRPr="0078260A">
        <w:rPr>
          <w:rFonts w:ascii="Calibri" w:eastAsia="Calibri" w:hAnsi="Calibri" w:cs="Calibri"/>
        </w:rPr>
        <w:t>page 25</w:t>
      </w:r>
    </w:p>
    <w:p w14:paraId="033C453C" w14:textId="2ECD0B19" w:rsidR="00823A88" w:rsidRPr="00645D13" w:rsidRDefault="00823A88" w:rsidP="00823A88">
      <w:pPr>
        <w:ind w:firstLine="720"/>
        <w:rPr>
          <w:rFonts w:ascii="Calibri" w:eastAsia="Calibri" w:hAnsi="Calibri" w:cs="Calibri"/>
          <w:sz w:val="24"/>
          <w:szCs w:val="24"/>
        </w:rPr>
      </w:pPr>
      <w:r w:rsidRPr="00823A88">
        <w:rPr>
          <w:rFonts w:ascii="Calibri" w:eastAsia="Calibri" w:hAnsi="Calibri" w:cs="Calibri"/>
        </w:rPr>
        <w:t>People, people who need people</w:t>
      </w:r>
      <w:r w:rsidR="00533F69">
        <w:rPr>
          <w:rFonts w:ascii="Calibri" w:eastAsia="Calibri" w:hAnsi="Calibri" w:cs="Calibri"/>
        </w:rPr>
        <w:tab/>
      </w:r>
      <w:r w:rsidR="00533F69">
        <w:rPr>
          <w:rFonts w:ascii="Calibri" w:eastAsia="Calibri" w:hAnsi="Calibri" w:cs="Calibri"/>
        </w:rPr>
        <w:tab/>
      </w:r>
      <w:r w:rsidR="00533F69">
        <w:rPr>
          <w:rFonts w:ascii="Calibri" w:eastAsia="Calibri" w:hAnsi="Calibri" w:cs="Calibri"/>
        </w:rPr>
        <w:tab/>
      </w:r>
      <w:r w:rsidR="00533F69">
        <w:rPr>
          <w:rFonts w:ascii="Calibri" w:eastAsia="Calibri" w:hAnsi="Calibri" w:cs="Calibri"/>
        </w:rPr>
        <w:tab/>
      </w:r>
      <w:r w:rsidR="00533F69">
        <w:rPr>
          <w:rFonts w:ascii="Calibri" w:eastAsia="Calibri" w:hAnsi="Calibri" w:cs="Calibri"/>
        </w:rPr>
        <w:tab/>
      </w:r>
      <w:r w:rsidR="001E0180">
        <w:rPr>
          <w:rFonts w:ascii="Calibri" w:eastAsia="Calibri" w:hAnsi="Calibri" w:cs="Calibri"/>
        </w:rPr>
        <w:t xml:space="preserve"> </w:t>
      </w:r>
      <w:r w:rsidR="00533F69" w:rsidRPr="0078260A">
        <w:rPr>
          <w:rFonts w:ascii="Calibri" w:eastAsia="Calibri" w:hAnsi="Calibri" w:cs="Calibri"/>
        </w:rPr>
        <w:t>page 27</w:t>
      </w:r>
    </w:p>
    <w:p w14:paraId="3A38BEE7" w14:textId="0B2F808C" w:rsidR="00823A88" w:rsidRPr="00823A88" w:rsidRDefault="00823A88" w:rsidP="00823A88">
      <w:pPr>
        <w:ind w:firstLine="720"/>
        <w:rPr>
          <w:rFonts w:ascii="Calibri" w:eastAsia="Calibri" w:hAnsi="Calibri" w:cs="Calibri"/>
        </w:rPr>
      </w:pPr>
      <w:r w:rsidRPr="00823A88">
        <w:rPr>
          <w:rFonts w:ascii="Calibri" w:eastAsia="Calibri" w:hAnsi="Calibri" w:cs="Calibri"/>
        </w:rPr>
        <w:t>The awakening of the research trajectory</w:t>
      </w:r>
      <w:r w:rsidR="00533F69">
        <w:rPr>
          <w:rFonts w:ascii="Calibri" w:eastAsia="Calibri" w:hAnsi="Calibri" w:cs="Calibri"/>
        </w:rPr>
        <w:tab/>
      </w:r>
      <w:r w:rsidR="00533F69">
        <w:rPr>
          <w:rFonts w:ascii="Calibri" w:eastAsia="Calibri" w:hAnsi="Calibri" w:cs="Calibri"/>
        </w:rPr>
        <w:tab/>
      </w:r>
      <w:r w:rsidR="00533F69">
        <w:rPr>
          <w:rFonts w:ascii="Calibri" w:eastAsia="Calibri" w:hAnsi="Calibri" w:cs="Calibri"/>
        </w:rPr>
        <w:tab/>
      </w:r>
      <w:r w:rsidR="00533F69">
        <w:rPr>
          <w:rFonts w:ascii="Calibri" w:eastAsia="Calibri" w:hAnsi="Calibri" w:cs="Calibri"/>
        </w:rPr>
        <w:tab/>
      </w:r>
      <w:r w:rsidR="001E0180">
        <w:rPr>
          <w:rFonts w:ascii="Calibri" w:eastAsia="Calibri" w:hAnsi="Calibri" w:cs="Calibri"/>
        </w:rPr>
        <w:t xml:space="preserve"> </w:t>
      </w:r>
      <w:r w:rsidR="00533F69" w:rsidRPr="0078260A">
        <w:rPr>
          <w:rFonts w:ascii="Calibri" w:eastAsia="Calibri" w:hAnsi="Calibri" w:cs="Calibri"/>
        </w:rPr>
        <w:t>page 27</w:t>
      </w:r>
    </w:p>
    <w:p w14:paraId="2E006EED" w14:textId="48F81313" w:rsidR="00823A88" w:rsidRPr="00823A88" w:rsidRDefault="00823A88" w:rsidP="00823A88">
      <w:pPr>
        <w:ind w:firstLine="720"/>
        <w:rPr>
          <w:rFonts w:ascii="Calibri" w:eastAsia="Calibri" w:hAnsi="Calibri" w:cs="Calibri"/>
        </w:rPr>
      </w:pPr>
      <w:r w:rsidRPr="00823A88">
        <w:rPr>
          <w:rFonts w:ascii="Calibri" w:eastAsia="Calibri" w:hAnsi="Calibri" w:cs="Calibri"/>
        </w:rPr>
        <w:t>The structure of the thesis</w:t>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645D13">
        <w:rPr>
          <w:rFonts w:ascii="Calibri" w:eastAsia="Calibri" w:hAnsi="Calibri" w:cs="Calibri"/>
        </w:rPr>
        <w:t xml:space="preserve"> </w:t>
      </w:r>
      <w:r w:rsidR="00520905" w:rsidRPr="008960F9">
        <w:rPr>
          <w:rFonts w:ascii="Calibri" w:eastAsia="Calibri" w:hAnsi="Calibri" w:cs="Calibri"/>
        </w:rPr>
        <w:t>page 28</w:t>
      </w:r>
    </w:p>
    <w:p w14:paraId="626026D6" w14:textId="43EB3938" w:rsidR="00823A88" w:rsidRPr="00823A88" w:rsidRDefault="00823A88" w:rsidP="00823A88">
      <w:pPr>
        <w:ind w:firstLine="720"/>
        <w:rPr>
          <w:rFonts w:ascii="Calibri" w:eastAsia="Calibri" w:hAnsi="Calibri" w:cs="Calibri"/>
        </w:rPr>
      </w:pPr>
      <w:r w:rsidRPr="00823A88">
        <w:rPr>
          <w:rFonts w:ascii="Calibri" w:eastAsia="Calibri" w:hAnsi="Calibri" w:cs="Calibri"/>
        </w:rPr>
        <w:t>Rationale</w:t>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520905">
        <w:rPr>
          <w:rFonts w:ascii="Calibri" w:eastAsia="Calibri" w:hAnsi="Calibri" w:cs="Calibri"/>
        </w:rPr>
        <w:tab/>
      </w:r>
      <w:r w:rsidR="00645D13">
        <w:rPr>
          <w:rFonts w:ascii="Calibri" w:eastAsia="Calibri" w:hAnsi="Calibri" w:cs="Calibri"/>
        </w:rPr>
        <w:t xml:space="preserve"> </w:t>
      </w:r>
      <w:r w:rsidR="00520905" w:rsidRPr="008960F9">
        <w:rPr>
          <w:rFonts w:ascii="Calibri" w:eastAsia="Calibri" w:hAnsi="Calibri" w:cs="Calibri"/>
        </w:rPr>
        <w:t>page 30</w:t>
      </w:r>
    </w:p>
    <w:p w14:paraId="753CE0DF" w14:textId="254FD2E7" w:rsidR="00DA2ECE" w:rsidRPr="00DA2ECE" w:rsidRDefault="00DA2ECE" w:rsidP="00DA2ECE">
      <w:pPr>
        <w:rPr>
          <w:rFonts w:cstheme="minorHAnsi"/>
          <w:sz w:val="24"/>
          <w:szCs w:val="24"/>
        </w:rPr>
      </w:pPr>
      <w:r w:rsidRPr="00DA2ECE">
        <w:rPr>
          <w:rFonts w:cstheme="minorHAnsi"/>
          <w:sz w:val="24"/>
          <w:szCs w:val="24"/>
        </w:rPr>
        <w:t>Reflections</w:t>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E4432F" w:rsidRPr="00112931">
        <w:rPr>
          <w:rFonts w:cstheme="minorHAnsi"/>
          <w:sz w:val="24"/>
          <w:szCs w:val="24"/>
        </w:rPr>
        <w:tab/>
      </w:r>
      <w:r w:rsidR="00BA57E3">
        <w:rPr>
          <w:rFonts w:cstheme="minorHAnsi"/>
          <w:sz w:val="24"/>
          <w:szCs w:val="24"/>
        </w:rPr>
        <w:t xml:space="preserve"> </w:t>
      </w:r>
      <w:r w:rsidR="00E4432F" w:rsidRPr="008960F9">
        <w:rPr>
          <w:rFonts w:cstheme="minorHAnsi"/>
        </w:rPr>
        <w:t>page</w:t>
      </w:r>
      <w:r w:rsidR="00C22737" w:rsidRPr="008960F9">
        <w:rPr>
          <w:rFonts w:cstheme="minorHAnsi"/>
        </w:rPr>
        <w:t xml:space="preserve"> </w:t>
      </w:r>
      <w:r w:rsidR="00645D13" w:rsidRPr="008960F9">
        <w:rPr>
          <w:rFonts w:cstheme="minorHAnsi"/>
        </w:rPr>
        <w:t>32</w:t>
      </w:r>
    </w:p>
    <w:p w14:paraId="3B8BC9F1" w14:textId="29F84A94" w:rsidR="00DA2ECE" w:rsidRPr="00DA2ECE" w:rsidRDefault="00DA2ECE" w:rsidP="00DA2ECE">
      <w:pPr>
        <w:rPr>
          <w:rFonts w:cstheme="minorHAnsi"/>
          <w:sz w:val="24"/>
          <w:szCs w:val="24"/>
        </w:rPr>
      </w:pPr>
      <w:r w:rsidRPr="00DA2ECE">
        <w:rPr>
          <w:rFonts w:cstheme="minorHAnsi"/>
          <w:sz w:val="24"/>
          <w:szCs w:val="24"/>
        </w:rPr>
        <w:t>Chapter Two: The C</w:t>
      </w:r>
      <w:r w:rsidR="005C7908">
        <w:rPr>
          <w:rFonts w:cstheme="minorHAnsi"/>
          <w:sz w:val="24"/>
          <w:szCs w:val="24"/>
        </w:rPr>
        <w:t>rossing</w:t>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BA57E3" w:rsidRPr="00974950">
        <w:rPr>
          <w:rFonts w:cstheme="minorHAnsi"/>
        </w:rPr>
        <w:t xml:space="preserve"> </w:t>
      </w:r>
      <w:r w:rsidR="00713B19" w:rsidRPr="00974950">
        <w:rPr>
          <w:rFonts w:cstheme="minorHAnsi"/>
        </w:rPr>
        <w:t>page</w:t>
      </w:r>
      <w:r w:rsidR="00BA57E3" w:rsidRPr="00974950">
        <w:rPr>
          <w:rFonts w:cstheme="minorHAnsi"/>
        </w:rPr>
        <w:t xml:space="preserve"> </w:t>
      </w:r>
      <w:r w:rsidR="00CB13D6" w:rsidRPr="00974950">
        <w:rPr>
          <w:rFonts w:cstheme="minorHAnsi"/>
        </w:rPr>
        <w:t>3</w:t>
      </w:r>
      <w:r w:rsidR="00A33E7E" w:rsidRPr="00974950">
        <w:rPr>
          <w:rFonts w:cstheme="minorHAnsi"/>
        </w:rPr>
        <w:t>4</w:t>
      </w:r>
    </w:p>
    <w:p w14:paraId="4D56FAAF" w14:textId="2C9DB769" w:rsidR="00AF2DA3" w:rsidRPr="00CB13D6" w:rsidRDefault="00AF2DA3" w:rsidP="00AF2DA3">
      <w:pPr>
        <w:ind w:firstLine="720"/>
        <w:rPr>
          <w:rFonts w:ascii="Calibri" w:eastAsia="Calibri" w:hAnsi="Calibri" w:cs="Calibri"/>
          <w:sz w:val="24"/>
          <w:szCs w:val="24"/>
        </w:rPr>
      </w:pPr>
      <w:r w:rsidRPr="00AF2DA3">
        <w:rPr>
          <w:rFonts w:ascii="Calibri" w:eastAsia="Calibri" w:hAnsi="Calibri" w:cs="Calibri"/>
        </w:rPr>
        <w:t>Introduction</w:t>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t xml:space="preserve"> </w:t>
      </w:r>
      <w:r w:rsidR="00CB13D6" w:rsidRPr="00974950">
        <w:rPr>
          <w:rFonts w:ascii="Calibri" w:eastAsia="Calibri" w:hAnsi="Calibri" w:cs="Calibri"/>
        </w:rPr>
        <w:t>page 3</w:t>
      </w:r>
      <w:r w:rsidR="007D24B5" w:rsidRPr="00974950">
        <w:rPr>
          <w:rFonts w:ascii="Calibri" w:eastAsia="Calibri" w:hAnsi="Calibri" w:cs="Calibri"/>
        </w:rPr>
        <w:t>5</w:t>
      </w:r>
    </w:p>
    <w:p w14:paraId="1CDBF201" w14:textId="31FEB81A" w:rsidR="00AF2DA3" w:rsidRPr="00CB13D6" w:rsidRDefault="00AF2DA3" w:rsidP="00AF2DA3">
      <w:pPr>
        <w:ind w:firstLine="720"/>
        <w:rPr>
          <w:rFonts w:ascii="Calibri" w:eastAsia="Calibri" w:hAnsi="Calibri" w:cs="Calibri"/>
          <w:sz w:val="24"/>
          <w:szCs w:val="24"/>
        </w:rPr>
      </w:pPr>
      <w:r w:rsidRPr="00AF2DA3">
        <w:rPr>
          <w:rFonts w:ascii="Calibri" w:eastAsia="Calibri" w:hAnsi="Calibri" w:cs="Calibri"/>
        </w:rPr>
        <w:t>The Crossing</w:t>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r>
      <w:r w:rsidR="00CB13D6">
        <w:rPr>
          <w:rFonts w:ascii="Calibri" w:eastAsia="Calibri" w:hAnsi="Calibri" w:cs="Calibri"/>
        </w:rPr>
        <w:tab/>
        <w:t xml:space="preserve"> </w:t>
      </w:r>
      <w:r w:rsidR="00CB13D6" w:rsidRPr="00974950">
        <w:rPr>
          <w:rFonts w:ascii="Calibri" w:eastAsia="Calibri" w:hAnsi="Calibri" w:cs="Calibri"/>
        </w:rPr>
        <w:t>page 3</w:t>
      </w:r>
      <w:r w:rsidR="007D24B5" w:rsidRPr="00974950">
        <w:rPr>
          <w:rFonts w:ascii="Calibri" w:eastAsia="Calibri" w:hAnsi="Calibri" w:cs="Calibri"/>
        </w:rPr>
        <w:t>5</w:t>
      </w:r>
    </w:p>
    <w:p w14:paraId="3CDFCF74" w14:textId="017AB2EC" w:rsidR="00AF2DA3" w:rsidRPr="009416FE" w:rsidRDefault="00AF2DA3" w:rsidP="00AF2DA3">
      <w:pPr>
        <w:ind w:firstLine="720"/>
        <w:rPr>
          <w:rFonts w:ascii="Calibri" w:eastAsia="Calibri" w:hAnsi="Calibri" w:cs="Calibri"/>
          <w:sz w:val="24"/>
          <w:szCs w:val="24"/>
        </w:rPr>
      </w:pPr>
      <w:r w:rsidRPr="00AF2DA3">
        <w:rPr>
          <w:rFonts w:ascii="Calibri" w:eastAsia="Calibri" w:hAnsi="Calibri" w:cs="Calibri"/>
        </w:rPr>
        <w:t>The uni</w:t>
      </w:r>
      <w:r>
        <w:rPr>
          <w:rFonts w:ascii="Calibri" w:eastAsia="Calibri" w:hAnsi="Calibri" w:cs="Calibri"/>
        </w:rPr>
        <w:t>versity</w:t>
      </w:r>
      <w:r w:rsidRPr="00AF2DA3">
        <w:rPr>
          <w:rFonts w:ascii="Calibri" w:eastAsia="Calibri" w:hAnsi="Calibri" w:cs="Calibri"/>
        </w:rPr>
        <w:t xml:space="preserve"> over space and time</w:t>
      </w:r>
      <w:r w:rsidR="009416FE">
        <w:rPr>
          <w:rFonts w:ascii="Calibri" w:eastAsia="Calibri" w:hAnsi="Calibri" w:cs="Calibri"/>
        </w:rPr>
        <w:tab/>
      </w:r>
      <w:r w:rsidR="009416FE">
        <w:rPr>
          <w:rFonts w:ascii="Calibri" w:eastAsia="Calibri" w:hAnsi="Calibri" w:cs="Calibri"/>
        </w:rPr>
        <w:tab/>
      </w:r>
      <w:r w:rsidR="009416FE">
        <w:rPr>
          <w:rFonts w:ascii="Calibri" w:eastAsia="Calibri" w:hAnsi="Calibri" w:cs="Calibri"/>
        </w:rPr>
        <w:tab/>
      </w:r>
      <w:r w:rsidR="009416FE">
        <w:rPr>
          <w:rFonts w:ascii="Calibri" w:eastAsia="Calibri" w:hAnsi="Calibri" w:cs="Calibri"/>
        </w:rPr>
        <w:tab/>
      </w:r>
      <w:r w:rsidR="009416FE">
        <w:rPr>
          <w:rFonts w:ascii="Calibri" w:eastAsia="Calibri" w:hAnsi="Calibri" w:cs="Calibri"/>
        </w:rPr>
        <w:tab/>
      </w:r>
      <w:r w:rsidR="009416FE" w:rsidRPr="00974950">
        <w:rPr>
          <w:rFonts w:ascii="Calibri" w:eastAsia="Calibri" w:hAnsi="Calibri" w:cs="Calibri"/>
        </w:rPr>
        <w:t xml:space="preserve"> page 3</w:t>
      </w:r>
      <w:r w:rsidR="007D24B5" w:rsidRPr="00974950">
        <w:rPr>
          <w:rFonts w:ascii="Calibri" w:eastAsia="Calibri" w:hAnsi="Calibri" w:cs="Calibri"/>
        </w:rPr>
        <w:t>5</w:t>
      </w:r>
    </w:p>
    <w:p w14:paraId="15A1FE8B" w14:textId="77777777" w:rsidR="00C45200" w:rsidRDefault="00C45200" w:rsidP="00AF2DA3">
      <w:pPr>
        <w:ind w:firstLine="720"/>
        <w:rPr>
          <w:rFonts w:ascii="Calibri" w:eastAsia="Calibri" w:hAnsi="Calibri" w:cs="Calibri"/>
        </w:rPr>
      </w:pPr>
    </w:p>
    <w:p w14:paraId="71266CBB" w14:textId="436BB23F" w:rsidR="00AF2DA3" w:rsidRPr="00AF2DA3" w:rsidRDefault="00AF2DA3" w:rsidP="00AF2DA3">
      <w:pPr>
        <w:ind w:firstLine="720"/>
        <w:rPr>
          <w:rFonts w:ascii="Calibri" w:eastAsia="Calibri" w:hAnsi="Calibri" w:cs="Calibri"/>
        </w:rPr>
      </w:pPr>
      <w:r w:rsidRPr="00AF2DA3">
        <w:rPr>
          <w:rFonts w:ascii="Calibri" w:eastAsia="Calibri" w:hAnsi="Calibri" w:cs="Calibri"/>
        </w:rPr>
        <w:lastRenderedPageBreak/>
        <w:t>All change</w:t>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sidRPr="00973AE8">
        <w:rPr>
          <w:rFonts w:ascii="Calibri" w:eastAsia="Calibri" w:hAnsi="Calibri" w:cs="Calibri"/>
        </w:rPr>
        <w:t xml:space="preserve"> page 3</w:t>
      </w:r>
      <w:r w:rsidR="007D24B5" w:rsidRPr="00973AE8">
        <w:rPr>
          <w:rFonts w:ascii="Calibri" w:eastAsia="Calibri" w:hAnsi="Calibri" w:cs="Calibri"/>
        </w:rPr>
        <w:t>7</w:t>
      </w:r>
    </w:p>
    <w:p w14:paraId="6A2628BC" w14:textId="32F08385" w:rsidR="00AF2DA3" w:rsidRPr="00AF2DA3" w:rsidRDefault="00AF2DA3" w:rsidP="00AF2DA3">
      <w:pPr>
        <w:ind w:firstLine="720"/>
        <w:rPr>
          <w:rFonts w:ascii="Calibri" w:eastAsia="Calibri" w:hAnsi="Calibri" w:cs="Calibri"/>
        </w:rPr>
      </w:pPr>
      <w:r w:rsidRPr="00AF2DA3">
        <w:rPr>
          <w:rFonts w:ascii="Calibri" w:eastAsia="Calibri" w:hAnsi="Calibri" w:cs="Calibri"/>
        </w:rPr>
        <w:t>The neoliberal market</w:t>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Pr>
          <w:rFonts w:ascii="Calibri" w:eastAsia="Calibri" w:hAnsi="Calibri" w:cs="Calibri"/>
        </w:rPr>
        <w:tab/>
      </w:r>
      <w:r w:rsidR="008B47C8" w:rsidRPr="00973AE8">
        <w:rPr>
          <w:rFonts w:ascii="Calibri" w:eastAsia="Calibri" w:hAnsi="Calibri" w:cs="Calibri"/>
        </w:rPr>
        <w:t xml:space="preserve"> </w:t>
      </w:r>
      <w:r w:rsidR="00365870" w:rsidRPr="00973AE8">
        <w:rPr>
          <w:rFonts w:ascii="Calibri" w:eastAsia="Calibri" w:hAnsi="Calibri" w:cs="Calibri"/>
        </w:rPr>
        <w:t>page 3</w:t>
      </w:r>
      <w:r w:rsidR="007D24B5" w:rsidRPr="00973AE8">
        <w:rPr>
          <w:rFonts w:ascii="Calibri" w:eastAsia="Calibri" w:hAnsi="Calibri" w:cs="Calibri"/>
        </w:rPr>
        <w:t>7</w:t>
      </w:r>
    </w:p>
    <w:p w14:paraId="54F5963A" w14:textId="4F9F735D" w:rsidR="00AF2DA3" w:rsidRPr="00AF2DA3" w:rsidRDefault="00AF2DA3" w:rsidP="00AF2DA3">
      <w:pPr>
        <w:ind w:firstLine="720"/>
        <w:rPr>
          <w:rFonts w:ascii="Calibri" w:eastAsia="Calibri" w:hAnsi="Calibri" w:cs="Calibri"/>
        </w:rPr>
      </w:pPr>
      <w:r w:rsidRPr="00AF2DA3">
        <w:rPr>
          <w:rFonts w:ascii="Calibri" w:eastAsia="Calibri" w:hAnsi="Calibri" w:cs="Calibri"/>
        </w:rPr>
        <w:t>Ma</w:t>
      </w:r>
      <w:r w:rsidR="00C200D4">
        <w:rPr>
          <w:rFonts w:ascii="Calibri" w:eastAsia="Calibri" w:hAnsi="Calibri" w:cs="Calibri"/>
        </w:rPr>
        <w:t>nagerialism</w:t>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Pr>
          <w:rFonts w:ascii="Calibri" w:eastAsia="Calibri" w:hAnsi="Calibri" w:cs="Calibri"/>
        </w:rPr>
        <w:tab/>
      </w:r>
      <w:r w:rsidR="007B54B9" w:rsidRPr="00086A07">
        <w:rPr>
          <w:rFonts w:ascii="Calibri" w:eastAsia="Calibri" w:hAnsi="Calibri" w:cs="Calibri"/>
          <w:sz w:val="24"/>
          <w:szCs w:val="24"/>
        </w:rPr>
        <w:t xml:space="preserve"> </w:t>
      </w:r>
      <w:r w:rsidR="007B54B9" w:rsidRPr="00973AE8">
        <w:rPr>
          <w:rFonts w:ascii="Calibri" w:eastAsia="Calibri" w:hAnsi="Calibri" w:cs="Calibri"/>
        </w:rPr>
        <w:t>page 3</w:t>
      </w:r>
      <w:r w:rsidR="007D24B5" w:rsidRPr="00973AE8">
        <w:rPr>
          <w:rFonts w:ascii="Calibri" w:eastAsia="Calibri" w:hAnsi="Calibri" w:cs="Calibri"/>
        </w:rPr>
        <w:t>8</w:t>
      </w:r>
    </w:p>
    <w:p w14:paraId="6C91186B" w14:textId="694DCC8F" w:rsidR="00AF2DA3" w:rsidRPr="00AF2DA3" w:rsidRDefault="00AF2DA3" w:rsidP="00AF2DA3">
      <w:pPr>
        <w:ind w:firstLine="720"/>
        <w:rPr>
          <w:rFonts w:ascii="Calibri" w:eastAsia="Calibri" w:hAnsi="Calibri" w:cs="Calibri"/>
        </w:rPr>
      </w:pPr>
      <w:r w:rsidRPr="00AF2DA3">
        <w:rPr>
          <w:rFonts w:ascii="Calibri" w:eastAsia="Calibri" w:hAnsi="Calibri" w:cs="Calibri"/>
        </w:rPr>
        <w:t>The heralding of an academic capitalism era</w:t>
      </w:r>
      <w:r w:rsidR="00086A07">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sidRPr="0094160F">
        <w:rPr>
          <w:rFonts w:ascii="Calibri" w:eastAsia="Calibri" w:hAnsi="Calibri" w:cs="Calibri"/>
          <w:sz w:val="24"/>
          <w:szCs w:val="24"/>
        </w:rPr>
        <w:t xml:space="preserve"> </w:t>
      </w:r>
      <w:r w:rsidR="0094160F" w:rsidRPr="00342227">
        <w:rPr>
          <w:rFonts w:ascii="Calibri" w:eastAsia="Calibri" w:hAnsi="Calibri" w:cs="Calibri"/>
        </w:rPr>
        <w:t xml:space="preserve">page </w:t>
      </w:r>
      <w:r w:rsidR="00BE1CE0" w:rsidRPr="00342227">
        <w:rPr>
          <w:rFonts w:ascii="Calibri" w:eastAsia="Calibri" w:hAnsi="Calibri" w:cs="Calibri"/>
        </w:rPr>
        <w:t>39</w:t>
      </w:r>
      <w:r w:rsidR="00086A07">
        <w:rPr>
          <w:rFonts w:ascii="Calibri" w:eastAsia="Calibri" w:hAnsi="Calibri" w:cs="Calibri"/>
        </w:rPr>
        <w:tab/>
        <w:t xml:space="preserve"> </w:t>
      </w:r>
    </w:p>
    <w:p w14:paraId="1562A98D" w14:textId="603E7E04" w:rsidR="00AF2DA3" w:rsidRPr="00AF2DA3" w:rsidRDefault="00AF2DA3" w:rsidP="00AF2DA3">
      <w:pPr>
        <w:ind w:firstLine="720"/>
        <w:rPr>
          <w:rFonts w:ascii="Calibri" w:eastAsia="Calibri" w:hAnsi="Calibri" w:cs="Calibri"/>
        </w:rPr>
      </w:pPr>
      <w:r w:rsidRPr="00AF2DA3">
        <w:rPr>
          <w:rFonts w:ascii="Calibri" w:eastAsia="Calibri" w:hAnsi="Calibri" w:cs="Calibri"/>
        </w:rPr>
        <w:t>The human impact</w:t>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r>
      <w:r w:rsidR="0094160F">
        <w:rPr>
          <w:rFonts w:ascii="Calibri" w:eastAsia="Calibri" w:hAnsi="Calibri" w:cs="Calibri"/>
        </w:rPr>
        <w:tab/>
        <w:t xml:space="preserve"> </w:t>
      </w:r>
      <w:r w:rsidR="00775AF7" w:rsidRPr="00342227">
        <w:rPr>
          <w:rFonts w:ascii="Calibri" w:eastAsia="Calibri" w:hAnsi="Calibri" w:cs="Calibri"/>
        </w:rPr>
        <w:t>page 4</w:t>
      </w:r>
      <w:r w:rsidR="00BE1CE0" w:rsidRPr="00342227">
        <w:rPr>
          <w:rFonts w:ascii="Calibri" w:eastAsia="Calibri" w:hAnsi="Calibri" w:cs="Calibri"/>
        </w:rPr>
        <w:t>1</w:t>
      </w:r>
    </w:p>
    <w:p w14:paraId="602C9D52" w14:textId="27FAD7B1" w:rsidR="00AF2DA3" w:rsidRPr="00AF2DA3" w:rsidRDefault="00AF2DA3" w:rsidP="00AF2DA3">
      <w:pPr>
        <w:ind w:firstLine="720"/>
        <w:rPr>
          <w:rFonts w:ascii="Calibri" w:eastAsia="Calibri" w:hAnsi="Calibri" w:cs="Calibri"/>
        </w:rPr>
      </w:pPr>
      <w:r w:rsidRPr="00AF2DA3">
        <w:rPr>
          <w:rFonts w:ascii="Calibri" w:eastAsia="Calibri" w:hAnsi="Calibri" w:cs="Calibri"/>
        </w:rPr>
        <w:t>Summary</w:t>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Pr>
          <w:rFonts w:ascii="Calibri" w:eastAsia="Calibri" w:hAnsi="Calibri" w:cs="Calibri"/>
        </w:rPr>
        <w:tab/>
      </w:r>
      <w:r w:rsidR="00775AF7" w:rsidRPr="00342227">
        <w:rPr>
          <w:rFonts w:ascii="Calibri" w:eastAsia="Calibri" w:hAnsi="Calibri" w:cs="Calibri"/>
        </w:rPr>
        <w:t xml:space="preserve"> </w:t>
      </w:r>
      <w:r w:rsidR="0061119E" w:rsidRPr="00342227">
        <w:rPr>
          <w:rFonts w:ascii="Calibri" w:eastAsia="Calibri" w:hAnsi="Calibri" w:cs="Calibri"/>
        </w:rPr>
        <w:t>page 4</w:t>
      </w:r>
      <w:r w:rsidR="00BE1CE0" w:rsidRPr="00342227">
        <w:rPr>
          <w:rFonts w:ascii="Calibri" w:eastAsia="Calibri" w:hAnsi="Calibri" w:cs="Calibri"/>
        </w:rPr>
        <w:t>1</w:t>
      </w:r>
    </w:p>
    <w:p w14:paraId="7CCF07ED" w14:textId="49FE1769" w:rsidR="00DA2ECE" w:rsidRPr="00DA2ECE" w:rsidRDefault="00DA2ECE" w:rsidP="00DA2ECE">
      <w:pPr>
        <w:rPr>
          <w:rFonts w:cstheme="minorHAnsi"/>
          <w:sz w:val="24"/>
          <w:szCs w:val="24"/>
        </w:rPr>
      </w:pPr>
      <w:r w:rsidRPr="00DA2ECE">
        <w:rPr>
          <w:rFonts w:cstheme="minorHAnsi"/>
          <w:sz w:val="24"/>
          <w:szCs w:val="24"/>
        </w:rPr>
        <w:t>Reflections</w:t>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713B19" w:rsidRPr="00112931">
        <w:rPr>
          <w:rFonts w:cstheme="minorHAnsi"/>
          <w:sz w:val="24"/>
          <w:szCs w:val="24"/>
        </w:rPr>
        <w:tab/>
      </w:r>
      <w:r w:rsidR="00F37BF2" w:rsidRPr="005A3C78">
        <w:rPr>
          <w:rFonts w:cstheme="minorHAnsi"/>
        </w:rPr>
        <w:t xml:space="preserve"> </w:t>
      </w:r>
      <w:r w:rsidR="00713B19" w:rsidRPr="005A3C78">
        <w:rPr>
          <w:rFonts w:cstheme="minorHAnsi"/>
        </w:rPr>
        <w:t>page</w:t>
      </w:r>
      <w:r w:rsidR="00143107" w:rsidRPr="005A3C78">
        <w:rPr>
          <w:rFonts w:cstheme="minorHAnsi"/>
        </w:rPr>
        <w:t xml:space="preserve"> </w:t>
      </w:r>
      <w:r w:rsidR="0061119E" w:rsidRPr="005A3C78">
        <w:rPr>
          <w:rFonts w:cstheme="minorHAnsi"/>
        </w:rPr>
        <w:t>4</w:t>
      </w:r>
      <w:r w:rsidR="00BE1CE0" w:rsidRPr="005A3C78">
        <w:rPr>
          <w:rFonts w:cstheme="minorHAnsi"/>
        </w:rPr>
        <w:t>3</w:t>
      </w:r>
    </w:p>
    <w:p w14:paraId="2D700616" w14:textId="0C8C7572" w:rsidR="00DA2ECE" w:rsidRPr="00DA2ECE" w:rsidRDefault="00DA2ECE" w:rsidP="00DA2ECE">
      <w:pPr>
        <w:rPr>
          <w:rFonts w:cstheme="minorHAnsi"/>
          <w:sz w:val="24"/>
          <w:szCs w:val="24"/>
        </w:rPr>
      </w:pPr>
      <w:r w:rsidRPr="00DA2ECE">
        <w:rPr>
          <w:rFonts w:cstheme="minorHAnsi"/>
          <w:sz w:val="24"/>
          <w:szCs w:val="24"/>
        </w:rPr>
        <w:t xml:space="preserve">Chapter Three: The Encounter </w:t>
      </w:r>
      <w:r w:rsidR="00713B19" w:rsidRPr="00112931">
        <w:rPr>
          <w:rFonts w:cstheme="minorHAnsi"/>
          <w:sz w:val="24"/>
          <w:szCs w:val="24"/>
        </w:rPr>
        <w:t>(</w:t>
      </w:r>
      <w:r w:rsidRPr="00DA2ECE">
        <w:rPr>
          <w:rFonts w:cstheme="minorHAnsi"/>
          <w:sz w:val="24"/>
          <w:szCs w:val="24"/>
        </w:rPr>
        <w:t>Literature Review</w:t>
      </w:r>
      <w:r w:rsidR="000D2088" w:rsidRPr="00112931">
        <w:rPr>
          <w:rFonts w:cstheme="minorHAnsi"/>
          <w:sz w:val="24"/>
          <w:szCs w:val="24"/>
        </w:rPr>
        <w:t>)</w:t>
      </w:r>
      <w:r w:rsidR="000D2088" w:rsidRPr="00112931">
        <w:rPr>
          <w:rFonts w:cstheme="minorHAnsi"/>
          <w:sz w:val="24"/>
          <w:szCs w:val="24"/>
        </w:rPr>
        <w:tab/>
      </w:r>
      <w:r w:rsidR="000D2088" w:rsidRPr="00112931">
        <w:rPr>
          <w:rFonts w:cstheme="minorHAnsi"/>
          <w:sz w:val="24"/>
          <w:szCs w:val="24"/>
        </w:rPr>
        <w:tab/>
      </w:r>
      <w:r w:rsidR="000D2088" w:rsidRPr="00112931">
        <w:rPr>
          <w:rFonts w:cstheme="minorHAnsi"/>
          <w:sz w:val="24"/>
          <w:szCs w:val="24"/>
        </w:rPr>
        <w:tab/>
      </w:r>
      <w:r w:rsidR="000D2088" w:rsidRPr="00112931">
        <w:rPr>
          <w:rFonts w:cstheme="minorHAnsi"/>
          <w:sz w:val="24"/>
          <w:szCs w:val="24"/>
        </w:rPr>
        <w:tab/>
      </w:r>
      <w:r w:rsidR="00143107">
        <w:rPr>
          <w:rFonts w:cstheme="minorHAnsi"/>
          <w:sz w:val="24"/>
          <w:szCs w:val="24"/>
        </w:rPr>
        <w:t xml:space="preserve"> </w:t>
      </w:r>
      <w:r w:rsidR="000D2088" w:rsidRPr="005A3C78">
        <w:rPr>
          <w:rFonts w:cstheme="minorHAnsi"/>
        </w:rPr>
        <w:t>page</w:t>
      </w:r>
      <w:r w:rsidR="00143107" w:rsidRPr="005A3C78">
        <w:rPr>
          <w:rFonts w:cstheme="minorHAnsi"/>
        </w:rPr>
        <w:t xml:space="preserve"> </w:t>
      </w:r>
      <w:r w:rsidR="001427D0" w:rsidRPr="005A3C78">
        <w:rPr>
          <w:rFonts w:cstheme="minorHAnsi"/>
        </w:rPr>
        <w:t>4</w:t>
      </w:r>
      <w:r w:rsidR="00BE1CE0" w:rsidRPr="005A3C78">
        <w:rPr>
          <w:rFonts w:cstheme="minorHAnsi"/>
        </w:rPr>
        <w:t>5</w:t>
      </w:r>
    </w:p>
    <w:p w14:paraId="23ADD747" w14:textId="62AFCB9B" w:rsidR="0001403E" w:rsidRPr="0001403E" w:rsidRDefault="0001403E" w:rsidP="0001403E">
      <w:pPr>
        <w:ind w:firstLine="720"/>
        <w:rPr>
          <w:rFonts w:ascii="Calibri" w:eastAsia="Calibri" w:hAnsi="Calibri" w:cs="Calibri"/>
        </w:rPr>
      </w:pPr>
      <w:r w:rsidRPr="0001403E">
        <w:rPr>
          <w:rFonts w:ascii="Calibri" w:eastAsia="Calibri" w:hAnsi="Calibri" w:cs="Calibri"/>
        </w:rPr>
        <w:t>Introduction</w:t>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Pr>
          <w:rFonts w:ascii="Calibri" w:eastAsia="Calibri" w:hAnsi="Calibri" w:cs="Calibri"/>
        </w:rPr>
        <w:tab/>
      </w:r>
      <w:r w:rsidR="001427D0" w:rsidRPr="005A3C78">
        <w:rPr>
          <w:rFonts w:ascii="Calibri" w:eastAsia="Calibri" w:hAnsi="Calibri" w:cs="Calibri"/>
        </w:rPr>
        <w:t xml:space="preserve"> page 4</w:t>
      </w:r>
      <w:r w:rsidR="007D0755" w:rsidRPr="005A3C78">
        <w:rPr>
          <w:rFonts w:ascii="Calibri" w:eastAsia="Calibri" w:hAnsi="Calibri" w:cs="Calibri"/>
        </w:rPr>
        <w:t>6</w:t>
      </w:r>
    </w:p>
    <w:p w14:paraId="024B6AFB" w14:textId="660CC746" w:rsidR="002C0A1E" w:rsidRPr="00047070" w:rsidRDefault="001E42EE" w:rsidP="004046C4">
      <w:pPr>
        <w:rPr>
          <w:rFonts w:ascii="Calibri" w:eastAsia="Calibri" w:hAnsi="Calibri" w:cs="Calibri"/>
          <w:sz w:val="24"/>
          <w:szCs w:val="24"/>
        </w:rPr>
      </w:pPr>
      <w:r w:rsidRPr="00047070">
        <w:rPr>
          <w:rFonts w:ascii="Calibri" w:eastAsia="Calibri" w:hAnsi="Calibri" w:cs="Calibri"/>
          <w:sz w:val="24"/>
          <w:szCs w:val="24"/>
        </w:rPr>
        <w:t>Part One</w:t>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C79A1">
        <w:rPr>
          <w:rFonts w:ascii="Calibri" w:eastAsia="Calibri" w:hAnsi="Calibri" w:cs="Calibri"/>
          <w:sz w:val="24"/>
          <w:szCs w:val="24"/>
        </w:rPr>
        <w:tab/>
      </w:r>
      <w:r w:rsidR="001427D0">
        <w:rPr>
          <w:rFonts w:ascii="Calibri" w:eastAsia="Calibri" w:hAnsi="Calibri" w:cs="Calibri"/>
          <w:sz w:val="24"/>
          <w:szCs w:val="24"/>
        </w:rPr>
        <w:t xml:space="preserve"> </w:t>
      </w:r>
      <w:r w:rsidR="001427D0" w:rsidRPr="00FB03D6">
        <w:rPr>
          <w:rFonts w:ascii="Calibri" w:eastAsia="Calibri" w:hAnsi="Calibri" w:cs="Calibri"/>
        </w:rPr>
        <w:t>page</w:t>
      </w:r>
      <w:r w:rsidR="00A07F33" w:rsidRPr="00FB03D6">
        <w:rPr>
          <w:rFonts w:ascii="Calibri" w:eastAsia="Calibri" w:hAnsi="Calibri" w:cs="Calibri"/>
        </w:rPr>
        <w:t xml:space="preserve"> </w:t>
      </w:r>
      <w:r w:rsidR="001427D0" w:rsidRPr="00FB03D6">
        <w:rPr>
          <w:rFonts w:ascii="Calibri" w:eastAsia="Calibri" w:hAnsi="Calibri" w:cs="Calibri"/>
        </w:rPr>
        <w:t>4</w:t>
      </w:r>
      <w:r w:rsidR="00FB03D6">
        <w:rPr>
          <w:rFonts w:ascii="Calibri" w:eastAsia="Calibri" w:hAnsi="Calibri" w:cs="Calibri"/>
        </w:rPr>
        <w:t>7</w:t>
      </w:r>
    </w:p>
    <w:p w14:paraId="5F287E1B" w14:textId="3D006665" w:rsidR="0001403E" w:rsidRPr="000C23F6" w:rsidRDefault="0001403E" w:rsidP="0001403E">
      <w:pPr>
        <w:ind w:firstLine="720"/>
        <w:rPr>
          <w:rFonts w:ascii="Calibri" w:eastAsia="Calibri" w:hAnsi="Calibri" w:cs="Calibri"/>
          <w:sz w:val="24"/>
          <w:szCs w:val="24"/>
        </w:rPr>
      </w:pPr>
      <w:r w:rsidRPr="0001403E">
        <w:rPr>
          <w:rFonts w:ascii="Calibri" w:eastAsia="Calibri" w:hAnsi="Calibri" w:cs="Calibri"/>
        </w:rPr>
        <w:t>Reflecting on the research questions</w:t>
      </w:r>
      <w:r w:rsidR="00771212">
        <w:rPr>
          <w:rFonts w:ascii="Calibri" w:eastAsia="Calibri" w:hAnsi="Calibri" w:cs="Calibri"/>
        </w:rPr>
        <w:tab/>
      </w:r>
      <w:r w:rsidR="00771212">
        <w:rPr>
          <w:rFonts w:ascii="Calibri" w:eastAsia="Calibri" w:hAnsi="Calibri" w:cs="Calibri"/>
        </w:rPr>
        <w:tab/>
      </w:r>
      <w:r w:rsidR="00771212">
        <w:rPr>
          <w:rFonts w:ascii="Calibri" w:eastAsia="Calibri" w:hAnsi="Calibri" w:cs="Calibri"/>
        </w:rPr>
        <w:tab/>
      </w:r>
      <w:r w:rsidR="00771212">
        <w:rPr>
          <w:rFonts w:ascii="Calibri" w:eastAsia="Calibri" w:hAnsi="Calibri" w:cs="Calibri"/>
        </w:rPr>
        <w:tab/>
      </w:r>
      <w:r w:rsidR="00771212">
        <w:rPr>
          <w:rFonts w:ascii="Calibri" w:eastAsia="Calibri" w:hAnsi="Calibri" w:cs="Calibri"/>
        </w:rPr>
        <w:tab/>
      </w:r>
      <w:r w:rsidR="000C23F6">
        <w:rPr>
          <w:rFonts w:ascii="Calibri" w:eastAsia="Calibri" w:hAnsi="Calibri" w:cs="Calibri"/>
        </w:rPr>
        <w:t xml:space="preserve"> </w:t>
      </w:r>
      <w:r w:rsidR="000C23F6" w:rsidRPr="00FB03D6">
        <w:rPr>
          <w:rFonts w:ascii="Calibri" w:eastAsia="Calibri" w:hAnsi="Calibri" w:cs="Calibri"/>
        </w:rPr>
        <w:t>page 4</w:t>
      </w:r>
      <w:r w:rsidR="004D447A">
        <w:rPr>
          <w:rFonts w:ascii="Calibri" w:eastAsia="Calibri" w:hAnsi="Calibri" w:cs="Calibri"/>
        </w:rPr>
        <w:t>7</w:t>
      </w:r>
    </w:p>
    <w:p w14:paraId="2F7ABE4E" w14:textId="13D85B21" w:rsidR="0001403E" w:rsidRPr="000C23F6" w:rsidRDefault="0001403E" w:rsidP="0001403E">
      <w:pPr>
        <w:ind w:firstLine="720"/>
        <w:rPr>
          <w:rFonts w:ascii="Calibri" w:eastAsia="Calibri" w:hAnsi="Calibri" w:cs="Calibri"/>
          <w:sz w:val="24"/>
          <w:szCs w:val="24"/>
        </w:rPr>
      </w:pPr>
      <w:r w:rsidRPr="0001403E">
        <w:rPr>
          <w:rFonts w:ascii="Calibri" w:eastAsia="Calibri" w:hAnsi="Calibri" w:cs="Calibri"/>
        </w:rPr>
        <w:t>The psychosocial</w:t>
      </w:r>
      <w:r w:rsidR="000C23F6">
        <w:rPr>
          <w:rFonts w:ascii="Calibri" w:eastAsia="Calibri" w:hAnsi="Calibri" w:cs="Calibri"/>
        </w:rPr>
        <w:tab/>
      </w:r>
      <w:r w:rsidR="000C23F6">
        <w:rPr>
          <w:rFonts w:ascii="Calibri" w:eastAsia="Calibri" w:hAnsi="Calibri" w:cs="Calibri"/>
        </w:rPr>
        <w:tab/>
      </w:r>
      <w:r w:rsidR="000C23F6">
        <w:rPr>
          <w:rFonts w:ascii="Calibri" w:eastAsia="Calibri" w:hAnsi="Calibri" w:cs="Calibri"/>
        </w:rPr>
        <w:tab/>
      </w:r>
      <w:r w:rsidR="000C23F6">
        <w:rPr>
          <w:rFonts w:ascii="Calibri" w:eastAsia="Calibri" w:hAnsi="Calibri" w:cs="Calibri"/>
        </w:rPr>
        <w:tab/>
      </w:r>
      <w:r w:rsidR="000C23F6">
        <w:rPr>
          <w:rFonts w:ascii="Calibri" w:eastAsia="Calibri" w:hAnsi="Calibri" w:cs="Calibri"/>
        </w:rPr>
        <w:tab/>
      </w:r>
      <w:r w:rsidR="000C23F6">
        <w:rPr>
          <w:rFonts w:ascii="Calibri" w:eastAsia="Calibri" w:hAnsi="Calibri" w:cs="Calibri"/>
        </w:rPr>
        <w:tab/>
      </w:r>
      <w:r w:rsidR="000C23F6">
        <w:rPr>
          <w:rFonts w:ascii="Calibri" w:eastAsia="Calibri" w:hAnsi="Calibri" w:cs="Calibri"/>
        </w:rPr>
        <w:tab/>
        <w:t xml:space="preserve"> </w:t>
      </w:r>
      <w:r w:rsidR="000C23F6" w:rsidRPr="00FB03D6">
        <w:rPr>
          <w:rFonts w:ascii="Calibri" w:eastAsia="Calibri" w:hAnsi="Calibri" w:cs="Calibri"/>
        </w:rPr>
        <w:t>page 4</w:t>
      </w:r>
      <w:r w:rsidR="00FB03D6">
        <w:rPr>
          <w:rFonts w:ascii="Calibri" w:eastAsia="Calibri" w:hAnsi="Calibri" w:cs="Calibri"/>
        </w:rPr>
        <w:t>8</w:t>
      </w:r>
    </w:p>
    <w:p w14:paraId="12E390C7" w14:textId="1918DDD6" w:rsidR="0001403E" w:rsidRPr="009002BE" w:rsidRDefault="0001403E" w:rsidP="0001403E">
      <w:pPr>
        <w:ind w:firstLine="720"/>
        <w:rPr>
          <w:rFonts w:ascii="Calibri" w:eastAsia="Calibri" w:hAnsi="Calibri" w:cs="Calibri"/>
          <w:sz w:val="24"/>
          <w:szCs w:val="24"/>
        </w:rPr>
      </w:pPr>
      <w:r w:rsidRPr="0001403E">
        <w:rPr>
          <w:rFonts w:ascii="Calibri" w:eastAsia="Calibri" w:hAnsi="Calibri" w:cs="Calibri"/>
        </w:rPr>
        <w:t>A future requirement</w:t>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sidRPr="004D447A">
        <w:rPr>
          <w:rFonts w:ascii="Calibri" w:eastAsia="Calibri" w:hAnsi="Calibri" w:cs="Calibri"/>
        </w:rPr>
        <w:t xml:space="preserve"> page 4</w:t>
      </w:r>
      <w:r w:rsidR="007D0755" w:rsidRPr="004D447A">
        <w:rPr>
          <w:rFonts w:ascii="Calibri" w:eastAsia="Calibri" w:hAnsi="Calibri" w:cs="Calibri"/>
        </w:rPr>
        <w:t>8</w:t>
      </w:r>
    </w:p>
    <w:p w14:paraId="3F35DEFC" w14:textId="749FD2D9" w:rsidR="0001403E" w:rsidRPr="00D70767" w:rsidRDefault="0001403E" w:rsidP="0001403E">
      <w:pPr>
        <w:ind w:firstLine="720"/>
        <w:rPr>
          <w:rFonts w:ascii="Calibri" w:eastAsia="Calibri" w:hAnsi="Calibri" w:cs="Calibri"/>
          <w:sz w:val="24"/>
          <w:szCs w:val="24"/>
        </w:rPr>
      </w:pPr>
      <w:r w:rsidRPr="0001403E">
        <w:rPr>
          <w:rFonts w:ascii="Calibri" w:eastAsia="Calibri" w:hAnsi="Calibri" w:cs="Calibri"/>
        </w:rPr>
        <w:t>Learning and emotions</w:t>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Pr>
          <w:rFonts w:ascii="Calibri" w:eastAsia="Calibri" w:hAnsi="Calibri" w:cs="Calibri"/>
        </w:rPr>
        <w:tab/>
      </w:r>
      <w:r w:rsidR="009002BE" w:rsidRPr="004D447A">
        <w:rPr>
          <w:rFonts w:ascii="Calibri" w:eastAsia="Calibri" w:hAnsi="Calibri" w:cs="Calibri"/>
        </w:rPr>
        <w:t xml:space="preserve"> </w:t>
      </w:r>
      <w:r w:rsidR="00D70767" w:rsidRPr="004D447A">
        <w:rPr>
          <w:rFonts w:ascii="Calibri" w:eastAsia="Calibri" w:hAnsi="Calibri" w:cs="Calibri"/>
        </w:rPr>
        <w:t xml:space="preserve">page </w:t>
      </w:r>
      <w:r w:rsidR="004D447A">
        <w:rPr>
          <w:rFonts w:ascii="Calibri" w:eastAsia="Calibri" w:hAnsi="Calibri" w:cs="Calibri"/>
        </w:rPr>
        <w:t>50</w:t>
      </w:r>
    </w:p>
    <w:p w14:paraId="10B84856" w14:textId="08ABC95D" w:rsidR="0001403E" w:rsidRPr="00D70767" w:rsidRDefault="0001403E" w:rsidP="0001403E">
      <w:pPr>
        <w:ind w:firstLine="720"/>
        <w:rPr>
          <w:rFonts w:ascii="Calibri" w:eastAsia="Calibri" w:hAnsi="Calibri" w:cs="Calibri"/>
          <w:sz w:val="24"/>
          <w:szCs w:val="24"/>
        </w:rPr>
      </w:pPr>
      <w:r w:rsidRPr="0001403E">
        <w:rPr>
          <w:rFonts w:ascii="Calibri" w:eastAsia="Calibri" w:hAnsi="Calibri" w:cs="Calibri"/>
        </w:rPr>
        <w:t>Student well-being</w:t>
      </w:r>
      <w:r w:rsidR="00D70767">
        <w:rPr>
          <w:rFonts w:ascii="Calibri" w:eastAsia="Calibri" w:hAnsi="Calibri" w:cs="Calibri"/>
        </w:rPr>
        <w:tab/>
      </w:r>
      <w:r w:rsidR="00D70767">
        <w:rPr>
          <w:rFonts w:ascii="Calibri" w:eastAsia="Calibri" w:hAnsi="Calibri" w:cs="Calibri"/>
        </w:rPr>
        <w:tab/>
      </w:r>
      <w:r w:rsidR="00D70767">
        <w:rPr>
          <w:rFonts w:ascii="Calibri" w:eastAsia="Calibri" w:hAnsi="Calibri" w:cs="Calibri"/>
        </w:rPr>
        <w:tab/>
      </w:r>
      <w:r w:rsidR="00D70767">
        <w:rPr>
          <w:rFonts w:ascii="Calibri" w:eastAsia="Calibri" w:hAnsi="Calibri" w:cs="Calibri"/>
        </w:rPr>
        <w:tab/>
      </w:r>
      <w:r w:rsidR="00D70767">
        <w:rPr>
          <w:rFonts w:ascii="Calibri" w:eastAsia="Calibri" w:hAnsi="Calibri" w:cs="Calibri"/>
        </w:rPr>
        <w:tab/>
      </w:r>
      <w:r w:rsidR="00D70767">
        <w:rPr>
          <w:rFonts w:ascii="Calibri" w:eastAsia="Calibri" w:hAnsi="Calibri" w:cs="Calibri"/>
        </w:rPr>
        <w:tab/>
      </w:r>
      <w:r w:rsidR="00D70767">
        <w:rPr>
          <w:rFonts w:ascii="Calibri" w:eastAsia="Calibri" w:hAnsi="Calibri" w:cs="Calibri"/>
        </w:rPr>
        <w:tab/>
      </w:r>
      <w:r w:rsidR="00D70767" w:rsidRPr="00CF4636">
        <w:rPr>
          <w:rFonts w:ascii="Calibri" w:eastAsia="Calibri" w:hAnsi="Calibri" w:cs="Calibri"/>
        </w:rPr>
        <w:t xml:space="preserve"> </w:t>
      </w:r>
      <w:r w:rsidR="00727872" w:rsidRPr="00CF4636">
        <w:rPr>
          <w:rFonts w:ascii="Calibri" w:eastAsia="Calibri" w:hAnsi="Calibri" w:cs="Calibri"/>
        </w:rPr>
        <w:t>page 52</w:t>
      </w:r>
    </w:p>
    <w:p w14:paraId="08BBB61B" w14:textId="74E05391" w:rsidR="0001403E" w:rsidRPr="00727872" w:rsidRDefault="0001403E" w:rsidP="0001403E">
      <w:pPr>
        <w:ind w:firstLine="720"/>
        <w:rPr>
          <w:rFonts w:ascii="Calibri" w:eastAsia="Calibri" w:hAnsi="Calibri" w:cs="Calibri"/>
          <w:sz w:val="24"/>
          <w:szCs w:val="24"/>
        </w:rPr>
      </w:pPr>
      <w:r w:rsidRPr="0001403E">
        <w:rPr>
          <w:rFonts w:ascii="Calibri" w:eastAsia="Calibri" w:hAnsi="Calibri" w:cs="Calibri"/>
        </w:rPr>
        <w:t>Pastoral responsibility</w:t>
      </w:r>
      <w:r w:rsidR="00727872">
        <w:rPr>
          <w:rFonts w:ascii="Calibri" w:eastAsia="Calibri" w:hAnsi="Calibri" w:cs="Calibri"/>
        </w:rPr>
        <w:tab/>
      </w:r>
      <w:r w:rsidR="00727872">
        <w:rPr>
          <w:rFonts w:ascii="Calibri" w:eastAsia="Calibri" w:hAnsi="Calibri" w:cs="Calibri"/>
        </w:rPr>
        <w:tab/>
      </w:r>
      <w:r w:rsidR="00727872">
        <w:rPr>
          <w:rFonts w:ascii="Calibri" w:eastAsia="Calibri" w:hAnsi="Calibri" w:cs="Calibri"/>
        </w:rPr>
        <w:tab/>
      </w:r>
      <w:r w:rsidR="00727872">
        <w:rPr>
          <w:rFonts w:ascii="Calibri" w:eastAsia="Calibri" w:hAnsi="Calibri" w:cs="Calibri"/>
        </w:rPr>
        <w:tab/>
      </w:r>
      <w:r w:rsidR="00727872">
        <w:rPr>
          <w:rFonts w:ascii="Calibri" w:eastAsia="Calibri" w:hAnsi="Calibri" w:cs="Calibri"/>
        </w:rPr>
        <w:tab/>
      </w:r>
      <w:r w:rsidR="00727872">
        <w:rPr>
          <w:rFonts w:ascii="Calibri" w:eastAsia="Calibri" w:hAnsi="Calibri" w:cs="Calibri"/>
        </w:rPr>
        <w:tab/>
      </w:r>
      <w:r w:rsidR="00727872">
        <w:rPr>
          <w:rFonts w:ascii="Calibri" w:eastAsia="Calibri" w:hAnsi="Calibri" w:cs="Calibri"/>
        </w:rPr>
        <w:tab/>
      </w:r>
      <w:r w:rsidR="00727872" w:rsidRPr="00CF4636">
        <w:rPr>
          <w:rFonts w:ascii="Calibri" w:eastAsia="Calibri" w:hAnsi="Calibri" w:cs="Calibri"/>
        </w:rPr>
        <w:t xml:space="preserve"> page 5</w:t>
      </w:r>
      <w:r w:rsidR="00CF4636">
        <w:rPr>
          <w:rFonts w:ascii="Calibri" w:eastAsia="Calibri" w:hAnsi="Calibri" w:cs="Calibri"/>
        </w:rPr>
        <w:t>5</w:t>
      </w:r>
    </w:p>
    <w:p w14:paraId="2445D964" w14:textId="3C1DE11F" w:rsidR="0001403E" w:rsidRPr="00F60E17" w:rsidRDefault="0001403E" w:rsidP="0001403E">
      <w:pPr>
        <w:ind w:firstLine="720"/>
        <w:rPr>
          <w:rFonts w:ascii="Calibri" w:eastAsia="Calibri" w:hAnsi="Calibri" w:cs="Calibri"/>
          <w:sz w:val="24"/>
          <w:szCs w:val="24"/>
        </w:rPr>
      </w:pPr>
      <w:r w:rsidRPr="0001403E">
        <w:rPr>
          <w:rFonts w:ascii="Calibri" w:eastAsia="Calibri" w:hAnsi="Calibri" w:cs="Calibri"/>
        </w:rPr>
        <w:t>Teacher well-being</w:t>
      </w:r>
      <w:r w:rsidR="005F3045">
        <w:rPr>
          <w:rFonts w:ascii="Calibri" w:eastAsia="Calibri" w:hAnsi="Calibri" w:cs="Calibri"/>
        </w:rPr>
        <w:t xml:space="preserve"> role</w:t>
      </w:r>
      <w:r w:rsidR="00D501E4">
        <w:rPr>
          <w:rFonts w:ascii="Calibri" w:eastAsia="Calibri" w:hAnsi="Calibri" w:cs="Calibri"/>
        </w:rPr>
        <w:tab/>
      </w:r>
      <w:r w:rsidR="00F60E17">
        <w:rPr>
          <w:rFonts w:ascii="Calibri" w:eastAsia="Calibri" w:hAnsi="Calibri" w:cs="Calibri"/>
        </w:rPr>
        <w:tab/>
      </w:r>
      <w:r w:rsidR="00F60E17">
        <w:rPr>
          <w:rFonts w:ascii="Calibri" w:eastAsia="Calibri" w:hAnsi="Calibri" w:cs="Calibri"/>
        </w:rPr>
        <w:tab/>
      </w:r>
      <w:r w:rsidR="00F60E17">
        <w:rPr>
          <w:rFonts w:ascii="Calibri" w:eastAsia="Calibri" w:hAnsi="Calibri" w:cs="Calibri"/>
        </w:rPr>
        <w:tab/>
      </w:r>
      <w:r w:rsidR="00F60E17">
        <w:rPr>
          <w:rFonts w:ascii="Calibri" w:eastAsia="Calibri" w:hAnsi="Calibri" w:cs="Calibri"/>
        </w:rPr>
        <w:tab/>
      </w:r>
      <w:r w:rsidR="00F60E17">
        <w:rPr>
          <w:rFonts w:ascii="Calibri" w:eastAsia="Calibri" w:hAnsi="Calibri" w:cs="Calibri"/>
        </w:rPr>
        <w:tab/>
      </w:r>
      <w:r w:rsidR="00F60E17">
        <w:rPr>
          <w:rFonts w:ascii="Calibri" w:eastAsia="Calibri" w:hAnsi="Calibri" w:cs="Calibri"/>
        </w:rPr>
        <w:tab/>
        <w:t xml:space="preserve"> </w:t>
      </w:r>
      <w:r w:rsidR="00F60E17" w:rsidRPr="00C55597">
        <w:rPr>
          <w:rFonts w:ascii="Calibri" w:eastAsia="Calibri" w:hAnsi="Calibri" w:cs="Calibri"/>
        </w:rPr>
        <w:t>page 5</w:t>
      </w:r>
      <w:r w:rsidR="00DA4F3A" w:rsidRPr="00C55597">
        <w:rPr>
          <w:rFonts w:ascii="Calibri" w:eastAsia="Calibri" w:hAnsi="Calibri" w:cs="Calibri"/>
        </w:rPr>
        <w:t>6</w:t>
      </w:r>
    </w:p>
    <w:p w14:paraId="26B191EB" w14:textId="102AD84D" w:rsidR="0001403E" w:rsidRPr="00A970D2" w:rsidRDefault="0001403E" w:rsidP="0001403E">
      <w:pPr>
        <w:ind w:firstLine="720"/>
        <w:rPr>
          <w:rFonts w:ascii="Calibri" w:eastAsia="Calibri" w:hAnsi="Calibri" w:cs="Calibri"/>
          <w:sz w:val="24"/>
          <w:szCs w:val="24"/>
        </w:rPr>
      </w:pPr>
      <w:r w:rsidRPr="0001403E">
        <w:rPr>
          <w:rFonts w:ascii="Calibri" w:eastAsia="Calibri" w:hAnsi="Calibri" w:cs="Calibri"/>
        </w:rPr>
        <w:t>Mental health among HE staff</w:t>
      </w:r>
      <w:r w:rsidR="00A970D2">
        <w:rPr>
          <w:rFonts w:ascii="Calibri" w:eastAsia="Calibri" w:hAnsi="Calibri" w:cs="Calibri"/>
        </w:rPr>
        <w:tab/>
      </w:r>
      <w:r w:rsidR="00A970D2">
        <w:rPr>
          <w:rFonts w:ascii="Calibri" w:eastAsia="Calibri" w:hAnsi="Calibri" w:cs="Calibri"/>
        </w:rPr>
        <w:tab/>
      </w:r>
      <w:r w:rsidR="00A970D2">
        <w:rPr>
          <w:rFonts w:ascii="Calibri" w:eastAsia="Calibri" w:hAnsi="Calibri" w:cs="Calibri"/>
        </w:rPr>
        <w:tab/>
      </w:r>
      <w:r w:rsidR="00A970D2">
        <w:rPr>
          <w:rFonts w:ascii="Calibri" w:eastAsia="Calibri" w:hAnsi="Calibri" w:cs="Calibri"/>
        </w:rPr>
        <w:tab/>
      </w:r>
      <w:r w:rsidR="00A970D2">
        <w:rPr>
          <w:rFonts w:ascii="Calibri" w:eastAsia="Calibri" w:hAnsi="Calibri" w:cs="Calibri"/>
        </w:rPr>
        <w:tab/>
      </w:r>
      <w:r w:rsidR="00A970D2">
        <w:rPr>
          <w:rFonts w:ascii="Calibri" w:eastAsia="Calibri" w:hAnsi="Calibri" w:cs="Calibri"/>
        </w:rPr>
        <w:tab/>
        <w:t xml:space="preserve"> </w:t>
      </w:r>
      <w:r w:rsidR="00A970D2" w:rsidRPr="00C55597">
        <w:rPr>
          <w:rFonts w:ascii="Calibri" w:eastAsia="Calibri" w:hAnsi="Calibri" w:cs="Calibri"/>
        </w:rPr>
        <w:t>page</w:t>
      </w:r>
      <w:r w:rsidR="00F34B78" w:rsidRPr="00C55597">
        <w:rPr>
          <w:rFonts w:ascii="Calibri" w:eastAsia="Calibri" w:hAnsi="Calibri" w:cs="Calibri"/>
        </w:rPr>
        <w:t xml:space="preserve"> 5</w:t>
      </w:r>
      <w:r w:rsidR="00C55597">
        <w:rPr>
          <w:rFonts w:ascii="Calibri" w:eastAsia="Calibri" w:hAnsi="Calibri" w:cs="Calibri"/>
        </w:rPr>
        <w:t>7</w:t>
      </w:r>
    </w:p>
    <w:p w14:paraId="0537ADE1" w14:textId="3FDDB2F8" w:rsidR="0001403E" w:rsidRPr="00F34B78" w:rsidRDefault="0001403E" w:rsidP="0001403E">
      <w:pPr>
        <w:ind w:firstLine="720"/>
        <w:rPr>
          <w:rFonts w:ascii="Calibri" w:eastAsia="Calibri" w:hAnsi="Calibri" w:cs="Calibri"/>
          <w:sz w:val="24"/>
          <w:szCs w:val="24"/>
        </w:rPr>
      </w:pPr>
      <w:r w:rsidRPr="0001403E">
        <w:rPr>
          <w:rFonts w:ascii="Calibri" w:eastAsia="Calibri" w:hAnsi="Calibri" w:cs="Calibri"/>
        </w:rPr>
        <w:t>A compromised environment</w:t>
      </w:r>
      <w:r w:rsidR="00F34B78">
        <w:rPr>
          <w:rFonts w:ascii="Calibri" w:eastAsia="Calibri" w:hAnsi="Calibri" w:cs="Calibri"/>
        </w:rPr>
        <w:tab/>
      </w:r>
      <w:r w:rsidR="00F34B78">
        <w:rPr>
          <w:rFonts w:ascii="Calibri" w:eastAsia="Calibri" w:hAnsi="Calibri" w:cs="Calibri"/>
        </w:rPr>
        <w:tab/>
      </w:r>
      <w:r w:rsidR="00F34B78">
        <w:rPr>
          <w:rFonts w:ascii="Calibri" w:eastAsia="Calibri" w:hAnsi="Calibri" w:cs="Calibri"/>
        </w:rPr>
        <w:tab/>
      </w:r>
      <w:r w:rsidR="00F34B78">
        <w:rPr>
          <w:rFonts w:ascii="Calibri" w:eastAsia="Calibri" w:hAnsi="Calibri" w:cs="Calibri"/>
        </w:rPr>
        <w:tab/>
      </w:r>
      <w:r w:rsidR="00F34B78">
        <w:rPr>
          <w:rFonts w:ascii="Calibri" w:eastAsia="Calibri" w:hAnsi="Calibri" w:cs="Calibri"/>
        </w:rPr>
        <w:tab/>
      </w:r>
      <w:r w:rsidR="00F34B78">
        <w:rPr>
          <w:rFonts w:ascii="Calibri" w:eastAsia="Calibri" w:hAnsi="Calibri" w:cs="Calibri"/>
        </w:rPr>
        <w:tab/>
      </w:r>
      <w:r w:rsidR="00F34B78" w:rsidRPr="00C55597">
        <w:rPr>
          <w:rFonts w:ascii="Calibri" w:eastAsia="Calibri" w:hAnsi="Calibri" w:cs="Calibri"/>
        </w:rPr>
        <w:t xml:space="preserve"> page 5</w:t>
      </w:r>
      <w:r w:rsidR="00C55597">
        <w:rPr>
          <w:rFonts w:ascii="Calibri" w:eastAsia="Calibri" w:hAnsi="Calibri" w:cs="Calibri"/>
        </w:rPr>
        <w:t>8</w:t>
      </w:r>
    </w:p>
    <w:p w14:paraId="44164B7B" w14:textId="3AA2F17B" w:rsidR="0001403E" w:rsidRPr="0024631F" w:rsidRDefault="0001403E" w:rsidP="0001403E">
      <w:pPr>
        <w:ind w:firstLine="720"/>
        <w:rPr>
          <w:rFonts w:ascii="Calibri" w:eastAsia="Calibri" w:hAnsi="Calibri" w:cs="Calibri"/>
          <w:sz w:val="24"/>
          <w:szCs w:val="24"/>
        </w:rPr>
      </w:pPr>
      <w:r w:rsidRPr="0001403E">
        <w:rPr>
          <w:rFonts w:ascii="Calibri" w:eastAsia="Calibri" w:hAnsi="Calibri" w:cs="Calibri"/>
        </w:rPr>
        <w:t>Lacks in well-being provision for</w:t>
      </w:r>
      <w:r w:rsidR="000D1C65">
        <w:rPr>
          <w:rFonts w:ascii="Calibri" w:eastAsia="Calibri" w:hAnsi="Calibri" w:cs="Calibri"/>
        </w:rPr>
        <w:t xml:space="preserve"> HE</w:t>
      </w:r>
      <w:r w:rsidRPr="0001403E">
        <w:rPr>
          <w:rFonts w:ascii="Calibri" w:eastAsia="Calibri" w:hAnsi="Calibri" w:cs="Calibri"/>
        </w:rPr>
        <w:t xml:space="preserve"> staff</w:t>
      </w:r>
      <w:r w:rsidR="000D1C65">
        <w:rPr>
          <w:rFonts w:ascii="Calibri" w:eastAsia="Calibri" w:hAnsi="Calibri" w:cs="Calibri"/>
        </w:rPr>
        <w:tab/>
      </w:r>
      <w:r w:rsidR="000D1C65">
        <w:rPr>
          <w:rFonts w:ascii="Calibri" w:eastAsia="Calibri" w:hAnsi="Calibri" w:cs="Calibri"/>
        </w:rPr>
        <w:tab/>
      </w:r>
      <w:r w:rsidR="000D1C65">
        <w:rPr>
          <w:rFonts w:ascii="Calibri" w:eastAsia="Calibri" w:hAnsi="Calibri" w:cs="Calibri"/>
        </w:rPr>
        <w:tab/>
      </w:r>
      <w:r w:rsidR="000D1C65">
        <w:rPr>
          <w:rFonts w:ascii="Calibri" w:eastAsia="Calibri" w:hAnsi="Calibri" w:cs="Calibri"/>
        </w:rPr>
        <w:tab/>
        <w:t xml:space="preserve"> </w:t>
      </w:r>
      <w:r w:rsidR="0024631F" w:rsidRPr="00AB5497">
        <w:rPr>
          <w:rFonts w:ascii="Calibri" w:eastAsia="Calibri" w:hAnsi="Calibri" w:cs="Calibri"/>
        </w:rPr>
        <w:t xml:space="preserve">page </w:t>
      </w:r>
      <w:r w:rsidR="003D29B6" w:rsidRPr="00AB5497">
        <w:rPr>
          <w:rFonts w:ascii="Calibri" w:eastAsia="Calibri" w:hAnsi="Calibri" w:cs="Calibri"/>
        </w:rPr>
        <w:t>59</w:t>
      </w:r>
    </w:p>
    <w:p w14:paraId="265A971C" w14:textId="6E1B1369" w:rsidR="0001403E" w:rsidRPr="00373577" w:rsidRDefault="0001403E" w:rsidP="0001403E">
      <w:pPr>
        <w:ind w:firstLine="720"/>
        <w:rPr>
          <w:rFonts w:ascii="Calibri" w:eastAsia="Calibri" w:hAnsi="Calibri" w:cs="Calibri"/>
          <w:sz w:val="24"/>
          <w:szCs w:val="24"/>
        </w:rPr>
      </w:pPr>
      <w:r w:rsidRPr="0001403E">
        <w:rPr>
          <w:rFonts w:ascii="Calibri" w:eastAsia="Calibri" w:hAnsi="Calibri" w:cs="Calibri"/>
        </w:rPr>
        <w:t>A history of holding</w:t>
      </w:r>
      <w:r w:rsidR="00373577">
        <w:rPr>
          <w:rFonts w:ascii="Calibri" w:eastAsia="Calibri" w:hAnsi="Calibri" w:cs="Calibri"/>
        </w:rPr>
        <w:tab/>
      </w:r>
      <w:r w:rsidR="00373577">
        <w:rPr>
          <w:rFonts w:ascii="Calibri" w:eastAsia="Calibri" w:hAnsi="Calibri" w:cs="Calibri"/>
        </w:rPr>
        <w:tab/>
      </w:r>
      <w:r w:rsidR="00373577">
        <w:rPr>
          <w:rFonts w:ascii="Calibri" w:eastAsia="Calibri" w:hAnsi="Calibri" w:cs="Calibri"/>
        </w:rPr>
        <w:tab/>
      </w:r>
      <w:r w:rsidR="00373577">
        <w:rPr>
          <w:rFonts w:ascii="Calibri" w:eastAsia="Calibri" w:hAnsi="Calibri" w:cs="Calibri"/>
        </w:rPr>
        <w:tab/>
      </w:r>
      <w:r w:rsidR="00373577">
        <w:rPr>
          <w:rFonts w:ascii="Calibri" w:eastAsia="Calibri" w:hAnsi="Calibri" w:cs="Calibri"/>
        </w:rPr>
        <w:tab/>
      </w:r>
      <w:r w:rsidR="00373577">
        <w:rPr>
          <w:rFonts w:ascii="Calibri" w:eastAsia="Calibri" w:hAnsi="Calibri" w:cs="Calibri"/>
        </w:rPr>
        <w:tab/>
      </w:r>
      <w:r w:rsidR="00373577">
        <w:rPr>
          <w:rFonts w:ascii="Calibri" w:eastAsia="Calibri" w:hAnsi="Calibri" w:cs="Calibri"/>
        </w:rPr>
        <w:tab/>
      </w:r>
      <w:r w:rsidR="00373577" w:rsidRPr="00AB5497">
        <w:rPr>
          <w:rFonts w:ascii="Calibri" w:eastAsia="Calibri" w:hAnsi="Calibri" w:cs="Calibri"/>
        </w:rPr>
        <w:t xml:space="preserve"> page 6</w:t>
      </w:r>
      <w:r w:rsidR="00AB5497" w:rsidRPr="00AB5497">
        <w:rPr>
          <w:rFonts w:ascii="Calibri" w:eastAsia="Calibri" w:hAnsi="Calibri" w:cs="Calibri"/>
        </w:rPr>
        <w:t>1</w:t>
      </w:r>
    </w:p>
    <w:p w14:paraId="7C63D673" w14:textId="0FC9C15C" w:rsidR="0001403E" w:rsidRPr="001E7E4A" w:rsidRDefault="0001403E" w:rsidP="0001403E">
      <w:pPr>
        <w:ind w:firstLine="720"/>
        <w:rPr>
          <w:rFonts w:ascii="Calibri" w:eastAsia="Calibri" w:hAnsi="Calibri" w:cs="Calibri"/>
          <w:sz w:val="24"/>
          <w:szCs w:val="24"/>
        </w:rPr>
      </w:pPr>
      <w:r w:rsidRPr="0001403E">
        <w:rPr>
          <w:rFonts w:ascii="Calibri" w:eastAsia="Calibri" w:hAnsi="Calibri" w:cs="Calibri"/>
        </w:rPr>
        <w:t>Winnicott amid a non-facilitating environment</w:t>
      </w:r>
      <w:r w:rsidR="001E7E4A">
        <w:rPr>
          <w:rFonts w:ascii="Calibri" w:eastAsia="Calibri" w:hAnsi="Calibri" w:cs="Calibri"/>
        </w:rPr>
        <w:tab/>
      </w:r>
      <w:r w:rsidR="001E7E4A">
        <w:rPr>
          <w:rFonts w:ascii="Calibri" w:eastAsia="Calibri" w:hAnsi="Calibri" w:cs="Calibri"/>
        </w:rPr>
        <w:tab/>
      </w:r>
      <w:r w:rsidR="001E7E4A">
        <w:rPr>
          <w:rFonts w:ascii="Calibri" w:eastAsia="Calibri" w:hAnsi="Calibri" w:cs="Calibri"/>
        </w:rPr>
        <w:tab/>
      </w:r>
      <w:r w:rsidR="001E7E4A">
        <w:rPr>
          <w:rFonts w:ascii="Calibri" w:eastAsia="Calibri" w:hAnsi="Calibri" w:cs="Calibri"/>
        </w:rPr>
        <w:tab/>
        <w:t xml:space="preserve"> </w:t>
      </w:r>
      <w:r w:rsidR="001E7E4A" w:rsidRPr="00AB5497">
        <w:rPr>
          <w:rFonts w:ascii="Calibri" w:eastAsia="Calibri" w:hAnsi="Calibri" w:cs="Calibri"/>
        </w:rPr>
        <w:t>page 6</w:t>
      </w:r>
      <w:r w:rsidR="003D29B6" w:rsidRPr="00AB5497">
        <w:rPr>
          <w:rFonts w:ascii="Calibri" w:eastAsia="Calibri" w:hAnsi="Calibri" w:cs="Calibri"/>
        </w:rPr>
        <w:t>2</w:t>
      </w:r>
    </w:p>
    <w:p w14:paraId="1D26EC58" w14:textId="791D9B9C" w:rsidR="0001403E" w:rsidRPr="00A87702" w:rsidRDefault="0001403E" w:rsidP="0001403E">
      <w:pPr>
        <w:ind w:firstLine="720"/>
        <w:rPr>
          <w:rFonts w:ascii="Calibri" w:eastAsia="Calibri" w:hAnsi="Calibri" w:cs="Calibri"/>
          <w:sz w:val="24"/>
          <w:szCs w:val="24"/>
        </w:rPr>
      </w:pPr>
      <w:r w:rsidRPr="0001403E">
        <w:rPr>
          <w:rFonts w:ascii="Calibri" w:eastAsia="Calibri" w:hAnsi="Calibri" w:cs="Calibri"/>
        </w:rPr>
        <w:t>Winnicott and object relations</w:t>
      </w:r>
      <w:r w:rsidR="00A87702">
        <w:rPr>
          <w:rFonts w:ascii="Calibri" w:eastAsia="Calibri" w:hAnsi="Calibri" w:cs="Calibri"/>
        </w:rPr>
        <w:tab/>
      </w:r>
      <w:r w:rsidR="00A87702">
        <w:rPr>
          <w:rFonts w:ascii="Calibri" w:eastAsia="Calibri" w:hAnsi="Calibri" w:cs="Calibri"/>
        </w:rPr>
        <w:tab/>
      </w:r>
      <w:r w:rsidR="00A87702">
        <w:rPr>
          <w:rFonts w:ascii="Calibri" w:eastAsia="Calibri" w:hAnsi="Calibri" w:cs="Calibri"/>
        </w:rPr>
        <w:tab/>
      </w:r>
      <w:r w:rsidR="00A87702">
        <w:rPr>
          <w:rFonts w:ascii="Calibri" w:eastAsia="Calibri" w:hAnsi="Calibri" w:cs="Calibri"/>
        </w:rPr>
        <w:tab/>
      </w:r>
      <w:r w:rsidR="00A87702">
        <w:rPr>
          <w:rFonts w:ascii="Calibri" w:eastAsia="Calibri" w:hAnsi="Calibri" w:cs="Calibri"/>
        </w:rPr>
        <w:tab/>
      </w:r>
      <w:r w:rsidR="00A87702">
        <w:rPr>
          <w:rFonts w:ascii="Calibri" w:eastAsia="Calibri" w:hAnsi="Calibri" w:cs="Calibri"/>
        </w:rPr>
        <w:tab/>
        <w:t xml:space="preserve"> </w:t>
      </w:r>
      <w:r w:rsidR="00A87702" w:rsidRPr="00AB5497">
        <w:rPr>
          <w:rFonts w:ascii="Calibri" w:eastAsia="Calibri" w:hAnsi="Calibri" w:cs="Calibri"/>
        </w:rPr>
        <w:t>page 6</w:t>
      </w:r>
      <w:r w:rsidR="00AB5497" w:rsidRPr="00AB5497">
        <w:rPr>
          <w:rFonts w:ascii="Calibri" w:eastAsia="Calibri" w:hAnsi="Calibri" w:cs="Calibri"/>
        </w:rPr>
        <w:t>4</w:t>
      </w:r>
    </w:p>
    <w:p w14:paraId="6BC14BF4" w14:textId="38D7C1D5" w:rsidR="00A8616B" w:rsidRDefault="0001403E" w:rsidP="00A8616B">
      <w:pPr>
        <w:ind w:firstLine="720"/>
        <w:rPr>
          <w:rFonts w:ascii="Calibri" w:eastAsia="Calibri" w:hAnsi="Calibri" w:cs="Calibri"/>
        </w:rPr>
      </w:pPr>
      <w:r w:rsidRPr="0001403E">
        <w:rPr>
          <w:rFonts w:ascii="Calibri" w:eastAsia="Calibri" w:hAnsi="Calibri" w:cs="Calibri"/>
        </w:rPr>
        <w:t xml:space="preserve">Holding </w:t>
      </w:r>
      <w:r w:rsidR="005B5675">
        <w:rPr>
          <w:rFonts w:ascii="Calibri" w:eastAsia="Calibri" w:hAnsi="Calibri" w:cs="Calibri"/>
        </w:rPr>
        <w:t xml:space="preserve">of </w:t>
      </w:r>
      <w:r w:rsidRPr="0001403E">
        <w:rPr>
          <w:rFonts w:ascii="Calibri" w:eastAsia="Calibri" w:hAnsi="Calibri" w:cs="Calibri"/>
        </w:rPr>
        <w:t>teaching, teachers and learning</w:t>
      </w:r>
      <w:r w:rsidR="005B5675">
        <w:rPr>
          <w:rFonts w:ascii="Calibri" w:eastAsia="Calibri" w:hAnsi="Calibri" w:cs="Calibri"/>
        </w:rPr>
        <w:tab/>
      </w:r>
      <w:r w:rsidR="005B5675">
        <w:rPr>
          <w:rFonts w:ascii="Calibri" w:eastAsia="Calibri" w:hAnsi="Calibri" w:cs="Calibri"/>
        </w:rPr>
        <w:tab/>
      </w:r>
      <w:r w:rsidR="005B5675">
        <w:rPr>
          <w:rFonts w:ascii="Calibri" w:eastAsia="Calibri" w:hAnsi="Calibri" w:cs="Calibri"/>
        </w:rPr>
        <w:tab/>
      </w:r>
      <w:r w:rsidR="005B5675">
        <w:rPr>
          <w:rFonts w:ascii="Calibri" w:eastAsia="Calibri" w:hAnsi="Calibri" w:cs="Calibri"/>
        </w:rPr>
        <w:tab/>
      </w:r>
      <w:r w:rsidR="005B5675" w:rsidRPr="00AB5497">
        <w:rPr>
          <w:rFonts w:ascii="Calibri" w:eastAsia="Calibri" w:hAnsi="Calibri" w:cs="Calibri"/>
        </w:rPr>
        <w:t xml:space="preserve"> page 6</w:t>
      </w:r>
      <w:r w:rsidR="000200E3" w:rsidRPr="00AB5497">
        <w:rPr>
          <w:rFonts w:ascii="Calibri" w:eastAsia="Calibri" w:hAnsi="Calibri" w:cs="Calibri"/>
        </w:rPr>
        <w:t>5</w:t>
      </w:r>
      <w:r w:rsidR="00A87702">
        <w:rPr>
          <w:rFonts w:ascii="Calibri" w:eastAsia="Calibri" w:hAnsi="Calibri" w:cs="Calibri"/>
        </w:rPr>
        <w:tab/>
      </w:r>
    </w:p>
    <w:p w14:paraId="0335B9B9" w14:textId="467F2BCD" w:rsidR="0001403E" w:rsidRPr="002A1715" w:rsidRDefault="0001403E" w:rsidP="00A8616B">
      <w:pPr>
        <w:ind w:firstLine="720"/>
        <w:rPr>
          <w:rFonts w:ascii="Calibri" w:eastAsia="Calibri" w:hAnsi="Calibri" w:cs="Calibri"/>
          <w:sz w:val="24"/>
          <w:szCs w:val="24"/>
        </w:rPr>
      </w:pPr>
      <w:r w:rsidRPr="0001403E">
        <w:rPr>
          <w:rFonts w:ascii="Calibri" w:eastAsia="Calibri" w:hAnsi="Calibri" w:cs="Calibri"/>
        </w:rPr>
        <w:t>Teaching with emotional transitions in mind</w:t>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t xml:space="preserve"> </w:t>
      </w:r>
      <w:r w:rsidR="002A1715" w:rsidRPr="00C45200">
        <w:rPr>
          <w:rFonts w:ascii="Calibri" w:eastAsia="Calibri" w:hAnsi="Calibri" w:cs="Calibri"/>
        </w:rPr>
        <w:t>page 6</w:t>
      </w:r>
      <w:r w:rsidR="00C45200" w:rsidRPr="00C45200">
        <w:rPr>
          <w:rFonts w:ascii="Calibri" w:eastAsia="Calibri" w:hAnsi="Calibri" w:cs="Calibri"/>
        </w:rPr>
        <w:t>7</w:t>
      </w:r>
    </w:p>
    <w:p w14:paraId="3F229A7D" w14:textId="1E72B6FF" w:rsidR="0001403E" w:rsidRPr="002A1715" w:rsidRDefault="0001403E" w:rsidP="0001403E">
      <w:pPr>
        <w:ind w:firstLine="720"/>
        <w:rPr>
          <w:rFonts w:ascii="Calibri" w:eastAsia="Calibri" w:hAnsi="Calibri" w:cs="Calibri"/>
          <w:sz w:val="24"/>
          <w:szCs w:val="24"/>
        </w:rPr>
      </w:pPr>
      <w:r w:rsidRPr="0001403E">
        <w:rPr>
          <w:rFonts w:ascii="Calibri" w:eastAsia="Calibri" w:hAnsi="Calibri" w:cs="Calibri"/>
        </w:rPr>
        <w:t>The role of public institutions in well-being</w:t>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t xml:space="preserve"> </w:t>
      </w:r>
      <w:r w:rsidR="002A1715" w:rsidRPr="00C45200">
        <w:rPr>
          <w:rFonts w:ascii="Calibri" w:eastAsia="Calibri" w:hAnsi="Calibri" w:cs="Calibri"/>
        </w:rPr>
        <w:t xml:space="preserve">page </w:t>
      </w:r>
      <w:r w:rsidR="00C45200" w:rsidRPr="00C45200">
        <w:rPr>
          <w:rFonts w:ascii="Calibri" w:eastAsia="Calibri" w:hAnsi="Calibri" w:cs="Calibri"/>
        </w:rPr>
        <w:t>70</w:t>
      </w:r>
    </w:p>
    <w:p w14:paraId="2D8D94AA" w14:textId="6D596D9B" w:rsidR="0001403E" w:rsidRDefault="0001403E" w:rsidP="0001403E">
      <w:pPr>
        <w:ind w:firstLine="720"/>
        <w:rPr>
          <w:rFonts w:ascii="Calibri" w:eastAsia="Calibri" w:hAnsi="Calibri" w:cs="Calibri"/>
        </w:rPr>
      </w:pPr>
      <w:r w:rsidRPr="0001403E">
        <w:rPr>
          <w:rFonts w:ascii="Calibri" w:eastAsia="Calibri" w:hAnsi="Calibri" w:cs="Calibri"/>
        </w:rPr>
        <w:t>Winnicott in a diaspora</w:t>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r>
      <w:r w:rsidR="002A1715">
        <w:rPr>
          <w:rFonts w:ascii="Calibri" w:eastAsia="Calibri" w:hAnsi="Calibri" w:cs="Calibri"/>
        </w:rPr>
        <w:tab/>
        <w:t xml:space="preserve"> </w:t>
      </w:r>
      <w:r w:rsidR="00435A80" w:rsidRPr="00C45200">
        <w:rPr>
          <w:rFonts w:ascii="Calibri" w:eastAsia="Calibri" w:hAnsi="Calibri" w:cs="Calibri"/>
        </w:rPr>
        <w:t>page 7</w:t>
      </w:r>
      <w:r w:rsidR="00C45200" w:rsidRPr="00C45200">
        <w:rPr>
          <w:rFonts w:ascii="Calibri" w:eastAsia="Calibri" w:hAnsi="Calibri" w:cs="Calibri"/>
        </w:rPr>
        <w:t>3</w:t>
      </w:r>
    </w:p>
    <w:p w14:paraId="6708D1D2" w14:textId="77777777" w:rsidR="007700EB" w:rsidRPr="0001403E" w:rsidRDefault="007700EB" w:rsidP="0001403E">
      <w:pPr>
        <w:ind w:firstLine="720"/>
        <w:rPr>
          <w:rFonts w:ascii="Calibri" w:eastAsia="Calibri" w:hAnsi="Calibri" w:cs="Calibri"/>
        </w:rPr>
      </w:pPr>
    </w:p>
    <w:p w14:paraId="60F9A79C" w14:textId="77777777" w:rsidR="00F93245" w:rsidRDefault="00F93245" w:rsidP="0001403E">
      <w:pPr>
        <w:ind w:firstLine="720"/>
        <w:rPr>
          <w:rFonts w:ascii="Calibri" w:eastAsia="Calibri" w:hAnsi="Calibri" w:cs="Calibri"/>
        </w:rPr>
      </w:pPr>
    </w:p>
    <w:p w14:paraId="671A6E67" w14:textId="77777777" w:rsidR="00F93245" w:rsidRDefault="00F93245" w:rsidP="0001403E">
      <w:pPr>
        <w:ind w:firstLine="720"/>
        <w:rPr>
          <w:rFonts w:ascii="Calibri" w:eastAsia="Calibri" w:hAnsi="Calibri" w:cs="Calibri"/>
        </w:rPr>
      </w:pPr>
    </w:p>
    <w:p w14:paraId="2B8D13C7" w14:textId="7C7415A3" w:rsidR="0001403E" w:rsidRPr="0001403E" w:rsidRDefault="007700EB" w:rsidP="0001403E">
      <w:pPr>
        <w:ind w:firstLine="720"/>
        <w:rPr>
          <w:rFonts w:ascii="Calibri" w:eastAsia="Calibri" w:hAnsi="Calibri" w:cs="Calibri"/>
        </w:rPr>
      </w:pPr>
      <w:r>
        <w:rPr>
          <w:rFonts w:ascii="Calibri" w:eastAsia="Calibri" w:hAnsi="Calibri" w:cs="Calibri"/>
        </w:rPr>
        <w:lastRenderedPageBreak/>
        <w:t>Introducing r</w:t>
      </w:r>
      <w:r w:rsidR="0001403E" w:rsidRPr="0001403E">
        <w:rPr>
          <w:rFonts w:ascii="Calibri" w:eastAsia="Calibri" w:hAnsi="Calibri" w:cs="Calibri"/>
        </w:rPr>
        <w:t>eflective practice</w:t>
      </w:r>
      <w:r w:rsidR="00435A80">
        <w:rPr>
          <w:rFonts w:ascii="Calibri" w:eastAsia="Calibri" w:hAnsi="Calibri" w:cs="Calibri"/>
        </w:rPr>
        <w:tab/>
      </w:r>
      <w:r w:rsidR="00435A80">
        <w:rPr>
          <w:rFonts w:ascii="Calibri" w:eastAsia="Calibri" w:hAnsi="Calibri" w:cs="Calibri"/>
        </w:rPr>
        <w:tab/>
      </w:r>
      <w:r w:rsidR="00435A80">
        <w:rPr>
          <w:rFonts w:ascii="Calibri" w:eastAsia="Calibri" w:hAnsi="Calibri" w:cs="Calibri"/>
        </w:rPr>
        <w:tab/>
      </w:r>
      <w:r w:rsidR="00435A80">
        <w:rPr>
          <w:rFonts w:ascii="Calibri" w:eastAsia="Calibri" w:hAnsi="Calibri" w:cs="Calibri"/>
        </w:rPr>
        <w:tab/>
      </w:r>
      <w:r w:rsidR="00435A80">
        <w:rPr>
          <w:rFonts w:ascii="Calibri" w:eastAsia="Calibri" w:hAnsi="Calibri" w:cs="Calibri"/>
        </w:rPr>
        <w:tab/>
      </w:r>
      <w:r w:rsidR="00435A80">
        <w:rPr>
          <w:rFonts w:ascii="Calibri" w:eastAsia="Calibri" w:hAnsi="Calibri" w:cs="Calibri"/>
        </w:rPr>
        <w:tab/>
      </w:r>
      <w:r w:rsidR="00435A80" w:rsidRPr="00365CF4">
        <w:rPr>
          <w:rFonts w:ascii="Calibri" w:eastAsia="Calibri" w:hAnsi="Calibri" w:cs="Calibri"/>
        </w:rPr>
        <w:t xml:space="preserve"> page 7</w:t>
      </w:r>
      <w:r w:rsidR="0076378E">
        <w:rPr>
          <w:rFonts w:ascii="Calibri" w:eastAsia="Calibri" w:hAnsi="Calibri" w:cs="Calibri"/>
        </w:rPr>
        <w:t>5</w:t>
      </w:r>
    </w:p>
    <w:p w14:paraId="5E3C80D9" w14:textId="38F06B4C" w:rsidR="0001403E" w:rsidRPr="00127354" w:rsidRDefault="0001403E" w:rsidP="0001403E">
      <w:pPr>
        <w:ind w:firstLine="720"/>
        <w:rPr>
          <w:rFonts w:ascii="Calibri" w:eastAsia="Calibri" w:hAnsi="Calibri" w:cs="Calibri"/>
          <w:sz w:val="24"/>
          <w:szCs w:val="24"/>
        </w:rPr>
      </w:pPr>
      <w:r w:rsidRPr="0001403E">
        <w:rPr>
          <w:rFonts w:ascii="Calibri" w:eastAsia="Calibri" w:hAnsi="Calibri" w:cs="Calibri"/>
        </w:rPr>
        <w:t>Defining reflective practice</w:t>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sidRPr="00365CF4">
        <w:rPr>
          <w:rFonts w:ascii="Calibri" w:eastAsia="Calibri" w:hAnsi="Calibri" w:cs="Calibri"/>
        </w:rPr>
        <w:t xml:space="preserve"> page 7</w:t>
      </w:r>
      <w:r w:rsidR="006D79A3">
        <w:rPr>
          <w:rFonts w:ascii="Calibri" w:eastAsia="Calibri" w:hAnsi="Calibri" w:cs="Calibri"/>
        </w:rPr>
        <w:t>5</w:t>
      </w:r>
    </w:p>
    <w:p w14:paraId="5227F094" w14:textId="110E63DF" w:rsidR="0001403E" w:rsidRPr="00127354" w:rsidRDefault="0001403E" w:rsidP="0001403E">
      <w:pPr>
        <w:ind w:firstLine="720"/>
        <w:rPr>
          <w:rFonts w:ascii="Calibri" w:eastAsia="Calibri" w:hAnsi="Calibri" w:cs="Calibri"/>
          <w:sz w:val="24"/>
          <w:szCs w:val="24"/>
        </w:rPr>
      </w:pPr>
      <w:r w:rsidRPr="0001403E">
        <w:rPr>
          <w:rFonts w:ascii="Calibri" w:eastAsia="Calibri" w:hAnsi="Calibri" w:cs="Calibri"/>
        </w:rPr>
        <w:t>History of reflective practice</w:t>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r>
      <w:r w:rsidR="00127354">
        <w:rPr>
          <w:rFonts w:ascii="Calibri" w:eastAsia="Calibri" w:hAnsi="Calibri" w:cs="Calibri"/>
        </w:rPr>
        <w:tab/>
        <w:t xml:space="preserve"> </w:t>
      </w:r>
      <w:r w:rsidR="00127354" w:rsidRPr="00365CF4">
        <w:rPr>
          <w:rFonts w:ascii="Calibri" w:eastAsia="Calibri" w:hAnsi="Calibri" w:cs="Calibri"/>
        </w:rPr>
        <w:t>page 7</w:t>
      </w:r>
      <w:r w:rsidR="006D79A3">
        <w:rPr>
          <w:rFonts w:ascii="Calibri" w:eastAsia="Calibri" w:hAnsi="Calibri" w:cs="Calibri"/>
        </w:rPr>
        <w:t>5</w:t>
      </w:r>
    </w:p>
    <w:p w14:paraId="61453F3F" w14:textId="096577A5" w:rsidR="0001403E" w:rsidRPr="00AD2DD7" w:rsidRDefault="0001403E" w:rsidP="0001403E">
      <w:pPr>
        <w:ind w:firstLine="720"/>
        <w:rPr>
          <w:rFonts w:ascii="Calibri" w:eastAsia="Calibri" w:hAnsi="Calibri" w:cs="Calibri"/>
          <w:sz w:val="24"/>
          <w:szCs w:val="24"/>
        </w:rPr>
      </w:pPr>
      <w:r w:rsidRPr="0001403E">
        <w:rPr>
          <w:rFonts w:ascii="Calibri" w:eastAsia="Calibri" w:hAnsi="Calibri" w:cs="Calibri"/>
        </w:rPr>
        <w:t>Reflective practice in teaching</w:t>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t xml:space="preserve"> </w:t>
      </w:r>
      <w:r w:rsidR="00AD2DD7" w:rsidRPr="00365CF4">
        <w:rPr>
          <w:rFonts w:ascii="Calibri" w:eastAsia="Calibri" w:hAnsi="Calibri" w:cs="Calibri"/>
        </w:rPr>
        <w:t>page 7</w:t>
      </w:r>
      <w:r w:rsidR="006D79A3">
        <w:rPr>
          <w:rFonts w:ascii="Calibri" w:eastAsia="Calibri" w:hAnsi="Calibri" w:cs="Calibri"/>
        </w:rPr>
        <w:t>6</w:t>
      </w:r>
    </w:p>
    <w:p w14:paraId="389839CA" w14:textId="18C7BE47" w:rsidR="0001403E" w:rsidRPr="00AD2DD7" w:rsidRDefault="0001403E" w:rsidP="0001403E">
      <w:pPr>
        <w:ind w:firstLine="720"/>
        <w:rPr>
          <w:rFonts w:ascii="Calibri" w:eastAsia="Calibri" w:hAnsi="Calibri" w:cs="Calibri"/>
          <w:sz w:val="24"/>
          <w:szCs w:val="24"/>
        </w:rPr>
      </w:pPr>
      <w:r w:rsidRPr="0001403E">
        <w:rPr>
          <w:rFonts w:ascii="Calibri" w:eastAsia="Calibri" w:hAnsi="Calibri" w:cs="Calibri"/>
        </w:rPr>
        <w:t>Instrumental reflection versus critical reflection</w:t>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sidRPr="00365CF4">
        <w:rPr>
          <w:rFonts w:ascii="Calibri" w:eastAsia="Calibri" w:hAnsi="Calibri" w:cs="Calibri"/>
        </w:rPr>
        <w:t xml:space="preserve"> page 7</w:t>
      </w:r>
      <w:r w:rsidR="006D79A3">
        <w:rPr>
          <w:rFonts w:ascii="Calibri" w:eastAsia="Calibri" w:hAnsi="Calibri" w:cs="Calibri"/>
        </w:rPr>
        <w:t>8</w:t>
      </w:r>
    </w:p>
    <w:p w14:paraId="42EDD56C" w14:textId="1A227462" w:rsidR="0001403E" w:rsidRPr="00AD2DD7" w:rsidRDefault="0001403E" w:rsidP="0001403E">
      <w:pPr>
        <w:ind w:firstLine="720"/>
        <w:rPr>
          <w:rFonts w:ascii="Calibri" w:eastAsia="Calibri" w:hAnsi="Calibri" w:cs="Calibri"/>
          <w:sz w:val="24"/>
          <w:szCs w:val="24"/>
        </w:rPr>
      </w:pPr>
      <w:r w:rsidRPr="0001403E">
        <w:rPr>
          <w:rFonts w:ascii="Calibri" w:eastAsia="Calibri" w:hAnsi="Calibri" w:cs="Calibri"/>
        </w:rPr>
        <w:t>Reflexivity</w:t>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sidRPr="00365CF4">
        <w:rPr>
          <w:rFonts w:ascii="Calibri" w:eastAsia="Calibri" w:hAnsi="Calibri" w:cs="Calibri"/>
        </w:rPr>
        <w:t xml:space="preserve"> page 7</w:t>
      </w:r>
      <w:r w:rsidR="006D79A3">
        <w:rPr>
          <w:rFonts w:ascii="Calibri" w:eastAsia="Calibri" w:hAnsi="Calibri" w:cs="Calibri"/>
        </w:rPr>
        <w:t>9</w:t>
      </w:r>
    </w:p>
    <w:p w14:paraId="39215E4F" w14:textId="531A355F" w:rsidR="0001403E" w:rsidRPr="00AD2DD7" w:rsidRDefault="0001403E" w:rsidP="0001403E">
      <w:pPr>
        <w:ind w:firstLine="720"/>
        <w:rPr>
          <w:rFonts w:ascii="Calibri" w:eastAsia="Calibri" w:hAnsi="Calibri" w:cs="Calibri"/>
          <w:sz w:val="24"/>
          <w:szCs w:val="24"/>
        </w:rPr>
      </w:pPr>
      <w:r w:rsidRPr="0001403E">
        <w:rPr>
          <w:rFonts w:ascii="Calibri" w:eastAsia="Calibri" w:hAnsi="Calibri" w:cs="Calibri"/>
        </w:rPr>
        <w:t>Reflective practice and emotion</w:t>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r>
      <w:r w:rsidR="00AD2DD7">
        <w:rPr>
          <w:rFonts w:ascii="Calibri" w:eastAsia="Calibri" w:hAnsi="Calibri" w:cs="Calibri"/>
        </w:rPr>
        <w:tab/>
        <w:t xml:space="preserve"> </w:t>
      </w:r>
      <w:r w:rsidR="00AD2DD7" w:rsidRPr="00365CF4">
        <w:rPr>
          <w:rFonts w:ascii="Calibri" w:eastAsia="Calibri" w:hAnsi="Calibri" w:cs="Calibri"/>
        </w:rPr>
        <w:t xml:space="preserve">page </w:t>
      </w:r>
      <w:r w:rsidR="000C0C09" w:rsidRPr="00365CF4">
        <w:rPr>
          <w:rFonts w:ascii="Calibri" w:eastAsia="Calibri" w:hAnsi="Calibri" w:cs="Calibri"/>
        </w:rPr>
        <w:t>79</w:t>
      </w:r>
    </w:p>
    <w:p w14:paraId="502BE0E1" w14:textId="0CAE9F6F" w:rsidR="0001403E" w:rsidRPr="0001403E" w:rsidRDefault="0001403E" w:rsidP="0001403E">
      <w:pPr>
        <w:ind w:firstLine="720"/>
        <w:rPr>
          <w:rFonts w:ascii="Calibri" w:eastAsia="Calibri" w:hAnsi="Calibri" w:cs="Calibri"/>
        </w:rPr>
      </w:pPr>
      <w:r w:rsidRPr="0001403E">
        <w:rPr>
          <w:rFonts w:ascii="Calibri" w:eastAsia="Calibri" w:hAnsi="Calibri" w:cs="Calibri"/>
        </w:rPr>
        <w:t>Critique of reflective practice</w:t>
      </w:r>
      <w:r w:rsidR="003E20EC">
        <w:rPr>
          <w:rFonts w:ascii="Calibri" w:eastAsia="Calibri" w:hAnsi="Calibri" w:cs="Calibri"/>
        </w:rPr>
        <w:tab/>
      </w:r>
      <w:r w:rsidR="003E20EC">
        <w:rPr>
          <w:rFonts w:ascii="Calibri" w:eastAsia="Calibri" w:hAnsi="Calibri" w:cs="Calibri"/>
        </w:rPr>
        <w:tab/>
      </w:r>
      <w:r w:rsidR="003E20EC">
        <w:rPr>
          <w:rFonts w:ascii="Calibri" w:eastAsia="Calibri" w:hAnsi="Calibri" w:cs="Calibri"/>
        </w:rPr>
        <w:tab/>
      </w:r>
      <w:r w:rsidR="003E20EC">
        <w:rPr>
          <w:rFonts w:ascii="Calibri" w:eastAsia="Calibri" w:hAnsi="Calibri" w:cs="Calibri"/>
        </w:rPr>
        <w:tab/>
      </w:r>
      <w:r w:rsidR="003E20EC">
        <w:rPr>
          <w:rFonts w:ascii="Calibri" w:eastAsia="Calibri" w:hAnsi="Calibri" w:cs="Calibri"/>
        </w:rPr>
        <w:tab/>
      </w:r>
      <w:r w:rsidR="003E20EC">
        <w:rPr>
          <w:rFonts w:ascii="Calibri" w:eastAsia="Calibri" w:hAnsi="Calibri" w:cs="Calibri"/>
        </w:rPr>
        <w:tab/>
      </w:r>
      <w:r w:rsidR="003E20EC" w:rsidRPr="00365CF4">
        <w:rPr>
          <w:rFonts w:ascii="Calibri" w:eastAsia="Calibri" w:hAnsi="Calibri" w:cs="Calibri"/>
        </w:rPr>
        <w:t xml:space="preserve"> page 8</w:t>
      </w:r>
      <w:r w:rsidR="0089480A">
        <w:rPr>
          <w:rFonts w:ascii="Calibri" w:eastAsia="Calibri" w:hAnsi="Calibri" w:cs="Calibri"/>
        </w:rPr>
        <w:t>1</w:t>
      </w:r>
    </w:p>
    <w:p w14:paraId="3E5EEBF5" w14:textId="50F7E1C1" w:rsidR="0001403E" w:rsidRPr="0001403E" w:rsidRDefault="0001403E" w:rsidP="0001403E">
      <w:pPr>
        <w:ind w:firstLine="720"/>
        <w:rPr>
          <w:rFonts w:ascii="Calibri" w:eastAsia="Calibri" w:hAnsi="Calibri" w:cs="Calibri"/>
        </w:rPr>
      </w:pPr>
      <w:r w:rsidRPr="0001403E">
        <w:rPr>
          <w:rFonts w:ascii="Calibri" w:eastAsia="Calibri" w:hAnsi="Calibri" w:cs="Calibri"/>
        </w:rPr>
        <w:t xml:space="preserve">Students: Personal Development </w:t>
      </w:r>
      <w:r w:rsidR="00334EAD">
        <w:rPr>
          <w:rFonts w:ascii="Calibri" w:eastAsia="Calibri" w:hAnsi="Calibri" w:cs="Calibri"/>
        </w:rPr>
        <w:t>Planni</w:t>
      </w:r>
      <w:r w:rsidR="000D1212">
        <w:rPr>
          <w:rFonts w:ascii="Calibri" w:eastAsia="Calibri" w:hAnsi="Calibri" w:cs="Calibri"/>
        </w:rPr>
        <w:t>ng</w:t>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t xml:space="preserve"> </w:t>
      </w:r>
      <w:r w:rsidR="00EE7A1B" w:rsidRPr="00365CF4">
        <w:rPr>
          <w:rFonts w:ascii="Calibri" w:eastAsia="Calibri" w:hAnsi="Calibri" w:cs="Calibri"/>
        </w:rPr>
        <w:t>page 8</w:t>
      </w:r>
      <w:r w:rsidR="0089480A">
        <w:rPr>
          <w:rFonts w:ascii="Calibri" w:eastAsia="Calibri" w:hAnsi="Calibri" w:cs="Calibri"/>
        </w:rPr>
        <w:t>4</w:t>
      </w:r>
    </w:p>
    <w:p w14:paraId="5A8EF623" w14:textId="232CD037" w:rsidR="0001403E" w:rsidRPr="0001403E" w:rsidRDefault="0001403E" w:rsidP="0001403E">
      <w:pPr>
        <w:ind w:firstLine="720"/>
        <w:rPr>
          <w:rFonts w:ascii="Calibri" w:eastAsia="Calibri" w:hAnsi="Calibri" w:cs="Calibri"/>
        </w:rPr>
      </w:pPr>
      <w:r w:rsidRPr="0001403E">
        <w:rPr>
          <w:rFonts w:ascii="Calibri" w:eastAsia="Calibri" w:hAnsi="Calibri" w:cs="Calibri"/>
        </w:rPr>
        <w:t>Teachers: Performance and Development Review</w:t>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t xml:space="preserve"> </w:t>
      </w:r>
      <w:r w:rsidR="00EE7A1B" w:rsidRPr="00365CF4">
        <w:rPr>
          <w:rFonts w:ascii="Calibri" w:eastAsia="Calibri" w:hAnsi="Calibri" w:cs="Calibri"/>
        </w:rPr>
        <w:t>page 8</w:t>
      </w:r>
      <w:r w:rsidR="0089480A">
        <w:rPr>
          <w:rFonts w:ascii="Calibri" w:eastAsia="Calibri" w:hAnsi="Calibri" w:cs="Calibri"/>
        </w:rPr>
        <w:t>4</w:t>
      </w:r>
    </w:p>
    <w:p w14:paraId="39857847" w14:textId="734D3F82" w:rsidR="0001403E" w:rsidRPr="0001403E" w:rsidRDefault="0001403E" w:rsidP="0001403E">
      <w:pPr>
        <w:ind w:firstLine="720"/>
        <w:rPr>
          <w:rFonts w:ascii="Calibri" w:eastAsia="Calibri" w:hAnsi="Calibri" w:cs="Calibri"/>
        </w:rPr>
      </w:pPr>
      <w:r w:rsidRPr="0001403E">
        <w:rPr>
          <w:rFonts w:ascii="Calibri" w:eastAsia="Calibri" w:hAnsi="Calibri" w:cs="Calibri"/>
        </w:rPr>
        <w:t>Is it safe to reflect?</w:t>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r>
      <w:r w:rsidR="00EE7A1B">
        <w:rPr>
          <w:rFonts w:ascii="Calibri" w:eastAsia="Calibri" w:hAnsi="Calibri" w:cs="Calibri"/>
        </w:rPr>
        <w:tab/>
        <w:t xml:space="preserve"> </w:t>
      </w:r>
      <w:r w:rsidR="00563DB0" w:rsidRPr="00365CF4">
        <w:rPr>
          <w:rFonts w:ascii="Calibri" w:eastAsia="Calibri" w:hAnsi="Calibri" w:cs="Calibri"/>
        </w:rPr>
        <w:t>p</w:t>
      </w:r>
      <w:r w:rsidR="00EE7A1B" w:rsidRPr="00365CF4">
        <w:rPr>
          <w:rFonts w:ascii="Calibri" w:eastAsia="Calibri" w:hAnsi="Calibri" w:cs="Calibri"/>
        </w:rPr>
        <w:t>age 8</w:t>
      </w:r>
      <w:r w:rsidR="0089480A">
        <w:rPr>
          <w:rFonts w:ascii="Calibri" w:eastAsia="Calibri" w:hAnsi="Calibri" w:cs="Calibri"/>
        </w:rPr>
        <w:t>5</w:t>
      </w:r>
    </w:p>
    <w:p w14:paraId="2BA2BFD0" w14:textId="35B0CB09" w:rsidR="006410C0" w:rsidRDefault="0001403E" w:rsidP="00C07DB6">
      <w:pPr>
        <w:ind w:firstLine="720"/>
        <w:rPr>
          <w:rFonts w:ascii="Calibri" w:eastAsia="Calibri" w:hAnsi="Calibri" w:cs="Calibri"/>
        </w:rPr>
      </w:pPr>
      <w:r w:rsidRPr="0001403E">
        <w:rPr>
          <w:rFonts w:ascii="Calibri" w:eastAsia="Calibri" w:hAnsi="Calibri" w:cs="Calibri"/>
        </w:rPr>
        <w:t>Supervision</w:t>
      </w:r>
      <w:r w:rsidR="00EE7A1B">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r>
      <w:r w:rsidR="00563DB0">
        <w:rPr>
          <w:rFonts w:ascii="Calibri" w:eastAsia="Calibri" w:hAnsi="Calibri" w:cs="Calibri"/>
        </w:rPr>
        <w:tab/>
        <w:t xml:space="preserve"> </w:t>
      </w:r>
      <w:r w:rsidR="00563DB0" w:rsidRPr="00365CF4">
        <w:rPr>
          <w:rFonts w:ascii="Calibri" w:eastAsia="Calibri" w:hAnsi="Calibri" w:cs="Calibri"/>
        </w:rPr>
        <w:t>page 8</w:t>
      </w:r>
      <w:r w:rsidR="000700AD">
        <w:rPr>
          <w:rFonts w:ascii="Calibri" w:eastAsia="Calibri" w:hAnsi="Calibri" w:cs="Calibri"/>
        </w:rPr>
        <w:t>6</w:t>
      </w:r>
      <w:r w:rsidR="00563DB0">
        <w:rPr>
          <w:rFonts w:ascii="Calibri" w:eastAsia="Calibri" w:hAnsi="Calibri" w:cs="Calibri"/>
        </w:rPr>
        <w:tab/>
      </w:r>
    </w:p>
    <w:p w14:paraId="5BE75343" w14:textId="2C562AEF" w:rsidR="00C07DB6" w:rsidRDefault="006410C0" w:rsidP="00C07DB6">
      <w:pPr>
        <w:ind w:firstLine="720"/>
        <w:rPr>
          <w:rFonts w:ascii="Calibri" w:eastAsia="Calibri" w:hAnsi="Calibri" w:cs="Calibri"/>
        </w:rPr>
      </w:pPr>
      <w:r>
        <w:rPr>
          <w:rFonts w:ascii="Calibri" w:eastAsia="Calibri" w:hAnsi="Calibri" w:cs="Calibri"/>
        </w:rPr>
        <w:t>Clinical supervision</w:t>
      </w:r>
      <w:r w:rsidR="00563DB0">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365CF4">
        <w:rPr>
          <w:rFonts w:ascii="Calibri" w:eastAsia="Calibri" w:hAnsi="Calibri" w:cs="Calibri"/>
        </w:rPr>
        <w:t xml:space="preserve"> page 8</w:t>
      </w:r>
      <w:r w:rsidR="000700AD">
        <w:rPr>
          <w:rFonts w:ascii="Calibri" w:eastAsia="Calibri" w:hAnsi="Calibri" w:cs="Calibri"/>
        </w:rPr>
        <w:t>8</w:t>
      </w:r>
    </w:p>
    <w:p w14:paraId="654CB109" w14:textId="7693D49E" w:rsidR="0001403E" w:rsidRPr="0001403E" w:rsidRDefault="0001403E" w:rsidP="00C07DB6">
      <w:pPr>
        <w:ind w:firstLine="720"/>
        <w:rPr>
          <w:rFonts w:ascii="Calibri" w:eastAsia="Calibri" w:hAnsi="Calibri" w:cs="Calibri"/>
        </w:rPr>
      </w:pPr>
      <w:r w:rsidRPr="0001403E">
        <w:rPr>
          <w:rFonts w:ascii="Calibri" w:eastAsia="Calibri" w:hAnsi="Calibri" w:cs="Calibri"/>
        </w:rPr>
        <w:t>Supervision and education</w:t>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t xml:space="preserve"> </w:t>
      </w:r>
      <w:r w:rsidR="00BC7FF1" w:rsidRPr="00365CF4">
        <w:rPr>
          <w:rFonts w:ascii="Calibri" w:eastAsia="Calibri" w:hAnsi="Calibri" w:cs="Calibri"/>
        </w:rPr>
        <w:t>page 8</w:t>
      </w:r>
      <w:r w:rsidR="000700AD">
        <w:rPr>
          <w:rFonts w:ascii="Calibri" w:eastAsia="Calibri" w:hAnsi="Calibri" w:cs="Calibri"/>
        </w:rPr>
        <w:t>9</w:t>
      </w:r>
    </w:p>
    <w:p w14:paraId="4A30941D" w14:textId="5269C1DA" w:rsidR="0001403E" w:rsidRPr="0001403E" w:rsidRDefault="0001403E" w:rsidP="0001403E">
      <w:pPr>
        <w:ind w:firstLine="720"/>
        <w:rPr>
          <w:rFonts w:ascii="Calibri" w:eastAsia="Calibri" w:hAnsi="Calibri" w:cs="Calibri"/>
        </w:rPr>
      </w:pPr>
      <w:r w:rsidRPr="0001403E">
        <w:rPr>
          <w:rFonts w:ascii="Calibri" w:eastAsia="Calibri" w:hAnsi="Calibri" w:cs="Calibri"/>
        </w:rPr>
        <w:t>Dangers of supervision</w:t>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r>
      <w:r w:rsidR="00BC7FF1">
        <w:rPr>
          <w:rFonts w:ascii="Calibri" w:eastAsia="Calibri" w:hAnsi="Calibri" w:cs="Calibri"/>
        </w:rPr>
        <w:tab/>
        <w:t xml:space="preserve"> </w:t>
      </w:r>
      <w:r w:rsidR="00BC7FF1" w:rsidRPr="00365CF4">
        <w:rPr>
          <w:rFonts w:ascii="Calibri" w:eastAsia="Calibri" w:hAnsi="Calibri" w:cs="Calibri"/>
        </w:rPr>
        <w:t>page 9</w:t>
      </w:r>
      <w:r w:rsidR="000700AD">
        <w:rPr>
          <w:rFonts w:ascii="Calibri" w:eastAsia="Calibri" w:hAnsi="Calibri" w:cs="Calibri"/>
        </w:rPr>
        <w:t>2</w:t>
      </w:r>
    </w:p>
    <w:p w14:paraId="24902D87" w14:textId="350865D1" w:rsidR="004046C4" w:rsidRPr="00365CF4" w:rsidRDefault="00433B5A" w:rsidP="004046C4">
      <w:pPr>
        <w:rPr>
          <w:rFonts w:ascii="Calibri" w:eastAsia="Calibri" w:hAnsi="Calibri" w:cs="Calibri"/>
        </w:rPr>
      </w:pPr>
      <w:r w:rsidRPr="00047070">
        <w:rPr>
          <w:rFonts w:ascii="Calibri" w:eastAsia="Calibri" w:hAnsi="Calibri" w:cs="Calibri"/>
          <w:sz w:val="24"/>
          <w:szCs w:val="24"/>
        </w:rPr>
        <w:t>Part Two</w:t>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r>
      <w:r w:rsidR="007617EA">
        <w:rPr>
          <w:rFonts w:ascii="Calibri" w:eastAsia="Calibri" w:hAnsi="Calibri" w:cs="Calibri"/>
          <w:sz w:val="24"/>
          <w:szCs w:val="24"/>
        </w:rPr>
        <w:tab/>
        <w:t xml:space="preserve"> </w:t>
      </w:r>
      <w:r w:rsidR="007617EA" w:rsidRPr="00365CF4">
        <w:rPr>
          <w:rFonts w:ascii="Calibri" w:eastAsia="Calibri" w:hAnsi="Calibri" w:cs="Calibri"/>
        </w:rPr>
        <w:t>page 9</w:t>
      </w:r>
      <w:r w:rsidR="00375D94">
        <w:rPr>
          <w:rFonts w:ascii="Calibri" w:eastAsia="Calibri" w:hAnsi="Calibri" w:cs="Calibri"/>
        </w:rPr>
        <w:t>4</w:t>
      </w:r>
    </w:p>
    <w:p w14:paraId="44AF0150" w14:textId="7205A1A8" w:rsidR="0001403E" w:rsidRPr="00365CF4" w:rsidRDefault="0001403E" w:rsidP="004046C4">
      <w:pPr>
        <w:ind w:firstLine="720"/>
        <w:rPr>
          <w:rFonts w:ascii="Calibri" w:eastAsia="Calibri" w:hAnsi="Calibri" w:cs="Calibri"/>
        </w:rPr>
      </w:pPr>
      <w:r w:rsidRPr="0001403E">
        <w:rPr>
          <w:rFonts w:ascii="Calibri" w:eastAsia="Calibri" w:hAnsi="Calibri" w:cs="Calibri"/>
        </w:rPr>
        <w:t>Conceptual framework</w:t>
      </w:r>
      <w:r w:rsidR="007617EA">
        <w:rPr>
          <w:rFonts w:ascii="Calibri" w:eastAsia="Calibri" w:hAnsi="Calibri" w:cs="Calibri"/>
        </w:rPr>
        <w:tab/>
      </w:r>
      <w:r w:rsidR="007617EA">
        <w:rPr>
          <w:rFonts w:ascii="Calibri" w:eastAsia="Calibri" w:hAnsi="Calibri" w:cs="Calibri"/>
        </w:rPr>
        <w:tab/>
      </w:r>
      <w:r w:rsidR="007617EA">
        <w:rPr>
          <w:rFonts w:ascii="Calibri" w:eastAsia="Calibri" w:hAnsi="Calibri" w:cs="Calibri"/>
        </w:rPr>
        <w:tab/>
      </w:r>
      <w:r w:rsidR="007617EA">
        <w:rPr>
          <w:rFonts w:ascii="Calibri" w:eastAsia="Calibri" w:hAnsi="Calibri" w:cs="Calibri"/>
        </w:rPr>
        <w:tab/>
      </w:r>
      <w:r w:rsidR="007617EA">
        <w:rPr>
          <w:rFonts w:ascii="Calibri" w:eastAsia="Calibri" w:hAnsi="Calibri" w:cs="Calibri"/>
        </w:rPr>
        <w:tab/>
      </w:r>
      <w:r w:rsidR="007617EA">
        <w:rPr>
          <w:rFonts w:ascii="Calibri" w:eastAsia="Calibri" w:hAnsi="Calibri" w:cs="Calibri"/>
        </w:rPr>
        <w:tab/>
      </w:r>
      <w:r w:rsidR="007617EA">
        <w:rPr>
          <w:rFonts w:ascii="Calibri" w:eastAsia="Calibri" w:hAnsi="Calibri" w:cs="Calibri"/>
        </w:rPr>
        <w:tab/>
      </w:r>
      <w:r w:rsidR="007617EA" w:rsidRPr="00DA7B2C">
        <w:rPr>
          <w:rFonts w:ascii="Calibri" w:eastAsia="Calibri" w:hAnsi="Calibri" w:cs="Calibri"/>
          <w:sz w:val="24"/>
          <w:szCs w:val="24"/>
        </w:rPr>
        <w:t xml:space="preserve"> </w:t>
      </w:r>
      <w:r w:rsidR="007617EA" w:rsidRPr="00365CF4">
        <w:rPr>
          <w:rFonts w:ascii="Calibri" w:eastAsia="Calibri" w:hAnsi="Calibri" w:cs="Calibri"/>
        </w:rPr>
        <w:t>page 9</w:t>
      </w:r>
      <w:r w:rsidR="004B129B">
        <w:rPr>
          <w:rFonts w:ascii="Calibri" w:eastAsia="Calibri" w:hAnsi="Calibri" w:cs="Calibri"/>
        </w:rPr>
        <w:t>4</w:t>
      </w:r>
    </w:p>
    <w:p w14:paraId="08D23FAB" w14:textId="1C61A064" w:rsidR="0001403E" w:rsidRPr="00365CF4" w:rsidRDefault="0001403E" w:rsidP="0001403E">
      <w:pPr>
        <w:ind w:firstLine="720"/>
        <w:rPr>
          <w:rFonts w:ascii="Calibri" w:eastAsia="Calibri" w:hAnsi="Calibri" w:cs="Calibri"/>
        </w:rPr>
      </w:pPr>
      <w:r w:rsidRPr="0001403E">
        <w:rPr>
          <w:rFonts w:ascii="Calibri" w:eastAsia="Calibri" w:hAnsi="Calibri" w:cs="Calibri"/>
        </w:rPr>
        <w:t>Depth pedagogy</w:t>
      </w:r>
      <w:r w:rsidR="00284DF7">
        <w:rPr>
          <w:rFonts w:ascii="Calibri" w:eastAsia="Calibri" w:hAnsi="Calibri" w:cs="Calibri"/>
        </w:rPr>
        <w:tab/>
      </w:r>
      <w:r w:rsidR="00284DF7">
        <w:rPr>
          <w:rFonts w:ascii="Calibri" w:eastAsia="Calibri" w:hAnsi="Calibri" w:cs="Calibri"/>
        </w:rPr>
        <w:tab/>
      </w:r>
      <w:r w:rsidR="00284DF7">
        <w:rPr>
          <w:rFonts w:ascii="Calibri" w:eastAsia="Calibri" w:hAnsi="Calibri" w:cs="Calibri"/>
        </w:rPr>
        <w:tab/>
      </w:r>
      <w:r w:rsidR="00284DF7">
        <w:rPr>
          <w:rFonts w:ascii="Calibri" w:eastAsia="Calibri" w:hAnsi="Calibri" w:cs="Calibri"/>
        </w:rPr>
        <w:tab/>
      </w:r>
      <w:r w:rsidR="00284DF7">
        <w:rPr>
          <w:rFonts w:ascii="Calibri" w:eastAsia="Calibri" w:hAnsi="Calibri" w:cs="Calibri"/>
        </w:rPr>
        <w:tab/>
      </w:r>
      <w:r w:rsidR="00284DF7">
        <w:rPr>
          <w:rFonts w:ascii="Calibri" w:eastAsia="Calibri" w:hAnsi="Calibri" w:cs="Calibri"/>
        </w:rPr>
        <w:tab/>
      </w:r>
      <w:r w:rsidR="00284DF7">
        <w:rPr>
          <w:rFonts w:ascii="Calibri" w:eastAsia="Calibri" w:hAnsi="Calibri" w:cs="Calibri"/>
        </w:rPr>
        <w:tab/>
        <w:t xml:space="preserve"> </w:t>
      </w:r>
      <w:r w:rsidR="00284DF7" w:rsidRPr="00365CF4">
        <w:rPr>
          <w:rFonts w:ascii="Calibri" w:eastAsia="Calibri" w:hAnsi="Calibri" w:cs="Calibri"/>
        </w:rPr>
        <w:t>page 9</w:t>
      </w:r>
      <w:r w:rsidR="00936A2A">
        <w:rPr>
          <w:rFonts w:ascii="Calibri" w:eastAsia="Calibri" w:hAnsi="Calibri" w:cs="Calibri"/>
        </w:rPr>
        <w:t>5</w:t>
      </w:r>
    </w:p>
    <w:p w14:paraId="04E1424A" w14:textId="2697407C" w:rsidR="0001403E" w:rsidRPr="00365CF4" w:rsidRDefault="0001403E" w:rsidP="0001403E">
      <w:pPr>
        <w:ind w:firstLine="720"/>
        <w:rPr>
          <w:rFonts w:ascii="Calibri" w:eastAsia="Calibri" w:hAnsi="Calibri" w:cs="Calibri"/>
        </w:rPr>
      </w:pPr>
      <w:r w:rsidRPr="0001403E">
        <w:rPr>
          <w:rFonts w:ascii="Calibri" w:eastAsia="Calibri" w:hAnsi="Calibri" w:cs="Calibri"/>
        </w:rPr>
        <w:t>Winnicott, Jung and depth psychopedagogy</w:t>
      </w:r>
      <w:r w:rsidR="00091146">
        <w:rPr>
          <w:rFonts w:ascii="Calibri" w:eastAsia="Calibri" w:hAnsi="Calibri" w:cs="Calibri"/>
        </w:rPr>
        <w:tab/>
      </w:r>
      <w:r w:rsidR="00091146">
        <w:rPr>
          <w:rFonts w:ascii="Calibri" w:eastAsia="Calibri" w:hAnsi="Calibri" w:cs="Calibri"/>
        </w:rPr>
        <w:tab/>
      </w:r>
      <w:r w:rsidR="00091146">
        <w:rPr>
          <w:rFonts w:ascii="Calibri" w:eastAsia="Calibri" w:hAnsi="Calibri" w:cs="Calibri"/>
        </w:rPr>
        <w:tab/>
      </w:r>
      <w:r w:rsidR="00091146">
        <w:rPr>
          <w:rFonts w:ascii="Calibri" w:eastAsia="Calibri" w:hAnsi="Calibri" w:cs="Calibri"/>
        </w:rPr>
        <w:tab/>
      </w:r>
      <w:r w:rsidR="00091146" w:rsidRPr="00365CF4">
        <w:rPr>
          <w:rFonts w:ascii="Calibri" w:eastAsia="Calibri" w:hAnsi="Calibri" w:cs="Calibri"/>
        </w:rPr>
        <w:t xml:space="preserve"> page 9</w:t>
      </w:r>
      <w:r w:rsidR="004B129B">
        <w:rPr>
          <w:rFonts w:ascii="Calibri" w:eastAsia="Calibri" w:hAnsi="Calibri" w:cs="Calibri"/>
        </w:rPr>
        <w:t>6</w:t>
      </w:r>
    </w:p>
    <w:p w14:paraId="723DE09B" w14:textId="514EECEE" w:rsidR="00EA2583" w:rsidRPr="00365CF4" w:rsidRDefault="00EA2583" w:rsidP="0001403E">
      <w:pPr>
        <w:ind w:firstLine="720"/>
        <w:rPr>
          <w:rFonts w:ascii="Calibri" w:eastAsia="Calibri" w:hAnsi="Calibri" w:cs="Calibri"/>
        </w:rPr>
      </w:pPr>
      <w:r>
        <w:rPr>
          <w:rFonts w:ascii="Calibri" w:eastAsia="Calibri" w:hAnsi="Calibri" w:cs="Calibri"/>
        </w:rPr>
        <w:t>Research philosophy in brief</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365CF4">
        <w:rPr>
          <w:rFonts w:ascii="Calibri" w:eastAsia="Calibri" w:hAnsi="Calibri" w:cs="Calibri"/>
        </w:rPr>
        <w:t xml:space="preserve"> </w:t>
      </w:r>
      <w:r w:rsidR="009378AA" w:rsidRPr="00365CF4">
        <w:rPr>
          <w:rFonts w:ascii="Calibri" w:eastAsia="Calibri" w:hAnsi="Calibri" w:cs="Calibri"/>
        </w:rPr>
        <w:t>page 9</w:t>
      </w:r>
      <w:r w:rsidR="004B129B">
        <w:rPr>
          <w:rFonts w:ascii="Calibri" w:eastAsia="Calibri" w:hAnsi="Calibri" w:cs="Calibri"/>
        </w:rPr>
        <w:t>7</w:t>
      </w:r>
    </w:p>
    <w:p w14:paraId="74C13C84" w14:textId="5D670872" w:rsidR="00AF2DA3" w:rsidRPr="0001403E" w:rsidRDefault="0001403E" w:rsidP="0001403E">
      <w:pPr>
        <w:ind w:firstLine="720"/>
        <w:rPr>
          <w:rFonts w:ascii="Calibri" w:eastAsia="Calibri" w:hAnsi="Calibri" w:cs="Calibri"/>
        </w:rPr>
      </w:pPr>
      <w:r w:rsidRPr="0001403E">
        <w:rPr>
          <w:rFonts w:ascii="Calibri" w:eastAsia="Calibri" w:hAnsi="Calibri" w:cs="Calibri"/>
        </w:rPr>
        <w:t>Gathering the threads</w:t>
      </w:r>
      <w:r w:rsidR="00DA7B2C">
        <w:rPr>
          <w:rFonts w:ascii="Calibri" w:eastAsia="Calibri" w:hAnsi="Calibri" w:cs="Calibri"/>
        </w:rPr>
        <w:tab/>
      </w:r>
      <w:r w:rsidR="00DA7B2C">
        <w:rPr>
          <w:rFonts w:ascii="Calibri" w:eastAsia="Calibri" w:hAnsi="Calibri" w:cs="Calibri"/>
        </w:rPr>
        <w:tab/>
      </w:r>
      <w:r w:rsidR="00DA7B2C">
        <w:rPr>
          <w:rFonts w:ascii="Calibri" w:eastAsia="Calibri" w:hAnsi="Calibri" w:cs="Calibri"/>
        </w:rPr>
        <w:tab/>
      </w:r>
      <w:r w:rsidR="00DA7B2C">
        <w:rPr>
          <w:rFonts w:ascii="Calibri" w:eastAsia="Calibri" w:hAnsi="Calibri" w:cs="Calibri"/>
        </w:rPr>
        <w:tab/>
      </w:r>
      <w:r w:rsidR="00DA7B2C">
        <w:rPr>
          <w:rFonts w:ascii="Calibri" w:eastAsia="Calibri" w:hAnsi="Calibri" w:cs="Calibri"/>
        </w:rPr>
        <w:tab/>
      </w:r>
      <w:r w:rsidR="00DA7B2C">
        <w:rPr>
          <w:rFonts w:ascii="Calibri" w:eastAsia="Calibri" w:hAnsi="Calibri" w:cs="Calibri"/>
        </w:rPr>
        <w:tab/>
      </w:r>
      <w:r w:rsidR="00DA7B2C">
        <w:rPr>
          <w:rFonts w:ascii="Calibri" w:eastAsia="Calibri" w:hAnsi="Calibri" w:cs="Calibri"/>
        </w:rPr>
        <w:tab/>
      </w:r>
      <w:r w:rsidR="00DA7B2C" w:rsidRPr="00365CF4">
        <w:rPr>
          <w:rFonts w:ascii="Calibri" w:eastAsia="Calibri" w:hAnsi="Calibri" w:cs="Calibri"/>
        </w:rPr>
        <w:t xml:space="preserve"> page 9</w:t>
      </w:r>
      <w:r w:rsidR="004B129B">
        <w:rPr>
          <w:rFonts w:ascii="Calibri" w:eastAsia="Calibri" w:hAnsi="Calibri" w:cs="Calibri"/>
        </w:rPr>
        <w:t>7</w:t>
      </w:r>
    </w:p>
    <w:p w14:paraId="26C1B03C" w14:textId="77777777" w:rsidR="008D7063" w:rsidRDefault="008D7063" w:rsidP="00DA2ECE">
      <w:pPr>
        <w:rPr>
          <w:rFonts w:cstheme="minorHAnsi"/>
          <w:sz w:val="24"/>
          <w:szCs w:val="24"/>
        </w:rPr>
      </w:pPr>
    </w:p>
    <w:p w14:paraId="3DA63E8D" w14:textId="453F4187" w:rsidR="00DA2ECE" w:rsidRPr="00DA2ECE" w:rsidRDefault="00DA2ECE" w:rsidP="00DA2ECE">
      <w:pPr>
        <w:rPr>
          <w:rFonts w:cstheme="minorHAnsi"/>
          <w:sz w:val="24"/>
          <w:szCs w:val="24"/>
        </w:rPr>
      </w:pPr>
      <w:r w:rsidRPr="00DA2ECE">
        <w:rPr>
          <w:rFonts w:cstheme="minorHAnsi"/>
          <w:sz w:val="24"/>
          <w:szCs w:val="24"/>
        </w:rPr>
        <w:t>Reflections</w:t>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6F063F" w:rsidRPr="00365CF4">
        <w:rPr>
          <w:rFonts w:cstheme="minorHAnsi"/>
        </w:rPr>
        <w:t xml:space="preserve"> </w:t>
      </w:r>
      <w:r w:rsidR="00294805" w:rsidRPr="00365CF4">
        <w:rPr>
          <w:rFonts w:cstheme="minorHAnsi"/>
        </w:rPr>
        <w:t>page</w:t>
      </w:r>
      <w:r w:rsidR="00F97FCC" w:rsidRPr="00365CF4">
        <w:rPr>
          <w:rFonts w:cstheme="minorHAnsi"/>
        </w:rPr>
        <w:t xml:space="preserve"> 9</w:t>
      </w:r>
      <w:r w:rsidR="00B748EA">
        <w:rPr>
          <w:rFonts w:cstheme="minorHAnsi"/>
        </w:rPr>
        <w:t>8</w:t>
      </w:r>
    </w:p>
    <w:p w14:paraId="2DBA88C8" w14:textId="6DD3E177" w:rsidR="00DA2ECE" w:rsidRPr="00365CF4" w:rsidRDefault="00DA2ECE" w:rsidP="00DA2ECE">
      <w:pPr>
        <w:rPr>
          <w:rFonts w:cstheme="minorHAnsi"/>
        </w:rPr>
      </w:pPr>
      <w:r w:rsidRPr="00DA2ECE">
        <w:rPr>
          <w:rFonts w:cstheme="minorHAnsi"/>
          <w:sz w:val="24"/>
          <w:szCs w:val="24"/>
        </w:rPr>
        <w:t xml:space="preserve">Chapter Four: The Magical Tool </w:t>
      </w:r>
      <w:r w:rsidR="000D2088" w:rsidRPr="00112931">
        <w:rPr>
          <w:rFonts w:cstheme="minorHAnsi"/>
          <w:sz w:val="24"/>
          <w:szCs w:val="24"/>
        </w:rPr>
        <w:t>(</w:t>
      </w:r>
      <w:r w:rsidRPr="00DA2ECE">
        <w:rPr>
          <w:rFonts w:cstheme="minorHAnsi"/>
          <w:sz w:val="24"/>
          <w:szCs w:val="24"/>
        </w:rPr>
        <w:t>Methodology</w:t>
      </w:r>
      <w:r w:rsidR="000D2088" w:rsidRPr="00112931">
        <w:rPr>
          <w:rFonts w:cstheme="minorHAnsi"/>
          <w:sz w:val="24"/>
          <w:szCs w:val="24"/>
        </w:rPr>
        <w:t>)</w:t>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6F063F" w:rsidRPr="00365CF4">
        <w:rPr>
          <w:rFonts w:cstheme="minorHAnsi"/>
        </w:rPr>
        <w:t xml:space="preserve"> </w:t>
      </w:r>
      <w:r w:rsidR="00294805" w:rsidRPr="00365CF4">
        <w:rPr>
          <w:rFonts w:cstheme="minorHAnsi"/>
        </w:rPr>
        <w:t>page</w:t>
      </w:r>
      <w:r w:rsidR="00C878E2" w:rsidRPr="00365CF4">
        <w:rPr>
          <w:rFonts w:cstheme="minorHAnsi"/>
        </w:rPr>
        <w:t xml:space="preserve"> </w:t>
      </w:r>
      <w:r w:rsidR="00B748EA">
        <w:rPr>
          <w:rFonts w:cstheme="minorHAnsi"/>
        </w:rPr>
        <w:t>100</w:t>
      </w:r>
    </w:p>
    <w:p w14:paraId="36FA328A" w14:textId="0C4E4D5A" w:rsidR="00901EE8" w:rsidRDefault="004B022A" w:rsidP="00901EE8">
      <w:pPr>
        <w:ind w:firstLine="720"/>
        <w:rPr>
          <w:rFonts w:ascii="Calibri" w:eastAsia="Calibri" w:hAnsi="Calibri" w:cs="Calibri"/>
        </w:rPr>
      </w:pPr>
      <w:r w:rsidRPr="004B022A">
        <w:rPr>
          <w:rFonts w:ascii="Calibri" w:eastAsia="Calibri" w:hAnsi="Calibri" w:cs="Calibri"/>
        </w:rPr>
        <w:t>Introduction</w:t>
      </w:r>
      <w:r w:rsidR="00901EE8">
        <w:rPr>
          <w:rFonts w:ascii="Calibri" w:eastAsia="Calibri" w:hAnsi="Calibri" w:cs="Calibri"/>
        </w:rPr>
        <w:tab/>
      </w:r>
      <w:r w:rsidR="0091656E">
        <w:rPr>
          <w:rFonts w:ascii="Calibri" w:eastAsia="Calibri" w:hAnsi="Calibri" w:cs="Calibri"/>
        </w:rPr>
        <w:tab/>
      </w:r>
      <w:r w:rsidR="0091656E">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sidRPr="00365CF4">
        <w:rPr>
          <w:rFonts w:ascii="Calibri" w:eastAsia="Calibri" w:hAnsi="Calibri" w:cs="Calibri"/>
        </w:rPr>
        <w:t xml:space="preserve"> page 10</w:t>
      </w:r>
      <w:r w:rsidR="00B748EA">
        <w:rPr>
          <w:rFonts w:ascii="Calibri" w:eastAsia="Calibri" w:hAnsi="Calibri" w:cs="Calibri"/>
        </w:rPr>
        <w:t>1</w:t>
      </w:r>
    </w:p>
    <w:p w14:paraId="2D36F51D" w14:textId="15CC16D4" w:rsidR="00355AE8" w:rsidRDefault="0091656E" w:rsidP="00355AE8">
      <w:pPr>
        <w:spacing w:line="360" w:lineRule="auto"/>
        <w:ind w:firstLine="720"/>
        <w:rPr>
          <w:rFonts w:ascii="Calibri" w:eastAsia="Calibri" w:hAnsi="Calibri" w:cs="Calibri"/>
          <w:sz w:val="24"/>
          <w:szCs w:val="24"/>
        </w:rPr>
      </w:pPr>
      <w:r>
        <w:rPr>
          <w:rFonts w:ascii="Calibri" w:eastAsia="Calibri" w:hAnsi="Calibri" w:cs="Calibri"/>
        </w:rPr>
        <w:t>Research philosophy</w:t>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Pr>
          <w:rFonts w:ascii="Calibri" w:eastAsia="Calibri" w:hAnsi="Calibri" w:cs="Calibri"/>
        </w:rPr>
        <w:tab/>
      </w:r>
      <w:r w:rsidR="00842995" w:rsidRPr="00365CF4">
        <w:rPr>
          <w:rFonts w:ascii="Calibri" w:eastAsia="Calibri" w:hAnsi="Calibri" w:cs="Calibri"/>
        </w:rPr>
        <w:t xml:space="preserve"> page 10</w:t>
      </w:r>
      <w:r w:rsidR="00742FCA">
        <w:rPr>
          <w:rFonts w:ascii="Calibri" w:eastAsia="Calibri" w:hAnsi="Calibri" w:cs="Calibri"/>
        </w:rPr>
        <w:t>2</w:t>
      </w:r>
    </w:p>
    <w:p w14:paraId="156A8823" w14:textId="4AF0EAA6" w:rsidR="00EA76BD" w:rsidRPr="00365CF4" w:rsidRDefault="00EA76BD" w:rsidP="00EA76BD">
      <w:pPr>
        <w:spacing w:line="360" w:lineRule="auto"/>
        <w:ind w:firstLine="720"/>
        <w:rPr>
          <w:rFonts w:ascii="Calibri" w:eastAsia="Calibri" w:hAnsi="Calibri" w:cs="Calibri"/>
        </w:rPr>
      </w:pPr>
      <w:r>
        <w:rPr>
          <w:rFonts w:ascii="Calibri" w:eastAsia="Calibri" w:hAnsi="Calibri" w:cs="Calibri"/>
        </w:rPr>
        <w:t xml:space="preserve">Ontology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365CF4">
        <w:rPr>
          <w:rFonts w:ascii="Calibri" w:eastAsia="Calibri" w:hAnsi="Calibri" w:cs="Calibri"/>
        </w:rPr>
        <w:t xml:space="preserve"> page 10</w:t>
      </w:r>
      <w:r w:rsidR="00742FCA">
        <w:rPr>
          <w:rFonts w:ascii="Calibri" w:eastAsia="Calibri" w:hAnsi="Calibri" w:cs="Calibri"/>
        </w:rPr>
        <w:t>2</w:t>
      </w:r>
    </w:p>
    <w:p w14:paraId="45B34623" w14:textId="59EDF8E4" w:rsidR="004B022A" w:rsidRPr="00365CF4" w:rsidRDefault="004B022A" w:rsidP="00EA76BD">
      <w:pPr>
        <w:spacing w:line="360" w:lineRule="auto"/>
        <w:ind w:firstLine="720"/>
        <w:rPr>
          <w:rFonts w:ascii="Calibri" w:eastAsia="Calibri" w:hAnsi="Calibri" w:cs="Calibri"/>
        </w:rPr>
      </w:pPr>
      <w:r w:rsidRPr="004B022A">
        <w:rPr>
          <w:rFonts w:ascii="Calibri" w:eastAsia="Calibri" w:hAnsi="Calibri" w:cs="Calibri"/>
        </w:rPr>
        <w:t>Epistemology</w:t>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r>
      <w:r w:rsidR="00BF5ADC">
        <w:rPr>
          <w:rFonts w:ascii="Calibri" w:eastAsia="Calibri" w:hAnsi="Calibri" w:cs="Calibri"/>
        </w:rPr>
        <w:tab/>
        <w:t xml:space="preserve"> </w:t>
      </w:r>
      <w:r w:rsidR="00BF5ADC" w:rsidRPr="00365CF4">
        <w:rPr>
          <w:rFonts w:ascii="Calibri" w:eastAsia="Calibri" w:hAnsi="Calibri" w:cs="Calibri"/>
        </w:rPr>
        <w:t>page 10</w:t>
      </w:r>
      <w:r w:rsidR="00742FCA">
        <w:rPr>
          <w:rFonts w:ascii="Calibri" w:eastAsia="Calibri" w:hAnsi="Calibri" w:cs="Calibri"/>
        </w:rPr>
        <w:t>2</w:t>
      </w:r>
    </w:p>
    <w:p w14:paraId="099684C2" w14:textId="4A4C9796" w:rsidR="004B022A" w:rsidRPr="00365CF4" w:rsidRDefault="004B022A" w:rsidP="004B022A">
      <w:pPr>
        <w:ind w:firstLine="720"/>
        <w:rPr>
          <w:rFonts w:ascii="Calibri" w:eastAsia="Calibri" w:hAnsi="Calibri" w:cs="Calibri"/>
        </w:rPr>
      </w:pPr>
      <w:r w:rsidRPr="004B022A">
        <w:rPr>
          <w:rFonts w:ascii="Calibri" w:eastAsia="Calibri" w:hAnsi="Calibri" w:cs="Calibri"/>
        </w:rPr>
        <w:t>Constructivism</w:t>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sidRPr="00365CF4">
        <w:rPr>
          <w:rFonts w:ascii="Calibri" w:eastAsia="Calibri" w:hAnsi="Calibri" w:cs="Calibri"/>
        </w:rPr>
        <w:t xml:space="preserve"> page 10</w:t>
      </w:r>
      <w:r w:rsidR="00742FCA">
        <w:rPr>
          <w:rFonts w:ascii="Calibri" w:eastAsia="Calibri" w:hAnsi="Calibri" w:cs="Calibri"/>
        </w:rPr>
        <w:t>3</w:t>
      </w:r>
    </w:p>
    <w:p w14:paraId="21BB0DE6" w14:textId="77777777" w:rsidR="005F1838" w:rsidRDefault="005F1838" w:rsidP="004B022A">
      <w:pPr>
        <w:ind w:firstLine="720"/>
        <w:rPr>
          <w:rFonts w:ascii="Calibri" w:eastAsia="Calibri" w:hAnsi="Calibri" w:cs="Calibri"/>
        </w:rPr>
      </w:pPr>
    </w:p>
    <w:p w14:paraId="6E6FCA5C" w14:textId="4C74BF59" w:rsidR="004B022A" w:rsidRPr="00365CF4" w:rsidRDefault="004B022A" w:rsidP="004B022A">
      <w:pPr>
        <w:ind w:firstLine="720"/>
        <w:rPr>
          <w:rFonts w:ascii="Calibri" w:eastAsia="Calibri" w:hAnsi="Calibri" w:cs="Calibri"/>
        </w:rPr>
      </w:pPr>
      <w:r w:rsidRPr="004B022A">
        <w:rPr>
          <w:rFonts w:ascii="Calibri" w:eastAsia="Calibri" w:hAnsi="Calibri" w:cs="Calibri"/>
        </w:rPr>
        <w:t>Reflections on ethics</w:t>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Pr>
          <w:rFonts w:ascii="Calibri" w:eastAsia="Calibri" w:hAnsi="Calibri" w:cs="Calibri"/>
        </w:rPr>
        <w:tab/>
      </w:r>
      <w:r w:rsidR="000333C4" w:rsidRPr="00365CF4">
        <w:rPr>
          <w:rFonts w:ascii="Calibri" w:eastAsia="Calibri" w:hAnsi="Calibri" w:cs="Calibri"/>
        </w:rPr>
        <w:tab/>
        <w:t xml:space="preserve"> page 10</w:t>
      </w:r>
      <w:r w:rsidR="00A17894">
        <w:rPr>
          <w:rFonts w:ascii="Calibri" w:eastAsia="Calibri" w:hAnsi="Calibri" w:cs="Calibri"/>
        </w:rPr>
        <w:t>4</w:t>
      </w:r>
    </w:p>
    <w:p w14:paraId="51B31AFD" w14:textId="10F0AA53"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Research design</w:t>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t xml:space="preserve"> </w:t>
      </w:r>
      <w:r w:rsidR="00FE5025" w:rsidRPr="002704C0">
        <w:rPr>
          <w:rFonts w:ascii="Calibri" w:eastAsia="Calibri" w:hAnsi="Calibri" w:cs="Calibri"/>
        </w:rPr>
        <w:t>page 10</w:t>
      </w:r>
      <w:r w:rsidR="00A17894">
        <w:rPr>
          <w:rFonts w:ascii="Calibri" w:eastAsia="Calibri" w:hAnsi="Calibri" w:cs="Calibri"/>
        </w:rPr>
        <w:t>6</w:t>
      </w:r>
    </w:p>
    <w:p w14:paraId="5F1F4795" w14:textId="7D5AD564" w:rsidR="004B022A" w:rsidRPr="004B022A" w:rsidRDefault="004B022A" w:rsidP="004B022A">
      <w:pPr>
        <w:ind w:firstLine="720"/>
        <w:rPr>
          <w:rFonts w:ascii="Calibri" w:eastAsia="Calibri" w:hAnsi="Calibri" w:cs="Calibri"/>
        </w:rPr>
      </w:pPr>
      <w:r w:rsidRPr="004B022A">
        <w:rPr>
          <w:rFonts w:ascii="Calibri" w:eastAsia="Calibri" w:hAnsi="Calibri" w:cs="Calibri"/>
        </w:rPr>
        <w:t>Reflections on ethics and limitations</w:t>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Pr>
          <w:rFonts w:ascii="Calibri" w:eastAsia="Calibri" w:hAnsi="Calibri" w:cs="Calibri"/>
        </w:rPr>
        <w:tab/>
      </w:r>
      <w:r w:rsidR="00FE5025" w:rsidRPr="002704C0">
        <w:rPr>
          <w:rFonts w:ascii="Calibri" w:eastAsia="Calibri" w:hAnsi="Calibri" w:cs="Calibri"/>
        </w:rPr>
        <w:t xml:space="preserve"> </w:t>
      </w:r>
      <w:r w:rsidR="00CA2523" w:rsidRPr="002704C0">
        <w:rPr>
          <w:rFonts w:ascii="Calibri" w:eastAsia="Calibri" w:hAnsi="Calibri" w:cs="Calibri"/>
        </w:rPr>
        <w:t>page 10</w:t>
      </w:r>
      <w:r w:rsidR="00A17894">
        <w:rPr>
          <w:rFonts w:ascii="Calibri" w:eastAsia="Calibri" w:hAnsi="Calibri" w:cs="Calibri"/>
        </w:rPr>
        <w:t>7</w:t>
      </w:r>
    </w:p>
    <w:p w14:paraId="4E09F9A4" w14:textId="030F331B"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Research strategy: Methods</w:t>
      </w:r>
      <w:r w:rsidR="00CA2523">
        <w:rPr>
          <w:rFonts w:ascii="Calibri" w:eastAsia="Calibri" w:hAnsi="Calibri" w:cs="Calibri"/>
        </w:rPr>
        <w:tab/>
      </w:r>
      <w:r w:rsidR="00CA2523">
        <w:rPr>
          <w:rFonts w:ascii="Calibri" w:eastAsia="Calibri" w:hAnsi="Calibri" w:cs="Calibri"/>
        </w:rPr>
        <w:tab/>
      </w:r>
      <w:r w:rsidR="00CA2523">
        <w:rPr>
          <w:rFonts w:ascii="Calibri" w:eastAsia="Calibri" w:hAnsi="Calibri" w:cs="Calibri"/>
        </w:rPr>
        <w:tab/>
      </w:r>
      <w:r w:rsidR="00CA2523">
        <w:rPr>
          <w:rFonts w:ascii="Calibri" w:eastAsia="Calibri" w:hAnsi="Calibri" w:cs="Calibri"/>
        </w:rPr>
        <w:tab/>
      </w:r>
      <w:r w:rsidR="00CA2523">
        <w:rPr>
          <w:rFonts w:ascii="Calibri" w:eastAsia="Calibri" w:hAnsi="Calibri" w:cs="Calibri"/>
        </w:rPr>
        <w:tab/>
      </w:r>
      <w:r w:rsidR="00CA2523">
        <w:rPr>
          <w:rFonts w:ascii="Calibri" w:eastAsia="Calibri" w:hAnsi="Calibri" w:cs="Calibri"/>
        </w:rPr>
        <w:tab/>
      </w:r>
      <w:r w:rsidR="00CA2523" w:rsidRPr="00EA76BD">
        <w:rPr>
          <w:rFonts w:ascii="Calibri" w:eastAsia="Calibri" w:hAnsi="Calibri" w:cs="Calibri"/>
          <w:sz w:val="24"/>
          <w:szCs w:val="24"/>
        </w:rPr>
        <w:t xml:space="preserve"> </w:t>
      </w:r>
      <w:r w:rsidR="00CA2523" w:rsidRPr="002704C0">
        <w:rPr>
          <w:rFonts w:ascii="Calibri" w:eastAsia="Calibri" w:hAnsi="Calibri" w:cs="Calibri"/>
        </w:rPr>
        <w:t>page 10</w:t>
      </w:r>
      <w:r w:rsidR="00A17894">
        <w:rPr>
          <w:rFonts w:ascii="Calibri" w:eastAsia="Calibri" w:hAnsi="Calibri" w:cs="Calibri"/>
        </w:rPr>
        <w:t>8</w:t>
      </w:r>
    </w:p>
    <w:p w14:paraId="6FBAF299" w14:textId="171AA759"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The research instrument</w:t>
      </w:r>
      <w:r w:rsidR="002254C1">
        <w:rPr>
          <w:rFonts w:ascii="Calibri" w:eastAsia="Calibri" w:hAnsi="Calibri" w:cs="Calibri"/>
        </w:rPr>
        <w:tab/>
      </w:r>
      <w:r w:rsidR="002254C1">
        <w:rPr>
          <w:rFonts w:ascii="Calibri" w:eastAsia="Calibri" w:hAnsi="Calibri" w:cs="Calibri"/>
        </w:rPr>
        <w:tab/>
      </w:r>
      <w:r w:rsidR="002254C1">
        <w:rPr>
          <w:rFonts w:ascii="Calibri" w:eastAsia="Calibri" w:hAnsi="Calibri" w:cs="Calibri"/>
        </w:rPr>
        <w:tab/>
      </w:r>
      <w:r w:rsidR="002254C1">
        <w:rPr>
          <w:rFonts w:ascii="Calibri" w:eastAsia="Calibri" w:hAnsi="Calibri" w:cs="Calibri"/>
        </w:rPr>
        <w:tab/>
      </w:r>
      <w:r w:rsidR="002254C1">
        <w:rPr>
          <w:rFonts w:ascii="Calibri" w:eastAsia="Calibri" w:hAnsi="Calibri" w:cs="Calibri"/>
        </w:rPr>
        <w:tab/>
      </w:r>
      <w:r w:rsidR="002254C1">
        <w:rPr>
          <w:rFonts w:ascii="Calibri" w:eastAsia="Calibri" w:hAnsi="Calibri" w:cs="Calibri"/>
        </w:rPr>
        <w:tab/>
      </w:r>
      <w:r w:rsidR="002254C1" w:rsidRPr="00EA76BD">
        <w:rPr>
          <w:rFonts w:ascii="Calibri" w:eastAsia="Calibri" w:hAnsi="Calibri" w:cs="Calibri"/>
          <w:sz w:val="24"/>
          <w:szCs w:val="24"/>
        </w:rPr>
        <w:t xml:space="preserve"> </w:t>
      </w:r>
      <w:r w:rsidR="002254C1" w:rsidRPr="002704C0">
        <w:rPr>
          <w:rFonts w:ascii="Calibri" w:eastAsia="Calibri" w:hAnsi="Calibri" w:cs="Calibri"/>
        </w:rPr>
        <w:t>page 10</w:t>
      </w:r>
      <w:r w:rsidR="00A17894">
        <w:rPr>
          <w:rFonts w:ascii="Calibri" w:eastAsia="Calibri" w:hAnsi="Calibri" w:cs="Calibri"/>
        </w:rPr>
        <w:t>9</w:t>
      </w:r>
    </w:p>
    <w:p w14:paraId="71F9D89B" w14:textId="3EE40895" w:rsidR="004B022A" w:rsidRPr="004B022A" w:rsidRDefault="004B022A" w:rsidP="004B022A">
      <w:pPr>
        <w:ind w:firstLine="720"/>
        <w:rPr>
          <w:rFonts w:ascii="Calibri" w:eastAsia="Calibri" w:hAnsi="Calibri" w:cs="Calibri"/>
        </w:rPr>
      </w:pPr>
      <w:r w:rsidRPr="004B022A">
        <w:rPr>
          <w:rFonts w:ascii="Calibri" w:eastAsia="Calibri" w:hAnsi="Calibri" w:cs="Calibri"/>
        </w:rPr>
        <w:t>Conducting sensitive research</w:t>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sidRPr="002704C0">
        <w:rPr>
          <w:rFonts w:ascii="Calibri" w:eastAsia="Calibri" w:hAnsi="Calibri" w:cs="Calibri"/>
        </w:rPr>
        <w:t xml:space="preserve"> page 1</w:t>
      </w:r>
      <w:r w:rsidR="00A17894">
        <w:rPr>
          <w:rFonts w:ascii="Calibri" w:eastAsia="Calibri" w:hAnsi="Calibri" w:cs="Calibri"/>
        </w:rPr>
        <w:t>10</w:t>
      </w:r>
    </w:p>
    <w:p w14:paraId="18F7AA6C" w14:textId="641ACB6F"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The interview platform</w:t>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sidRPr="002704C0">
        <w:rPr>
          <w:rFonts w:ascii="Calibri" w:eastAsia="Calibri" w:hAnsi="Calibri" w:cs="Calibri"/>
        </w:rPr>
        <w:t xml:space="preserve"> page 11</w:t>
      </w:r>
      <w:r w:rsidR="00A17894">
        <w:rPr>
          <w:rFonts w:ascii="Calibri" w:eastAsia="Calibri" w:hAnsi="Calibri" w:cs="Calibri"/>
        </w:rPr>
        <w:t>2</w:t>
      </w:r>
    </w:p>
    <w:p w14:paraId="7051AB4D" w14:textId="2E126980"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The pilot</w:t>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Pr>
          <w:rFonts w:ascii="Calibri" w:eastAsia="Calibri" w:hAnsi="Calibri" w:cs="Calibri"/>
        </w:rPr>
        <w:tab/>
      </w:r>
      <w:r w:rsidR="00C27C45" w:rsidRPr="00EA76BD">
        <w:rPr>
          <w:rFonts w:ascii="Calibri" w:eastAsia="Calibri" w:hAnsi="Calibri" w:cs="Calibri"/>
          <w:sz w:val="24"/>
          <w:szCs w:val="24"/>
        </w:rPr>
        <w:t xml:space="preserve"> </w:t>
      </w:r>
      <w:r w:rsidR="00C27C45" w:rsidRPr="002704C0">
        <w:rPr>
          <w:rFonts w:ascii="Calibri" w:eastAsia="Calibri" w:hAnsi="Calibri" w:cs="Calibri"/>
        </w:rPr>
        <w:t>page 11</w:t>
      </w:r>
      <w:r w:rsidR="0016040B">
        <w:rPr>
          <w:rFonts w:ascii="Calibri" w:eastAsia="Calibri" w:hAnsi="Calibri" w:cs="Calibri"/>
        </w:rPr>
        <w:t>3</w:t>
      </w:r>
    </w:p>
    <w:p w14:paraId="0825A069" w14:textId="4EFAD5E7" w:rsidR="004B022A" w:rsidRPr="004B022A" w:rsidRDefault="004B022A" w:rsidP="004B022A">
      <w:pPr>
        <w:ind w:firstLine="720"/>
        <w:rPr>
          <w:rFonts w:ascii="Calibri" w:eastAsia="Calibri" w:hAnsi="Calibri" w:cs="Calibri"/>
        </w:rPr>
      </w:pPr>
      <w:r w:rsidRPr="004B022A">
        <w:rPr>
          <w:rFonts w:ascii="Calibri" w:eastAsia="Calibri" w:hAnsi="Calibri" w:cs="Calibri"/>
        </w:rPr>
        <w:t>Preparation for the interview proper</w:t>
      </w:r>
      <w:r w:rsidR="00A6049B">
        <w:rPr>
          <w:rFonts w:ascii="Calibri" w:eastAsia="Calibri" w:hAnsi="Calibri" w:cs="Calibri"/>
        </w:rPr>
        <w:tab/>
      </w:r>
      <w:r w:rsidR="00A6049B">
        <w:rPr>
          <w:rFonts w:ascii="Calibri" w:eastAsia="Calibri" w:hAnsi="Calibri" w:cs="Calibri"/>
        </w:rPr>
        <w:tab/>
      </w:r>
      <w:r w:rsidR="00A6049B">
        <w:rPr>
          <w:rFonts w:ascii="Calibri" w:eastAsia="Calibri" w:hAnsi="Calibri" w:cs="Calibri"/>
        </w:rPr>
        <w:tab/>
      </w:r>
      <w:r w:rsidR="00A6049B">
        <w:rPr>
          <w:rFonts w:ascii="Calibri" w:eastAsia="Calibri" w:hAnsi="Calibri" w:cs="Calibri"/>
        </w:rPr>
        <w:tab/>
      </w:r>
      <w:r w:rsidR="00A6049B">
        <w:rPr>
          <w:rFonts w:ascii="Calibri" w:eastAsia="Calibri" w:hAnsi="Calibri" w:cs="Calibri"/>
        </w:rPr>
        <w:tab/>
        <w:t xml:space="preserve"> </w:t>
      </w:r>
      <w:r w:rsidR="00A6049B" w:rsidRPr="002704C0">
        <w:rPr>
          <w:rFonts w:ascii="Calibri" w:eastAsia="Calibri" w:hAnsi="Calibri" w:cs="Calibri"/>
        </w:rPr>
        <w:t>page 11</w:t>
      </w:r>
      <w:r w:rsidR="0016040B">
        <w:rPr>
          <w:rFonts w:ascii="Calibri" w:eastAsia="Calibri" w:hAnsi="Calibri" w:cs="Calibri"/>
        </w:rPr>
        <w:t>4</w:t>
      </w:r>
    </w:p>
    <w:p w14:paraId="2687A44D" w14:textId="23CBA195"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Interviews with a narrative focus</w:t>
      </w:r>
      <w:r w:rsidR="007840B0">
        <w:rPr>
          <w:rFonts w:ascii="Calibri" w:eastAsia="Calibri" w:hAnsi="Calibri" w:cs="Calibri"/>
        </w:rPr>
        <w:tab/>
      </w:r>
      <w:r w:rsidR="007840B0">
        <w:rPr>
          <w:rFonts w:ascii="Calibri" w:eastAsia="Calibri" w:hAnsi="Calibri" w:cs="Calibri"/>
        </w:rPr>
        <w:tab/>
      </w:r>
      <w:r w:rsidR="007840B0">
        <w:rPr>
          <w:rFonts w:ascii="Calibri" w:eastAsia="Calibri" w:hAnsi="Calibri" w:cs="Calibri"/>
        </w:rPr>
        <w:tab/>
      </w:r>
      <w:r w:rsidR="007840B0">
        <w:rPr>
          <w:rFonts w:ascii="Calibri" w:eastAsia="Calibri" w:hAnsi="Calibri" w:cs="Calibri"/>
        </w:rPr>
        <w:tab/>
      </w:r>
      <w:r w:rsidR="007840B0">
        <w:rPr>
          <w:rFonts w:ascii="Calibri" w:eastAsia="Calibri" w:hAnsi="Calibri" w:cs="Calibri"/>
        </w:rPr>
        <w:tab/>
        <w:t xml:space="preserve"> </w:t>
      </w:r>
      <w:r w:rsidR="007840B0" w:rsidRPr="002704C0">
        <w:rPr>
          <w:rFonts w:ascii="Calibri" w:eastAsia="Calibri" w:hAnsi="Calibri" w:cs="Calibri"/>
        </w:rPr>
        <w:t>page 11</w:t>
      </w:r>
      <w:r w:rsidR="0016040B">
        <w:rPr>
          <w:rFonts w:ascii="Calibri" w:eastAsia="Calibri" w:hAnsi="Calibri" w:cs="Calibri"/>
        </w:rPr>
        <w:t>5</w:t>
      </w:r>
    </w:p>
    <w:p w14:paraId="3CB6F4BD" w14:textId="3C85DEE0"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Ethics and self-care</w:t>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sidRPr="002704C0">
        <w:rPr>
          <w:rFonts w:ascii="Calibri" w:eastAsia="Calibri" w:hAnsi="Calibri" w:cs="Calibri"/>
        </w:rPr>
        <w:t xml:space="preserve"> page 11</w:t>
      </w:r>
      <w:r w:rsidR="0016040B">
        <w:rPr>
          <w:rFonts w:ascii="Calibri" w:eastAsia="Calibri" w:hAnsi="Calibri" w:cs="Calibri"/>
        </w:rPr>
        <w:t>6</w:t>
      </w:r>
    </w:p>
    <w:p w14:paraId="51D7DD89" w14:textId="57E41E89"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Recruitment of participants and sampling strategy</w:t>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sidRPr="002704C0">
        <w:rPr>
          <w:rFonts w:ascii="Calibri" w:eastAsia="Calibri" w:hAnsi="Calibri" w:cs="Calibri"/>
        </w:rPr>
        <w:t xml:space="preserve"> page 11</w:t>
      </w:r>
      <w:r w:rsidR="0016040B">
        <w:rPr>
          <w:rFonts w:ascii="Calibri" w:eastAsia="Calibri" w:hAnsi="Calibri" w:cs="Calibri"/>
        </w:rPr>
        <w:t>6</w:t>
      </w:r>
    </w:p>
    <w:p w14:paraId="615AB9AB" w14:textId="2D02216E"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Preparation for research participants</w:t>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Pr>
          <w:rFonts w:ascii="Calibri" w:eastAsia="Calibri" w:hAnsi="Calibri" w:cs="Calibri"/>
        </w:rPr>
        <w:tab/>
      </w:r>
      <w:r w:rsidR="001C14E8" w:rsidRPr="002704C0">
        <w:rPr>
          <w:rFonts w:ascii="Calibri" w:eastAsia="Calibri" w:hAnsi="Calibri" w:cs="Calibri"/>
        </w:rPr>
        <w:t xml:space="preserve"> page 11</w:t>
      </w:r>
      <w:r w:rsidR="007438A2">
        <w:rPr>
          <w:rFonts w:ascii="Calibri" w:eastAsia="Calibri" w:hAnsi="Calibri" w:cs="Calibri"/>
        </w:rPr>
        <w:t>8</w:t>
      </w:r>
    </w:p>
    <w:p w14:paraId="7091BA59" w14:textId="569FDDF9"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Ethics</w:t>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Pr>
          <w:rFonts w:ascii="Calibri" w:eastAsia="Calibri" w:hAnsi="Calibri" w:cs="Calibri"/>
        </w:rPr>
        <w:tab/>
      </w:r>
      <w:r w:rsidR="00477DDD" w:rsidRPr="00EA76BD">
        <w:rPr>
          <w:rFonts w:ascii="Calibri" w:eastAsia="Calibri" w:hAnsi="Calibri" w:cs="Calibri"/>
          <w:sz w:val="24"/>
          <w:szCs w:val="24"/>
        </w:rPr>
        <w:t xml:space="preserve"> </w:t>
      </w:r>
      <w:r w:rsidR="00477DDD" w:rsidRPr="002704C0">
        <w:rPr>
          <w:rFonts w:ascii="Calibri" w:eastAsia="Calibri" w:hAnsi="Calibri" w:cs="Calibri"/>
        </w:rPr>
        <w:t>page 11</w:t>
      </w:r>
      <w:r w:rsidR="007438A2">
        <w:rPr>
          <w:rFonts w:ascii="Calibri" w:eastAsia="Calibri" w:hAnsi="Calibri" w:cs="Calibri"/>
        </w:rPr>
        <w:t>9</w:t>
      </w:r>
    </w:p>
    <w:p w14:paraId="21A6D162" w14:textId="5C1B3231"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Preparation for the researcher</w:t>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sidRPr="00EA76BD">
        <w:rPr>
          <w:rFonts w:ascii="Calibri" w:eastAsia="Calibri" w:hAnsi="Calibri" w:cs="Calibri"/>
          <w:sz w:val="24"/>
          <w:szCs w:val="24"/>
        </w:rPr>
        <w:t xml:space="preserve"> </w:t>
      </w:r>
      <w:r w:rsidR="00EC2A77" w:rsidRPr="002704C0">
        <w:rPr>
          <w:rFonts w:ascii="Calibri" w:eastAsia="Calibri" w:hAnsi="Calibri" w:cs="Calibri"/>
        </w:rPr>
        <w:t>page 11</w:t>
      </w:r>
      <w:r w:rsidR="007438A2">
        <w:rPr>
          <w:rFonts w:ascii="Calibri" w:eastAsia="Calibri" w:hAnsi="Calibri" w:cs="Calibri"/>
        </w:rPr>
        <w:t>9</w:t>
      </w:r>
    </w:p>
    <w:p w14:paraId="17BB698E" w14:textId="1E96D469" w:rsidR="004B022A" w:rsidRPr="004B022A" w:rsidRDefault="004B022A" w:rsidP="004B022A">
      <w:pPr>
        <w:ind w:firstLine="720"/>
        <w:rPr>
          <w:rFonts w:ascii="Calibri" w:eastAsia="Calibri" w:hAnsi="Calibri" w:cs="Calibri"/>
        </w:rPr>
      </w:pPr>
      <w:r w:rsidRPr="004B022A">
        <w:rPr>
          <w:rFonts w:ascii="Calibri" w:eastAsia="Calibri" w:hAnsi="Calibri" w:cs="Calibri"/>
        </w:rPr>
        <w:t>Data analysis</w:t>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Pr>
          <w:rFonts w:ascii="Calibri" w:eastAsia="Calibri" w:hAnsi="Calibri" w:cs="Calibri"/>
        </w:rPr>
        <w:tab/>
      </w:r>
      <w:r w:rsidR="00EC2A77" w:rsidRPr="002704C0">
        <w:rPr>
          <w:rFonts w:ascii="Calibri" w:eastAsia="Calibri" w:hAnsi="Calibri" w:cs="Calibri"/>
        </w:rPr>
        <w:t xml:space="preserve"> page 1</w:t>
      </w:r>
      <w:r w:rsidR="000C72D8">
        <w:rPr>
          <w:rFonts w:ascii="Calibri" w:eastAsia="Calibri" w:hAnsi="Calibri" w:cs="Calibri"/>
        </w:rPr>
        <w:t>20</w:t>
      </w:r>
    </w:p>
    <w:p w14:paraId="0BCD34F8" w14:textId="6533ACEF"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Thematic analysis process</w:t>
      </w:r>
      <w:r w:rsidR="00355AE8">
        <w:rPr>
          <w:rFonts w:ascii="Calibri" w:eastAsia="Calibri" w:hAnsi="Calibri" w:cs="Calibri"/>
        </w:rPr>
        <w:tab/>
      </w:r>
      <w:r w:rsidR="00355AE8">
        <w:rPr>
          <w:rFonts w:ascii="Calibri" w:eastAsia="Calibri" w:hAnsi="Calibri" w:cs="Calibri"/>
        </w:rPr>
        <w:tab/>
      </w:r>
      <w:r w:rsidR="00355AE8">
        <w:rPr>
          <w:rFonts w:ascii="Calibri" w:eastAsia="Calibri" w:hAnsi="Calibri" w:cs="Calibri"/>
        </w:rPr>
        <w:tab/>
      </w:r>
      <w:r w:rsidR="00355AE8">
        <w:rPr>
          <w:rFonts w:ascii="Calibri" w:eastAsia="Calibri" w:hAnsi="Calibri" w:cs="Calibri"/>
        </w:rPr>
        <w:tab/>
      </w:r>
      <w:r w:rsidR="00355AE8">
        <w:rPr>
          <w:rFonts w:ascii="Calibri" w:eastAsia="Calibri" w:hAnsi="Calibri" w:cs="Calibri"/>
        </w:rPr>
        <w:tab/>
      </w:r>
      <w:r w:rsidR="00355AE8">
        <w:rPr>
          <w:rFonts w:ascii="Calibri" w:eastAsia="Calibri" w:hAnsi="Calibri" w:cs="Calibri"/>
        </w:rPr>
        <w:tab/>
        <w:t xml:space="preserve"> </w:t>
      </w:r>
      <w:r w:rsidR="00043D0E" w:rsidRPr="002704C0">
        <w:rPr>
          <w:rFonts w:ascii="Calibri" w:eastAsia="Calibri" w:hAnsi="Calibri" w:cs="Calibri"/>
        </w:rPr>
        <w:t>page 12</w:t>
      </w:r>
      <w:r w:rsidR="00940833">
        <w:rPr>
          <w:rFonts w:ascii="Calibri" w:eastAsia="Calibri" w:hAnsi="Calibri" w:cs="Calibri"/>
        </w:rPr>
        <w:t>2</w:t>
      </w:r>
    </w:p>
    <w:p w14:paraId="5A75D367" w14:textId="27F6B2E4"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Coding</w:t>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Pr>
          <w:rFonts w:ascii="Calibri" w:eastAsia="Calibri" w:hAnsi="Calibri" w:cs="Calibri"/>
        </w:rPr>
        <w:tab/>
      </w:r>
      <w:r w:rsidR="00043D0E" w:rsidRPr="002704C0">
        <w:rPr>
          <w:rFonts w:ascii="Calibri" w:eastAsia="Calibri" w:hAnsi="Calibri" w:cs="Calibri"/>
        </w:rPr>
        <w:tab/>
        <w:t xml:space="preserve"> page 12</w:t>
      </w:r>
      <w:r w:rsidR="00940833">
        <w:rPr>
          <w:rFonts w:ascii="Calibri" w:eastAsia="Calibri" w:hAnsi="Calibri" w:cs="Calibri"/>
        </w:rPr>
        <w:t>3</w:t>
      </w:r>
    </w:p>
    <w:p w14:paraId="753BF0EE" w14:textId="45CC2958"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A reminder</w:t>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r>
      <w:r w:rsidR="003D761D">
        <w:rPr>
          <w:rFonts w:ascii="Calibri" w:eastAsia="Calibri" w:hAnsi="Calibri" w:cs="Calibri"/>
        </w:rPr>
        <w:tab/>
        <w:t xml:space="preserve"> </w:t>
      </w:r>
      <w:r w:rsidR="003D761D" w:rsidRPr="002704C0">
        <w:rPr>
          <w:rFonts w:ascii="Calibri" w:eastAsia="Calibri" w:hAnsi="Calibri" w:cs="Calibri"/>
        </w:rPr>
        <w:t>page 12</w:t>
      </w:r>
      <w:r w:rsidR="00940833">
        <w:rPr>
          <w:rFonts w:ascii="Calibri" w:eastAsia="Calibri" w:hAnsi="Calibri" w:cs="Calibri"/>
        </w:rPr>
        <w:t>4</w:t>
      </w:r>
    </w:p>
    <w:p w14:paraId="1796C47D" w14:textId="71207A81" w:rsidR="004B022A" w:rsidRPr="004B022A" w:rsidRDefault="004B022A" w:rsidP="004B022A">
      <w:pPr>
        <w:ind w:firstLine="720"/>
        <w:rPr>
          <w:rFonts w:ascii="Calibri" w:eastAsia="Calibri" w:hAnsi="Calibri" w:cs="Calibri"/>
        </w:rPr>
      </w:pPr>
      <w:r w:rsidRPr="004B022A">
        <w:rPr>
          <w:rFonts w:ascii="Calibri" w:eastAsia="Calibri" w:hAnsi="Calibri" w:cs="Calibri"/>
        </w:rPr>
        <w:t>Limitations</w:t>
      </w:r>
      <w:r w:rsidR="006D047B">
        <w:rPr>
          <w:rFonts w:ascii="Calibri" w:eastAsia="Calibri" w:hAnsi="Calibri" w:cs="Calibri"/>
        </w:rPr>
        <w:tab/>
      </w:r>
      <w:r w:rsidR="006D047B">
        <w:rPr>
          <w:rFonts w:ascii="Calibri" w:eastAsia="Calibri" w:hAnsi="Calibri" w:cs="Calibri"/>
        </w:rPr>
        <w:tab/>
      </w:r>
      <w:r w:rsidR="006D047B">
        <w:rPr>
          <w:rFonts w:ascii="Calibri" w:eastAsia="Calibri" w:hAnsi="Calibri" w:cs="Calibri"/>
        </w:rPr>
        <w:tab/>
      </w:r>
      <w:r w:rsidR="006D047B">
        <w:rPr>
          <w:rFonts w:ascii="Calibri" w:eastAsia="Calibri" w:hAnsi="Calibri" w:cs="Calibri"/>
        </w:rPr>
        <w:tab/>
      </w:r>
      <w:r w:rsidR="006D047B">
        <w:rPr>
          <w:rFonts w:ascii="Calibri" w:eastAsia="Calibri" w:hAnsi="Calibri" w:cs="Calibri"/>
        </w:rPr>
        <w:tab/>
      </w:r>
      <w:r w:rsidR="006D047B">
        <w:rPr>
          <w:rFonts w:ascii="Calibri" w:eastAsia="Calibri" w:hAnsi="Calibri" w:cs="Calibri"/>
        </w:rPr>
        <w:tab/>
      </w:r>
      <w:r w:rsidR="006D047B">
        <w:rPr>
          <w:rFonts w:ascii="Calibri" w:eastAsia="Calibri" w:hAnsi="Calibri" w:cs="Calibri"/>
        </w:rPr>
        <w:tab/>
      </w:r>
      <w:r w:rsidR="006D047B" w:rsidRPr="002704C0">
        <w:rPr>
          <w:rFonts w:ascii="Calibri" w:eastAsia="Calibri" w:hAnsi="Calibri" w:cs="Calibri"/>
        </w:rPr>
        <w:tab/>
        <w:t xml:space="preserve"> page 12</w:t>
      </w:r>
      <w:r w:rsidR="00940833">
        <w:rPr>
          <w:rFonts w:ascii="Calibri" w:eastAsia="Calibri" w:hAnsi="Calibri" w:cs="Calibri"/>
        </w:rPr>
        <w:t>5</w:t>
      </w:r>
    </w:p>
    <w:p w14:paraId="0DFCA3CA" w14:textId="13771A84" w:rsidR="004B022A" w:rsidRPr="004B022A" w:rsidRDefault="004B022A" w:rsidP="004B022A">
      <w:pPr>
        <w:ind w:firstLine="720"/>
        <w:rPr>
          <w:rFonts w:ascii="Calibri" w:eastAsia="Calibri" w:hAnsi="Calibri" w:cs="Calibri"/>
        </w:rPr>
      </w:pPr>
      <w:r w:rsidRPr="004B022A">
        <w:rPr>
          <w:rFonts w:ascii="Calibri" w:eastAsia="Calibri" w:hAnsi="Calibri" w:cs="Calibri"/>
        </w:rPr>
        <w:t>Manual analysis</w:t>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sidRPr="002704C0">
        <w:rPr>
          <w:rFonts w:ascii="Calibri" w:eastAsia="Calibri" w:hAnsi="Calibri" w:cs="Calibri"/>
        </w:rPr>
        <w:t xml:space="preserve"> page 12</w:t>
      </w:r>
      <w:r w:rsidR="00940833">
        <w:rPr>
          <w:rFonts w:ascii="Calibri" w:eastAsia="Calibri" w:hAnsi="Calibri" w:cs="Calibri"/>
        </w:rPr>
        <w:t>5</w:t>
      </w:r>
    </w:p>
    <w:p w14:paraId="30242E96" w14:textId="248B0E21" w:rsidR="004B022A" w:rsidRPr="00EA76BD" w:rsidRDefault="004B022A" w:rsidP="004B022A">
      <w:pPr>
        <w:ind w:firstLine="720"/>
        <w:rPr>
          <w:rFonts w:ascii="Calibri" w:eastAsia="Calibri" w:hAnsi="Calibri" w:cs="Calibri"/>
          <w:sz w:val="24"/>
          <w:szCs w:val="24"/>
        </w:rPr>
      </w:pPr>
      <w:r w:rsidRPr="004B022A">
        <w:rPr>
          <w:rFonts w:ascii="Calibri" w:eastAsia="Calibri" w:hAnsi="Calibri" w:cs="Calibri"/>
        </w:rPr>
        <w:t>TA as a journey</w:t>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sidRPr="002704C0">
        <w:rPr>
          <w:rFonts w:ascii="Calibri" w:eastAsia="Calibri" w:hAnsi="Calibri" w:cs="Calibri"/>
        </w:rPr>
        <w:t xml:space="preserve"> page 12</w:t>
      </w:r>
      <w:r w:rsidR="00A827F6">
        <w:rPr>
          <w:rFonts w:ascii="Calibri" w:eastAsia="Calibri" w:hAnsi="Calibri" w:cs="Calibri"/>
        </w:rPr>
        <w:t>6</w:t>
      </w:r>
    </w:p>
    <w:p w14:paraId="3148EE59" w14:textId="032AEA1B" w:rsidR="004B022A" w:rsidRPr="00EA76BD" w:rsidRDefault="004B022A" w:rsidP="006149AA">
      <w:pPr>
        <w:ind w:firstLine="720"/>
        <w:rPr>
          <w:rFonts w:ascii="Calibri" w:eastAsia="Calibri" w:hAnsi="Calibri" w:cs="Calibri"/>
          <w:sz w:val="24"/>
          <w:szCs w:val="24"/>
        </w:rPr>
      </w:pPr>
      <w:r w:rsidRPr="004B022A">
        <w:rPr>
          <w:rFonts w:ascii="Calibri" w:eastAsia="Calibri" w:hAnsi="Calibri" w:cs="Calibri"/>
        </w:rPr>
        <w:t>Review</w:t>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Pr>
          <w:rFonts w:ascii="Calibri" w:eastAsia="Calibri" w:hAnsi="Calibri" w:cs="Calibri"/>
        </w:rPr>
        <w:tab/>
      </w:r>
      <w:r w:rsidR="00AF7638" w:rsidRPr="002704C0">
        <w:rPr>
          <w:rFonts w:ascii="Calibri" w:eastAsia="Calibri" w:hAnsi="Calibri" w:cs="Calibri"/>
        </w:rPr>
        <w:tab/>
        <w:t xml:space="preserve"> page 12</w:t>
      </w:r>
      <w:r w:rsidR="00D13BB3">
        <w:rPr>
          <w:rFonts w:ascii="Calibri" w:eastAsia="Calibri" w:hAnsi="Calibri" w:cs="Calibri"/>
        </w:rPr>
        <w:t>6</w:t>
      </w:r>
    </w:p>
    <w:p w14:paraId="681E2729" w14:textId="7C9B8EE2" w:rsidR="00DA2ECE" w:rsidRPr="00EA76BD" w:rsidRDefault="00DA2ECE" w:rsidP="00DA2ECE">
      <w:pPr>
        <w:rPr>
          <w:rFonts w:cstheme="minorHAnsi"/>
          <w:sz w:val="24"/>
          <w:szCs w:val="24"/>
        </w:rPr>
      </w:pPr>
      <w:r w:rsidRPr="00DA2ECE">
        <w:rPr>
          <w:rFonts w:cstheme="minorHAnsi"/>
          <w:sz w:val="24"/>
          <w:szCs w:val="24"/>
        </w:rPr>
        <w:t>Reflections</w:t>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294805" w:rsidRPr="00112931">
        <w:rPr>
          <w:rFonts w:cstheme="minorHAnsi"/>
          <w:sz w:val="24"/>
          <w:szCs w:val="24"/>
        </w:rPr>
        <w:tab/>
      </w:r>
      <w:r w:rsidR="006F063F" w:rsidRPr="002704C0">
        <w:rPr>
          <w:rFonts w:cstheme="minorHAnsi"/>
        </w:rPr>
        <w:t xml:space="preserve"> </w:t>
      </w:r>
      <w:r w:rsidR="00294805" w:rsidRPr="002704C0">
        <w:rPr>
          <w:rFonts w:cstheme="minorHAnsi"/>
        </w:rPr>
        <w:t>page</w:t>
      </w:r>
      <w:r w:rsidR="00C878E2" w:rsidRPr="002704C0">
        <w:rPr>
          <w:rFonts w:cstheme="minorHAnsi"/>
        </w:rPr>
        <w:t xml:space="preserve"> 12</w:t>
      </w:r>
      <w:r w:rsidR="00A827F6">
        <w:rPr>
          <w:rFonts w:cstheme="minorHAnsi"/>
        </w:rPr>
        <w:t>7</w:t>
      </w:r>
    </w:p>
    <w:p w14:paraId="67D14D2C" w14:textId="10AF7EA4" w:rsidR="00DA2ECE" w:rsidRPr="00DA2ECE" w:rsidRDefault="00DA2ECE" w:rsidP="00DA2ECE">
      <w:pPr>
        <w:rPr>
          <w:rFonts w:cstheme="minorHAnsi"/>
          <w:sz w:val="24"/>
          <w:szCs w:val="24"/>
        </w:rPr>
      </w:pPr>
      <w:r w:rsidRPr="00DA2ECE">
        <w:rPr>
          <w:rFonts w:cstheme="minorHAnsi"/>
          <w:sz w:val="24"/>
          <w:szCs w:val="24"/>
        </w:rPr>
        <w:t xml:space="preserve">Chapter Five: The Conquest </w:t>
      </w:r>
      <w:r w:rsidR="002D1489" w:rsidRPr="00112931">
        <w:rPr>
          <w:rFonts w:cstheme="minorHAnsi"/>
          <w:sz w:val="24"/>
          <w:szCs w:val="24"/>
        </w:rPr>
        <w:t>(</w:t>
      </w:r>
      <w:r w:rsidRPr="00DA2ECE">
        <w:rPr>
          <w:rFonts w:cstheme="minorHAnsi"/>
          <w:sz w:val="24"/>
          <w:szCs w:val="24"/>
        </w:rPr>
        <w:t>Analysis Part One</w:t>
      </w:r>
      <w:r w:rsidR="002D1489" w:rsidRPr="00112931">
        <w:rPr>
          <w:rFonts w:cstheme="minorHAnsi"/>
          <w:sz w:val="24"/>
          <w:szCs w:val="24"/>
        </w:rPr>
        <w:t>)</w:t>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6F063F" w:rsidRPr="002704C0">
        <w:rPr>
          <w:rFonts w:cstheme="minorHAnsi"/>
        </w:rPr>
        <w:t xml:space="preserve"> </w:t>
      </w:r>
      <w:r w:rsidR="002D1489" w:rsidRPr="002704C0">
        <w:rPr>
          <w:rFonts w:cstheme="minorHAnsi"/>
        </w:rPr>
        <w:t>page</w:t>
      </w:r>
      <w:r w:rsidR="00C878E2" w:rsidRPr="002704C0">
        <w:rPr>
          <w:rFonts w:cstheme="minorHAnsi"/>
        </w:rPr>
        <w:t xml:space="preserve"> 12</w:t>
      </w:r>
      <w:r w:rsidR="00A827F6">
        <w:rPr>
          <w:rFonts w:cstheme="minorHAnsi"/>
        </w:rPr>
        <w:t>9</w:t>
      </w:r>
    </w:p>
    <w:p w14:paraId="6C404DEB" w14:textId="50A71F16" w:rsidR="002B1712" w:rsidRPr="00EA76BD" w:rsidRDefault="002B1712" w:rsidP="002B1712">
      <w:pPr>
        <w:ind w:firstLine="720"/>
        <w:rPr>
          <w:rFonts w:ascii="Calibri" w:eastAsia="Calibri" w:hAnsi="Calibri" w:cs="Calibri"/>
          <w:sz w:val="24"/>
          <w:szCs w:val="24"/>
        </w:rPr>
      </w:pPr>
      <w:r w:rsidRPr="002B1712">
        <w:rPr>
          <w:rFonts w:ascii="Calibri" w:eastAsia="Calibri" w:hAnsi="Calibri" w:cs="Calibri"/>
        </w:rPr>
        <w:t>Introduction</w:t>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t xml:space="preserve"> </w:t>
      </w:r>
      <w:r w:rsidR="00FB3F54" w:rsidRPr="002704C0">
        <w:rPr>
          <w:rFonts w:ascii="Calibri" w:eastAsia="Calibri" w:hAnsi="Calibri" w:cs="Calibri"/>
        </w:rPr>
        <w:t>page 1</w:t>
      </w:r>
      <w:r w:rsidR="00A827F6">
        <w:rPr>
          <w:rFonts w:ascii="Calibri" w:eastAsia="Calibri" w:hAnsi="Calibri" w:cs="Calibri"/>
        </w:rPr>
        <w:t>30</w:t>
      </w:r>
    </w:p>
    <w:p w14:paraId="79FA2D6C" w14:textId="4870A2C8" w:rsidR="002B1712" w:rsidRPr="002704C0" w:rsidRDefault="002B1712" w:rsidP="002B1712">
      <w:pPr>
        <w:ind w:firstLine="720"/>
        <w:rPr>
          <w:rFonts w:ascii="Calibri" w:eastAsia="Calibri" w:hAnsi="Calibri" w:cs="Calibri"/>
        </w:rPr>
      </w:pPr>
      <w:r w:rsidRPr="002B1712">
        <w:rPr>
          <w:rFonts w:ascii="Calibri" w:eastAsia="Calibri" w:hAnsi="Calibri" w:cs="Calibri"/>
        </w:rPr>
        <w:t>Data analysis process</w:t>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sidRPr="00EA76BD">
        <w:rPr>
          <w:rFonts w:ascii="Calibri" w:eastAsia="Calibri" w:hAnsi="Calibri" w:cs="Calibri"/>
          <w:sz w:val="24"/>
          <w:szCs w:val="24"/>
        </w:rPr>
        <w:t xml:space="preserve"> </w:t>
      </w:r>
      <w:r w:rsidR="00FB3F54" w:rsidRPr="002704C0">
        <w:rPr>
          <w:rFonts w:ascii="Calibri" w:eastAsia="Calibri" w:hAnsi="Calibri" w:cs="Calibri"/>
        </w:rPr>
        <w:t>page 1</w:t>
      </w:r>
      <w:r w:rsidR="00A827F6">
        <w:rPr>
          <w:rFonts w:ascii="Calibri" w:eastAsia="Calibri" w:hAnsi="Calibri" w:cs="Calibri"/>
        </w:rPr>
        <w:t>30</w:t>
      </w:r>
    </w:p>
    <w:p w14:paraId="0DAD8E96" w14:textId="1238433D" w:rsidR="002B1712" w:rsidRPr="00EA76BD" w:rsidRDefault="002B1712" w:rsidP="002B1712">
      <w:pPr>
        <w:ind w:left="720"/>
        <w:rPr>
          <w:rFonts w:ascii="Calibri" w:eastAsia="Calibri" w:hAnsi="Calibri" w:cs="Calibri"/>
          <w:sz w:val="24"/>
          <w:szCs w:val="24"/>
        </w:rPr>
      </w:pPr>
      <w:r w:rsidRPr="002B1712">
        <w:rPr>
          <w:rFonts w:ascii="Calibri" w:eastAsia="Calibri" w:hAnsi="Calibri" w:cs="Calibri"/>
        </w:rPr>
        <w:t>Coding and themes</w:t>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FB3F54">
        <w:rPr>
          <w:rFonts w:ascii="Calibri" w:eastAsia="Calibri" w:hAnsi="Calibri" w:cs="Calibri"/>
        </w:rPr>
        <w:tab/>
      </w:r>
      <w:r w:rsidR="00CE6049" w:rsidRPr="00EA76BD">
        <w:rPr>
          <w:rFonts w:ascii="Calibri" w:eastAsia="Calibri" w:hAnsi="Calibri" w:cs="Calibri"/>
          <w:sz w:val="24"/>
          <w:szCs w:val="24"/>
        </w:rPr>
        <w:t xml:space="preserve"> </w:t>
      </w:r>
      <w:r w:rsidR="00CE6049" w:rsidRPr="002704C0">
        <w:rPr>
          <w:rFonts w:ascii="Calibri" w:eastAsia="Calibri" w:hAnsi="Calibri" w:cs="Calibri"/>
        </w:rPr>
        <w:t>page 1</w:t>
      </w:r>
      <w:r w:rsidR="00A827F6">
        <w:rPr>
          <w:rFonts w:ascii="Calibri" w:eastAsia="Calibri" w:hAnsi="Calibri" w:cs="Calibri"/>
        </w:rPr>
        <w:t>31</w:t>
      </w:r>
    </w:p>
    <w:p w14:paraId="6034C2DE" w14:textId="77777777" w:rsidR="00B358C2" w:rsidRDefault="00B358C2" w:rsidP="002B1712">
      <w:pPr>
        <w:ind w:firstLine="720"/>
        <w:rPr>
          <w:rFonts w:ascii="Calibri" w:eastAsia="Calibri" w:hAnsi="Calibri" w:cs="Calibri"/>
        </w:rPr>
      </w:pPr>
    </w:p>
    <w:p w14:paraId="0FC0F0A7" w14:textId="77777777" w:rsidR="00B358C2" w:rsidRDefault="00B358C2" w:rsidP="002B1712">
      <w:pPr>
        <w:ind w:firstLine="720"/>
        <w:rPr>
          <w:rFonts w:ascii="Calibri" w:eastAsia="Calibri" w:hAnsi="Calibri" w:cs="Calibri"/>
        </w:rPr>
      </w:pPr>
    </w:p>
    <w:p w14:paraId="5643B7D4" w14:textId="71265E13" w:rsidR="002B1712" w:rsidRPr="002B1712" w:rsidRDefault="002B1712" w:rsidP="002B1712">
      <w:pPr>
        <w:ind w:firstLine="720"/>
        <w:rPr>
          <w:rFonts w:ascii="Calibri" w:eastAsia="Calibri" w:hAnsi="Calibri" w:cs="Calibri"/>
        </w:rPr>
      </w:pPr>
      <w:r w:rsidRPr="002B1712">
        <w:rPr>
          <w:rFonts w:ascii="Calibri" w:eastAsia="Calibri" w:hAnsi="Calibri" w:cs="Calibri"/>
        </w:rPr>
        <w:t>Coding: The teacher trainer journey – the “what”?</w:t>
      </w:r>
      <w:r w:rsidR="00CE6049">
        <w:rPr>
          <w:rFonts w:ascii="Calibri" w:eastAsia="Calibri" w:hAnsi="Calibri" w:cs="Calibri"/>
        </w:rPr>
        <w:tab/>
      </w:r>
      <w:r w:rsidR="00CE6049">
        <w:rPr>
          <w:rFonts w:ascii="Calibri" w:eastAsia="Calibri" w:hAnsi="Calibri" w:cs="Calibri"/>
        </w:rPr>
        <w:tab/>
      </w:r>
      <w:r w:rsidR="00CE6049">
        <w:rPr>
          <w:rFonts w:ascii="Calibri" w:eastAsia="Calibri" w:hAnsi="Calibri" w:cs="Calibri"/>
        </w:rPr>
        <w:tab/>
        <w:t xml:space="preserve"> </w:t>
      </w:r>
      <w:r w:rsidR="00CE6049" w:rsidRPr="002704C0">
        <w:rPr>
          <w:rFonts w:ascii="Calibri" w:eastAsia="Calibri" w:hAnsi="Calibri" w:cs="Calibri"/>
        </w:rPr>
        <w:t>page 13</w:t>
      </w:r>
      <w:r w:rsidR="00B358C2">
        <w:rPr>
          <w:rFonts w:ascii="Calibri" w:eastAsia="Calibri" w:hAnsi="Calibri" w:cs="Calibri"/>
        </w:rPr>
        <w:t>3</w:t>
      </w:r>
    </w:p>
    <w:p w14:paraId="7EF027B6" w14:textId="1751F7C4" w:rsidR="002B1712" w:rsidRPr="002B1712" w:rsidRDefault="002B1712" w:rsidP="002B1712">
      <w:pPr>
        <w:ind w:firstLine="720"/>
        <w:rPr>
          <w:rFonts w:ascii="Calibri" w:eastAsia="Calibri" w:hAnsi="Calibri" w:cs="Calibri"/>
        </w:rPr>
      </w:pPr>
      <w:r w:rsidRPr="002B1712">
        <w:rPr>
          <w:rFonts w:ascii="Calibri" w:eastAsia="Calibri" w:hAnsi="Calibri" w:cs="Calibri"/>
        </w:rPr>
        <w:t>Theme 1: Into the Woods</w:t>
      </w:r>
      <w:r w:rsidR="00CE6049">
        <w:rPr>
          <w:rFonts w:ascii="Calibri" w:eastAsia="Calibri" w:hAnsi="Calibri" w:cs="Calibri"/>
        </w:rPr>
        <w:tab/>
      </w:r>
      <w:r w:rsidR="00CE6049">
        <w:rPr>
          <w:rFonts w:ascii="Calibri" w:eastAsia="Calibri" w:hAnsi="Calibri" w:cs="Calibri"/>
        </w:rPr>
        <w:tab/>
      </w:r>
      <w:r w:rsidR="00CE6049">
        <w:rPr>
          <w:rFonts w:ascii="Calibri" w:eastAsia="Calibri" w:hAnsi="Calibri" w:cs="Calibri"/>
        </w:rPr>
        <w:tab/>
      </w:r>
      <w:r w:rsidR="00CE6049">
        <w:rPr>
          <w:rFonts w:ascii="Calibri" w:eastAsia="Calibri" w:hAnsi="Calibri" w:cs="Calibri"/>
        </w:rPr>
        <w:tab/>
      </w:r>
      <w:r w:rsidR="00CE6049">
        <w:rPr>
          <w:rFonts w:ascii="Calibri" w:eastAsia="Calibri" w:hAnsi="Calibri" w:cs="Calibri"/>
        </w:rPr>
        <w:tab/>
      </w:r>
      <w:r w:rsidR="00CE6049">
        <w:rPr>
          <w:rFonts w:ascii="Calibri" w:eastAsia="Calibri" w:hAnsi="Calibri" w:cs="Calibri"/>
        </w:rPr>
        <w:tab/>
      </w:r>
      <w:r w:rsidR="00CE6049" w:rsidRPr="002704C0">
        <w:rPr>
          <w:rFonts w:ascii="Calibri" w:eastAsia="Calibri" w:hAnsi="Calibri" w:cs="Calibri"/>
        </w:rPr>
        <w:t xml:space="preserve"> page</w:t>
      </w:r>
      <w:r w:rsidR="0009769E" w:rsidRPr="002704C0">
        <w:rPr>
          <w:rFonts w:ascii="Calibri" w:eastAsia="Calibri" w:hAnsi="Calibri" w:cs="Calibri"/>
        </w:rPr>
        <w:t xml:space="preserve"> 13</w:t>
      </w:r>
      <w:r w:rsidR="00B358C2">
        <w:rPr>
          <w:rFonts w:ascii="Calibri" w:eastAsia="Calibri" w:hAnsi="Calibri" w:cs="Calibri"/>
        </w:rPr>
        <w:t>3</w:t>
      </w:r>
    </w:p>
    <w:p w14:paraId="5E30804E" w14:textId="530B06CE" w:rsidR="002B1712" w:rsidRPr="002704C0" w:rsidRDefault="002B1712" w:rsidP="002B1712">
      <w:pPr>
        <w:ind w:left="720" w:firstLine="720"/>
        <w:rPr>
          <w:rFonts w:ascii="Calibri" w:eastAsia="Calibri" w:hAnsi="Calibri" w:cs="Calibri"/>
        </w:rPr>
      </w:pPr>
      <w:r w:rsidRPr="002B1712">
        <w:rPr>
          <w:rFonts w:ascii="Calibri" w:eastAsia="Calibri" w:hAnsi="Calibri" w:cs="Calibri"/>
          <w:i/>
          <w:iCs/>
        </w:rPr>
        <w:t>Initiation</w:t>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t xml:space="preserve"> </w:t>
      </w:r>
      <w:r w:rsidR="0009769E" w:rsidRPr="002704C0">
        <w:rPr>
          <w:rFonts w:ascii="Calibri" w:eastAsia="Calibri" w:hAnsi="Calibri" w:cs="Calibri"/>
        </w:rPr>
        <w:t>page 13</w:t>
      </w:r>
      <w:r w:rsidR="00B358C2">
        <w:rPr>
          <w:rFonts w:ascii="Calibri" w:eastAsia="Calibri" w:hAnsi="Calibri" w:cs="Calibri"/>
        </w:rPr>
        <w:t>3</w:t>
      </w:r>
    </w:p>
    <w:p w14:paraId="05B70EAD" w14:textId="6B8B2966" w:rsidR="002B1712" w:rsidRPr="002704C0" w:rsidRDefault="002B1712" w:rsidP="002B1712">
      <w:pPr>
        <w:ind w:left="720" w:firstLine="720"/>
        <w:rPr>
          <w:rFonts w:ascii="Calibri" w:eastAsia="Calibri" w:hAnsi="Calibri" w:cs="Calibri"/>
        </w:rPr>
      </w:pPr>
      <w:r w:rsidRPr="002B1712">
        <w:rPr>
          <w:rFonts w:ascii="Calibri" w:eastAsia="Calibri" w:hAnsi="Calibri" w:cs="Calibri"/>
          <w:i/>
          <w:iCs/>
        </w:rPr>
        <w:t>First obstacle</w:t>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Pr>
          <w:rFonts w:ascii="Calibri" w:eastAsia="Calibri" w:hAnsi="Calibri" w:cs="Calibri"/>
          <w:i/>
          <w:iCs/>
        </w:rPr>
        <w:tab/>
      </w:r>
      <w:r w:rsidR="0009769E" w:rsidRPr="002704C0">
        <w:rPr>
          <w:rFonts w:ascii="Calibri" w:eastAsia="Calibri" w:hAnsi="Calibri" w:cs="Calibri"/>
          <w:i/>
          <w:iCs/>
        </w:rPr>
        <w:t xml:space="preserve"> </w:t>
      </w:r>
      <w:r w:rsidR="0009769E" w:rsidRPr="002704C0">
        <w:rPr>
          <w:rFonts w:ascii="Calibri" w:eastAsia="Calibri" w:hAnsi="Calibri" w:cs="Calibri"/>
        </w:rPr>
        <w:t>page 13</w:t>
      </w:r>
      <w:r w:rsidR="0048540A">
        <w:rPr>
          <w:rFonts w:ascii="Calibri" w:eastAsia="Calibri" w:hAnsi="Calibri" w:cs="Calibri"/>
        </w:rPr>
        <w:t>6</w:t>
      </w:r>
    </w:p>
    <w:p w14:paraId="5ABAAA42" w14:textId="6A45BC89" w:rsidR="002B1712" w:rsidRPr="002704C0" w:rsidRDefault="002B1712" w:rsidP="002B1712">
      <w:pPr>
        <w:ind w:left="720" w:firstLine="720"/>
        <w:rPr>
          <w:rFonts w:ascii="Calibri" w:eastAsia="Calibri" w:hAnsi="Calibri" w:cs="Calibri"/>
        </w:rPr>
      </w:pPr>
      <w:r w:rsidRPr="002B1712">
        <w:rPr>
          <w:rFonts w:ascii="Calibri" w:eastAsia="Calibri" w:hAnsi="Calibri" w:cs="Calibri"/>
          <w:i/>
          <w:iCs/>
        </w:rPr>
        <w:t>Role of the teacher</w:t>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sidRPr="002704C0">
        <w:rPr>
          <w:rFonts w:ascii="Calibri" w:eastAsia="Calibri" w:hAnsi="Calibri" w:cs="Calibri"/>
          <w:i/>
          <w:iCs/>
        </w:rPr>
        <w:t xml:space="preserve"> </w:t>
      </w:r>
      <w:r w:rsidR="00134C84" w:rsidRPr="002704C0">
        <w:rPr>
          <w:rFonts w:ascii="Calibri" w:eastAsia="Calibri" w:hAnsi="Calibri" w:cs="Calibri"/>
        </w:rPr>
        <w:t>page 13</w:t>
      </w:r>
      <w:r w:rsidR="0048540A">
        <w:rPr>
          <w:rFonts w:ascii="Calibri" w:eastAsia="Calibri" w:hAnsi="Calibri" w:cs="Calibri"/>
        </w:rPr>
        <w:t>7</w:t>
      </w:r>
    </w:p>
    <w:p w14:paraId="462294A5" w14:textId="1BFD626C" w:rsidR="002B1712" w:rsidRPr="00134C84" w:rsidRDefault="002B1712" w:rsidP="002B1712">
      <w:pPr>
        <w:ind w:left="720" w:firstLine="720"/>
        <w:rPr>
          <w:rFonts w:ascii="Calibri" w:eastAsia="Calibri" w:hAnsi="Calibri" w:cs="Calibri"/>
        </w:rPr>
      </w:pPr>
      <w:r w:rsidRPr="002B1712">
        <w:rPr>
          <w:rFonts w:ascii="Calibri" w:eastAsia="Calibri" w:hAnsi="Calibri" w:cs="Calibri"/>
          <w:i/>
          <w:iCs/>
        </w:rPr>
        <w:t>Support</w:t>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t xml:space="preserve"> </w:t>
      </w:r>
      <w:r w:rsidR="00134C84" w:rsidRPr="002704C0">
        <w:rPr>
          <w:rFonts w:ascii="Calibri" w:eastAsia="Calibri" w:hAnsi="Calibri" w:cs="Calibri"/>
        </w:rPr>
        <w:t>page 13</w:t>
      </w:r>
      <w:r w:rsidR="0048540A">
        <w:rPr>
          <w:rFonts w:ascii="Calibri" w:eastAsia="Calibri" w:hAnsi="Calibri" w:cs="Calibri"/>
        </w:rPr>
        <w:t>9</w:t>
      </w:r>
    </w:p>
    <w:p w14:paraId="37AD62A5" w14:textId="6ACE1DA3" w:rsidR="002B1712" w:rsidRPr="002704C0" w:rsidRDefault="002B1712" w:rsidP="002B1712">
      <w:pPr>
        <w:ind w:left="720" w:firstLine="720"/>
        <w:rPr>
          <w:rFonts w:ascii="Calibri" w:eastAsia="Calibri" w:hAnsi="Calibri" w:cs="Calibri"/>
        </w:rPr>
      </w:pPr>
      <w:r w:rsidRPr="002B1712">
        <w:rPr>
          <w:rFonts w:ascii="Calibri" w:eastAsia="Calibri" w:hAnsi="Calibri" w:cs="Calibri"/>
          <w:i/>
          <w:iCs/>
        </w:rPr>
        <w:t>The magical tool</w:t>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Pr>
          <w:rFonts w:ascii="Calibri" w:eastAsia="Calibri" w:hAnsi="Calibri" w:cs="Calibri"/>
          <w:i/>
          <w:iCs/>
        </w:rPr>
        <w:tab/>
      </w:r>
      <w:r w:rsidR="00134C84" w:rsidRPr="002704C0">
        <w:rPr>
          <w:rFonts w:ascii="Calibri" w:eastAsia="Calibri" w:hAnsi="Calibri" w:cs="Calibri"/>
          <w:i/>
          <w:iCs/>
        </w:rPr>
        <w:t xml:space="preserve"> </w:t>
      </w:r>
      <w:r w:rsidR="00134C84" w:rsidRPr="002704C0">
        <w:rPr>
          <w:rFonts w:ascii="Calibri" w:eastAsia="Calibri" w:hAnsi="Calibri" w:cs="Calibri"/>
        </w:rPr>
        <w:t>page 14</w:t>
      </w:r>
      <w:r w:rsidR="0048540A">
        <w:rPr>
          <w:rFonts w:ascii="Calibri" w:eastAsia="Calibri" w:hAnsi="Calibri" w:cs="Calibri"/>
        </w:rPr>
        <w:t>3</w:t>
      </w:r>
    </w:p>
    <w:p w14:paraId="11AE3294" w14:textId="374E56DF" w:rsidR="002B1712" w:rsidRPr="002B1712" w:rsidRDefault="002B1712" w:rsidP="002B1712">
      <w:pPr>
        <w:ind w:firstLine="720"/>
        <w:rPr>
          <w:rFonts w:ascii="Calibri" w:eastAsia="Calibri" w:hAnsi="Calibri" w:cs="Calibri"/>
        </w:rPr>
      </w:pPr>
      <w:r w:rsidRPr="002B1712">
        <w:rPr>
          <w:rFonts w:ascii="Calibri" w:eastAsia="Calibri" w:hAnsi="Calibri" w:cs="Calibri"/>
        </w:rPr>
        <w:t>A pause to gather</w:t>
      </w:r>
      <w:r w:rsidR="00134C84">
        <w:rPr>
          <w:rFonts w:ascii="Calibri" w:eastAsia="Calibri" w:hAnsi="Calibri" w:cs="Calibri"/>
        </w:rPr>
        <w:tab/>
      </w:r>
      <w:r w:rsidR="00134C84">
        <w:rPr>
          <w:rFonts w:ascii="Calibri" w:eastAsia="Calibri" w:hAnsi="Calibri" w:cs="Calibri"/>
        </w:rPr>
        <w:tab/>
      </w:r>
      <w:r w:rsidR="00134C84">
        <w:rPr>
          <w:rFonts w:ascii="Calibri" w:eastAsia="Calibri" w:hAnsi="Calibri" w:cs="Calibri"/>
        </w:rPr>
        <w:tab/>
      </w:r>
      <w:r w:rsidR="00134C84">
        <w:rPr>
          <w:rFonts w:ascii="Calibri" w:eastAsia="Calibri" w:hAnsi="Calibri" w:cs="Calibri"/>
        </w:rPr>
        <w:tab/>
      </w:r>
      <w:r w:rsidR="00134C84">
        <w:rPr>
          <w:rFonts w:ascii="Calibri" w:eastAsia="Calibri" w:hAnsi="Calibri" w:cs="Calibri"/>
        </w:rPr>
        <w:tab/>
      </w:r>
      <w:r w:rsidR="00134C84">
        <w:rPr>
          <w:rFonts w:ascii="Calibri" w:eastAsia="Calibri" w:hAnsi="Calibri" w:cs="Calibri"/>
        </w:rPr>
        <w:tab/>
      </w:r>
      <w:r w:rsidR="00134C84">
        <w:rPr>
          <w:rFonts w:ascii="Calibri" w:eastAsia="Calibri" w:hAnsi="Calibri" w:cs="Calibri"/>
        </w:rPr>
        <w:tab/>
        <w:t xml:space="preserve"> </w:t>
      </w:r>
      <w:r w:rsidR="00134C84" w:rsidRPr="002704C0">
        <w:rPr>
          <w:rFonts w:ascii="Calibri" w:eastAsia="Calibri" w:hAnsi="Calibri" w:cs="Calibri"/>
        </w:rPr>
        <w:t>page 14</w:t>
      </w:r>
      <w:r w:rsidR="00F947F7">
        <w:rPr>
          <w:rFonts w:ascii="Calibri" w:eastAsia="Calibri" w:hAnsi="Calibri" w:cs="Calibri"/>
        </w:rPr>
        <w:t>4</w:t>
      </w:r>
    </w:p>
    <w:p w14:paraId="62D71B0D" w14:textId="1D35A4D5" w:rsidR="002B1712" w:rsidRPr="002704C0" w:rsidRDefault="002B1712" w:rsidP="002B1712">
      <w:pPr>
        <w:ind w:left="720" w:firstLine="720"/>
        <w:rPr>
          <w:rFonts w:ascii="Calibri" w:eastAsia="Calibri" w:hAnsi="Calibri" w:cs="Calibri"/>
          <w:i/>
          <w:iCs/>
        </w:rPr>
      </w:pPr>
      <w:r w:rsidRPr="002B1712">
        <w:rPr>
          <w:rFonts w:ascii="Calibri" w:eastAsia="Calibri" w:hAnsi="Calibri" w:cs="Calibri"/>
          <w:i/>
          <w:iCs/>
        </w:rPr>
        <w:t>Teaching as emotional practice</w:t>
      </w:r>
      <w:r w:rsidR="00E36CE1">
        <w:rPr>
          <w:rFonts w:ascii="Calibri" w:eastAsia="Calibri" w:hAnsi="Calibri" w:cs="Calibri"/>
          <w:i/>
          <w:iCs/>
        </w:rPr>
        <w:tab/>
      </w:r>
      <w:r w:rsidR="00E36CE1">
        <w:rPr>
          <w:rFonts w:ascii="Calibri" w:eastAsia="Calibri" w:hAnsi="Calibri" w:cs="Calibri"/>
          <w:i/>
          <w:iCs/>
        </w:rPr>
        <w:tab/>
      </w:r>
      <w:r w:rsidR="00E36CE1">
        <w:rPr>
          <w:rFonts w:ascii="Calibri" w:eastAsia="Calibri" w:hAnsi="Calibri" w:cs="Calibri"/>
          <w:i/>
          <w:iCs/>
        </w:rPr>
        <w:tab/>
      </w:r>
      <w:r w:rsidR="00E36CE1">
        <w:rPr>
          <w:rFonts w:ascii="Calibri" w:eastAsia="Calibri" w:hAnsi="Calibri" w:cs="Calibri"/>
          <w:i/>
          <w:iCs/>
        </w:rPr>
        <w:tab/>
      </w:r>
      <w:r w:rsidR="00E36CE1">
        <w:rPr>
          <w:rFonts w:ascii="Calibri" w:eastAsia="Calibri" w:hAnsi="Calibri" w:cs="Calibri"/>
          <w:i/>
          <w:iCs/>
        </w:rPr>
        <w:tab/>
      </w:r>
      <w:r w:rsidR="00E36CE1" w:rsidRPr="002704C0">
        <w:rPr>
          <w:rFonts w:ascii="Calibri" w:eastAsia="Calibri" w:hAnsi="Calibri" w:cs="Calibri"/>
          <w:i/>
          <w:iCs/>
        </w:rPr>
        <w:t xml:space="preserve"> </w:t>
      </w:r>
      <w:r w:rsidR="00E36CE1" w:rsidRPr="002704C0">
        <w:rPr>
          <w:rFonts w:ascii="Calibri" w:eastAsia="Calibri" w:hAnsi="Calibri" w:cs="Calibri"/>
        </w:rPr>
        <w:t>page 1</w:t>
      </w:r>
      <w:r w:rsidR="00F947F7">
        <w:rPr>
          <w:rFonts w:ascii="Calibri" w:eastAsia="Calibri" w:hAnsi="Calibri" w:cs="Calibri"/>
        </w:rPr>
        <w:t>45</w:t>
      </w:r>
    </w:p>
    <w:p w14:paraId="71359FE8" w14:textId="58E9E036" w:rsidR="002B1712" w:rsidRPr="002704C0" w:rsidRDefault="002B1712" w:rsidP="002B1712">
      <w:pPr>
        <w:ind w:firstLine="720"/>
        <w:rPr>
          <w:rFonts w:ascii="Calibri" w:eastAsia="Calibri" w:hAnsi="Calibri" w:cs="Calibri"/>
        </w:rPr>
      </w:pPr>
      <w:r w:rsidRPr="002B1712">
        <w:rPr>
          <w:rFonts w:ascii="Calibri" w:eastAsia="Calibri" w:hAnsi="Calibri" w:cs="Calibri"/>
        </w:rPr>
        <w:t>Theme 2: Guardian of the Threshold</w:t>
      </w:r>
      <w:r w:rsidR="00E36CE1">
        <w:rPr>
          <w:rFonts w:ascii="Calibri" w:eastAsia="Calibri" w:hAnsi="Calibri" w:cs="Calibri"/>
        </w:rPr>
        <w:tab/>
      </w:r>
      <w:r w:rsidR="00E36CE1">
        <w:rPr>
          <w:rFonts w:ascii="Calibri" w:eastAsia="Calibri" w:hAnsi="Calibri" w:cs="Calibri"/>
        </w:rPr>
        <w:tab/>
      </w:r>
      <w:r w:rsidR="00E36CE1">
        <w:rPr>
          <w:rFonts w:ascii="Calibri" w:eastAsia="Calibri" w:hAnsi="Calibri" w:cs="Calibri"/>
        </w:rPr>
        <w:tab/>
      </w:r>
      <w:r w:rsidR="00E36CE1">
        <w:rPr>
          <w:rFonts w:ascii="Calibri" w:eastAsia="Calibri" w:hAnsi="Calibri" w:cs="Calibri"/>
        </w:rPr>
        <w:tab/>
      </w:r>
      <w:r w:rsidR="00E36CE1">
        <w:rPr>
          <w:rFonts w:ascii="Calibri" w:eastAsia="Calibri" w:hAnsi="Calibri" w:cs="Calibri"/>
        </w:rPr>
        <w:tab/>
        <w:t xml:space="preserve"> </w:t>
      </w:r>
      <w:r w:rsidR="00E36CE1" w:rsidRPr="002704C0">
        <w:rPr>
          <w:rFonts w:ascii="Calibri" w:eastAsia="Calibri" w:hAnsi="Calibri" w:cs="Calibri"/>
        </w:rPr>
        <w:t>page 1</w:t>
      </w:r>
      <w:r w:rsidR="005665AB">
        <w:rPr>
          <w:rFonts w:ascii="Calibri" w:eastAsia="Calibri" w:hAnsi="Calibri" w:cs="Calibri"/>
        </w:rPr>
        <w:t>50</w:t>
      </w:r>
    </w:p>
    <w:p w14:paraId="31446D7C" w14:textId="11EC353B" w:rsidR="002B1712" w:rsidRPr="002704C0" w:rsidRDefault="002B1712" w:rsidP="002B1712">
      <w:pPr>
        <w:ind w:left="720" w:firstLine="720"/>
        <w:rPr>
          <w:rFonts w:ascii="Calibri" w:eastAsia="Calibri" w:hAnsi="Calibri" w:cs="Calibri"/>
        </w:rPr>
      </w:pPr>
      <w:r w:rsidRPr="002B1712">
        <w:rPr>
          <w:rFonts w:ascii="Calibri" w:eastAsia="Calibri" w:hAnsi="Calibri" w:cs="Calibri"/>
          <w:i/>
          <w:iCs/>
        </w:rPr>
        <w:t>People who need people</w:t>
      </w:r>
      <w:r w:rsidR="004D3CD6">
        <w:rPr>
          <w:rFonts w:ascii="Calibri" w:eastAsia="Calibri" w:hAnsi="Calibri" w:cs="Calibri"/>
          <w:i/>
          <w:iCs/>
        </w:rPr>
        <w:tab/>
      </w:r>
      <w:r w:rsidR="004D3CD6">
        <w:rPr>
          <w:rFonts w:ascii="Calibri" w:eastAsia="Calibri" w:hAnsi="Calibri" w:cs="Calibri"/>
          <w:i/>
          <w:iCs/>
        </w:rPr>
        <w:tab/>
      </w:r>
      <w:r w:rsidR="004D3CD6">
        <w:rPr>
          <w:rFonts w:ascii="Calibri" w:eastAsia="Calibri" w:hAnsi="Calibri" w:cs="Calibri"/>
          <w:i/>
          <w:iCs/>
        </w:rPr>
        <w:tab/>
      </w:r>
      <w:r w:rsidR="004D3CD6">
        <w:rPr>
          <w:rFonts w:ascii="Calibri" w:eastAsia="Calibri" w:hAnsi="Calibri" w:cs="Calibri"/>
          <w:i/>
          <w:iCs/>
        </w:rPr>
        <w:tab/>
      </w:r>
      <w:r w:rsidR="004D3CD6">
        <w:rPr>
          <w:rFonts w:ascii="Calibri" w:eastAsia="Calibri" w:hAnsi="Calibri" w:cs="Calibri"/>
          <w:i/>
          <w:iCs/>
        </w:rPr>
        <w:tab/>
      </w:r>
      <w:r w:rsidR="004D3CD6" w:rsidRPr="002704C0">
        <w:rPr>
          <w:rFonts w:ascii="Calibri" w:eastAsia="Calibri" w:hAnsi="Calibri" w:cs="Calibri"/>
          <w:i/>
          <w:iCs/>
        </w:rPr>
        <w:t xml:space="preserve"> </w:t>
      </w:r>
      <w:r w:rsidR="004D3CD6" w:rsidRPr="002704C0">
        <w:rPr>
          <w:rFonts w:ascii="Calibri" w:eastAsia="Calibri" w:hAnsi="Calibri" w:cs="Calibri"/>
        </w:rPr>
        <w:t>page 1</w:t>
      </w:r>
      <w:r w:rsidR="005665AB">
        <w:rPr>
          <w:rFonts w:ascii="Calibri" w:eastAsia="Calibri" w:hAnsi="Calibri" w:cs="Calibri"/>
        </w:rPr>
        <w:t>50</w:t>
      </w:r>
    </w:p>
    <w:p w14:paraId="0AA94B3A" w14:textId="24CD9E8D" w:rsidR="006149AA" w:rsidRPr="002704C0" w:rsidRDefault="004D3CD6" w:rsidP="0005083D">
      <w:pPr>
        <w:ind w:firstLine="720"/>
        <w:rPr>
          <w:rFonts w:ascii="Calibri" w:eastAsia="Calibri" w:hAnsi="Calibri" w:cs="Calibri"/>
        </w:rPr>
      </w:pPr>
      <w:r>
        <w:rPr>
          <w:rFonts w:ascii="Calibri" w:eastAsia="Calibri" w:hAnsi="Calibri" w:cs="Calibri"/>
        </w:rPr>
        <w:t>Summary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sidRPr="002704C0">
        <w:rPr>
          <w:rFonts w:ascii="Calibri" w:eastAsia="Calibri" w:hAnsi="Calibri" w:cs="Calibri"/>
        </w:rPr>
        <w:t>page 15</w:t>
      </w:r>
      <w:r w:rsidR="005665AB">
        <w:rPr>
          <w:rFonts w:ascii="Calibri" w:eastAsia="Calibri" w:hAnsi="Calibri" w:cs="Calibri"/>
        </w:rPr>
        <w:t>4</w:t>
      </w:r>
    </w:p>
    <w:p w14:paraId="638A85CC" w14:textId="14E06A16" w:rsidR="00DA2ECE" w:rsidRPr="002704C0" w:rsidRDefault="00DA2ECE" w:rsidP="00DA2ECE">
      <w:pPr>
        <w:rPr>
          <w:rFonts w:cstheme="minorHAnsi"/>
        </w:rPr>
      </w:pPr>
      <w:r w:rsidRPr="00DA2ECE">
        <w:rPr>
          <w:rFonts w:cstheme="minorHAnsi"/>
          <w:sz w:val="24"/>
          <w:szCs w:val="24"/>
        </w:rPr>
        <w:t xml:space="preserve">Chapter Six: Analysis </w:t>
      </w:r>
      <w:r w:rsidR="002D1489" w:rsidRPr="00112931">
        <w:rPr>
          <w:rFonts w:cstheme="minorHAnsi"/>
          <w:sz w:val="24"/>
          <w:szCs w:val="24"/>
        </w:rPr>
        <w:t>(</w:t>
      </w:r>
      <w:r w:rsidRPr="00DA2ECE">
        <w:rPr>
          <w:rFonts w:cstheme="minorHAnsi"/>
          <w:sz w:val="24"/>
          <w:szCs w:val="24"/>
        </w:rPr>
        <w:t>Part Two</w:t>
      </w:r>
      <w:r w:rsidR="002D1489" w:rsidRPr="00112931">
        <w:rPr>
          <w:rFonts w:cstheme="minorHAnsi"/>
          <w:sz w:val="24"/>
          <w:szCs w:val="24"/>
        </w:rPr>
        <w:t>)</w:t>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2D1489" w:rsidRPr="00112931">
        <w:rPr>
          <w:rFonts w:cstheme="minorHAnsi"/>
          <w:sz w:val="24"/>
          <w:szCs w:val="24"/>
        </w:rPr>
        <w:tab/>
      </w:r>
      <w:r w:rsidR="006F063F">
        <w:rPr>
          <w:rFonts w:cstheme="minorHAnsi"/>
          <w:sz w:val="24"/>
          <w:szCs w:val="24"/>
        </w:rPr>
        <w:t xml:space="preserve"> </w:t>
      </w:r>
      <w:r w:rsidR="002D1489" w:rsidRPr="002704C0">
        <w:rPr>
          <w:rFonts w:cstheme="minorHAnsi"/>
        </w:rPr>
        <w:t>page</w:t>
      </w:r>
      <w:r w:rsidR="002B7C76" w:rsidRPr="002704C0">
        <w:rPr>
          <w:rFonts w:cstheme="minorHAnsi"/>
        </w:rPr>
        <w:t xml:space="preserve"> </w:t>
      </w:r>
      <w:r w:rsidR="006F063F" w:rsidRPr="002704C0">
        <w:rPr>
          <w:rFonts w:cstheme="minorHAnsi"/>
        </w:rPr>
        <w:t>1</w:t>
      </w:r>
      <w:r w:rsidR="001A4616" w:rsidRPr="002704C0">
        <w:rPr>
          <w:rFonts w:cstheme="minorHAnsi"/>
        </w:rPr>
        <w:t>5</w:t>
      </w:r>
      <w:r w:rsidR="005665AB">
        <w:rPr>
          <w:rFonts w:cstheme="minorHAnsi"/>
        </w:rPr>
        <w:t>6</w:t>
      </w:r>
    </w:p>
    <w:p w14:paraId="734D1C50" w14:textId="77D62EEB" w:rsidR="006D2E94" w:rsidRPr="006D2E94" w:rsidRDefault="006D2E94" w:rsidP="006D2E94">
      <w:pPr>
        <w:ind w:firstLine="720"/>
        <w:rPr>
          <w:rFonts w:ascii="Calibri" w:eastAsia="Calibri" w:hAnsi="Calibri" w:cs="Calibri"/>
        </w:rPr>
      </w:pPr>
      <w:r w:rsidRPr="006D2E94">
        <w:rPr>
          <w:rFonts w:ascii="Calibri" w:eastAsia="Calibri" w:hAnsi="Calibri" w:cs="Calibri"/>
        </w:rPr>
        <w:t>Coding: Teacher identity – “so what”?</w:t>
      </w:r>
      <w:r w:rsidR="001A4616">
        <w:rPr>
          <w:rFonts w:ascii="Calibri" w:eastAsia="Calibri" w:hAnsi="Calibri" w:cs="Calibri"/>
        </w:rPr>
        <w:tab/>
      </w:r>
      <w:r w:rsidR="001A4616">
        <w:rPr>
          <w:rFonts w:ascii="Calibri" w:eastAsia="Calibri" w:hAnsi="Calibri" w:cs="Calibri"/>
        </w:rPr>
        <w:tab/>
      </w:r>
      <w:r w:rsidR="001A4616">
        <w:rPr>
          <w:rFonts w:ascii="Calibri" w:eastAsia="Calibri" w:hAnsi="Calibri" w:cs="Calibri"/>
        </w:rPr>
        <w:tab/>
      </w:r>
      <w:r w:rsidR="001A4616">
        <w:rPr>
          <w:rFonts w:ascii="Calibri" w:eastAsia="Calibri" w:hAnsi="Calibri" w:cs="Calibri"/>
        </w:rPr>
        <w:tab/>
      </w:r>
      <w:r w:rsidR="001A4616">
        <w:rPr>
          <w:rFonts w:ascii="Calibri" w:eastAsia="Calibri" w:hAnsi="Calibri" w:cs="Calibri"/>
        </w:rPr>
        <w:tab/>
        <w:t xml:space="preserve"> page 15</w:t>
      </w:r>
      <w:r w:rsidR="005665AB">
        <w:rPr>
          <w:rFonts w:ascii="Calibri" w:eastAsia="Calibri" w:hAnsi="Calibri" w:cs="Calibri"/>
        </w:rPr>
        <w:t>6</w:t>
      </w:r>
    </w:p>
    <w:p w14:paraId="350B1D9E" w14:textId="2C1C4A1B" w:rsidR="00560F30" w:rsidRPr="00560F30" w:rsidRDefault="00560F30" w:rsidP="006D2E94">
      <w:pPr>
        <w:ind w:left="720" w:firstLine="720"/>
        <w:rPr>
          <w:rFonts w:ascii="Calibri" w:eastAsia="Calibri" w:hAnsi="Calibri" w:cs="Calibri"/>
        </w:rPr>
      </w:pPr>
      <w:r>
        <w:rPr>
          <w:rFonts w:ascii="Calibri" w:eastAsia="Calibri" w:hAnsi="Calibri" w:cs="Calibri"/>
          <w:i/>
          <w:iCs/>
        </w:rPr>
        <w:t>A tool</w:t>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sidRPr="002704C0">
        <w:rPr>
          <w:rFonts w:ascii="Calibri" w:eastAsia="Calibri" w:hAnsi="Calibri" w:cs="Calibri"/>
          <w:i/>
          <w:iCs/>
        </w:rPr>
        <w:t xml:space="preserve"> </w:t>
      </w:r>
      <w:r w:rsidRPr="002704C0">
        <w:rPr>
          <w:rFonts w:ascii="Calibri" w:eastAsia="Calibri" w:hAnsi="Calibri" w:cs="Calibri"/>
        </w:rPr>
        <w:t>page 15</w:t>
      </w:r>
      <w:r w:rsidR="005665AB">
        <w:rPr>
          <w:rFonts w:ascii="Calibri" w:eastAsia="Calibri" w:hAnsi="Calibri" w:cs="Calibri"/>
        </w:rPr>
        <w:t>6</w:t>
      </w:r>
    </w:p>
    <w:p w14:paraId="715CEC67" w14:textId="74CF3AD1" w:rsidR="00AE47C1" w:rsidRDefault="006D2E94" w:rsidP="006D2E94">
      <w:pPr>
        <w:ind w:left="720" w:firstLine="720"/>
        <w:rPr>
          <w:rFonts w:ascii="Calibri" w:eastAsia="Calibri" w:hAnsi="Calibri" w:cs="Calibri"/>
        </w:rPr>
      </w:pPr>
      <w:r w:rsidRPr="006D2E94">
        <w:rPr>
          <w:rFonts w:ascii="Calibri" w:eastAsia="Calibri" w:hAnsi="Calibri" w:cs="Calibri"/>
          <w:i/>
          <w:iCs/>
        </w:rPr>
        <w:t>Attitudes to reflective practice</w:t>
      </w:r>
      <w:r w:rsidR="00560F30">
        <w:rPr>
          <w:rFonts w:ascii="Calibri" w:eastAsia="Calibri" w:hAnsi="Calibri" w:cs="Calibri"/>
          <w:i/>
          <w:iCs/>
        </w:rPr>
        <w:tab/>
      </w:r>
      <w:r w:rsidR="00560F30">
        <w:rPr>
          <w:rFonts w:ascii="Calibri" w:eastAsia="Calibri" w:hAnsi="Calibri" w:cs="Calibri"/>
          <w:i/>
          <w:iCs/>
        </w:rPr>
        <w:tab/>
      </w:r>
      <w:r w:rsidR="00560F30">
        <w:rPr>
          <w:rFonts w:ascii="Calibri" w:eastAsia="Calibri" w:hAnsi="Calibri" w:cs="Calibri"/>
          <w:i/>
          <w:iCs/>
        </w:rPr>
        <w:tab/>
      </w:r>
      <w:r w:rsidR="00560F30">
        <w:rPr>
          <w:rFonts w:ascii="Calibri" w:eastAsia="Calibri" w:hAnsi="Calibri" w:cs="Calibri"/>
          <w:i/>
          <w:iCs/>
        </w:rPr>
        <w:tab/>
      </w:r>
      <w:r w:rsidR="00560F30">
        <w:rPr>
          <w:rFonts w:ascii="Calibri" w:eastAsia="Calibri" w:hAnsi="Calibri" w:cs="Calibri"/>
          <w:i/>
          <w:iCs/>
        </w:rPr>
        <w:tab/>
      </w:r>
      <w:r w:rsidR="00560F30" w:rsidRPr="002704C0">
        <w:rPr>
          <w:rFonts w:ascii="Calibri" w:eastAsia="Calibri" w:hAnsi="Calibri" w:cs="Calibri"/>
        </w:rPr>
        <w:t xml:space="preserve"> </w:t>
      </w:r>
      <w:r w:rsidR="00AE47C1" w:rsidRPr="002704C0">
        <w:rPr>
          <w:rFonts w:ascii="Calibri" w:eastAsia="Calibri" w:hAnsi="Calibri" w:cs="Calibri"/>
        </w:rPr>
        <w:t>page 15</w:t>
      </w:r>
      <w:r w:rsidR="00332A15">
        <w:rPr>
          <w:rFonts w:ascii="Calibri" w:eastAsia="Calibri" w:hAnsi="Calibri" w:cs="Calibri"/>
        </w:rPr>
        <w:t>8</w:t>
      </w:r>
    </w:p>
    <w:p w14:paraId="5C5D262A" w14:textId="07430A28" w:rsidR="00BE6F77" w:rsidRPr="002704C0" w:rsidRDefault="00AE47C1" w:rsidP="00AE47C1">
      <w:pPr>
        <w:ind w:left="720" w:firstLine="720"/>
        <w:rPr>
          <w:rFonts w:ascii="Calibri" w:eastAsia="Calibri" w:hAnsi="Calibri" w:cs="Calibri"/>
          <w:i/>
          <w:iCs/>
        </w:rPr>
      </w:pPr>
      <w:r>
        <w:rPr>
          <w:rFonts w:ascii="Calibri" w:eastAsia="Calibri" w:hAnsi="Calibri" w:cs="Calibri"/>
          <w:i/>
          <w:iCs/>
        </w:rPr>
        <w:t>Dialogue</w:t>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sidRPr="002704C0">
        <w:rPr>
          <w:rFonts w:ascii="Calibri" w:eastAsia="Calibri" w:hAnsi="Calibri" w:cs="Calibri"/>
          <w:i/>
          <w:iCs/>
        </w:rPr>
        <w:t xml:space="preserve"> </w:t>
      </w:r>
      <w:r w:rsidRPr="002704C0">
        <w:rPr>
          <w:rFonts w:ascii="Calibri" w:eastAsia="Calibri" w:hAnsi="Calibri" w:cs="Calibri"/>
        </w:rPr>
        <w:t>page 15</w:t>
      </w:r>
      <w:r w:rsidR="00332A15">
        <w:rPr>
          <w:rFonts w:ascii="Calibri" w:eastAsia="Calibri" w:hAnsi="Calibri" w:cs="Calibri"/>
        </w:rPr>
        <w:t>9</w:t>
      </w:r>
    </w:p>
    <w:p w14:paraId="6B75E7A3" w14:textId="614B2B3F" w:rsidR="0005083D" w:rsidRPr="002704C0" w:rsidRDefault="00D3244A" w:rsidP="00BE6F77">
      <w:pPr>
        <w:ind w:firstLine="720"/>
        <w:rPr>
          <w:rFonts w:ascii="Calibri" w:eastAsia="Calibri" w:hAnsi="Calibri" w:cs="Calibri"/>
          <w:i/>
          <w:iCs/>
        </w:rPr>
      </w:pPr>
      <w:r>
        <w:rPr>
          <w:rFonts w:ascii="Calibri" w:eastAsia="Calibri" w:hAnsi="Calibri" w:cs="Calibri"/>
        </w:rPr>
        <w:t>Summary</w:t>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Pr>
          <w:rFonts w:ascii="Calibri" w:eastAsia="Calibri" w:hAnsi="Calibri" w:cs="Calibri"/>
        </w:rPr>
        <w:tab/>
      </w:r>
      <w:r w:rsidR="00BE6F77" w:rsidRPr="002704C0">
        <w:rPr>
          <w:rFonts w:ascii="Calibri" w:eastAsia="Calibri" w:hAnsi="Calibri" w:cs="Calibri"/>
        </w:rPr>
        <w:t xml:space="preserve"> </w:t>
      </w:r>
      <w:r w:rsidR="00760DAB" w:rsidRPr="002704C0">
        <w:rPr>
          <w:rFonts w:ascii="Calibri" w:eastAsia="Calibri" w:hAnsi="Calibri" w:cs="Calibri"/>
        </w:rPr>
        <w:t>page 16</w:t>
      </w:r>
      <w:r w:rsidR="00332A15">
        <w:rPr>
          <w:rFonts w:ascii="Calibri" w:eastAsia="Calibri" w:hAnsi="Calibri" w:cs="Calibri"/>
        </w:rPr>
        <w:t>2</w:t>
      </w:r>
    </w:p>
    <w:p w14:paraId="543BC3C4" w14:textId="3D5F83EF" w:rsidR="00DA2ECE" w:rsidRPr="002704C0" w:rsidRDefault="00DA2ECE" w:rsidP="00DA2ECE">
      <w:pPr>
        <w:rPr>
          <w:rFonts w:cstheme="minorHAnsi"/>
        </w:rPr>
      </w:pPr>
      <w:r w:rsidRPr="00DA2ECE">
        <w:rPr>
          <w:rFonts w:cstheme="minorHAnsi"/>
          <w:sz w:val="24"/>
          <w:szCs w:val="24"/>
        </w:rPr>
        <w:t xml:space="preserve">Chapter Seven: Analysis </w:t>
      </w:r>
      <w:r w:rsidR="002D1489" w:rsidRPr="00112931">
        <w:rPr>
          <w:rFonts w:cstheme="minorHAnsi"/>
          <w:sz w:val="24"/>
          <w:szCs w:val="24"/>
        </w:rPr>
        <w:t>(</w:t>
      </w:r>
      <w:r w:rsidRPr="00DA2ECE">
        <w:rPr>
          <w:rFonts w:cstheme="minorHAnsi"/>
          <w:sz w:val="24"/>
          <w:szCs w:val="24"/>
        </w:rPr>
        <w:t>Part Three</w:t>
      </w:r>
      <w:r w:rsidR="007849A5" w:rsidRPr="00112931">
        <w:rPr>
          <w:rFonts w:cstheme="minorHAnsi"/>
          <w:sz w:val="24"/>
          <w:szCs w:val="24"/>
        </w:rPr>
        <w:t>)</w:t>
      </w:r>
      <w:r w:rsidR="007849A5" w:rsidRPr="00112931">
        <w:rPr>
          <w:rFonts w:cstheme="minorHAnsi"/>
          <w:sz w:val="24"/>
          <w:szCs w:val="24"/>
        </w:rPr>
        <w:tab/>
      </w:r>
      <w:r w:rsidR="007849A5" w:rsidRPr="00112931">
        <w:rPr>
          <w:rFonts w:cstheme="minorHAnsi"/>
          <w:sz w:val="24"/>
          <w:szCs w:val="24"/>
        </w:rPr>
        <w:tab/>
      </w:r>
      <w:r w:rsidR="007849A5" w:rsidRPr="00112931">
        <w:rPr>
          <w:rFonts w:cstheme="minorHAnsi"/>
          <w:sz w:val="24"/>
          <w:szCs w:val="24"/>
        </w:rPr>
        <w:tab/>
      </w:r>
      <w:r w:rsidR="007849A5" w:rsidRPr="00112931">
        <w:rPr>
          <w:rFonts w:cstheme="minorHAnsi"/>
          <w:sz w:val="24"/>
          <w:szCs w:val="24"/>
        </w:rPr>
        <w:tab/>
      </w:r>
      <w:r w:rsidR="007849A5" w:rsidRPr="00112931">
        <w:rPr>
          <w:rFonts w:cstheme="minorHAnsi"/>
          <w:sz w:val="24"/>
          <w:szCs w:val="24"/>
        </w:rPr>
        <w:tab/>
      </w:r>
      <w:r w:rsidR="006F063F">
        <w:rPr>
          <w:rFonts w:cstheme="minorHAnsi"/>
          <w:sz w:val="24"/>
          <w:szCs w:val="24"/>
        </w:rPr>
        <w:t xml:space="preserve">              </w:t>
      </w:r>
      <w:r w:rsidR="007849A5" w:rsidRPr="002704C0">
        <w:rPr>
          <w:rFonts w:cstheme="minorHAnsi"/>
        </w:rPr>
        <w:t>page</w:t>
      </w:r>
      <w:r w:rsidR="006F063F" w:rsidRPr="002704C0">
        <w:rPr>
          <w:rFonts w:cstheme="minorHAnsi"/>
        </w:rPr>
        <w:t xml:space="preserve"> 1</w:t>
      </w:r>
      <w:r w:rsidR="008B0C28" w:rsidRPr="002704C0">
        <w:rPr>
          <w:rFonts w:cstheme="minorHAnsi"/>
        </w:rPr>
        <w:t>6</w:t>
      </w:r>
      <w:r w:rsidR="00332A15">
        <w:rPr>
          <w:rFonts w:cstheme="minorHAnsi"/>
        </w:rPr>
        <w:t>6</w:t>
      </w:r>
    </w:p>
    <w:p w14:paraId="51DF5601" w14:textId="26ECFB1C" w:rsidR="00184708" w:rsidRPr="002704C0" w:rsidRDefault="00184708" w:rsidP="00184708">
      <w:pPr>
        <w:ind w:firstLine="720"/>
        <w:rPr>
          <w:rFonts w:ascii="Calibri" w:eastAsia="Calibri" w:hAnsi="Calibri" w:cs="Calibri"/>
        </w:rPr>
      </w:pPr>
      <w:r w:rsidRPr="00184708">
        <w:rPr>
          <w:rFonts w:ascii="Calibri" w:eastAsia="Calibri" w:hAnsi="Calibri" w:cs="Calibri"/>
        </w:rPr>
        <w:t>Introduction</w:t>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Pr>
          <w:rFonts w:ascii="Calibri" w:eastAsia="Calibri" w:hAnsi="Calibri" w:cs="Calibri"/>
        </w:rPr>
        <w:tab/>
      </w:r>
      <w:r w:rsidR="00760DAB" w:rsidRPr="002704C0">
        <w:rPr>
          <w:rFonts w:ascii="Calibri" w:eastAsia="Calibri" w:hAnsi="Calibri" w:cs="Calibri"/>
        </w:rPr>
        <w:t xml:space="preserve"> page 16</w:t>
      </w:r>
      <w:r w:rsidR="00332A15">
        <w:rPr>
          <w:rFonts w:ascii="Calibri" w:eastAsia="Calibri" w:hAnsi="Calibri" w:cs="Calibri"/>
        </w:rPr>
        <w:t>6</w:t>
      </w:r>
    </w:p>
    <w:p w14:paraId="7FF332E2" w14:textId="41F698CE" w:rsidR="00184708" w:rsidRPr="002704C0" w:rsidRDefault="00184708" w:rsidP="00184708">
      <w:pPr>
        <w:ind w:firstLine="720"/>
        <w:rPr>
          <w:rFonts w:ascii="Calibri" w:eastAsia="Calibri" w:hAnsi="Calibri" w:cs="Calibri"/>
        </w:rPr>
      </w:pPr>
      <w:r w:rsidRPr="00184708">
        <w:rPr>
          <w:rFonts w:ascii="Calibri" w:eastAsia="Calibri" w:hAnsi="Calibri" w:cs="Calibri"/>
        </w:rPr>
        <w:t>Coding: Learning from the retrospective reminiscing</w:t>
      </w:r>
      <w:r w:rsidR="00931483">
        <w:rPr>
          <w:rFonts w:ascii="Calibri" w:eastAsia="Calibri" w:hAnsi="Calibri" w:cs="Calibri"/>
        </w:rPr>
        <w:t>- “now what”?</w:t>
      </w:r>
      <w:r w:rsidR="00931483">
        <w:rPr>
          <w:rFonts w:ascii="Calibri" w:eastAsia="Calibri" w:hAnsi="Calibri" w:cs="Calibri"/>
        </w:rPr>
        <w:tab/>
        <w:t xml:space="preserve"> </w:t>
      </w:r>
      <w:r w:rsidR="007B2B1E" w:rsidRPr="002704C0">
        <w:rPr>
          <w:rFonts w:ascii="Calibri" w:eastAsia="Calibri" w:hAnsi="Calibri" w:cs="Calibri"/>
        </w:rPr>
        <w:t>page 16</w:t>
      </w:r>
      <w:r w:rsidR="00332A15">
        <w:rPr>
          <w:rFonts w:ascii="Calibri" w:eastAsia="Calibri" w:hAnsi="Calibri" w:cs="Calibri"/>
        </w:rPr>
        <w:t>7</w:t>
      </w:r>
    </w:p>
    <w:p w14:paraId="2FF41618" w14:textId="3936629F" w:rsidR="00184708" w:rsidRPr="002704C0" w:rsidRDefault="00184708" w:rsidP="00184708">
      <w:pPr>
        <w:ind w:firstLine="720"/>
        <w:rPr>
          <w:rFonts w:ascii="Calibri" w:eastAsia="Calibri" w:hAnsi="Calibri" w:cs="Calibri"/>
        </w:rPr>
      </w:pPr>
      <w:r w:rsidRPr="00184708">
        <w:rPr>
          <w:rFonts w:ascii="Calibri" w:eastAsia="Calibri" w:hAnsi="Calibri" w:cs="Calibri"/>
        </w:rPr>
        <w:t>Theme: The Return</w:t>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sidRPr="002704C0">
        <w:rPr>
          <w:rFonts w:ascii="Calibri" w:eastAsia="Calibri" w:hAnsi="Calibri" w:cs="Calibri"/>
        </w:rPr>
        <w:t xml:space="preserve"> page 16</w:t>
      </w:r>
      <w:r w:rsidR="00332A15">
        <w:rPr>
          <w:rFonts w:ascii="Calibri" w:eastAsia="Calibri" w:hAnsi="Calibri" w:cs="Calibri"/>
        </w:rPr>
        <w:t>7</w:t>
      </w:r>
    </w:p>
    <w:p w14:paraId="42005249" w14:textId="618B7E42" w:rsidR="00184708" w:rsidRPr="002704C0" w:rsidRDefault="00184708" w:rsidP="00184708">
      <w:pPr>
        <w:ind w:firstLine="720"/>
        <w:rPr>
          <w:rFonts w:ascii="Calibri" w:eastAsia="Calibri" w:hAnsi="Calibri" w:cs="Calibri"/>
        </w:rPr>
      </w:pPr>
      <w:r w:rsidRPr="00184708">
        <w:rPr>
          <w:rFonts w:ascii="Calibri" w:eastAsia="Calibri" w:hAnsi="Calibri" w:cs="Calibri"/>
        </w:rPr>
        <w:t>Reflections on the task</w:t>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Pr>
          <w:rFonts w:ascii="Calibri" w:eastAsia="Calibri" w:hAnsi="Calibri" w:cs="Calibri"/>
        </w:rPr>
        <w:tab/>
      </w:r>
      <w:r w:rsidR="00446301" w:rsidRPr="002704C0">
        <w:rPr>
          <w:rFonts w:ascii="Calibri" w:eastAsia="Calibri" w:hAnsi="Calibri" w:cs="Calibri"/>
        </w:rPr>
        <w:t xml:space="preserve"> page 16</w:t>
      </w:r>
      <w:r w:rsidR="00264D0C">
        <w:rPr>
          <w:rFonts w:ascii="Calibri" w:eastAsia="Calibri" w:hAnsi="Calibri" w:cs="Calibri"/>
        </w:rPr>
        <w:t>7</w:t>
      </w:r>
    </w:p>
    <w:p w14:paraId="2161A3DF" w14:textId="0FB66079" w:rsidR="00184708" w:rsidRPr="002704C0" w:rsidRDefault="00184708" w:rsidP="00184708">
      <w:pPr>
        <w:ind w:firstLine="720"/>
        <w:rPr>
          <w:rFonts w:ascii="Calibri" w:eastAsia="Calibri" w:hAnsi="Calibri" w:cs="Calibri"/>
        </w:rPr>
      </w:pPr>
      <w:r w:rsidRPr="00184708">
        <w:rPr>
          <w:rFonts w:ascii="Calibri" w:eastAsia="Calibri" w:hAnsi="Calibri" w:cs="Calibri"/>
        </w:rPr>
        <w:t>Summary</w:t>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t xml:space="preserve"> </w:t>
      </w:r>
      <w:r w:rsidR="00115314" w:rsidRPr="002704C0">
        <w:rPr>
          <w:rFonts w:ascii="Calibri" w:eastAsia="Calibri" w:hAnsi="Calibri" w:cs="Calibri"/>
        </w:rPr>
        <w:t>page 1</w:t>
      </w:r>
      <w:r w:rsidR="00264D0C">
        <w:rPr>
          <w:rFonts w:ascii="Calibri" w:eastAsia="Calibri" w:hAnsi="Calibri" w:cs="Calibri"/>
        </w:rPr>
        <w:t>71</w:t>
      </w:r>
    </w:p>
    <w:p w14:paraId="39D86453" w14:textId="26B4F5D5" w:rsidR="00184708" w:rsidRPr="002704C0" w:rsidRDefault="00184708" w:rsidP="00184708">
      <w:pPr>
        <w:ind w:firstLine="720"/>
        <w:rPr>
          <w:rFonts w:ascii="Calibri" w:eastAsia="Calibri" w:hAnsi="Calibri" w:cs="Calibri"/>
        </w:rPr>
      </w:pPr>
      <w:r w:rsidRPr="00184708">
        <w:rPr>
          <w:rFonts w:ascii="Calibri" w:eastAsia="Calibri" w:hAnsi="Calibri" w:cs="Calibri"/>
        </w:rPr>
        <w:t>Gathering and reflecting</w:t>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t xml:space="preserve"> </w:t>
      </w:r>
      <w:r w:rsidR="00115314" w:rsidRPr="002704C0">
        <w:rPr>
          <w:rFonts w:ascii="Calibri" w:eastAsia="Calibri" w:hAnsi="Calibri" w:cs="Calibri"/>
        </w:rPr>
        <w:t>page 17</w:t>
      </w:r>
      <w:r w:rsidR="00264D0C">
        <w:rPr>
          <w:rFonts w:ascii="Calibri" w:eastAsia="Calibri" w:hAnsi="Calibri" w:cs="Calibri"/>
        </w:rPr>
        <w:t>2</w:t>
      </w:r>
    </w:p>
    <w:p w14:paraId="3D8D947A" w14:textId="625EFFA2" w:rsidR="00184708" w:rsidRPr="002704C0" w:rsidRDefault="00184708" w:rsidP="00184708">
      <w:pPr>
        <w:ind w:firstLine="720"/>
        <w:rPr>
          <w:rFonts w:ascii="Calibri" w:eastAsia="Calibri" w:hAnsi="Calibri" w:cs="Calibri"/>
        </w:rPr>
      </w:pPr>
      <w:r w:rsidRPr="00184708">
        <w:rPr>
          <w:rFonts w:ascii="Calibri" w:eastAsia="Calibri" w:hAnsi="Calibri" w:cs="Calibri"/>
        </w:rPr>
        <w:t>Reflections on being held by the interviewer</w:t>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r>
      <w:r w:rsidR="00115314">
        <w:rPr>
          <w:rFonts w:ascii="Calibri" w:eastAsia="Calibri" w:hAnsi="Calibri" w:cs="Calibri"/>
        </w:rPr>
        <w:tab/>
        <w:t xml:space="preserve"> </w:t>
      </w:r>
      <w:r w:rsidR="00115314" w:rsidRPr="002704C0">
        <w:rPr>
          <w:rFonts w:ascii="Calibri" w:eastAsia="Calibri" w:hAnsi="Calibri" w:cs="Calibri"/>
        </w:rPr>
        <w:t>page 17</w:t>
      </w:r>
      <w:r w:rsidR="00264D0C">
        <w:rPr>
          <w:rFonts w:ascii="Calibri" w:eastAsia="Calibri" w:hAnsi="Calibri" w:cs="Calibri"/>
        </w:rPr>
        <w:t>4</w:t>
      </w:r>
    </w:p>
    <w:p w14:paraId="7B85DB5E" w14:textId="1D2B6D39" w:rsidR="00184708" w:rsidRPr="002704C0" w:rsidRDefault="00184708" w:rsidP="00184708">
      <w:pPr>
        <w:ind w:firstLine="720"/>
        <w:rPr>
          <w:rFonts w:ascii="Calibri" w:eastAsia="Calibri" w:hAnsi="Calibri" w:cs="Calibri"/>
        </w:rPr>
      </w:pPr>
      <w:r w:rsidRPr="00184708">
        <w:rPr>
          <w:rFonts w:ascii="Calibri" w:eastAsia="Calibri" w:hAnsi="Calibri" w:cs="Calibri"/>
        </w:rPr>
        <w:t>Gathering the threads</w:t>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sidRPr="002704C0">
        <w:rPr>
          <w:rFonts w:ascii="Calibri" w:eastAsia="Calibri" w:hAnsi="Calibri" w:cs="Calibri"/>
        </w:rPr>
        <w:t xml:space="preserve"> page 17</w:t>
      </w:r>
      <w:r w:rsidR="00264D0C">
        <w:rPr>
          <w:rFonts w:ascii="Calibri" w:eastAsia="Calibri" w:hAnsi="Calibri" w:cs="Calibri"/>
        </w:rPr>
        <w:t>6</w:t>
      </w:r>
    </w:p>
    <w:p w14:paraId="6B412201" w14:textId="624BFAD9" w:rsidR="00AA3C6B" w:rsidRPr="002704C0" w:rsidRDefault="00184708" w:rsidP="00184708">
      <w:pPr>
        <w:ind w:firstLine="720"/>
        <w:rPr>
          <w:rFonts w:ascii="Calibri" w:eastAsia="Calibri" w:hAnsi="Calibri" w:cs="Calibri"/>
        </w:rPr>
      </w:pPr>
      <w:r w:rsidRPr="00184708">
        <w:rPr>
          <w:rFonts w:ascii="Calibri" w:eastAsia="Calibri" w:hAnsi="Calibri" w:cs="Calibri"/>
        </w:rPr>
        <w:t>Participants’ closing reflections</w:t>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sidRPr="009038BB">
        <w:rPr>
          <w:rFonts w:ascii="Calibri" w:eastAsia="Calibri" w:hAnsi="Calibri" w:cs="Calibri"/>
          <w:sz w:val="24"/>
          <w:szCs w:val="24"/>
        </w:rPr>
        <w:t xml:space="preserve"> </w:t>
      </w:r>
      <w:r w:rsidR="00BB30B2" w:rsidRPr="002704C0">
        <w:rPr>
          <w:rFonts w:ascii="Calibri" w:eastAsia="Calibri" w:hAnsi="Calibri" w:cs="Calibri"/>
        </w:rPr>
        <w:t>page 17</w:t>
      </w:r>
      <w:r w:rsidR="00264D0C">
        <w:rPr>
          <w:rFonts w:ascii="Calibri" w:eastAsia="Calibri" w:hAnsi="Calibri" w:cs="Calibri"/>
        </w:rPr>
        <w:t>7</w:t>
      </w:r>
    </w:p>
    <w:p w14:paraId="6069E105" w14:textId="77777777" w:rsidR="00B26792" w:rsidRDefault="00B26792" w:rsidP="00DA2ECE">
      <w:pPr>
        <w:rPr>
          <w:rFonts w:cstheme="minorHAnsi"/>
          <w:sz w:val="24"/>
          <w:szCs w:val="24"/>
        </w:rPr>
      </w:pPr>
    </w:p>
    <w:p w14:paraId="30A6A13B" w14:textId="77777777" w:rsidR="00B26792" w:rsidRDefault="00B26792" w:rsidP="00DA2ECE">
      <w:pPr>
        <w:rPr>
          <w:rFonts w:cstheme="minorHAnsi"/>
          <w:sz w:val="24"/>
          <w:szCs w:val="24"/>
        </w:rPr>
      </w:pPr>
    </w:p>
    <w:p w14:paraId="13D21C2F" w14:textId="7F7D35C8" w:rsidR="00DA2ECE" w:rsidRPr="00DA2ECE" w:rsidRDefault="00DA2ECE" w:rsidP="00DA2ECE">
      <w:pPr>
        <w:rPr>
          <w:rFonts w:cstheme="minorHAnsi"/>
          <w:sz w:val="24"/>
          <w:szCs w:val="24"/>
        </w:rPr>
      </w:pPr>
      <w:r w:rsidRPr="00DA2ECE">
        <w:rPr>
          <w:rFonts w:cstheme="minorHAnsi"/>
          <w:sz w:val="24"/>
          <w:szCs w:val="24"/>
        </w:rPr>
        <w:t>Chapter Eight: The Discussion</w:t>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4C5272">
        <w:rPr>
          <w:rFonts w:cstheme="minorHAnsi"/>
          <w:sz w:val="24"/>
          <w:szCs w:val="24"/>
        </w:rPr>
        <w:tab/>
      </w:r>
      <w:r w:rsidR="00621482" w:rsidRPr="002704C0">
        <w:rPr>
          <w:rFonts w:cstheme="minorHAnsi"/>
        </w:rPr>
        <w:t xml:space="preserve"> </w:t>
      </w:r>
      <w:r w:rsidR="00CE27FA" w:rsidRPr="002704C0">
        <w:rPr>
          <w:rFonts w:cstheme="minorHAnsi"/>
        </w:rPr>
        <w:t>page</w:t>
      </w:r>
      <w:r w:rsidR="00B66C85" w:rsidRPr="002704C0">
        <w:rPr>
          <w:rFonts w:cstheme="minorHAnsi"/>
        </w:rPr>
        <w:t xml:space="preserve"> 17</w:t>
      </w:r>
      <w:r w:rsidR="00B26792">
        <w:rPr>
          <w:rFonts w:cstheme="minorHAnsi"/>
        </w:rPr>
        <w:t>9</w:t>
      </w:r>
    </w:p>
    <w:p w14:paraId="214850A6" w14:textId="6E2668CF" w:rsidR="001A15BD" w:rsidRPr="001A15BD" w:rsidRDefault="001A15BD" w:rsidP="001A15BD">
      <w:pPr>
        <w:ind w:firstLine="720"/>
        <w:rPr>
          <w:rFonts w:ascii="Calibri" w:eastAsia="Calibri" w:hAnsi="Calibri" w:cs="Calibri"/>
        </w:rPr>
      </w:pPr>
      <w:r w:rsidRPr="001A15BD">
        <w:rPr>
          <w:rFonts w:ascii="Calibri" w:eastAsia="Calibri" w:hAnsi="Calibri" w:cs="Calibri"/>
        </w:rPr>
        <w:t>Introduction</w:t>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Pr>
          <w:rFonts w:ascii="Calibri" w:eastAsia="Calibri" w:hAnsi="Calibri" w:cs="Calibri"/>
        </w:rPr>
        <w:tab/>
      </w:r>
      <w:r w:rsidR="00BB30B2" w:rsidRPr="002704C0">
        <w:rPr>
          <w:rFonts w:ascii="Calibri" w:eastAsia="Calibri" w:hAnsi="Calibri" w:cs="Calibri"/>
        </w:rPr>
        <w:t xml:space="preserve"> page 17</w:t>
      </w:r>
      <w:r w:rsidR="00B26792">
        <w:rPr>
          <w:rFonts w:ascii="Calibri" w:eastAsia="Calibri" w:hAnsi="Calibri" w:cs="Calibri"/>
        </w:rPr>
        <w:t>9</w:t>
      </w:r>
    </w:p>
    <w:p w14:paraId="6E4AA9B2" w14:textId="4A852361" w:rsidR="001A15BD" w:rsidRPr="002704C0" w:rsidRDefault="001A15BD" w:rsidP="001A15BD">
      <w:pPr>
        <w:ind w:firstLine="720"/>
        <w:rPr>
          <w:rFonts w:ascii="Calibri" w:eastAsia="Calibri" w:hAnsi="Calibri" w:cs="Calibri"/>
        </w:rPr>
      </w:pPr>
      <w:r w:rsidRPr="001A15BD">
        <w:rPr>
          <w:rFonts w:ascii="Calibri" w:eastAsia="Calibri" w:hAnsi="Calibri" w:cs="Calibri"/>
        </w:rPr>
        <w:t>Theme 1: Into the Woods</w:t>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sidRPr="002704C0">
        <w:rPr>
          <w:rFonts w:ascii="Calibri" w:eastAsia="Calibri" w:hAnsi="Calibri" w:cs="Calibri"/>
        </w:rPr>
        <w:t xml:space="preserve"> page 1</w:t>
      </w:r>
      <w:r w:rsidR="00B26792">
        <w:rPr>
          <w:rFonts w:ascii="Calibri" w:eastAsia="Calibri" w:hAnsi="Calibri" w:cs="Calibri"/>
        </w:rPr>
        <w:t>80</w:t>
      </w:r>
    </w:p>
    <w:p w14:paraId="415D171D" w14:textId="6AE64202" w:rsidR="001A15BD" w:rsidRPr="002704C0" w:rsidRDefault="001A15BD" w:rsidP="001A15BD">
      <w:pPr>
        <w:ind w:left="720" w:firstLine="720"/>
        <w:rPr>
          <w:rFonts w:ascii="Calibri" w:eastAsia="Calibri" w:hAnsi="Calibri" w:cs="Calibri"/>
        </w:rPr>
      </w:pPr>
      <w:r w:rsidRPr="001A15BD">
        <w:rPr>
          <w:rFonts w:ascii="Calibri" w:eastAsia="Calibri" w:hAnsi="Calibri" w:cs="Calibri"/>
          <w:i/>
          <w:iCs/>
        </w:rPr>
        <w:t>Initiation and holding</w:t>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Pr>
          <w:rFonts w:ascii="Calibri" w:eastAsia="Calibri" w:hAnsi="Calibri" w:cs="Calibri"/>
        </w:rPr>
        <w:tab/>
      </w:r>
      <w:r w:rsidR="00C34C15" w:rsidRPr="002704C0">
        <w:rPr>
          <w:rFonts w:ascii="Calibri" w:eastAsia="Calibri" w:hAnsi="Calibri" w:cs="Calibri"/>
        </w:rPr>
        <w:t xml:space="preserve"> page 1</w:t>
      </w:r>
      <w:r w:rsidR="00B26792">
        <w:rPr>
          <w:rFonts w:ascii="Calibri" w:eastAsia="Calibri" w:hAnsi="Calibri" w:cs="Calibri"/>
        </w:rPr>
        <w:t>80</w:t>
      </w:r>
    </w:p>
    <w:p w14:paraId="2B4C7A58" w14:textId="4DF544AF" w:rsidR="001A15BD" w:rsidRPr="002704C0" w:rsidRDefault="001A15BD" w:rsidP="001A15BD">
      <w:pPr>
        <w:ind w:left="720" w:firstLine="720"/>
        <w:rPr>
          <w:rFonts w:ascii="Calibri" w:eastAsia="Calibri" w:hAnsi="Calibri" w:cs="Calibri"/>
        </w:rPr>
      </w:pPr>
      <w:r w:rsidRPr="001A15BD">
        <w:rPr>
          <w:rFonts w:ascii="Calibri" w:eastAsia="Calibri" w:hAnsi="Calibri" w:cs="Calibri"/>
          <w:i/>
          <w:iCs/>
        </w:rPr>
        <w:t>The role of the teacher</w:t>
      </w:r>
      <w:r w:rsidR="00403804">
        <w:rPr>
          <w:rFonts w:ascii="Calibri" w:eastAsia="Calibri" w:hAnsi="Calibri" w:cs="Calibri"/>
        </w:rPr>
        <w:tab/>
      </w:r>
      <w:r w:rsidR="00403804">
        <w:rPr>
          <w:rFonts w:ascii="Calibri" w:eastAsia="Calibri" w:hAnsi="Calibri" w:cs="Calibri"/>
        </w:rPr>
        <w:tab/>
      </w:r>
      <w:r w:rsidR="00403804">
        <w:rPr>
          <w:rFonts w:ascii="Calibri" w:eastAsia="Calibri" w:hAnsi="Calibri" w:cs="Calibri"/>
        </w:rPr>
        <w:tab/>
      </w:r>
      <w:r w:rsidR="00403804">
        <w:rPr>
          <w:rFonts w:ascii="Calibri" w:eastAsia="Calibri" w:hAnsi="Calibri" w:cs="Calibri"/>
        </w:rPr>
        <w:tab/>
      </w:r>
      <w:r w:rsidR="00403804">
        <w:rPr>
          <w:rFonts w:ascii="Calibri" w:eastAsia="Calibri" w:hAnsi="Calibri" w:cs="Calibri"/>
        </w:rPr>
        <w:tab/>
      </w:r>
      <w:r w:rsidR="00403804">
        <w:rPr>
          <w:rFonts w:ascii="Calibri" w:eastAsia="Calibri" w:hAnsi="Calibri" w:cs="Calibri"/>
        </w:rPr>
        <w:tab/>
      </w:r>
      <w:r w:rsidR="00403804" w:rsidRPr="002704C0">
        <w:rPr>
          <w:rFonts w:ascii="Calibri" w:eastAsia="Calibri" w:hAnsi="Calibri" w:cs="Calibri"/>
        </w:rPr>
        <w:t xml:space="preserve"> page 18</w:t>
      </w:r>
      <w:r w:rsidR="00123935">
        <w:rPr>
          <w:rFonts w:ascii="Calibri" w:eastAsia="Calibri" w:hAnsi="Calibri" w:cs="Calibri"/>
        </w:rPr>
        <w:t>4</w:t>
      </w:r>
    </w:p>
    <w:p w14:paraId="4A125D05" w14:textId="4D22D9EF" w:rsidR="001A15BD" w:rsidRDefault="001A15BD" w:rsidP="00D9081F">
      <w:pPr>
        <w:ind w:left="720" w:firstLine="720"/>
        <w:rPr>
          <w:rFonts w:ascii="Calibri" w:eastAsia="Calibri" w:hAnsi="Calibri" w:cs="Calibri"/>
        </w:rPr>
      </w:pPr>
      <w:r w:rsidRPr="001A15BD">
        <w:rPr>
          <w:rFonts w:ascii="Calibri" w:eastAsia="Calibri" w:hAnsi="Calibri" w:cs="Calibri"/>
          <w:i/>
          <w:iCs/>
        </w:rPr>
        <w:t>Pastoral needs and awareness</w:t>
      </w:r>
      <w:r w:rsidR="00403804">
        <w:rPr>
          <w:rFonts w:ascii="Calibri" w:eastAsia="Calibri" w:hAnsi="Calibri" w:cs="Calibri"/>
          <w:i/>
          <w:iCs/>
        </w:rPr>
        <w:tab/>
      </w:r>
      <w:r w:rsidR="00403804">
        <w:rPr>
          <w:rFonts w:ascii="Calibri" w:eastAsia="Calibri" w:hAnsi="Calibri" w:cs="Calibri"/>
          <w:i/>
          <w:iCs/>
        </w:rPr>
        <w:tab/>
      </w:r>
      <w:r w:rsidR="00403804">
        <w:rPr>
          <w:rFonts w:ascii="Calibri" w:eastAsia="Calibri" w:hAnsi="Calibri" w:cs="Calibri"/>
          <w:i/>
          <w:iCs/>
        </w:rPr>
        <w:tab/>
      </w:r>
      <w:r w:rsidR="00403804">
        <w:rPr>
          <w:rFonts w:ascii="Calibri" w:eastAsia="Calibri" w:hAnsi="Calibri" w:cs="Calibri"/>
          <w:i/>
          <w:iCs/>
        </w:rPr>
        <w:tab/>
      </w:r>
      <w:r w:rsidR="00403804">
        <w:rPr>
          <w:rFonts w:ascii="Calibri" w:eastAsia="Calibri" w:hAnsi="Calibri" w:cs="Calibri"/>
          <w:i/>
          <w:iCs/>
        </w:rPr>
        <w:tab/>
      </w:r>
      <w:r w:rsidR="008A1BBD" w:rsidRPr="009038BB">
        <w:rPr>
          <w:rFonts w:ascii="Calibri" w:eastAsia="Calibri" w:hAnsi="Calibri" w:cs="Calibri"/>
          <w:i/>
          <w:iCs/>
          <w:sz w:val="24"/>
          <w:szCs w:val="24"/>
        </w:rPr>
        <w:t xml:space="preserve"> </w:t>
      </w:r>
      <w:r w:rsidR="008A1BBD" w:rsidRPr="002704C0">
        <w:rPr>
          <w:rFonts w:ascii="Calibri" w:eastAsia="Calibri" w:hAnsi="Calibri" w:cs="Calibri"/>
        </w:rPr>
        <w:t>page</w:t>
      </w:r>
      <w:r w:rsidR="00D9081F" w:rsidRPr="002704C0">
        <w:rPr>
          <w:rFonts w:ascii="Calibri" w:eastAsia="Calibri" w:hAnsi="Calibri" w:cs="Calibri"/>
        </w:rPr>
        <w:t xml:space="preserve"> 18</w:t>
      </w:r>
      <w:r w:rsidR="00123935">
        <w:rPr>
          <w:rFonts w:ascii="Calibri" w:eastAsia="Calibri" w:hAnsi="Calibri" w:cs="Calibri"/>
        </w:rPr>
        <w:t>5</w:t>
      </w:r>
      <w:r w:rsidR="008A1BBD" w:rsidRPr="009038BB">
        <w:rPr>
          <w:rFonts w:ascii="Calibri" w:eastAsia="Calibri" w:hAnsi="Calibri" w:cs="Calibri"/>
          <w:sz w:val="24"/>
          <w:szCs w:val="24"/>
        </w:rPr>
        <w:t xml:space="preserve"> </w:t>
      </w:r>
    </w:p>
    <w:p w14:paraId="5878C2F6" w14:textId="66EC2B11" w:rsidR="001D5A46" w:rsidRPr="001D5A46" w:rsidRDefault="001D5A46" w:rsidP="001D5A46">
      <w:pPr>
        <w:rPr>
          <w:rFonts w:ascii="Calibri" w:eastAsia="Calibri" w:hAnsi="Calibri" w:cs="Calibri"/>
        </w:rPr>
      </w:pPr>
      <w:r>
        <w:rPr>
          <w:rFonts w:ascii="Calibri" w:eastAsia="Calibri" w:hAnsi="Calibri" w:cs="Calibri"/>
        </w:rPr>
        <w:tab/>
        <w:t>The shadow side of transitions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page 18</w:t>
      </w:r>
      <w:r w:rsidR="00123935">
        <w:rPr>
          <w:rFonts w:ascii="Calibri" w:eastAsia="Calibri" w:hAnsi="Calibri" w:cs="Calibri"/>
        </w:rPr>
        <w:t>9</w:t>
      </w:r>
    </w:p>
    <w:p w14:paraId="05DA1FC3" w14:textId="6064C907" w:rsidR="005C0054" w:rsidRPr="001A15BD" w:rsidRDefault="005C0054" w:rsidP="001A15BD">
      <w:pPr>
        <w:ind w:firstLine="720"/>
        <w:rPr>
          <w:rFonts w:ascii="Calibri" w:eastAsia="Calibri" w:hAnsi="Calibri" w:cs="Calibri"/>
        </w:rPr>
      </w:pPr>
      <w:r>
        <w:rPr>
          <w:rFonts w:ascii="Calibri" w:eastAsia="Calibri" w:hAnsi="Calibri" w:cs="Calibri"/>
        </w:rPr>
        <w:t>Biographical reflection</w:t>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sidRPr="002704C0">
        <w:rPr>
          <w:rFonts w:ascii="Calibri" w:eastAsia="Calibri" w:hAnsi="Calibri" w:cs="Calibri"/>
        </w:rPr>
        <w:t xml:space="preserve"> page 1</w:t>
      </w:r>
      <w:r w:rsidR="00123935">
        <w:rPr>
          <w:rFonts w:ascii="Calibri" w:eastAsia="Calibri" w:hAnsi="Calibri" w:cs="Calibri"/>
        </w:rPr>
        <w:t>90</w:t>
      </w:r>
    </w:p>
    <w:p w14:paraId="3D876AF9" w14:textId="433E366A" w:rsidR="001A15BD" w:rsidRPr="002704C0" w:rsidRDefault="001A15BD" w:rsidP="001A15BD">
      <w:pPr>
        <w:ind w:firstLine="720"/>
        <w:rPr>
          <w:rFonts w:ascii="Calibri" w:eastAsia="Calibri" w:hAnsi="Calibri" w:cs="Calibri"/>
        </w:rPr>
      </w:pPr>
      <w:r w:rsidRPr="001A15BD">
        <w:rPr>
          <w:rFonts w:ascii="Calibri" w:eastAsia="Calibri" w:hAnsi="Calibri" w:cs="Calibri"/>
        </w:rPr>
        <w:t>The magical tool</w:t>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Pr>
          <w:rFonts w:ascii="Calibri" w:eastAsia="Calibri" w:hAnsi="Calibri" w:cs="Calibri"/>
        </w:rPr>
        <w:tab/>
      </w:r>
      <w:r w:rsidR="00BE74B9" w:rsidRPr="002704C0">
        <w:rPr>
          <w:rFonts w:ascii="Calibri" w:eastAsia="Calibri" w:hAnsi="Calibri" w:cs="Calibri"/>
        </w:rPr>
        <w:t xml:space="preserve"> </w:t>
      </w:r>
      <w:r w:rsidR="00514CDC" w:rsidRPr="002704C0">
        <w:rPr>
          <w:rFonts w:ascii="Calibri" w:eastAsia="Calibri" w:hAnsi="Calibri" w:cs="Calibri"/>
        </w:rPr>
        <w:t>page 1</w:t>
      </w:r>
      <w:r w:rsidR="00123935">
        <w:rPr>
          <w:rFonts w:ascii="Calibri" w:eastAsia="Calibri" w:hAnsi="Calibri" w:cs="Calibri"/>
        </w:rPr>
        <w:t>91</w:t>
      </w:r>
    </w:p>
    <w:p w14:paraId="0F1FAA5A" w14:textId="19B271D2" w:rsidR="001A15BD" w:rsidRPr="001A15BD" w:rsidRDefault="001A15BD" w:rsidP="001A15BD">
      <w:pPr>
        <w:ind w:firstLine="720"/>
        <w:rPr>
          <w:rFonts w:ascii="Calibri" w:eastAsia="Calibri" w:hAnsi="Calibri" w:cs="Calibri"/>
        </w:rPr>
      </w:pPr>
      <w:r w:rsidRPr="001A15BD">
        <w:rPr>
          <w:rFonts w:ascii="Calibri" w:eastAsia="Calibri" w:hAnsi="Calibri" w:cs="Calibri"/>
        </w:rPr>
        <w:t>Teaching as emotional practice</w:t>
      </w:r>
      <w:r w:rsidR="00514CDC">
        <w:rPr>
          <w:rFonts w:ascii="Calibri" w:eastAsia="Calibri" w:hAnsi="Calibri" w:cs="Calibri"/>
        </w:rPr>
        <w:tab/>
      </w:r>
      <w:r w:rsidR="00514CDC">
        <w:rPr>
          <w:rFonts w:ascii="Calibri" w:eastAsia="Calibri" w:hAnsi="Calibri" w:cs="Calibri"/>
        </w:rPr>
        <w:tab/>
      </w:r>
      <w:r w:rsidR="00514CDC">
        <w:rPr>
          <w:rFonts w:ascii="Calibri" w:eastAsia="Calibri" w:hAnsi="Calibri" w:cs="Calibri"/>
        </w:rPr>
        <w:tab/>
      </w:r>
      <w:r w:rsidR="00514CDC">
        <w:rPr>
          <w:rFonts w:ascii="Calibri" w:eastAsia="Calibri" w:hAnsi="Calibri" w:cs="Calibri"/>
        </w:rPr>
        <w:tab/>
      </w:r>
      <w:r w:rsidR="00514CDC">
        <w:rPr>
          <w:rFonts w:ascii="Calibri" w:eastAsia="Calibri" w:hAnsi="Calibri" w:cs="Calibri"/>
        </w:rPr>
        <w:tab/>
      </w:r>
      <w:r w:rsidR="00514CDC">
        <w:rPr>
          <w:rFonts w:ascii="Calibri" w:eastAsia="Calibri" w:hAnsi="Calibri" w:cs="Calibri"/>
        </w:rPr>
        <w:tab/>
        <w:t xml:space="preserve"> </w:t>
      </w:r>
      <w:r w:rsidR="00514CDC" w:rsidRPr="002704C0">
        <w:rPr>
          <w:rFonts w:ascii="Calibri" w:eastAsia="Calibri" w:hAnsi="Calibri" w:cs="Calibri"/>
        </w:rPr>
        <w:t>page 19</w:t>
      </w:r>
      <w:r w:rsidR="00166FAF">
        <w:rPr>
          <w:rFonts w:ascii="Calibri" w:eastAsia="Calibri" w:hAnsi="Calibri" w:cs="Calibri"/>
        </w:rPr>
        <w:t>3</w:t>
      </w:r>
    </w:p>
    <w:p w14:paraId="4CD6F4A5" w14:textId="44C8CA3A" w:rsidR="001A15BD" w:rsidRPr="002704C0" w:rsidRDefault="001A15BD" w:rsidP="00D9081F">
      <w:pPr>
        <w:ind w:firstLine="720"/>
        <w:rPr>
          <w:rFonts w:ascii="Calibri" w:eastAsia="Calibri" w:hAnsi="Calibri" w:cs="Calibri"/>
        </w:rPr>
      </w:pPr>
      <w:r w:rsidRPr="001A15BD">
        <w:rPr>
          <w:rFonts w:ascii="Calibri" w:eastAsia="Calibri" w:hAnsi="Calibri" w:cs="Calibri"/>
        </w:rPr>
        <w:t>Theme 2: Guardian of the Threshold</w:t>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r>
      <w:r w:rsidR="00BF72F1" w:rsidRPr="002704C0">
        <w:rPr>
          <w:rFonts w:ascii="Calibri" w:eastAsia="Calibri" w:hAnsi="Calibri" w:cs="Calibri"/>
        </w:rPr>
        <w:t xml:space="preserve"> page 19</w:t>
      </w:r>
      <w:r w:rsidR="00166FAF">
        <w:rPr>
          <w:rFonts w:ascii="Calibri" w:eastAsia="Calibri" w:hAnsi="Calibri" w:cs="Calibri"/>
        </w:rPr>
        <w:t>3</w:t>
      </w:r>
    </w:p>
    <w:p w14:paraId="6D742F63" w14:textId="1695975C" w:rsidR="001A15BD" w:rsidRPr="002704C0" w:rsidRDefault="001A15BD" w:rsidP="001A15BD">
      <w:pPr>
        <w:ind w:left="720" w:firstLine="720"/>
        <w:rPr>
          <w:rFonts w:ascii="Calibri" w:eastAsia="Calibri" w:hAnsi="Calibri" w:cs="Calibri"/>
        </w:rPr>
      </w:pPr>
      <w:r w:rsidRPr="001A15BD">
        <w:rPr>
          <w:rFonts w:ascii="Calibri" w:eastAsia="Calibri" w:hAnsi="Calibri" w:cs="Calibri"/>
          <w:i/>
          <w:iCs/>
        </w:rPr>
        <w:t>The facilitating environment</w:t>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r>
      <w:r w:rsidR="00BF72F1">
        <w:rPr>
          <w:rFonts w:ascii="Calibri" w:eastAsia="Calibri" w:hAnsi="Calibri" w:cs="Calibri"/>
        </w:rPr>
        <w:tab/>
        <w:t xml:space="preserve"> </w:t>
      </w:r>
      <w:r w:rsidR="00BF72F1" w:rsidRPr="002704C0">
        <w:rPr>
          <w:rFonts w:ascii="Calibri" w:eastAsia="Calibri" w:hAnsi="Calibri" w:cs="Calibri"/>
        </w:rPr>
        <w:t>page 19</w:t>
      </w:r>
      <w:r w:rsidR="00166FAF">
        <w:rPr>
          <w:rFonts w:ascii="Calibri" w:eastAsia="Calibri" w:hAnsi="Calibri" w:cs="Calibri"/>
        </w:rPr>
        <w:t>4</w:t>
      </w:r>
    </w:p>
    <w:p w14:paraId="1D4AD3D1" w14:textId="35D1B37D" w:rsidR="001A15BD" w:rsidRPr="002704C0" w:rsidRDefault="001A15BD" w:rsidP="001A15BD">
      <w:pPr>
        <w:ind w:firstLine="720"/>
        <w:rPr>
          <w:rFonts w:ascii="Calibri" w:eastAsia="Calibri" w:hAnsi="Calibri" w:cs="Calibri"/>
        </w:rPr>
      </w:pPr>
      <w:r w:rsidRPr="001A15BD">
        <w:rPr>
          <w:rFonts w:ascii="Calibri" w:eastAsia="Calibri" w:hAnsi="Calibri" w:cs="Calibri"/>
        </w:rPr>
        <w:t>The Return</w:t>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sidRPr="002704C0">
        <w:rPr>
          <w:rFonts w:ascii="Calibri" w:eastAsia="Calibri" w:hAnsi="Calibri" w:cs="Calibri"/>
        </w:rPr>
        <w:t xml:space="preserve"> page 19</w:t>
      </w:r>
      <w:r w:rsidR="00166FAF">
        <w:rPr>
          <w:rFonts w:ascii="Calibri" w:eastAsia="Calibri" w:hAnsi="Calibri" w:cs="Calibri"/>
        </w:rPr>
        <w:t>6</w:t>
      </w:r>
    </w:p>
    <w:p w14:paraId="5AACAD4D" w14:textId="438BAB2A" w:rsidR="001A15BD" w:rsidRPr="002704C0" w:rsidRDefault="001A15BD" w:rsidP="001A15BD">
      <w:pPr>
        <w:ind w:firstLine="720"/>
        <w:rPr>
          <w:rFonts w:ascii="Calibri" w:eastAsia="Calibri" w:hAnsi="Calibri" w:cs="Calibri"/>
        </w:rPr>
      </w:pPr>
      <w:r w:rsidRPr="001A15BD">
        <w:rPr>
          <w:rFonts w:ascii="Calibri" w:eastAsia="Calibri" w:hAnsi="Calibri" w:cs="Calibri"/>
        </w:rPr>
        <w:t xml:space="preserve">Theme 3: Mirror, </w:t>
      </w:r>
      <w:r w:rsidR="00EA2E88">
        <w:rPr>
          <w:rFonts w:ascii="Calibri" w:eastAsia="Calibri" w:hAnsi="Calibri" w:cs="Calibri"/>
        </w:rPr>
        <w:t>M</w:t>
      </w:r>
      <w:r w:rsidRPr="001A15BD">
        <w:rPr>
          <w:rFonts w:ascii="Calibri" w:eastAsia="Calibri" w:hAnsi="Calibri" w:cs="Calibri"/>
        </w:rPr>
        <w:t>irror on the wall</w:t>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Pr>
          <w:rFonts w:ascii="Calibri" w:eastAsia="Calibri" w:hAnsi="Calibri" w:cs="Calibri"/>
        </w:rPr>
        <w:tab/>
      </w:r>
      <w:r w:rsidR="007D1A32" w:rsidRPr="002704C0">
        <w:rPr>
          <w:rFonts w:ascii="Calibri" w:eastAsia="Calibri" w:hAnsi="Calibri" w:cs="Calibri"/>
        </w:rPr>
        <w:t xml:space="preserve"> page 19</w:t>
      </w:r>
      <w:r w:rsidR="00166FAF">
        <w:rPr>
          <w:rFonts w:ascii="Calibri" w:eastAsia="Calibri" w:hAnsi="Calibri" w:cs="Calibri"/>
        </w:rPr>
        <w:t>6</w:t>
      </w:r>
    </w:p>
    <w:p w14:paraId="680C1A8B" w14:textId="061765FA" w:rsidR="00EE0ED4" w:rsidRPr="002704C0" w:rsidRDefault="00EE0ED4" w:rsidP="001A15BD">
      <w:pPr>
        <w:ind w:firstLine="720"/>
        <w:rPr>
          <w:rFonts w:ascii="Calibri" w:eastAsia="Calibri" w:hAnsi="Calibri" w:cs="Calibri"/>
        </w:rPr>
      </w:pPr>
      <w:r>
        <w:rPr>
          <w:rFonts w:ascii="Calibri" w:eastAsia="Calibri" w:hAnsi="Calibri" w:cs="Calibri"/>
        </w:rPr>
        <w:t>Reflection and conditions of the facilitating environment</w:t>
      </w:r>
      <w:r w:rsidR="009D617D">
        <w:rPr>
          <w:rFonts w:ascii="Calibri" w:eastAsia="Calibri" w:hAnsi="Calibri" w:cs="Calibri"/>
        </w:rPr>
        <w:tab/>
      </w:r>
      <w:r w:rsidR="009D617D">
        <w:rPr>
          <w:rFonts w:ascii="Calibri" w:eastAsia="Calibri" w:hAnsi="Calibri" w:cs="Calibri"/>
        </w:rPr>
        <w:tab/>
      </w:r>
      <w:r w:rsidR="009D617D" w:rsidRPr="002704C0">
        <w:rPr>
          <w:rFonts w:ascii="Calibri" w:eastAsia="Calibri" w:hAnsi="Calibri" w:cs="Calibri"/>
        </w:rPr>
        <w:t xml:space="preserve"> page 19</w:t>
      </w:r>
      <w:r w:rsidR="00166FAF">
        <w:rPr>
          <w:rFonts w:ascii="Calibri" w:eastAsia="Calibri" w:hAnsi="Calibri" w:cs="Calibri"/>
        </w:rPr>
        <w:t>9</w:t>
      </w:r>
    </w:p>
    <w:p w14:paraId="12535653" w14:textId="78C2AA90" w:rsidR="00772060" w:rsidRPr="002704C0" w:rsidRDefault="00772060" w:rsidP="001A15BD">
      <w:pPr>
        <w:ind w:firstLine="720"/>
        <w:rPr>
          <w:rFonts w:ascii="Calibri" w:eastAsia="Calibri" w:hAnsi="Calibri" w:cs="Calibri"/>
        </w:rPr>
      </w:pPr>
      <w:r>
        <w:rPr>
          <w:rFonts w:ascii="Calibri" w:eastAsia="Calibri" w:hAnsi="Calibri" w:cs="Calibri"/>
        </w:rPr>
        <w:t>Gathering</w:t>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sidRPr="002704C0">
        <w:rPr>
          <w:rFonts w:ascii="Calibri" w:eastAsia="Calibri" w:hAnsi="Calibri" w:cs="Calibri"/>
        </w:rPr>
        <w:t xml:space="preserve"> page </w:t>
      </w:r>
      <w:r w:rsidR="00457A42">
        <w:rPr>
          <w:rFonts w:ascii="Calibri" w:eastAsia="Calibri" w:hAnsi="Calibri" w:cs="Calibri"/>
        </w:rPr>
        <w:t>201</w:t>
      </w:r>
    </w:p>
    <w:p w14:paraId="2D813B8A" w14:textId="0311B22A" w:rsidR="001A15BD" w:rsidRPr="002704C0" w:rsidRDefault="001A15BD" w:rsidP="001A15BD">
      <w:pPr>
        <w:ind w:firstLine="720"/>
        <w:rPr>
          <w:rFonts w:ascii="Calibri" w:eastAsia="Calibri" w:hAnsi="Calibri" w:cs="Calibri"/>
        </w:rPr>
      </w:pPr>
      <w:r w:rsidRPr="001A15BD">
        <w:rPr>
          <w:rFonts w:ascii="Calibri" w:eastAsia="Calibri" w:hAnsi="Calibri" w:cs="Calibri"/>
        </w:rPr>
        <w:t>Proposing a new framework</w:t>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t xml:space="preserve"> </w:t>
      </w:r>
      <w:r w:rsidR="005F083B" w:rsidRPr="002704C0">
        <w:rPr>
          <w:rFonts w:ascii="Calibri" w:eastAsia="Calibri" w:hAnsi="Calibri" w:cs="Calibri"/>
        </w:rPr>
        <w:t xml:space="preserve">page </w:t>
      </w:r>
      <w:r w:rsidR="00457A42">
        <w:rPr>
          <w:rFonts w:ascii="Calibri" w:eastAsia="Calibri" w:hAnsi="Calibri" w:cs="Calibri"/>
        </w:rPr>
        <w:t>201</w:t>
      </w:r>
    </w:p>
    <w:p w14:paraId="4496DC9A" w14:textId="0B459823" w:rsidR="00772060" w:rsidRPr="002704C0" w:rsidRDefault="00772060" w:rsidP="001A15BD">
      <w:pPr>
        <w:ind w:firstLine="720"/>
        <w:rPr>
          <w:rFonts w:ascii="Calibri" w:eastAsia="Calibri" w:hAnsi="Calibri" w:cs="Calibri"/>
        </w:rPr>
      </w:pPr>
      <w:r>
        <w:rPr>
          <w:rFonts w:ascii="Calibri" w:eastAsia="Calibri" w:hAnsi="Calibri" w:cs="Calibri"/>
        </w:rPr>
        <w:t>Supervision as a holding framework</w:t>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Pr>
          <w:rFonts w:ascii="Calibri" w:eastAsia="Calibri" w:hAnsi="Calibri" w:cs="Calibri"/>
        </w:rPr>
        <w:tab/>
      </w:r>
      <w:r w:rsidR="005F083B" w:rsidRPr="002704C0">
        <w:rPr>
          <w:rFonts w:ascii="Calibri" w:eastAsia="Calibri" w:hAnsi="Calibri" w:cs="Calibri"/>
        </w:rPr>
        <w:t xml:space="preserve"> page 20</w:t>
      </w:r>
      <w:r w:rsidR="00457A42">
        <w:rPr>
          <w:rFonts w:ascii="Calibri" w:eastAsia="Calibri" w:hAnsi="Calibri" w:cs="Calibri"/>
        </w:rPr>
        <w:t>4</w:t>
      </w:r>
    </w:p>
    <w:p w14:paraId="08CFAC7B" w14:textId="3DEB6544" w:rsidR="003D2CA1" w:rsidRPr="002704C0" w:rsidRDefault="003D2CA1" w:rsidP="001A15BD">
      <w:pPr>
        <w:ind w:firstLine="720"/>
        <w:rPr>
          <w:rFonts w:ascii="Calibri" w:eastAsia="Calibri" w:hAnsi="Calibri" w:cs="Calibri"/>
        </w:rPr>
      </w:pPr>
      <w:r>
        <w:rPr>
          <w:rFonts w:ascii="Calibri" w:eastAsia="Calibri" w:hAnsi="Calibri" w:cs="Calibri"/>
        </w:rPr>
        <w:t>Gathering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2704C0">
        <w:rPr>
          <w:rFonts w:ascii="Calibri" w:eastAsia="Calibri" w:hAnsi="Calibri" w:cs="Calibri"/>
        </w:rPr>
        <w:t xml:space="preserve"> page 20</w:t>
      </w:r>
      <w:r w:rsidR="00457A42">
        <w:rPr>
          <w:rFonts w:ascii="Calibri" w:eastAsia="Calibri" w:hAnsi="Calibri" w:cs="Calibri"/>
        </w:rPr>
        <w:t>5</w:t>
      </w:r>
    </w:p>
    <w:p w14:paraId="1FA2CB15" w14:textId="1F68604B" w:rsidR="00184708" w:rsidRPr="002704C0" w:rsidRDefault="001A15BD" w:rsidP="001A15BD">
      <w:pPr>
        <w:ind w:firstLine="720"/>
        <w:rPr>
          <w:rFonts w:ascii="Calibri" w:eastAsia="Calibri" w:hAnsi="Calibri" w:cs="Calibri"/>
        </w:rPr>
      </w:pPr>
      <w:r w:rsidRPr="001A15BD">
        <w:rPr>
          <w:rFonts w:ascii="Calibri" w:eastAsia="Calibri" w:hAnsi="Calibri" w:cs="Calibri"/>
        </w:rPr>
        <w:t>Individuation and the Return</w:t>
      </w:r>
      <w:r w:rsidR="003D2CA1">
        <w:rPr>
          <w:rFonts w:ascii="Calibri" w:eastAsia="Calibri" w:hAnsi="Calibri" w:cs="Calibri"/>
        </w:rPr>
        <w:tab/>
      </w:r>
      <w:r w:rsidR="003D2CA1">
        <w:rPr>
          <w:rFonts w:ascii="Calibri" w:eastAsia="Calibri" w:hAnsi="Calibri" w:cs="Calibri"/>
        </w:rPr>
        <w:tab/>
      </w:r>
      <w:r w:rsidR="003D2CA1">
        <w:rPr>
          <w:rFonts w:ascii="Calibri" w:eastAsia="Calibri" w:hAnsi="Calibri" w:cs="Calibri"/>
        </w:rPr>
        <w:tab/>
      </w:r>
      <w:r w:rsidR="003D2CA1">
        <w:rPr>
          <w:rFonts w:ascii="Calibri" w:eastAsia="Calibri" w:hAnsi="Calibri" w:cs="Calibri"/>
        </w:rPr>
        <w:tab/>
      </w:r>
      <w:r w:rsidR="003D2CA1">
        <w:rPr>
          <w:rFonts w:ascii="Calibri" w:eastAsia="Calibri" w:hAnsi="Calibri" w:cs="Calibri"/>
        </w:rPr>
        <w:tab/>
      </w:r>
      <w:r w:rsidR="003D2CA1">
        <w:rPr>
          <w:rFonts w:ascii="Calibri" w:eastAsia="Calibri" w:hAnsi="Calibri" w:cs="Calibri"/>
        </w:rPr>
        <w:tab/>
        <w:t xml:space="preserve"> </w:t>
      </w:r>
      <w:r w:rsidR="003D2CA1" w:rsidRPr="002704C0">
        <w:rPr>
          <w:rFonts w:ascii="Calibri" w:eastAsia="Calibri" w:hAnsi="Calibri" w:cs="Calibri"/>
        </w:rPr>
        <w:t>page 20</w:t>
      </w:r>
      <w:r w:rsidR="00457A42">
        <w:rPr>
          <w:rFonts w:ascii="Calibri" w:eastAsia="Calibri" w:hAnsi="Calibri" w:cs="Calibri"/>
        </w:rPr>
        <w:t>5</w:t>
      </w:r>
    </w:p>
    <w:p w14:paraId="7E8FF2B7" w14:textId="0BA8B0BF" w:rsidR="00DA2ECE" w:rsidRPr="00DA2ECE" w:rsidRDefault="00DA2ECE" w:rsidP="00DA2ECE">
      <w:pPr>
        <w:rPr>
          <w:rFonts w:cstheme="minorHAnsi"/>
          <w:sz w:val="24"/>
          <w:szCs w:val="24"/>
        </w:rPr>
      </w:pPr>
      <w:r w:rsidRPr="00DA2ECE">
        <w:rPr>
          <w:rFonts w:cstheme="minorHAnsi"/>
          <w:sz w:val="24"/>
          <w:szCs w:val="24"/>
        </w:rPr>
        <w:t>Reflections</w:t>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490828">
        <w:rPr>
          <w:rFonts w:cstheme="minorHAnsi"/>
          <w:sz w:val="24"/>
          <w:szCs w:val="24"/>
        </w:rPr>
        <w:t xml:space="preserve"> </w:t>
      </w:r>
      <w:r w:rsidR="00CE27FA" w:rsidRPr="002704C0">
        <w:rPr>
          <w:rFonts w:cstheme="minorHAnsi"/>
        </w:rPr>
        <w:t>page</w:t>
      </w:r>
      <w:r w:rsidR="00B66C85" w:rsidRPr="002704C0">
        <w:rPr>
          <w:rFonts w:cstheme="minorHAnsi"/>
        </w:rPr>
        <w:t xml:space="preserve"> 20</w:t>
      </w:r>
      <w:r w:rsidR="00C829B5">
        <w:rPr>
          <w:rFonts w:cstheme="minorHAnsi"/>
        </w:rPr>
        <w:t>7</w:t>
      </w:r>
    </w:p>
    <w:p w14:paraId="735F46CC" w14:textId="1F6B0B2E" w:rsidR="00DA2ECE" w:rsidRPr="002704C0" w:rsidRDefault="00DA2ECE" w:rsidP="00DA2ECE">
      <w:pPr>
        <w:rPr>
          <w:rFonts w:cstheme="minorHAnsi"/>
        </w:rPr>
      </w:pPr>
      <w:r w:rsidRPr="00DA2ECE">
        <w:rPr>
          <w:rFonts w:cstheme="minorHAnsi"/>
          <w:sz w:val="24"/>
          <w:szCs w:val="24"/>
        </w:rPr>
        <w:t xml:space="preserve">Chapter Nine: The Celebration </w:t>
      </w:r>
      <w:r w:rsidR="00CE27FA" w:rsidRPr="00112931">
        <w:rPr>
          <w:rFonts w:cstheme="minorHAnsi"/>
          <w:sz w:val="24"/>
          <w:szCs w:val="24"/>
        </w:rPr>
        <w:t>(</w:t>
      </w:r>
      <w:r w:rsidRPr="00DA2ECE">
        <w:rPr>
          <w:rFonts w:cstheme="minorHAnsi"/>
          <w:sz w:val="24"/>
          <w:szCs w:val="24"/>
        </w:rPr>
        <w:t>Conclusion</w:t>
      </w:r>
      <w:r w:rsidR="00CE27FA" w:rsidRPr="00112931">
        <w:rPr>
          <w:rFonts w:cstheme="minorHAnsi"/>
          <w:sz w:val="24"/>
          <w:szCs w:val="24"/>
        </w:rPr>
        <w:t>)</w:t>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490828">
        <w:rPr>
          <w:rFonts w:cstheme="minorHAnsi"/>
          <w:sz w:val="24"/>
          <w:szCs w:val="24"/>
        </w:rPr>
        <w:tab/>
      </w:r>
      <w:r w:rsidR="00621482" w:rsidRPr="002704C0">
        <w:rPr>
          <w:rFonts w:cstheme="minorHAnsi"/>
        </w:rPr>
        <w:t xml:space="preserve"> </w:t>
      </w:r>
      <w:r w:rsidR="00CE27FA" w:rsidRPr="002704C0">
        <w:rPr>
          <w:rFonts w:cstheme="minorHAnsi"/>
        </w:rPr>
        <w:t>page</w:t>
      </w:r>
      <w:r w:rsidR="00B66C85" w:rsidRPr="002704C0">
        <w:rPr>
          <w:rFonts w:cstheme="minorHAnsi"/>
        </w:rPr>
        <w:t xml:space="preserve"> 20</w:t>
      </w:r>
      <w:r w:rsidR="00C829B5">
        <w:rPr>
          <w:rFonts w:cstheme="minorHAnsi"/>
        </w:rPr>
        <w:t>8</w:t>
      </w:r>
    </w:p>
    <w:p w14:paraId="6D91205E" w14:textId="4359C22D" w:rsidR="00F07C4D" w:rsidRPr="002A5496" w:rsidRDefault="00F07C4D" w:rsidP="00F07C4D">
      <w:pPr>
        <w:ind w:firstLine="720"/>
        <w:rPr>
          <w:rFonts w:ascii="Calibri" w:eastAsia="Calibri" w:hAnsi="Calibri" w:cs="Calibri"/>
          <w:sz w:val="24"/>
          <w:szCs w:val="24"/>
        </w:rPr>
      </w:pPr>
      <w:r w:rsidRPr="00F07C4D">
        <w:rPr>
          <w:rFonts w:ascii="Calibri" w:eastAsia="Calibri" w:hAnsi="Calibri" w:cs="Calibri"/>
        </w:rPr>
        <w:t>Introduction</w:t>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sidRPr="002704C0">
        <w:rPr>
          <w:rFonts w:ascii="Calibri" w:eastAsia="Calibri" w:hAnsi="Calibri" w:cs="Calibri"/>
        </w:rPr>
        <w:t xml:space="preserve"> page 20</w:t>
      </w:r>
      <w:r w:rsidR="00C829B5">
        <w:rPr>
          <w:rFonts w:ascii="Calibri" w:eastAsia="Calibri" w:hAnsi="Calibri" w:cs="Calibri"/>
        </w:rPr>
        <w:t>9</w:t>
      </w:r>
    </w:p>
    <w:p w14:paraId="7393B1C7" w14:textId="3C395B56" w:rsidR="00F07C4D" w:rsidRPr="002704C0" w:rsidRDefault="00F07C4D" w:rsidP="00F07C4D">
      <w:pPr>
        <w:ind w:firstLine="720"/>
        <w:rPr>
          <w:rFonts w:ascii="Calibri" w:eastAsia="Calibri" w:hAnsi="Calibri" w:cs="Calibri"/>
        </w:rPr>
      </w:pPr>
      <w:r w:rsidRPr="00F07C4D">
        <w:rPr>
          <w:rFonts w:ascii="Calibri" w:eastAsia="Calibri" w:hAnsi="Calibri" w:cs="Calibri"/>
        </w:rPr>
        <w:t>Aims revisited</w:t>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Pr>
          <w:rFonts w:ascii="Calibri" w:eastAsia="Calibri" w:hAnsi="Calibri" w:cs="Calibri"/>
        </w:rPr>
        <w:tab/>
      </w:r>
      <w:r w:rsidR="008E4953" w:rsidRPr="002704C0">
        <w:rPr>
          <w:rFonts w:ascii="Calibri" w:eastAsia="Calibri" w:hAnsi="Calibri" w:cs="Calibri"/>
        </w:rPr>
        <w:t xml:space="preserve"> page 20</w:t>
      </w:r>
      <w:r w:rsidR="00C829B5">
        <w:rPr>
          <w:rFonts w:ascii="Calibri" w:eastAsia="Calibri" w:hAnsi="Calibri" w:cs="Calibri"/>
        </w:rPr>
        <w:t>9</w:t>
      </w:r>
    </w:p>
    <w:p w14:paraId="04181469" w14:textId="4A8FA03C" w:rsidR="00F07C4D" w:rsidRPr="002704C0" w:rsidRDefault="00F07C4D" w:rsidP="00F07C4D">
      <w:pPr>
        <w:ind w:firstLine="720"/>
        <w:rPr>
          <w:rFonts w:ascii="Calibri" w:eastAsia="Calibri" w:hAnsi="Calibri" w:cs="Calibri"/>
        </w:rPr>
      </w:pPr>
      <w:r w:rsidRPr="00F07C4D">
        <w:rPr>
          <w:rFonts w:ascii="Calibri" w:eastAsia="Calibri" w:hAnsi="Calibri" w:cs="Calibri"/>
        </w:rPr>
        <w:t>Key findings in relation to the research questions</w:t>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sidRPr="002704C0">
        <w:rPr>
          <w:rFonts w:ascii="Calibri" w:eastAsia="Calibri" w:hAnsi="Calibri" w:cs="Calibri"/>
        </w:rPr>
        <w:t xml:space="preserve"> page 20</w:t>
      </w:r>
      <w:r w:rsidR="00C829B5">
        <w:rPr>
          <w:rFonts w:ascii="Calibri" w:eastAsia="Calibri" w:hAnsi="Calibri" w:cs="Calibri"/>
        </w:rPr>
        <w:t>9</w:t>
      </w:r>
    </w:p>
    <w:p w14:paraId="2AD3B006" w14:textId="3581E536" w:rsidR="00F07C4D" w:rsidRPr="002704C0" w:rsidRDefault="00F07C4D" w:rsidP="00F07C4D">
      <w:pPr>
        <w:ind w:firstLine="720"/>
        <w:rPr>
          <w:rFonts w:ascii="Calibri" w:eastAsia="Calibri" w:hAnsi="Calibri" w:cs="Calibri"/>
        </w:rPr>
      </w:pPr>
      <w:r w:rsidRPr="00F07C4D">
        <w:rPr>
          <w:rFonts w:ascii="Calibri" w:eastAsia="Calibri" w:hAnsi="Calibri" w:cs="Calibri"/>
        </w:rPr>
        <w:t>Echo response to research question 1</w:t>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sidRPr="002704C0">
        <w:rPr>
          <w:rFonts w:ascii="Calibri" w:eastAsia="Calibri" w:hAnsi="Calibri" w:cs="Calibri"/>
        </w:rPr>
        <w:t xml:space="preserve"> page 2</w:t>
      </w:r>
      <w:r w:rsidR="00C829B5">
        <w:rPr>
          <w:rFonts w:ascii="Calibri" w:eastAsia="Calibri" w:hAnsi="Calibri" w:cs="Calibri"/>
        </w:rPr>
        <w:t>10</w:t>
      </w:r>
    </w:p>
    <w:p w14:paraId="1614B2A5" w14:textId="02A83385" w:rsidR="00F07C4D" w:rsidRPr="002704C0" w:rsidRDefault="00F07C4D" w:rsidP="00F07C4D">
      <w:pPr>
        <w:ind w:firstLine="720"/>
        <w:rPr>
          <w:rFonts w:ascii="Calibri" w:eastAsia="Calibri" w:hAnsi="Calibri" w:cs="Calibri"/>
        </w:rPr>
      </w:pPr>
      <w:r w:rsidRPr="00F07C4D">
        <w:rPr>
          <w:rFonts w:ascii="Calibri" w:eastAsia="Calibri" w:hAnsi="Calibri" w:cs="Calibri"/>
        </w:rPr>
        <w:t>Echo response to research question 2</w:t>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sidRPr="002704C0">
        <w:rPr>
          <w:rFonts w:ascii="Calibri" w:eastAsia="Calibri" w:hAnsi="Calibri" w:cs="Calibri"/>
        </w:rPr>
        <w:t xml:space="preserve"> page 2</w:t>
      </w:r>
      <w:r w:rsidR="00C829B5">
        <w:rPr>
          <w:rFonts w:ascii="Calibri" w:eastAsia="Calibri" w:hAnsi="Calibri" w:cs="Calibri"/>
        </w:rPr>
        <w:t>10</w:t>
      </w:r>
    </w:p>
    <w:p w14:paraId="33161CF7" w14:textId="01965439" w:rsidR="00F07C4D" w:rsidRPr="002704C0" w:rsidRDefault="00F07C4D" w:rsidP="00F07C4D">
      <w:pPr>
        <w:ind w:firstLine="720"/>
        <w:rPr>
          <w:rFonts w:ascii="Calibri" w:eastAsia="Calibri" w:hAnsi="Calibri" w:cs="Calibri"/>
        </w:rPr>
      </w:pPr>
      <w:r w:rsidRPr="00F07C4D">
        <w:rPr>
          <w:rFonts w:ascii="Calibri" w:eastAsia="Calibri" w:hAnsi="Calibri" w:cs="Calibri"/>
        </w:rPr>
        <w:t>Echo response to research question 3</w:t>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t xml:space="preserve"> </w:t>
      </w:r>
      <w:r w:rsidR="008102F7" w:rsidRPr="002704C0">
        <w:rPr>
          <w:rFonts w:ascii="Calibri" w:eastAsia="Calibri" w:hAnsi="Calibri" w:cs="Calibri"/>
        </w:rPr>
        <w:t>page 2</w:t>
      </w:r>
      <w:r w:rsidR="00C829B5">
        <w:rPr>
          <w:rFonts w:ascii="Calibri" w:eastAsia="Calibri" w:hAnsi="Calibri" w:cs="Calibri"/>
        </w:rPr>
        <w:t>11</w:t>
      </w:r>
    </w:p>
    <w:p w14:paraId="276310D5" w14:textId="77777777" w:rsidR="00023C9C" w:rsidRDefault="00023C9C" w:rsidP="00F07C4D">
      <w:pPr>
        <w:ind w:firstLine="720"/>
        <w:rPr>
          <w:rFonts w:ascii="Calibri" w:eastAsia="Calibri" w:hAnsi="Calibri" w:cs="Calibri"/>
        </w:rPr>
      </w:pPr>
    </w:p>
    <w:p w14:paraId="1EBB5C31" w14:textId="77777777" w:rsidR="00023C9C" w:rsidRDefault="00023C9C" w:rsidP="00F07C4D">
      <w:pPr>
        <w:ind w:firstLine="720"/>
        <w:rPr>
          <w:rFonts w:ascii="Calibri" w:eastAsia="Calibri" w:hAnsi="Calibri" w:cs="Calibri"/>
        </w:rPr>
      </w:pPr>
    </w:p>
    <w:p w14:paraId="7261EBF8" w14:textId="04AC5D96" w:rsidR="00F07C4D" w:rsidRPr="002704C0" w:rsidRDefault="00F07C4D" w:rsidP="00F07C4D">
      <w:pPr>
        <w:ind w:firstLine="720"/>
        <w:rPr>
          <w:rFonts w:ascii="Calibri" w:eastAsia="Calibri" w:hAnsi="Calibri" w:cs="Calibri"/>
        </w:rPr>
      </w:pPr>
      <w:r w:rsidRPr="00F07C4D">
        <w:rPr>
          <w:rFonts w:ascii="Calibri" w:eastAsia="Calibri" w:hAnsi="Calibri" w:cs="Calibri"/>
        </w:rPr>
        <w:t>Contributions</w:t>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Pr>
          <w:rFonts w:ascii="Calibri" w:eastAsia="Calibri" w:hAnsi="Calibri" w:cs="Calibri"/>
        </w:rPr>
        <w:tab/>
      </w:r>
      <w:r w:rsidR="008102F7" w:rsidRPr="002704C0">
        <w:rPr>
          <w:rFonts w:ascii="Calibri" w:eastAsia="Calibri" w:hAnsi="Calibri" w:cs="Calibri"/>
        </w:rPr>
        <w:t xml:space="preserve"> page 21</w:t>
      </w:r>
      <w:r w:rsidR="00023C9C">
        <w:rPr>
          <w:rFonts w:ascii="Calibri" w:eastAsia="Calibri" w:hAnsi="Calibri" w:cs="Calibri"/>
        </w:rPr>
        <w:t>2</w:t>
      </w:r>
    </w:p>
    <w:p w14:paraId="31A68ACC" w14:textId="0065C598" w:rsidR="00F07C4D" w:rsidRPr="002704C0" w:rsidRDefault="00F07C4D" w:rsidP="00F07C4D">
      <w:pPr>
        <w:ind w:firstLine="720"/>
        <w:rPr>
          <w:rFonts w:ascii="Calibri" w:eastAsia="Calibri" w:hAnsi="Calibri" w:cs="Calibri"/>
        </w:rPr>
      </w:pPr>
      <w:r w:rsidRPr="00F07C4D">
        <w:rPr>
          <w:rFonts w:ascii="Calibri" w:eastAsia="Calibri" w:hAnsi="Calibri" w:cs="Calibri"/>
        </w:rPr>
        <w:t>Recommendations for HE establishments and policy makers</w:t>
      </w:r>
      <w:r w:rsidR="008102F7">
        <w:rPr>
          <w:rFonts w:ascii="Calibri" w:eastAsia="Calibri" w:hAnsi="Calibri" w:cs="Calibri"/>
        </w:rPr>
        <w:tab/>
      </w:r>
      <w:r w:rsidR="008102F7">
        <w:rPr>
          <w:rFonts w:ascii="Calibri" w:eastAsia="Calibri" w:hAnsi="Calibri" w:cs="Calibri"/>
        </w:rPr>
        <w:tab/>
      </w:r>
      <w:r w:rsidR="008102F7" w:rsidRPr="002704C0">
        <w:rPr>
          <w:rFonts w:ascii="Calibri" w:eastAsia="Calibri" w:hAnsi="Calibri" w:cs="Calibri"/>
        </w:rPr>
        <w:t xml:space="preserve"> page</w:t>
      </w:r>
      <w:r w:rsidR="00822075" w:rsidRPr="002704C0">
        <w:rPr>
          <w:rFonts w:ascii="Calibri" w:eastAsia="Calibri" w:hAnsi="Calibri" w:cs="Calibri"/>
        </w:rPr>
        <w:t xml:space="preserve"> 21</w:t>
      </w:r>
      <w:r w:rsidR="00023C9C">
        <w:rPr>
          <w:rFonts w:ascii="Calibri" w:eastAsia="Calibri" w:hAnsi="Calibri" w:cs="Calibri"/>
        </w:rPr>
        <w:t>3</w:t>
      </w:r>
    </w:p>
    <w:p w14:paraId="5D2777C5" w14:textId="5D9FA61B" w:rsidR="00F07C4D" w:rsidRPr="002704C0" w:rsidRDefault="00F07C4D" w:rsidP="00F07C4D">
      <w:pPr>
        <w:ind w:firstLine="720"/>
        <w:rPr>
          <w:rFonts w:ascii="Calibri" w:eastAsia="Calibri" w:hAnsi="Calibri" w:cs="Calibri"/>
        </w:rPr>
      </w:pPr>
      <w:r w:rsidRPr="00F07C4D">
        <w:rPr>
          <w:rFonts w:ascii="Calibri" w:eastAsia="Calibri" w:hAnsi="Calibri" w:cs="Calibri"/>
        </w:rPr>
        <w:t>Application</w:t>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t xml:space="preserve"> </w:t>
      </w:r>
      <w:r w:rsidR="00822075" w:rsidRPr="002704C0">
        <w:rPr>
          <w:rFonts w:ascii="Calibri" w:eastAsia="Calibri" w:hAnsi="Calibri" w:cs="Calibri"/>
        </w:rPr>
        <w:t>page 21</w:t>
      </w:r>
      <w:r w:rsidR="00023C9C">
        <w:rPr>
          <w:rFonts w:ascii="Calibri" w:eastAsia="Calibri" w:hAnsi="Calibri" w:cs="Calibri"/>
        </w:rPr>
        <w:t>5</w:t>
      </w:r>
    </w:p>
    <w:p w14:paraId="4E2A9B3B" w14:textId="7B1D652B" w:rsidR="00F07C4D" w:rsidRPr="002704C0" w:rsidRDefault="00F07C4D" w:rsidP="00F07C4D">
      <w:pPr>
        <w:ind w:firstLine="720"/>
        <w:rPr>
          <w:rFonts w:ascii="Calibri" w:eastAsia="Calibri" w:hAnsi="Calibri" w:cs="Calibri"/>
        </w:rPr>
      </w:pPr>
      <w:r w:rsidRPr="00F07C4D">
        <w:rPr>
          <w:rFonts w:ascii="Calibri" w:eastAsia="Calibri" w:hAnsi="Calibri" w:cs="Calibri"/>
        </w:rPr>
        <w:t>Research limitations</w:t>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r>
      <w:r w:rsidR="00822075">
        <w:rPr>
          <w:rFonts w:ascii="Calibri" w:eastAsia="Calibri" w:hAnsi="Calibri" w:cs="Calibri"/>
        </w:rPr>
        <w:tab/>
        <w:t xml:space="preserve"> </w:t>
      </w:r>
      <w:r w:rsidR="00822075" w:rsidRPr="002704C0">
        <w:rPr>
          <w:rFonts w:ascii="Calibri" w:eastAsia="Calibri" w:hAnsi="Calibri" w:cs="Calibri"/>
        </w:rPr>
        <w:t>page 21</w:t>
      </w:r>
      <w:r w:rsidR="00023C9C">
        <w:rPr>
          <w:rFonts w:ascii="Calibri" w:eastAsia="Calibri" w:hAnsi="Calibri" w:cs="Calibri"/>
        </w:rPr>
        <w:t>7</w:t>
      </w:r>
    </w:p>
    <w:p w14:paraId="6C386B15" w14:textId="0C60CDC6" w:rsidR="002704C0" w:rsidRPr="00F07C4D" w:rsidRDefault="00F07C4D" w:rsidP="002704C0">
      <w:pPr>
        <w:numPr>
          <w:ilvl w:val="0"/>
          <w:numId w:val="24"/>
        </w:numPr>
        <w:spacing w:after="160" w:line="259" w:lineRule="auto"/>
        <w:contextualSpacing/>
        <w:rPr>
          <w:rFonts w:ascii="Calibri" w:eastAsia="Calibri" w:hAnsi="Calibri" w:cs="Calibri"/>
        </w:rPr>
      </w:pPr>
      <w:r w:rsidRPr="00F07C4D">
        <w:rPr>
          <w:rFonts w:ascii="Calibri" w:eastAsia="Calibri" w:hAnsi="Calibri" w:cs="Calibri"/>
        </w:rPr>
        <w:t>Sampling</w:t>
      </w:r>
      <w:r w:rsidR="00822075">
        <w:rPr>
          <w:rFonts w:ascii="Calibri" w:eastAsia="Calibri" w:hAnsi="Calibri" w:cs="Calibri"/>
        </w:rPr>
        <w:tab/>
      </w:r>
      <w:r w:rsidR="00911B83">
        <w:rPr>
          <w:rFonts w:ascii="Calibri" w:eastAsia="Calibri" w:hAnsi="Calibri" w:cs="Calibri"/>
        </w:rPr>
        <w:tab/>
      </w:r>
      <w:r w:rsidR="00911B83">
        <w:rPr>
          <w:rFonts w:ascii="Calibri" w:eastAsia="Calibri" w:hAnsi="Calibri" w:cs="Calibri"/>
        </w:rPr>
        <w:tab/>
      </w:r>
      <w:r w:rsidR="00023C9C">
        <w:rPr>
          <w:rFonts w:ascii="Calibri" w:eastAsia="Calibri" w:hAnsi="Calibri" w:cs="Calibri"/>
        </w:rPr>
        <w:t xml:space="preserve">    </w:t>
      </w:r>
      <w:r w:rsidR="00911B83">
        <w:rPr>
          <w:rFonts w:ascii="Calibri" w:eastAsia="Calibri" w:hAnsi="Calibri" w:cs="Calibri"/>
        </w:rPr>
        <w:tab/>
      </w:r>
      <w:r w:rsidR="00911B83">
        <w:rPr>
          <w:rFonts w:ascii="Calibri" w:eastAsia="Calibri" w:hAnsi="Calibri" w:cs="Calibri"/>
        </w:rPr>
        <w:tab/>
      </w:r>
      <w:r w:rsidR="00911B83">
        <w:rPr>
          <w:rFonts w:ascii="Calibri" w:eastAsia="Calibri" w:hAnsi="Calibri" w:cs="Calibri"/>
        </w:rPr>
        <w:tab/>
      </w:r>
      <w:r w:rsidR="00A03456">
        <w:rPr>
          <w:rFonts w:ascii="Calibri" w:eastAsia="Calibri" w:hAnsi="Calibri" w:cs="Calibri"/>
        </w:rPr>
        <w:tab/>
      </w:r>
      <w:r w:rsidR="00A03456">
        <w:rPr>
          <w:rFonts w:ascii="Calibri" w:eastAsia="Calibri" w:hAnsi="Calibri" w:cs="Calibri"/>
        </w:rPr>
        <w:tab/>
      </w:r>
      <w:r w:rsidR="00023C9C">
        <w:rPr>
          <w:rFonts w:ascii="Calibri" w:eastAsia="Calibri" w:hAnsi="Calibri" w:cs="Calibri"/>
        </w:rPr>
        <w:t xml:space="preserve"> </w:t>
      </w:r>
      <w:r w:rsidR="00A03456" w:rsidRPr="00A03456">
        <w:rPr>
          <w:rFonts w:ascii="Calibri" w:eastAsia="Calibri" w:hAnsi="Calibri" w:cs="Calibri"/>
        </w:rPr>
        <w:t>page 21</w:t>
      </w:r>
      <w:r w:rsidR="00023C9C">
        <w:rPr>
          <w:rFonts w:ascii="Calibri" w:eastAsia="Calibri" w:hAnsi="Calibri" w:cs="Calibri"/>
        </w:rPr>
        <w:t>7</w:t>
      </w:r>
      <w:r w:rsidR="00911B83">
        <w:rPr>
          <w:rFonts w:ascii="Calibri" w:eastAsia="Calibri" w:hAnsi="Calibri" w:cs="Calibri"/>
        </w:rPr>
        <w:tab/>
      </w:r>
    </w:p>
    <w:p w14:paraId="21E51D54" w14:textId="005B4D31" w:rsidR="00F07C4D" w:rsidRPr="00A03456" w:rsidRDefault="002704C0" w:rsidP="002704C0">
      <w:pPr>
        <w:numPr>
          <w:ilvl w:val="0"/>
          <w:numId w:val="24"/>
        </w:numPr>
        <w:spacing w:after="160" w:line="259" w:lineRule="auto"/>
        <w:contextualSpacing/>
        <w:rPr>
          <w:rFonts w:ascii="Calibri" w:eastAsia="Calibri" w:hAnsi="Calibri" w:cs="Calibri"/>
        </w:rPr>
      </w:pPr>
      <w:r w:rsidRPr="00F07C4D">
        <w:rPr>
          <w:rFonts w:ascii="Calibri" w:eastAsia="Calibri" w:hAnsi="Calibri" w:cs="Calibri"/>
        </w:rPr>
        <w:t>Recruitment avenues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911B83" w:rsidRPr="00A03456">
        <w:rPr>
          <w:rFonts w:ascii="Calibri" w:eastAsia="Calibri" w:hAnsi="Calibri" w:cs="Calibri"/>
        </w:rPr>
        <w:t xml:space="preserve"> page </w:t>
      </w:r>
      <w:r w:rsidR="00A461FE">
        <w:rPr>
          <w:rFonts w:ascii="Calibri" w:eastAsia="Calibri" w:hAnsi="Calibri" w:cs="Calibri"/>
        </w:rPr>
        <w:t>21</w:t>
      </w:r>
      <w:r w:rsidR="000949A7">
        <w:rPr>
          <w:rFonts w:ascii="Calibri" w:eastAsia="Calibri" w:hAnsi="Calibri" w:cs="Calibri"/>
        </w:rPr>
        <w:t>7</w:t>
      </w:r>
    </w:p>
    <w:p w14:paraId="6DA2F1DC" w14:textId="076652A2" w:rsidR="00F07C4D" w:rsidRPr="002A5496" w:rsidRDefault="00F07C4D" w:rsidP="002A5496">
      <w:pPr>
        <w:numPr>
          <w:ilvl w:val="0"/>
          <w:numId w:val="24"/>
        </w:numPr>
        <w:spacing w:after="160" w:line="259" w:lineRule="auto"/>
        <w:contextualSpacing/>
        <w:rPr>
          <w:rFonts w:ascii="Calibri" w:eastAsia="Calibri" w:hAnsi="Calibri" w:cs="Calibri"/>
        </w:rPr>
      </w:pPr>
      <w:r w:rsidRPr="002A5496">
        <w:rPr>
          <w:rFonts w:ascii="Calibri" w:eastAsia="Calibri" w:hAnsi="Calibri" w:cs="Calibri"/>
        </w:rPr>
        <w:t>The conceptual framework</w:t>
      </w:r>
      <w:r w:rsidR="00810B21" w:rsidRPr="002A5496">
        <w:rPr>
          <w:rFonts w:ascii="Calibri" w:eastAsia="Calibri" w:hAnsi="Calibri" w:cs="Calibri"/>
        </w:rPr>
        <w:tab/>
      </w:r>
      <w:r w:rsidR="00810B21" w:rsidRPr="002A5496">
        <w:rPr>
          <w:rFonts w:ascii="Calibri" w:eastAsia="Calibri" w:hAnsi="Calibri" w:cs="Calibri"/>
        </w:rPr>
        <w:tab/>
      </w:r>
      <w:r w:rsidR="00810B21" w:rsidRPr="002A5496">
        <w:rPr>
          <w:rFonts w:ascii="Calibri" w:eastAsia="Calibri" w:hAnsi="Calibri" w:cs="Calibri"/>
        </w:rPr>
        <w:tab/>
      </w:r>
      <w:r w:rsidR="00810B21" w:rsidRPr="002A5496">
        <w:rPr>
          <w:rFonts w:ascii="Calibri" w:eastAsia="Calibri" w:hAnsi="Calibri" w:cs="Calibri"/>
        </w:rPr>
        <w:tab/>
      </w:r>
      <w:r w:rsidR="00810B21" w:rsidRPr="002A5496">
        <w:rPr>
          <w:rFonts w:ascii="Calibri" w:eastAsia="Calibri" w:hAnsi="Calibri" w:cs="Calibri"/>
        </w:rPr>
        <w:tab/>
      </w:r>
      <w:r w:rsidR="00810B21" w:rsidRPr="002A5496">
        <w:rPr>
          <w:rFonts w:ascii="Calibri" w:eastAsia="Calibri" w:hAnsi="Calibri" w:cs="Calibri"/>
        </w:rPr>
        <w:tab/>
      </w:r>
      <w:r w:rsidR="00810B21" w:rsidRPr="00A03456">
        <w:rPr>
          <w:rFonts w:ascii="Calibri" w:eastAsia="Calibri" w:hAnsi="Calibri" w:cs="Calibri"/>
        </w:rPr>
        <w:t xml:space="preserve"> page 21</w:t>
      </w:r>
      <w:r w:rsidR="00280731">
        <w:rPr>
          <w:rFonts w:ascii="Calibri" w:eastAsia="Calibri" w:hAnsi="Calibri" w:cs="Calibri"/>
        </w:rPr>
        <w:t>8</w:t>
      </w:r>
    </w:p>
    <w:p w14:paraId="1F2576AA" w14:textId="7D9E4F83" w:rsidR="00F07C4D" w:rsidRPr="00F07C4D" w:rsidRDefault="00F07C4D" w:rsidP="00F07C4D">
      <w:pPr>
        <w:numPr>
          <w:ilvl w:val="0"/>
          <w:numId w:val="24"/>
        </w:numPr>
        <w:spacing w:after="160" w:line="259" w:lineRule="auto"/>
        <w:contextualSpacing/>
        <w:rPr>
          <w:rFonts w:ascii="Calibri" w:eastAsia="Calibri" w:hAnsi="Calibri" w:cs="Calibri"/>
        </w:rPr>
      </w:pPr>
      <w:r w:rsidRPr="00F07C4D">
        <w:rPr>
          <w:rFonts w:ascii="Calibri" w:eastAsia="Calibri" w:hAnsi="Calibri" w:cs="Calibri"/>
        </w:rPr>
        <w:t>The researcher and bias</w:t>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sidRPr="00A03456">
        <w:rPr>
          <w:rFonts w:ascii="Calibri" w:eastAsia="Calibri" w:hAnsi="Calibri" w:cs="Calibri"/>
        </w:rPr>
        <w:t xml:space="preserve"> page 21</w:t>
      </w:r>
      <w:r w:rsidR="00280731">
        <w:rPr>
          <w:rFonts w:ascii="Calibri" w:eastAsia="Calibri" w:hAnsi="Calibri" w:cs="Calibri"/>
        </w:rPr>
        <w:t>9</w:t>
      </w:r>
    </w:p>
    <w:p w14:paraId="7B462767" w14:textId="3D716530" w:rsidR="00F07C4D" w:rsidRPr="00F07C4D" w:rsidRDefault="00F07C4D" w:rsidP="00F07C4D">
      <w:pPr>
        <w:numPr>
          <w:ilvl w:val="0"/>
          <w:numId w:val="24"/>
        </w:numPr>
        <w:spacing w:after="160" w:line="259" w:lineRule="auto"/>
        <w:contextualSpacing/>
        <w:rPr>
          <w:rFonts w:ascii="Calibri" w:eastAsia="Calibri" w:hAnsi="Calibri" w:cs="Calibri"/>
        </w:rPr>
      </w:pPr>
      <w:r w:rsidRPr="00F07C4D">
        <w:rPr>
          <w:rFonts w:ascii="Calibri" w:eastAsia="Calibri" w:hAnsi="Calibri" w:cs="Calibri"/>
        </w:rPr>
        <w:t>Methodology</w:t>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r>
      <w:r w:rsidR="00810B21">
        <w:rPr>
          <w:rFonts w:ascii="Calibri" w:eastAsia="Calibri" w:hAnsi="Calibri" w:cs="Calibri"/>
        </w:rPr>
        <w:tab/>
        <w:t xml:space="preserve"> </w:t>
      </w:r>
      <w:r w:rsidR="00810B21" w:rsidRPr="00A03456">
        <w:rPr>
          <w:rFonts w:ascii="Calibri" w:eastAsia="Calibri" w:hAnsi="Calibri" w:cs="Calibri"/>
        </w:rPr>
        <w:t>page 21</w:t>
      </w:r>
      <w:r w:rsidR="00280731">
        <w:rPr>
          <w:rFonts w:ascii="Calibri" w:eastAsia="Calibri" w:hAnsi="Calibri" w:cs="Calibri"/>
        </w:rPr>
        <w:t>9</w:t>
      </w:r>
    </w:p>
    <w:p w14:paraId="17272DA4" w14:textId="77777777" w:rsidR="00F07C4D" w:rsidRDefault="00F07C4D" w:rsidP="00F07C4D">
      <w:pPr>
        <w:ind w:left="360" w:firstLine="360"/>
        <w:rPr>
          <w:rFonts w:ascii="Calibri" w:eastAsia="Calibri" w:hAnsi="Calibri" w:cs="Calibri"/>
        </w:rPr>
      </w:pPr>
    </w:p>
    <w:p w14:paraId="4D629DD7" w14:textId="51631D78" w:rsidR="00F07C4D" w:rsidRPr="000910A6" w:rsidRDefault="00F07C4D" w:rsidP="00F07C4D">
      <w:pPr>
        <w:ind w:left="360" w:firstLine="360"/>
        <w:rPr>
          <w:rFonts w:ascii="Calibri" w:eastAsia="Calibri" w:hAnsi="Calibri" w:cs="Calibri"/>
        </w:rPr>
      </w:pPr>
      <w:r w:rsidRPr="00F07C4D">
        <w:rPr>
          <w:rFonts w:ascii="Calibri" w:eastAsia="Calibri" w:hAnsi="Calibri" w:cs="Calibri"/>
        </w:rPr>
        <w:t>Dissemination</w:t>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t xml:space="preserve"> </w:t>
      </w:r>
      <w:r w:rsidR="00536B96" w:rsidRPr="000910A6">
        <w:rPr>
          <w:rFonts w:ascii="Calibri" w:eastAsia="Calibri" w:hAnsi="Calibri" w:cs="Calibri"/>
        </w:rPr>
        <w:t>page 2</w:t>
      </w:r>
      <w:r w:rsidR="006E0758" w:rsidRPr="000910A6">
        <w:rPr>
          <w:rFonts w:ascii="Calibri" w:eastAsia="Calibri" w:hAnsi="Calibri" w:cs="Calibri"/>
        </w:rPr>
        <w:t>20</w:t>
      </w:r>
    </w:p>
    <w:p w14:paraId="5B4E3205" w14:textId="747B02D8" w:rsidR="00F07C4D" w:rsidRPr="00F07C4D" w:rsidRDefault="00F07C4D" w:rsidP="00F07C4D">
      <w:pPr>
        <w:ind w:left="360" w:firstLine="360"/>
        <w:rPr>
          <w:rFonts w:ascii="Calibri" w:eastAsia="Calibri" w:hAnsi="Calibri" w:cs="Calibri"/>
        </w:rPr>
      </w:pPr>
      <w:r w:rsidRPr="00F07C4D">
        <w:rPr>
          <w:rFonts w:ascii="Calibri" w:eastAsia="Calibri" w:hAnsi="Calibri" w:cs="Calibri"/>
        </w:rPr>
        <w:t>Reflections on future explorations</w:t>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sidRPr="00D46F8D">
        <w:rPr>
          <w:rFonts w:ascii="Calibri" w:eastAsia="Calibri" w:hAnsi="Calibri" w:cs="Calibri"/>
          <w:sz w:val="24"/>
          <w:szCs w:val="24"/>
        </w:rPr>
        <w:t xml:space="preserve"> </w:t>
      </w:r>
      <w:r w:rsidR="00536B96" w:rsidRPr="00A03456">
        <w:rPr>
          <w:rFonts w:ascii="Calibri" w:eastAsia="Calibri" w:hAnsi="Calibri" w:cs="Calibri"/>
        </w:rPr>
        <w:t>page 2</w:t>
      </w:r>
      <w:r w:rsidR="006E0758">
        <w:rPr>
          <w:rFonts w:ascii="Calibri" w:eastAsia="Calibri" w:hAnsi="Calibri" w:cs="Calibri"/>
        </w:rPr>
        <w:t>20</w:t>
      </w:r>
    </w:p>
    <w:p w14:paraId="61E1DFC0" w14:textId="2C989431" w:rsidR="00F07C4D" w:rsidRPr="00F07C4D" w:rsidRDefault="00F07C4D" w:rsidP="00F07C4D">
      <w:pPr>
        <w:ind w:left="360" w:firstLine="360"/>
        <w:rPr>
          <w:rFonts w:ascii="Calibri" w:eastAsia="Calibri" w:hAnsi="Calibri" w:cs="Calibri"/>
        </w:rPr>
      </w:pPr>
      <w:r w:rsidRPr="00F07C4D">
        <w:rPr>
          <w:rFonts w:ascii="Calibri" w:eastAsia="Calibri" w:hAnsi="Calibri" w:cs="Calibri"/>
        </w:rPr>
        <w:t>Future considerations</w:t>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r>
      <w:r w:rsidR="00536B96">
        <w:rPr>
          <w:rFonts w:ascii="Calibri" w:eastAsia="Calibri" w:hAnsi="Calibri" w:cs="Calibri"/>
        </w:rPr>
        <w:tab/>
        <w:t xml:space="preserve"> </w:t>
      </w:r>
      <w:r w:rsidR="00536B96" w:rsidRPr="00A03456">
        <w:rPr>
          <w:rFonts w:ascii="Calibri" w:eastAsia="Calibri" w:hAnsi="Calibri" w:cs="Calibri"/>
        </w:rPr>
        <w:t>page 2</w:t>
      </w:r>
      <w:r w:rsidR="006E0758">
        <w:rPr>
          <w:rFonts w:ascii="Calibri" w:eastAsia="Calibri" w:hAnsi="Calibri" w:cs="Calibri"/>
        </w:rPr>
        <w:t>2</w:t>
      </w:r>
      <w:r w:rsidR="00BE1283">
        <w:rPr>
          <w:rFonts w:ascii="Calibri" w:eastAsia="Calibri" w:hAnsi="Calibri" w:cs="Calibri"/>
        </w:rPr>
        <w:t>2</w:t>
      </w:r>
    </w:p>
    <w:p w14:paraId="5D55D648" w14:textId="05E58559" w:rsidR="001A15BD" w:rsidRPr="00F07C4D" w:rsidRDefault="00F07C4D" w:rsidP="00F07C4D">
      <w:pPr>
        <w:ind w:left="360" w:firstLine="360"/>
        <w:rPr>
          <w:rFonts w:ascii="Calibri" w:eastAsia="Calibri" w:hAnsi="Calibri" w:cs="Calibri"/>
        </w:rPr>
      </w:pPr>
      <w:r w:rsidRPr="00F07C4D">
        <w:rPr>
          <w:rFonts w:ascii="Calibri" w:eastAsia="Calibri" w:hAnsi="Calibri" w:cs="Calibri"/>
        </w:rPr>
        <w:t>The final curtain</w:t>
      </w:r>
      <w:r w:rsidR="005F0400">
        <w:rPr>
          <w:rFonts w:ascii="Calibri" w:eastAsia="Calibri" w:hAnsi="Calibri" w:cs="Calibri"/>
        </w:rPr>
        <w:tab/>
      </w:r>
      <w:r w:rsidR="005F0400">
        <w:rPr>
          <w:rFonts w:ascii="Calibri" w:eastAsia="Calibri" w:hAnsi="Calibri" w:cs="Calibri"/>
        </w:rPr>
        <w:tab/>
      </w:r>
      <w:r w:rsidR="005F0400">
        <w:rPr>
          <w:rFonts w:ascii="Calibri" w:eastAsia="Calibri" w:hAnsi="Calibri" w:cs="Calibri"/>
        </w:rPr>
        <w:tab/>
      </w:r>
      <w:r w:rsidR="005F0400">
        <w:rPr>
          <w:rFonts w:ascii="Calibri" w:eastAsia="Calibri" w:hAnsi="Calibri" w:cs="Calibri"/>
        </w:rPr>
        <w:tab/>
      </w:r>
      <w:r w:rsidR="005F0400">
        <w:rPr>
          <w:rFonts w:ascii="Calibri" w:eastAsia="Calibri" w:hAnsi="Calibri" w:cs="Calibri"/>
        </w:rPr>
        <w:tab/>
      </w:r>
      <w:r w:rsidR="005F0400">
        <w:rPr>
          <w:rFonts w:ascii="Calibri" w:eastAsia="Calibri" w:hAnsi="Calibri" w:cs="Calibri"/>
        </w:rPr>
        <w:tab/>
      </w:r>
      <w:r w:rsidR="005F0400">
        <w:rPr>
          <w:rFonts w:ascii="Calibri" w:eastAsia="Calibri" w:hAnsi="Calibri" w:cs="Calibri"/>
        </w:rPr>
        <w:tab/>
        <w:t xml:space="preserve"> </w:t>
      </w:r>
      <w:r w:rsidR="005F0400" w:rsidRPr="00A03456">
        <w:rPr>
          <w:rFonts w:ascii="Calibri" w:eastAsia="Calibri" w:hAnsi="Calibri" w:cs="Calibri"/>
        </w:rPr>
        <w:t>page 2</w:t>
      </w:r>
      <w:r w:rsidR="00635A82" w:rsidRPr="00A03456">
        <w:rPr>
          <w:rFonts w:ascii="Calibri" w:eastAsia="Calibri" w:hAnsi="Calibri" w:cs="Calibri"/>
        </w:rPr>
        <w:t>2</w:t>
      </w:r>
      <w:r w:rsidR="00BE1283">
        <w:rPr>
          <w:rFonts w:ascii="Calibri" w:eastAsia="Calibri" w:hAnsi="Calibri" w:cs="Calibri"/>
        </w:rPr>
        <w:t>2</w:t>
      </w:r>
    </w:p>
    <w:p w14:paraId="292BE4BD" w14:textId="21BC3918" w:rsidR="00DA2ECE" w:rsidRPr="00DA2ECE" w:rsidRDefault="00DA2ECE" w:rsidP="00DA2ECE">
      <w:pPr>
        <w:rPr>
          <w:rFonts w:cstheme="minorHAnsi"/>
          <w:sz w:val="24"/>
          <w:szCs w:val="24"/>
        </w:rPr>
      </w:pPr>
      <w:r w:rsidRPr="00DA2ECE">
        <w:rPr>
          <w:rFonts w:cstheme="minorHAnsi"/>
          <w:sz w:val="24"/>
          <w:szCs w:val="24"/>
        </w:rPr>
        <w:t>Afterword</w:t>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CE27FA" w:rsidRPr="00112931">
        <w:rPr>
          <w:rFonts w:cstheme="minorHAnsi"/>
          <w:sz w:val="24"/>
          <w:szCs w:val="24"/>
        </w:rPr>
        <w:tab/>
      </w:r>
      <w:r w:rsidR="00621482" w:rsidRPr="00A03456">
        <w:rPr>
          <w:rFonts w:cstheme="minorHAnsi"/>
        </w:rPr>
        <w:t xml:space="preserve"> </w:t>
      </w:r>
      <w:r w:rsidR="00CE27FA" w:rsidRPr="00A03456">
        <w:rPr>
          <w:rFonts w:cstheme="minorHAnsi"/>
        </w:rPr>
        <w:t>page</w:t>
      </w:r>
      <w:r w:rsidR="00B66C85" w:rsidRPr="00A03456">
        <w:rPr>
          <w:rFonts w:cstheme="minorHAnsi"/>
        </w:rPr>
        <w:t xml:space="preserve"> 2</w:t>
      </w:r>
      <w:r w:rsidR="005F0400" w:rsidRPr="00A03456">
        <w:rPr>
          <w:rFonts w:cstheme="minorHAnsi"/>
        </w:rPr>
        <w:t>2</w:t>
      </w:r>
      <w:r w:rsidR="00BE1283">
        <w:rPr>
          <w:rFonts w:cstheme="minorHAnsi"/>
        </w:rPr>
        <w:t>4</w:t>
      </w:r>
    </w:p>
    <w:p w14:paraId="49AB965B" w14:textId="7E70EF98" w:rsidR="00FB39C6" w:rsidRPr="00FB39C6" w:rsidRDefault="00FB39C6" w:rsidP="00FB39C6">
      <w:pPr>
        <w:rPr>
          <w:rFonts w:cstheme="minorHAnsi"/>
          <w:sz w:val="24"/>
          <w:szCs w:val="24"/>
        </w:rPr>
      </w:pPr>
      <w:r w:rsidRPr="00FB39C6">
        <w:rPr>
          <w:rFonts w:cstheme="minorHAnsi"/>
          <w:sz w:val="24"/>
          <w:szCs w:val="24"/>
        </w:rPr>
        <w:t>References</w:t>
      </w:r>
      <w:r w:rsidRPr="00FB39C6">
        <w:rPr>
          <w:rFonts w:cstheme="minorHAnsi"/>
          <w:sz w:val="24"/>
          <w:szCs w:val="24"/>
        </w:rPr>
        <w:tab/>
      </w:r>
      <w:r w:rsidRPr="00FB39C6">
        <w:rPr>
          <w:rFonts w:cstheme="minorHAnsi"/>
          <w:sz w:val="24"/>
          <w:szCs w:val="24"/>
        </w:rPr>
        <w:tab/>
        <w:t xml:space="preserve">                                             </w:t>
      </w:r>
      <w:r w:rsidR="00592B46" w:rsidRPr="00112931">
        <w:rPr>
          <w:rFonts w:cstheme="minorHAnsi"/>
          <w:sz w:val="24"/>
          <w:szCs w:val="24"/>
        </w:rPr>
        <w:tab/>
      </w:r>
      <w:r w:rsidR="00592B46" w:rsidRPr="00112931">
        <w:rPr>
          <w:rFonts w:cstheme="minorHAnsi"/>
          <w:sz w:val="24"/>
          <w:szCs w:val="24"/>
        </w:rPr>
        <w:tab/>
      </w:r>
      <w:r w:rsidR="00592B46" w:rsidRPr="00112931">
        <w:rPr>
          <w:rFonts w:cstheme="minorHAnsi"/>
          <w:sz w:val="24"/>
          <w:szCs w:val="24"/>
        </w:rPr>
        <w:tab/>
      </w:r>
      <w:r w:rsidR="00592B46" w:rsidRPr="00112931">
        <w:rPr>
          <w:rFonts w:cstheme="minorHAnsi"/>
          <w:sz w:val="24"/>
          <w:szCs w:val="24"/>
        </w:rPr>
        <w:tab/>
      </w:r>
      <w:r w:rsidR="00621482" w:rsidRPr="00A03456">
        <w:rPr>
          <w:rFonts w:cstheme="minorHAnsi"/>
        </w:rPr>
        <w:t xml:space="preserve"> </w:t>
      </w:r>
      <w:r w:rsidRPr="00A03456">
        <w:rPr>
          <w:rFonts w:cstheme="minorHAnsi"/>
        </w:rPr>
        <w:t xml:space="preserve">page </w:t>
      </w:r>
      <w:r w:rsidR="00BC6D90" w:rsidRPr="00A03456">
        <w:rPr>
          <w:rFonts w:cstheme="minorHAnsi"/>
        </w:rPr>
        <w:t>2</w:t>
      </w:r>
      <w:r w:rsidR="005F0400" w:rsidRPr="00A03456">
        <w:rPr>
          <w:rFonts w:cstheme="minorHAnsi"/>
        </w:rPr>
        <w:t>2</w:t>
      </w:r>
      <w:r w:rsidR="00ED7B28">
        <w:rPr>
          <w:rFonts w:cstheme="minorHAnsi"/>
        </w:rPr>
        <w:t>6</w:t>
      </w:r>
    </w:p>
    <w:p w14:paraId="2DFAADA7" w14:textId="40B08855" w:rsidR="002B34E7" w:rsidRPr="00A408DB" w:rsidRDefault="00FB39C6" w:rsidP="00A408DB">
      <w:pPr>
        <w:rPr>
          <w:rFonts w:cstheme="minorHAnsi"/>
          <w:sz w:val="24"/>
          <w:szCs w:val="24"/>
        </w:rPr>
      </w:pPr>
      <w:r w:rsidRPr="00FB39C6">
        <w:rPr>
          <w:rFonts w:cstheme="minorHAnsi"/>
          <w:sz w:val="24"/>
          <w:szCs w:val="24"/>
        </w:rPr>
        <w:t>Appendices</w:t>
      </w:r>
      <w:r w:rsidRPr="00FB39C6">
        <w:rPr>
          <w:rFonts w:cstheme="minorHAnsi"/>
          <w:sz w:val="24"/>
          <w:szCs w:val="24"/>
        </w:rPr>
        <w:tab/>
      </w:r>
      <w:r w:rsidRPr="00FB39C6">
        <w:rPr>
          <w:rFonts w:cstheme="minorHAnsi"/>
          <w:sz w:val="24"/>
          <w:szCs w:val="24"/>
        </w:rPr>
        <w:tab/>
      </w:r>
      <w:r w:rsidRPr="00FB39C6">
        <w:rPr>
          <w:rFonts w:cstheme="minorHAnsi"/>
          <w:sz w:val="24"/>
          <w:szCs w:val="24"/>
        </w:rPr>
        <w:tab/>
      </w:r>
      <w:r w:rsidRPr="00FB39C6">
        <w:rPr>
          <w:rFonts w:cstheme="minorHAnsi"/>
          <w:sz w:val="24"/>
          <w:szCs w:val="24"/>
        </w:rPr>
        <w:tab/>
      </w:r>
      <w:r w:rsidRPr="00FB39C6">
        <w:rPr>
          <w:rFonts w:cstheme="minorHAnsi"/>
          <w:sz w:val="24"/>
          <w:szCs w:val="24"/>
        </w:rPr>
        <w:tab/>
      </w:r>
      <w:r w:rsidR="00592B46" w:rsidRPr="00112931">
        <w:rPr>
          <w:rFonts w:cstheme="minorHAnsi"/>
          <w:sz w:val="24"/>
          <w:szCs w:val="24"/>
        </w:rPr>
        <w:tab/>
      </w:r>
      <w:r w:rsidR="00592B46" w:rsidRPr="00112931">
        <w:rPr>
          <w:rFonts w:cstheme="minorHAnsi"/>
          <w:sz w:val="24"/>
          <w:szCs w:val="24"/>
        </w:rPr>
        <w:tab/>
      </w:r>
      <w:r w:rsidR="00592B46" w:rsidRPr="00112931">
        <w:rPr>
          <w:rFonts w:cstheme="minorHAnsi"/>
          <w:sz w:val="24"/>
          <w:szCs w:val="24"/>
        </w:rPr>
        <w:tab/>
      </w:r>
      <w:r w:rsidR="00592B46" w:rsidRPr="000910A6">
        <w:rPr>
          <w:rFonts w:cstheme="minorHAnsi"/>
        </w:rPr>
        <w:tab/>
      </w:r>
      <w:r w:rsidR="00621482" w:rsidRPr="000910A6">
        <w:rPr>
          <w:rFonts w:cstheme="minorHAnsi"/>
        </w:rPr>
        <w:t xml:space="preserve"> </w:t>
      </w:r>
      <w:r w:rsidRPr="000910A6">
        <w:rPr>
          <w:rFonts w:cstheme="minorHAnsi"/>
        </w:rPr>
        <w:t xml:space="preserve">page </w:t>
      </w:r>
      <w:r w:rsidR="00D46F8D" w:rsidRPr="000910A6">
        <w:rPr>
          <w:rFonts w:cstheme="minorHAnsi"/>
        </w:rPr>
        <w:t>30</w:t>
      </w:r>
      <w:r w:rsidR="00ED7B28">
        <w:rPr>
          <w:rFonts w:cstheme="minorHAnsi"/>
        </w:rPr>
        <w:t>7</w:t>
      </w:r>
    </w:p>
    <w:p w14:paraId="5226EA82" w14:textId="77777777" w:rsidR="002B34E7" w:rsidRDefault="002B34E7" w:rsidP="008E5EEC">
      <w:pPr>
        <w:ind w:left="2880"/>
        <w:rPr>
          <w:rFonts w:ascii="Calibri" w:hAnsi="Calibri" w:cs="Calibri"/>
          <w:b/>
          <w:bCs/>
          <w:sz w:val="32"/>
          <w:szCs w:val="32"/>
        </w:rPr>
      </w:pPr>
    </w:p>
    <w:p w14:paraId="00A6E4D9" w14:textId="77777777" w:rsidR="00F07C4D" w:rsidRDefault="00F07C4D" w:rsidP="00433B5A">
      <w:pPr>
        <w:rPr>
          <w:rFonts w:ascii="Calibri" w:hAnsi="Calibri" w:cs="Calibri"/>
          <w:b/>
          <w:bCs/>
          <w:sz w:val="32"/>
          <w:szCs w:val="32"/>
        </w:rPr>
      </w:pPr>
    </w:p>
    <w:p w14:paraId="15606CF0" w14:textId="77777777" w:rsidR="00D9363E" w:rsidRDefault="00D9363E" w:rsidP="008E5EEC">
      <w:pPr>
        <w:ind w:left="2880"/>
        <w:rPr>
          <w:rFonts w:ascii="Calibri" w:hAnsi="Calibri" w:cs="Calibri"/>
          <w:b/>
          <w:bCs/>
          <w:sz w:val="32"/>
          <w:szCs w:val="32"/>
        </w:rPr>
      </w:pPr>
    </w:p>
    <w:p w14:paraId="40EB6028" w14:textId="77777777" w:rsidR="00D9363E" w:rsidRDefault="00D9363E" w:rsidP="008E5EEC">
      <w:pPr>
        <w:ind w:left="2880"/>
        <w:rPr>
          <w:rFonts w:ascii="Calibri" w:hAnsi="Calibri" w:cs="Calibri"/>
          <w:b/>
          <w:bCs/>
          <w:sz w:val="32"/>
          <w:szCs w:val="32"/>
        </w:rPr>
      </w:pPr>
    </w:p>
    <w:p w14:paraId="193F4261" w14:textId="77777777" w:rsidR="00D9363E" w:rsidRDefault="00D9363E" w:rsidP="008E5EEC">
      <w:pPr>
        <w:ind w:left="2880"/>
        <w:rPr>
          <w:rFonts w:ascii="Calibri" w:hAnsi="Calibri" w:cs="Calibri"/>
          <w:b/>
          <w:bCs/>
          <w:sz w:val="32"/>
          <w:szCs w:val="32"/>
        </w:rPr>
      </w:pPr>
    </w:p>
    <w:p w14:paraId="45AFC141" w14:textId="77777777" w:rsidR="00D9363E" w:rsidRDefault="00D9363E" w:rsidP="008E5EEC">
      <w:pPr>
        <w:ind w:left="2880"/>
        <w:rPr>
          <w:rFonts w:ascii="Calibri" w:hAnsi="Calibri" w:cs="Calibri"/>
          <w:b/>
          <w:bCs/>
          <w:sz w:val="32"/>
          <w:szCs w:val="32"/>
        </w:rPr>
      </w:pPr>
    </w:p>
    <w:p w14:paraId="422D6F5A" w14:textId="77777777" w:rsidR="00D9363E" w:rsidRDefault="00D9363E" w:rsidP="008E5EEC">
      <w:pPr>
        <w:ind w:left="2880"/>
        <w:rPr>
          <w:rFonts w:ascii="Calibri" w:hAnsi="Calibri" w:cs="Calibri"/>
          <w:b/>
          <w:bCs/>
          <w:sz w:val="32"/>
          <w:szCs w:val="32"/>
        </w:rPr>
      </w:pPr>
    </w:p>
    <w:p w14:paraId="435CE2B5" w14:textId="77777777" w:rsidR="000910A6" w:rsidRDefault="000910A6" w:rsidP="008E5EEC">
      <w:pPr>
        <w:ind w:left="2880"/>
        <w:rPr>
          <w:rFonts w:ascii="Calibri" w:hAnsi="Calibri" w:cs="Calibri"/>
          <w:b/>
          <w:bCs/>
          <w:sz w:val="32"/>
          <w:szCs w:val="32"/>
        </w:rPr>
      </w:pPr>
    </w:p>
    <w:p w14:paraId="2B6F73F8" w14:textId="77777777" w:rsidR="00D9363E" w:rsidRDefault="00D9363E" w:rsidP="008E5EEC">
      <w:pPr>
        <w:ind w:left="2880"/>
        <w:rPr>
          <w:rFonts w:ascii="Calibri" w:hAnsi="Calibri" w:cs="Calibri"/>
          <w:b/>
          <w:bCs/>
          <w:sz w:val="32"/>
          <w:szCs w:val="32"/>
        </w:rPr>
      </w:pPr>
    </w:p>
    <w:p w14:paraId="130E9FDC" w14:textId="77777777" w:rsidR="00D9363E" w:rsidRDefault="00D9363E" w:rsidP="008E5EEC">
      <w:pPr>
        <w:ind w:left="2880"/>
        <w:rPr>
          <w:rFonts w:ascii="Calibri" w:hAnsi="Calibri" w:cs="Calibri"/>
          <w:b/>
          <w:bCs/>
          <w:sz w:val="32"/>
          <w:szCs w:val="32"/>
        </w:rPr>
      </w:pPr>
    </w:p>
    <w:p w14:paraId="4E34DB23" w14:textId="77777777" w:rsidR="001D5A46" w:rsidRDefault="001D5A46" w:rsidP="000D002F">
      <w:pPr>
        <w:rPr>
          <w:rFonts w:ascii="Calibri" w:hAnsi="Calibri" w:cs="Calibri"/>
          <w:b/>
          <w:bCs/>
          <w:sz w:val="32"/>
          <w:szCs w:val="32"/>
        </w:rPr>
      </w:pPr>
    </w:p>
    <w:p w14:paraId="0CA7E618" w14:textId="6E3A9702" w:rsidR="00A0090E" w:rsidRPr="00D9363E" w:rsidRDefault="00BC584E" w:rsidP="00113C09">
      <w:pPr>
        <w:ind w:left="2880" w:firstLine="720"/>
        <w:rPr>
          <w:rFonts w:ascii="Calibri" w:hAnsi="Calibri" w:cs="Calibri"/>
          <w:b/>
          <w:bCs/>
          <w:sz w:val="28"/>
          <w:szCs w:val="28"/>
        </w:rPr>
      </w:pPr>
      <w:r w:rsidRPr="00D9363E">
        <w:rPr>
          <w:rFonts w:ascii="Calibri" w:hAnsi="Calibri" w:cs="Calibri"/>
          <w:b/>
          <w:bCs/>
          <w:sz w:val="28"/>
          <w:szCs w:val="28"/>
        </w:rPr>
        <w:lastRenderedPageBreak/>
        <w:t>List of Figures</w:t>
      </w:r>
    </w:p>
    <w:p w14:paraId="490B90E7" w14:textId="77777777" w:rsidR="00423084" w:rsidRDefault="00423084" w:rsidP="005E6A11">
      <w:pPr>
        <w:rPr>
          <w:rFonts w:ascii="Calibri" w:hAnsi="Calibri" w:cs="Calibri"/>
          <w:i/>
          <w:iCs/>
          <w:sz w:val="24"/>
          <w:szCs w:val="24"/>
        </w:rPr>
      </w:pPr>
    </w:p>
    <w:p w14:paraId="21B629DE" w14:textId="0B0EA9B8" w:rsidR="002912A7" w:rsidRPr="00607E42" w:rsidRDefault="002912A7" w:rsidP="005E6A11">
      <w:pPr>
        <w:rPr>
          <w:rFonts w:ascii="Calibri" w:hAnsi="Calibri" w:cs="Calibri"/>
          <w:i/>
          <w:iCs/>
          <w:sz w:val="24"/>
          <w:szCs w:val="24"/>
        </w:rPr>
      </w:pPr>
      <w:r w:rsidRPr="00607E42">
        <w:rPr>
          <w:rFonts w:ascii="Calibri" w:hAnsi="Calibri" w:cs="Calibri"/>
          <w:i/>
          <w:iCs/>
          <w:sz w:val="24"/>
          <w:szCs w:val="24"/>
        </w:rPr>
        <w:t xml:space="preserve">Figure </w:t>
      </w:r>
      <w:r w:rsidR="008C7273" w:rsidRPr="00607E42">
        <w:rPr>
          <w:rFonts w:ascii="Calibri" w:hAnsi="Calibri" w:cs="Calibri"/>
          <w:i/>
          <w:iCs/>
          <w:sz w:val="24"/>
          <w:szCs w:val="24"/>
        </w:rPr>
        <w:t>1</w:t>
      </w:r>
      <w:r w:rsidR="00D54954">
        <w:rPr>
          <w:rFonts w:ascii="Calibri" w:hAnsi="Calibri" w:cs="Calibri"/>
          <w:i/>
          <w:iCs/>
          <w:sz w:val="24"/>
          <w:szCs w:val="24"/>
        </w:rPr>
        <w:t>:</w:t>
      </w:r>
      <w:r w:rsidRPr="00607E42">
        <w:rPr>
          <w:rFonts w:ascii="Calibri" w:hAnsi="Calibri" w:cs="Calibri"/>
          <w:i/>
          <w:iCs/>
          <w:sz w:val="24"/>
          <w:szCs w:val="24"/>
        </w:rPr>
        <w:t xml:space="preserve"> </w:t>
      </w:r>
      <w:r w:rsidR="004F2C26" w:rsidRPr="00607E42">
        <w:rPr>
          <w:rFonts w:ascii="Calibri" w:hAnsi="Calibri" w:cs="Calibri"/>
          <w:i/>
          <w:iCs/>
          <w:sz w:val="24"/>
          <w:szCs w:val="24"/>
        </w:rPr>
        <w:t>“Holding</w:t>
      </w:r>
      <w:r w:rsidR="008C7273" w:rsidRPr="00607E42">
        <w:rPr>
          <w:rFonts w:ascii="Calibri" w:hAnsi="Calibri" w:cs="Calibri"/>
          <w:i/>
          <w:iCs/>
          <w:sz w:val="24"/>
          <w:szCs w:val="24"/>
        </w:rPr>
        <w:t>”</w:t>
      </w:r>
      <w:r w:rsidR="004F2C26" w:rsidRPr="00607E42">
        <w:rPr>
          <w:rFonts w:ascii="Calibri" w:hAnsi="Calibri" w:cs="Calibri"/>
          <w:i/>
          <w:iCs/>
          <w:sz w:val="24"/>
          <w:szCs w:val="24"/>
        </w:rPr>
        <w:t xml:space="preserve"> </w:t>
      </w:r>
      <w:r w:rsidR="009E07C6">
        <w:rPr>
          <w:rFonts w:ascii="Calibri" w:hAnsi="Calibri" w:cs="Calibri"/>
          <w:i/>
          <w:iCs/>
          <w:sz w:val="24"/>
          <w:szCs w:val="24"/>
        </w:rPr>
        <w:tab/>
      </w:r>
      <w:r w:rsidR="009E07C6">
        <w:rPr>
          <w:rFonts w:ascii="Calibri" w:hAnsi="Calibri" w:cs="Calibri"/>
          <w:i/>
          <w:iCs/>
          <w:sz w:val="24"/>
          <w:szCs w:val="24"/>
        </w:rPr>
        <w:tab/>
      </w:r>
      <w:r w:rsidR="009E07C6">
        <w:rPr>
          <w:rFonts w:ascii="Calibri" w:hAnsi="Calibri" w:cs="Calibri"/>
          <w:i/>
          <w:iCs/>
          <w:sz w:val="24"/>
          <w:szCs w:val="24"/>
        </w:rPr>
        <w:tab/>
      </w:r>
      <w:r w:rsidR="009E07C6">
        <w:rPr>
          <w:rFonts w:ascii="Calibri" w:hAnsi="Calibri" w:cs="Calibri"/>
          <w:i/>
          <w:iCs/>
          <w:sz w:val="24"/>
          <w:szCs w:val="24"/>
        </w:rPr>
        <w:tab/>
      </w:r>
      <w:r w:rsidR="009E07C6">
        <w:rPr>
          <w:rFonts w:ascii="Calibri" w:hAnsi="Calibri" w:cs="Calibri"/>
          <w:i/>
          <w:iCs/>
          <w:sz w:val="24"/>
          <w:szCs w:val="24"/>
        </w:rPr>
        <w:tab/>
      </w:r>
      <w:r w:rsidR="005F7A59" w:rsidRPr="00607E42">
        <w:rPr>
          <w:rFonts w:ascii="Calibri" w:hAnsi="Calibri" w:cs="Calibri"/>
          <w:i/>
          <w:iCs/>
          <w:sz w:val="24"/>
          <w:szCs w:val="24"/>
        </w:rPr>
        <w:tab/>
      </w:r>
      <w:r w:rsidR="005F7A59" w:rsidRPr="00607E42">
        <w:rPr>
          <w:rFonts w:ascii="Calibri" w:hAnsi="Calibri" w:cs="Calibri"/>
          <w:i/>
          <w:iCs/>
          <w:sz w:val="24"/>
          <w:szCs w:val="24"/>
        </w:rPr>
        <w:tab/>
      </w:r>
      <w:r w:rsidR="005F7A59" w:rsidRPr="00607E42">
        <w:rPr>
          <w:rFonts w:ascii="Calibri" w:hAnsi="Calibri" w:cs="Calibri"/>
          <w:i/>
          <w:iCs/>
          <w:sz w:val="24"/>
          <w:szCs w:val="24"/>
        </w:rPr>
        <w:tab/>
        <w:t>page</w:t>
      </w:r>
      <w:r w:rsidR="008B0C28">
        <w:rPr>
          <w:rFonts w:ascii="Calibri" w:hAnsi="Calibri" w:cs="Calibri"/>
          <w:i/>
          <w:iCs/>
          <w:sz w:val="24"/>
          <w:szCs w:val="24"/>
        </w:rPr>
        <w:t xml:space="preserve"> </w:t>
      </w:r>
      <w:r w:rsidR="0028726E">
        <w:rPr>
          <w:rFonts w:ascii="Calibri" w:hAnsi="Calibri" w:cs="Calibri"/>
          <w:i/>
          <w:iCs/>
          <w:sz w:val="24"/>
          <w:szCs w:val="24"/>
        </w:rPr>
        <w:t>6</w:t>
      </w:r>
      <w:r w:rsidR="006A62C6">
        <w:rPr>
          <w:rFonts w:ascii="Calibri" w:hAnsi="Calibri" w:cs="Calibri"/>
          <w:i/>
          <w:iCs/>
          <w:sz w:val="24"/>
          <w:szCs w:val="24"/>
        </w:rPr>
        <w:t>2</w:t>
      </w:r>
    </w:p>
    <w:p w14:paraId="1DD3654A" w14:textId="0A60A63C" w:rsidR="005F7A59" w:rsidRPr="00607E42" w:rsidRDefault="005F7A59" w:rsidP="005E6A11">
      <w:pPr>
        <w:rPr>
          <w:rFonts w:ascii="Calibri" w:hAnsi="Calibri" w:cs="Calibri"/>
          <w:i/>
          <w:iCs/>
          <w:sz w:val="24"/>
          <w:szCs w:val="24"/>
        </w:rPr>
      </w:pPr>
      <w:r w:rsidRPr="00607E42">
        <w:rPr>
          <w:rFonts w:ascii="Calibri" w:hAnsi="Calibri" w:cs="Calibri"/>
          <w:i/>
          <w:iCs/>
          <w:sz w:val="24"/>
          <w:szCs w:val="24"/>
        </w:rPr>
        <w:t xml:space="preserve">Figure </w:t>
      </w:r>
      <w:r w:rsidR="008C7273" w:rsidRPr="00607E42">
        <w:rPr>
          <w:rFonts w:ascii="Calibri" w:hAnsi="Calibri" w:cs="Calibri"/>
          <w:i/>
          <w:iCs/>
          <w:sz w:val="24"/>
          <w:szCs w:val="24"/>
        </w:rPr>
        <w:t>2</w:t>
      </w:r>
      <w:r w:rsidR="00D54954">
        <w:rPr>
          <w:rFonts w:ascii="Calibri" w:hAnsi="Calibri" w:cs="Calibri"/>
          <w:i/>
          <w:iCs/>
          <w:sz w:val="24"/>
          <w:szCs w:val="24"/>
        </w:rPr>
        <w:t>:</w:t>
      </w:r>
      <w:r w:rsidRPr="00607E42">
        <w:rPr>
          <w:rFonts w:ascii="Calibri" w:hAnsi="Calibri" w:cs="Calibri"/>
          <w:i/>
          <w:iCs/>
          <w:sz w:val="24"/>
          <w:szCs w:val="24"/>
        </w:rPr>
        <w:t xml:space="preserve"> The holding of the student</w:t>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t>page</w:t>
      </w:r>
      <w:r w:rsidR="008B0C28">
        <w:rPr>
          <w:rFonts w:ascii="Calibri" w:hAnsi="Calibri" w:cs="Calibri"/>
          <w:i/>
          <w:iCs/>
          <w:sz w:val="24"/>
          <w:szCs w:val="24"/>
        </w:rPr>
        <w:t xml:space="preserve"> </w:t>
      </w:r>
      <w:r w:rsidR="0028726E">
        <w:rPr>
          <w:rFonts w:ascii="Calibri" w:hAnsi="Calibri" w:cs="Calibri"/>
          <w:i/>
          <w:iCs/>
          <w:sz w:val="24"/>
          <w:szCs w:val="24"/>
        </w:rPr>
        <w:t>6</w:t>
      </w:r>
      <w:r w:rsidR="006A62C6">
        <w:rPr>
          <w:rFonts w:ascii="Calibri" w:hAnsi="Calibri" w:cs="Calibri"/>
          <w:i/>
          <w:iCs/>
          <w:sz w:val="24"/>
          <w:szCs w:val="24"/>
        </w:rPr>
        <w:t>6</w:t>
      </w:r>
    </w:p>
    <w:p w14:paraId="13AFD124" w14:textId="035321C1" w:rsidR="005F7A59" w:rsidRPr="00607E42" w:rsidRDefault="00452FE9" w:rsidP="005E6A11">
      <w:pPr>
        <w:rPr>
          <w:rFonts w:ascii="Calibri" w:hAnsi="Calibri" w:cs="Calibri"/>
          <w:i/>
          <w:iCs/>
          <w:sz w:val="24"/>
          <w:szCs w:val="24"/>
        </w:rPr>
      </w:pPr>
      <w:r w:rsidRPr="00607E42">
        <w:rPr>
          <w:rFonts w:ascii="Calibri" w:hAnsi="Calibri" w:cs="Calibri"/>
          <w:i/>
          <w:iCs/>
          <w:sz w:val="24"/>
          <w:szCs w:val="24"/>
        </w:rPr>
        <w:t xml:space="preserve">Figure </w:t>
      </w:r>
      <w:r w:rsidR="008577AE" w:rsidRPr="00607E42">
        <w:rPr>
          <w:rFonts w:ascii="Calibri" w:hAnsi="Calibri" w:cs="Calibri"/>
          <w:i/>
          <w:iCs/>
          <w:sz w:val="24"/>
          <w:szCs w:val="24"/>
        </w:rPr>
        <w:t>3</w:t>
      </w:r>
      <w:r w:rsidR="00D54954">
        <w:rPr>
          <w:rFonts w:ascii="Calibri" w:hAnsi="Calibri" w:cs="Calibri"/>
          <w:i/>
          <w:iCs/>
          <w:sz w:val="24"/>
          <w:szCs w:val="24"/>
        </w:rPr>
        <w:t>:</w:t>
      </w:r>
      <w:r w:rsidRPr="00607E42">
        <w:rPr>
          <w:rFonts w:ascii="Calibri" w:hAnsi="Calibri" w:cs="Calibri"/>
          <w:i/>
          <w:iCs/>
          <w:sz w:val="24"/>
          <w:szCs w:val="24"/>
        </w:rPr>
        <w:t xml:space="preserve"> Depth pedagogy conceptual framework</w:t>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t>page</w:t>
      </w:r>
      <w:r w:rsidR="00F905EB">
        <w:rPr>
          <w:rFonts w:ascii="Calibri" w:hAnsi="Calibri" w:cs="Calibri"/>
          <w:i/>
          <w:iCs/>
          <w:sz w:val="24"/>
          <w:szCs w:val="24"/>
        </w:rPr>
        <w:t xml:space="preserve"> </w:t>
      </w:r>
      <w:r w:rsidR="006962D4">
        <w:rPr>
          <w:rFonts w:ascii="Calibri" w:hAnsi="Calibri" w:cs="Calibri"/>
          <w:i/>
          <w:iCs/>
          <w:sz w:val="24"/>
          <w:szCs w:val="24"/>
        </w:rPr>
        <w:t>9</w:t>
      </w:r>
      <w:r w:rsidR="006A62C6">
        <w:rPr>
          <w:rFonts w:ascii="Calibri" w:hAnsi="Calibri" w:cs="Calibri"/>
          <w:i/>
          <w:iCs/>
          <w:sz w:val="24"/>
          <w:szCs w:val="24"/>
        </w:rPr>
        <w:t>4</w:t>
      </w:r>
    </w:p>
    <w:p w14:paraId="365DA493" w14:textId="4169FF6F" w:rsidR="000514F6" w:rsidRPr="00607E42" w:rsidRDefault="000514F6" w:rsidP="000514F6">
      <w:pPr>
        <w:rPr>
          <w:rFonts w:ascii="Calibri" w:hAnsi="Calibri" w:cs="Calibri"/>
          <w:i/>
          <w:iCs/>
          <w:sz w:val="24"/>
          <w:szCs w:val="24"/>
        </w:rPr>
      </w:pPr>
      <w:r w:rsidRPr="000514F6">
        <w:rPr>
          <w:rFonts w:ascii="Calibri" w:hAnsi="Calibri" w:cs="Calibri"/>
          <w:i/>
          <w:iCs/>
          <w:sz w:val="24"/>
          <w:szCs w:val="24"/>
        </w:rPr>
        <w:t xml:space="preserve">Figure </w:t>
      </w:r>
      <w:r w:rsidR="00FD25DB">
        <w:rPr>
          <w:rFonts w:ascii="Calibri" w:hAnsi="Calibri" w:cs="Calibri"/>
          <w:i/>
          <w:iCs/>
          <w:sz w:val="24"/>
          <w:szCs w:val="24"/>
        </w:rPr>
        <w:t>4</w:t>
      </w:r>
      <w:r w:rsidR="00D54954">
        <w:rPr>
          <w:rFonts w:ascii="Calibri" w:hAnsi="Calibri" w:cs="Calibri"/>
          <w:i/>
          <w:iCs/>
          <w:sz w:val="24"/>
          <w:szCs w:val="24"/>
        </w:rPr>
        <w:t>:</w:t>
      </w:r>
      <w:r w:rsidRPr="000514F6">
        <w:rPr>
          <w:rFonts w:ascii="Calibri" w:hAnsi="Calibri" w:cs="Calibri"/>
          <w:i/>
          <w:iCs/>
          <w:sz w:val="24"/>
          <w:szCs w:val="24"/>
        </w:rPr>
        <w:t xml:space="preserve"> </w:t>
      </w:r>
      <w:r w:rsidR="00FD25DB">
        <w:rPr>
          <w:rFonts w:ascii="Calibri" w:hAnsi="Calibri" w:cs="Calibri"/>
          <w:i/>
          <w:iCs/>
          <w:sz w:val="24"/>
          <w:szCs w:val="24"/>
        </w:rPr>
        <w:t xml:space="preserve">A </w:t>
      </w:r>
      <w:r w:rsidRPr="000514F6">
        <w:rPr>
          <w:rFonts w:ascii="Calibri" w:hAnsi="Calibri" w:cs="Calibri"/>
          <w:i/>
          <w:iCs/>
          <w:sz w:val="24"/>
          <w:szCs w:val="24"/>
        </w:rPr>
        <w:t>coding template</w:t>
      </w:r>
      <w:r w:rsidR="002A174C" w:rsidRPr="002A174C">
        <w:rPr>
          <w:rFonts w:ascii="Calibri" w:hAnsi="Calibri" w:cs="Calibri"/>
          <w:i/>
          <w:iCs/>
          <w:sz w:val="24"/>
          <w:szCs w:val="24"/>
        </w:rPr>
        <w:t xml:space="preserve"> to hold the analysis</w:t>
      </w:r>
      <w:r w:rsidRPr="000514F6">
        <w:rPr>
          <w:rFonts w:ascii="Calibri" w:hAnsi="Calibri" w:cs="Calibri"/>
          <w:i/>
          <w:iCs/>
          <w:sz w:val="24"/>
          <w:szCs w:val="24"/>
        </w:rPr>
        <w:tab/>
      </w:r>
      <w:r w:rsidRPr="000514F6">
        <w:rPr>
          <w:rFonts w:ascii="Calibri" w:hAnsi="Calibri" w:cs="Calibri"/>
          <w:i/>
          <w:iCs/>
          <w:sz w:val="24"/>
          <w:szCs w:val="24"/>
        </w:rPr>
        <w:tab/>
      </w:r>
      <w:r w:rsidRPr="000514F6">
        <w:rPr>
          <w:rFonts w:ascii="Calibri" w:hAnsi="Calibri" w:cs="Calibri"/>
          <w:i/>
          <w:iCs/>
          <w:sz w:val="24"/>
          <w:szCs w:val="24"/>
        </w:rPr>
        <w:tab/>
      </w:r>
      <w:r w:rsidR="00FD25DB">
        <w:rPr>
          <w:rFonts w:ascii="Calibri" w:hAnsi="Calibri" w:cs="Calibri"/>
          <w:i/>
          <w:iCs/>
          <w:sz w:val="24"/>
          <w:szCs w:val="24"/>
        </w:rPr>
        <w:t xml:space="preserve">             </w:t>
      </w:r>
      <w:r w:rsidRPr="000514F6">
        <w:rPr>
          <w:rFonts w:ascii="Calibri" w:hAnsi="Calibri" w:cs="Calibri"/>
          <w:i/>
          <w:iCs/>
          <w:sz w:val="24"/>
          <w:szCs w:val="24"/>
        </w:rPr>
        <w:t xml:space="preserve">page </w:t>
      </w:r>
      <w:r w:rsidR="000D002F">
        <w:rPr>
          <w:rFonts w:ascii="Calibri" w:hAnsi="Calibri" w:cs="Calibri"/>
          <w:i/>
          <w:iCs/>
          <w:sz w:val="24"/>
          <w:szCs w:val="24"/>
        </w:rPr>
        <w:t>12</w:t>
      </w:r>
      <w:r w:rsidR="006A62C6">
        <w:rPr>
          <w:rFonts w:ascii="Calibri" w:hAnsi="Calibri" w:cs="Calibri"/>
          <w:i/>
          <w:iCs/>
          <w:sz w:val="24"/>
          <w:szCs w:val="24"/>
        </w:rPr>
        <w:t>4</w:t>
      </w:r>
    </w:p>
    <w:p w14:paraId="1D10A5EC" w14:textId="60602AB3" w:rsidR="00530D0D" w:rsidRPr="00607E42" w:rsidRDefault="008603D5" w:rsidP="000514F6">
      <w:pPr>
        <w:rPr>
          <w:rFonts w:ascii="Calibri" w:hAnsi="Calibri" w:cs="Calibri"/>
          <w:i/>
          <w:iCs/>
          <w:sz w:val="24"/>
          <w:szCs w:val="24"/>
        </w:rPr>
      </w:pPr>
      <w:r w:rsidRPr="00607E42">
        <w:rPr>
          <w:rFonts w:ascii="Calibri" w:hAnsi="Calibri" w:cs="Calibri"/>
          <w:i/>
          <w:iCs/>
          <w:sz w:val="24"/>
          <w:szCs w:val="24"/>
        </w:rPr>
        <w:t xml:space="preserve">Figure </w:t>
      </w:r>
      <w:r w:rsidR="002A174C">
        <w:rPr>
          <w:rFonts w:ascii="Calibri" w:hAnsi="Calibri" w:cs="Calibri"/>
          <w:i/>
          <w:iCs/>
          <w:sz w:val="24"/>
          <w:szCs w:val="24"/>
        </w:rPr>
        <w:t>5</w:t>
      </w:r>
      <w:r w:rsidR="00D54954">
        <w:rPr>
          <w:rFonts w:ascii="Calibri" w:hAnsi="Calibri" w:cs="Calibri"/>
          <w:i/>
          <w:iCs/>
          <w:sz w:val="24"/>
          <w:szCs w:val="24"/>
        </w:rPr>
        <w:t>:</w:t>
      </w:r>
      <w:r w:rsidR="002A174C" w:rsidRPr="002A174C">
        <w:rPr>
          <w:rFonts w:ascii="Calibri" w:hAnsi="Calibri" w:cs="Calibri"/>
          <w:i/>
          <w:iCs/>
          <w:sz w:val="24"/>
          <w:szCs w:val="24"/>
        </w:rPr>
        <w:t xml:space="preserve"> Final coding template</w:t>
      </w:r>
      <w:r w:rsidR="00530D0D" w:rsidRPr="00607E42">
        <w:rPr>
          <w:rFonts w:ascii="Calibri" w:hAnsi="Calibri" w:cs="Calibri"/>
          <w:i/>
          <w:iCs/>
          <w:sz w:val="24"/>
          <w:szCs w:val="24"/>
        </w:rPr>
        <w:tab/>
      </w:r>
      <w:r w:rsidR="00530D0D" w:rsidRPr="00607E42">
        <w:rPr>
          <w:rFonts w:ascii="Calibri" w:hAnsi="Calibri" w:cs="Calibri"/>
          <w:i/>
          <w:iCs/>
          <w:sz w:val="24"/>
          <w:szCs w:val="24"/>
        </w:rPr>
        <w:tab/>
      </w:r>
      <w:r w:rsidR="00530D0D" w:rsidRPr="00607E42">
        <w:rPr>
          <w:rFonts w:ascii="Calibri" w:hAnsi="Calibri" w:cs="Calibri"/>
          <w:i/>
          <w:iCs/>
          <w:sz w:val="24"/>
          <w:szCs w:val="24"/>
        </w:rPr>
        <w:tab/>
      </w:r>
      <w:r w:rsidR="00530D0D" w:rsidRPr="00607E42">
        <w:rPr>
          <w:rFonts w:ascii="Calibri" w:hAnsi="Calibri" w:cs="Calibri"/>
          <w:i/>
          <w:iCs/>
          <w:sz w:val="24"/>
          <w:szCs w:val="24"/>
        </w:rPr>
        <w:tab/>
      </w:r>
      <w:r w:rsidR="003C0CF9">
        <w:rPr>
          <w:rFonts w:ascii="Calibri" w:hAnsi="Calibri" w:cs="Calibri"/>
          <w:i/>
          <w:iCs/>
          <w:sz w:val="24"/>
          <w:szCs w:val="24"/>
        </w:rPr>
        <w:tab/>
      </w:r>
      <w:r w:rsidR="003C0CF9">
        <w:rPr>
          <w:rFonts w:ascii="Calibri" w:hAnsi="Calibri" w:cs="Calibri"/>
          <w:i/>
          <w:iCs/>
          <w:sz w:val="24"/>
          <w:szCs w:val="24"/>
        </w:rPr>
        <w:tab/>
      </w:r>
      <w:r w:rsidR="00530D0D" w:rsidRPr="00607E42">
        <w:rPr>
          <w:rFonts w:ascii="Calibri" w:hAnsi="Calibri" w:cs="Calibri"/>
          <w:i/>
          <w:iCs/>
          <w:sz w:val="24"/>
          <w:szCs w:val="24"/>
        </w:rPr>
        <w:t>pa</w:t>
      </w:r>
      <w:r w:rsidR="007A5D52">
        <w:rPr>
          <w:rFonts w:ascii="Calibri" w:hAnsi="Calibri" w:cs="Calibri"/>
          <w:i/>
          <w:iCs/>
          <w:sz w:val="24"/>
          <w:szCs w:val="24"/>
        </w:rPr>
        <w:t>ge 1</w:t>
      </w:r>
      <w:r w:rsidR="006A62C6">
        <w:rPr>
          <w:rFonts w:ascii="Calibri" w:hAnsi="Calibri" w:cs="Calibri"/>
          <w:i/>
          <w:iCs/>
          <w:sz w:val="24"/>
          <w:szCs w:val="24"/>
        </w:rPr>
        <w:t>31</w:t>
      </w:r>
    </w:p>
    <w:p w14:paraId="03FE2E79" w14:textId="566EEEC3" w:rsidR="005B1BB1" w:rsidRPr="00607E42" w:rsidRDefault="005B1BB1" w:rsidP="000514F6">
      <w:pPr>
        <w:rPr>
          <w:rFonts w:ascii="Calibri" w:hAnsi="Calibri" w:cs="Calibri"/>
          <w:i/>
          <w:iCs/>
          <w:sz w:val="24"/>
          <w:szCs w:val="24"/>
        </w:rPr>
      </w:pPr>
      <w:r w:rsidRPr="00607E42">
        <w:rPr>
          <w:rFonts w:ascii="Calibri" w:hAnsi="Calibri" w:cs="Calibri"/>
          <w:i/>
          <w:iCs/>
          <w:sz w:val="24"/>
          <w:szCs w:val="24"/>
        </w:rPr>
        <w:t xml:space="preserve">Figure </w:t>
      </w:r>
      <w:r w:rsidR="007A5D52">
        <w:rPr>
          <w:rFonts w:ascii="Calibri" w:hAnsi="Calibri" w:cs="Calibri"/>
          <w:i/>
          <w:iCs/>
          <w:sz w:val="24"/>
          <w:szCs w:val="24"/>
        </w:rPr>
        <w:t>6</w:t>
      </w:r>
      <w:r w:rsidR="00D54954">
        <w:rPr>
          <w:rFonts w:ascii="Calibri" w:hAnsi="Calibri" w:cs="Calibri"/>
          <w:i/>
          <w:iCs/>
          <w:sz w:val="24"/>
          <w:szCs w:val="24"/>
        </w:rPr>
        <w:t>:</w:t>
      </w:r>
      <w:r w:rsidRPr="00607E42">
        <w:rPr>
          <w:rFonts w:ascii="Calibri" w:hAnsi="Calibri" w:cs="Calibri"/>
          <w:i/>
          <w:iCs/>
          <w:sz w:val="24"/>
          <w:szCs w:val="24"/>
        </w:rPr>
        <w:t xml:space="preserve"> Winnicott’s two models of holding</w:t>
      </w:r>
      <w:r w:rsidR="002B6A44" w:rsidRPr="00607E42">
        <w:rPr>
          <w:rFonts w:ascii="Calibri" w:hAnsi="Calibri" w:cs="Calibri"/>
          <w:i/>
          <w:iCs/>
          <w:sz w:val="24"/>
          <w:szCs w:val="24"/>
        </w:rPr>
        <w:t xml:space="preserve"> the analysis</w:t>
      </w:r>
      <w:r w:rsidR="002B6A44" w:rsidRPr="00607E42">
        <w:rPr>
          <w:rFonts w:ascii="Calibri" w:hAnsi="Calibri" w:cs="Calibri"/>
          <w:i/>
          <w:iCs/>
          <w:sz w:val="24"/>
          <w:szCs w:val="24"/>
        </w:rPr>
        <w:tab/>
      </w:r>
      <w:r w:rsidR="002B6A44" w:rsidRPr="00607E42">
        <w:rPr>
          <w:rFonts w:ascii="Calibri" w:hAnsi="Calibri" w:cs="Calibri"/>
          <w:i/>
          <w:iCs/>
          <w:sz w:val="24"/>
          <w:szCs w:val="24"/>
        </w:rPr>
        <w:tab/>
      </w:r>
      <w:r w:rsidR="002B6A44" w:rsidRPr="00607E42">
        <w:rPr>
          <w:rFonts w:ascii="Calibri" w:hAnsi="Calibri" w:cs="Calibri"/>
          <w:i/>
          <w:iCs/>
          <w:sz w:val="24"/>
          <w:szCs w:val="24"/>
        </w:rPr>
        <w:tab/>
        <w:t>page</w:t>
      </w:r>
      <w:r w:rsidR="006C388F">
        <w:rPr>
          <w:rFonts w:ascii="Calibri" w:hAnsi="Calibri" w:cs="Calibri"/>
          <w:i/>
          <w:iCs/>
          <w:sz w:val="24"/>
          <w:szCs w:val="24"/>
        </w:rPr>
        <w:t xml:space="preserve"> 1</w:t>
      </w:r>
      <w:r w:rsidR="00D34A7C">
        <w:rPr>
          <w:rFonts w:ascii="Calibri" w:hAnsi="Calibri" w:cs="Calibri"/>
          <w:i/>
          <w:iCs/>
          <w:sz w:val="24"/>
          <w:szCs w:val="24"/>
        </w:rPr>
        <w:t>6</w:t>
      </w:r>
      <w:r w:rsidR="000F0FB4">
        <w:rPr>
          <w:rFonts w:ascii="Calibri" w:hAnsi="Calibri" w:cs="Calibri"/>
          <w:i/>
          <w:iCs/>
          <w:sz w:val="24"/>
          <w:szCs w:val="24"/>
        </w:rPr>
        <w:t>6</w:t>
      </w:r>
    </w:p>
    <w:p w14:paraId="0C8B48D6" w14:textId="65CB2106" w:rsidR="002B6A44" w:rsidRPr="002B6A44" w:rsidRDefault="002B6A44" w:rsidP="002B6A44">
      <w:pPr>
        <w:rPr>
          <w:rFonts w:ascii="Calibri" w:hAnsi="Calibri" w:cs="Calibri"/>
          <w:i/>
          <w:iCs/>
          <w:sz w:val="24"/>
          <w:szCs w:val="24"/>
        </w:rPr>
      </w:pPr>
      <w:r w:rsidRPr="002B6A44">
        <w:rPr>
          <w:rFonts w:ascii="Calibri" w:hAnsi="Calibri" w:cs="Calibri"/>
          <w:i/>
          <w:iCs/>
          <w:sz w:val="24"/>
          <w:szCs w:val="24"/>
        </w:rPr>
        <w:t xml:space="preserve">Figure </w:t>
      </w:r>
      <w:r w:rsidR="008636ED">
        <w:rPr>
          <w:rFonts w:ascii="Calibri" w:hAnsi="Calibri" w:cs="Calibri"/>
          <w:i/>
          <w:iCs/>
          <w:sz w:val="24"/>
          <w:szCs w:val="24"/>
        </w:rPr>
        <w:t>7</w:t>
      </w:r>
      <w:r w:rsidR="00D54954">
        <w:rPr>
          <w:rFonts w:ascii="Calibri" w:hAnsi="Calibri" w:cs="Calibri"/>
          <w:i/>
          <w:iCs/>
          <w:sz w:val="24"/>
          <w:szCs w:val="24"/>
        </w:rPr>
        <w:t>:</w:t>
      </w:r>
      <w:r w:rsidR="008636ED">
        <w:rPr>
          <w:rFonts w:ascii="Calibri" w:hAnsi="Calibri" w:cs="Calibri"/>
          <w:i/>
          <w:iCs/>
          <w:sz w:val="24"/>
          <w:szCs w:val="24"/>
        </w:rPr>
        <w:t xml:space="preserve"> </w:t>
      </w:r>
      <w:r w:rsidRPr="002B6A44">
        <w:rPr>
          <w:rFonts w:ascii="Calibri" w:hAnsi="Calibri" w:cs="Calibri"/>
          <w:i/>
          <w:iCs/>
          <w:sz w:val="24"/>
          <w:szCs w:val="24"/>
        </w:rPr>
        <w:t>Mo’s revised model of holding</w:t>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t>page</w:t>
      </w:r>
      <w:r w:rsidR="007C5756">
        <w:rPr>
          <w:rFonts w:ascii="Calibri" w:hAnsi="Calibri" w:cs="Calibri"/>
          <w:i/>
          <w:iCs/>
          <w:sz w:val="24"/>
          <w:szCs w:val="24"/>
        </w:rPr>
        <w:t xml:space="preserve"> 1</w:t>
      </w:r>
      <w:r w:rsidR="000F0FB4">
        <w:rPr>
          <w:rFonts w:ascii="Calibri" w:hAnsi="Calibri" w:cs="Calibri"/>
          <w:i/>
          <w:iCs/>
          <w:sz w:val="24"/>
          <w:szCs w:val="24"/>
        </w:rPr>
        <w:t>70</w:t>
      </w:r>
    </w:p>
    <w:p w14:paraId="5675F3F6" w14:textId="13077BAC" w:rsidR="002B6A44" w:rsidRPr="00607E42" w:rsidRDefault="002B6A44" w:rsidP="002B6A44">
      <w:pPr>
        <w:rPr>
          <w:rFonts w:ascii="Calibri" w:hAnsi="Calibri" w:cs="Calibri"/>
          <w:i/>
          <w:iCs/>
          <w:sz w:val="24"/>
          <w:szCs w:val="24"/>
        </w:rPr>
      </w:pPr>
      <w:r w:rsidRPr="002B6A44">
        <w:rPr>
          <w:rFonts w:ascii="Calibri" w:hAnsi="Calibri" w:cs="Calibri"/>
          <w:i/>
          <w:iCs/>
          <w:sz w:val="24"/>
          <w:szCs w:val="24"/>
        </w:rPr>
        <w:t xml:space="preserve">Figure </w:t>
      </w:r>
      <w:r w:rsidR="008636ED">
        <w:rPr>
          <w:rFonts w:ascii="Calibri" w:hAnsi="Calibri" w:cs="Calibri"/>
          <w:i/>
          <w:iCs/>
          <w:sz w:val="24"/>
          <w:szCs w:val="24"/>
        </w:rPr>
        <w:t>8</w:t>
      </w:r>
      <w:r w:rsidR="00D54954">
        <w:rPr>
          <w:rFonts w:ascii="Calibri" w:hAnsi="Calibri" w:cs="Calibri"/>
          <w:i/>
          <w:iCs/>
          <w:sz w:val="24"/>
          <w:szCs w:val="24"/>
        </w:rPr>
        <w:t>:</w:t>
      </w:r>
      <w:r w:rsidRPr="002B6A44">
        <w:rPr>
          <w:rFonts w:ascii="Calibri" w:hAnsi="Calibri" w:cs="Calibri"/>
          <w:i/>
          <w:iCs/>
          <w:sz w:val="24"/>
          <w:szCs w:val="24"/>
        </w:rPr>
        <w:t xml:space="preserve"> Fred’s revised model of holding </w:t>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r>
      <w:r w:rsidRPr="002B6A44">
        <w:rPr>
          <w:rFonts w:ascii="Calibri" w:hAnsi="Calibri" w:cs="Calibri"/>
          <w:i/>
          <w:iCs/>
          <w:sz w:val="24"/>
          <w:szCs w:val="24"/>
        </w:rPr>
        <w:tab/>
        <w:t>page</w:t>
      </w:r>
      <w:r w:rsidR="007C5756">
        <w:rPr>
          <w:rFonts w:ascii="Calibri" w:hAnsi="Calibri" w:cs="Calibri"/>
          <w:i/>
          <w:iCs/>
          <w:sz w:val="24"/>
          <w:szCs w:val="24"/>
        </w:rPr>
        <w:t xml:space="preserve"> 1</w:t>
      </w:r>
      <w:r w:rsidR="000F0FB4">
        <w:rPr>
          <w:rFonts w:ascii="Calibri" w:hAnsi="Calibri" w:cs="Calibri"/>
          <w:i/>
          <w:iCs/>
          <w:sz w:val="24"/>
          <w:szCs w:val="24"/>
        </w:rPr>
        <w:t>71</w:t>
      </w:r>
    </w:p>
    <w:p w14:paraId="4FA5FD8A" w14:textId="38385979" w:rsidR="00A4160F" w:rsidRPr="00607E42" w:rsidRDefault="00FF08E9" w:rsidP="002B6A44">
      <w:pPr>
        <w:rPr>
          <w:rFonts w:ascii="Calibri" w:hAnsi="Calibri" w:cs="Calibri"/>
          <w:i/>
          <w:iCs/>
          <w:sz w:val="24"/>
          <w:szCs w:val="24"/>
        </w:rPr>
      </w:pPr>
      <w:r w:rsidRPr="00607E42">
        <w:rPr>
          <w:rFonts w:ascii="Calibri" w:hAnsi="Calibri" w:cs="Calibri"/>
          <w:i/>
          <w:iCs/>
          <w:sz w:val="24"/>
          <w:szCs w:val="24"/>
        </w:rPr>
        <w:t xml:space="preserve">Figure </w:t>
      </w:r>
      <w:r w:rsidR="008636ED">
        <w:rPr>
          <w:rFonts w:ascii="Calibri" w:hAnsi="Calibri" w:cs="Calibri"/>
          <w:i/>
          <w:iCs/>
          <w:sz w:val="24"/>
          <w:szCs w:val="24"/>
        </w:rPr>
        <w:t>9</w:t>
      </w:r>
      <w:r w:rsidR="00D54954">
        <w:rPr>
          <w:rFonts w:ascii="Calibri" w:hAnsi="Calibri" w:cs="Calibri"/>
          <w:i/>
          <w:iCs/>
          <w:sz w:val="24"/>
          <w:szCs w:val="24"/>
        </w:rPr>
        <w:t>:</w:t>
      </w:r>
      <w:r w:rsidR="00F21A87" w:rsidRPr="00607E42">
        <w:rPr>
          <w:rFonts w:ascii="Calibri" w:hAnsi="Calibri" w:cs="Calibri"/>
          <w:i/>
          <w:iCs/>
          <w:sz w:val="24"/>
          <w:szCs w:val="24"/>
        </w:rPr>
        <w:t xml:space="preserve"> The shadow side of an individuation journey </w:t>
      </w:r>
    </w:p>
    <w:p w14:paraId="067C0BFD" w14:textId="1A14CBD6" w:rsidR="00FF08E9" w:rsidRPr="00607E42" w:rsidRDefault="00A4160F" w:rsidP="00A4160F">
      <w:pPr>
        <w:ind w:left="720"/>
        <w:rPr>
          <w:rFonts w:ascii="Calibri" w:hAnsi="Calibri" w:cs="Calibri"/>
          <w:i/>
          <w:iCs/>
          <w:sz w:val="24"/>
          <w:szCs w:val="24"/>
        </w:rPr>
      </w:pPr>
      <w:r w:rsidRPr="00607E42">
        <w:rPr>
          <w:rFonts w:ascii="Calibri" w:hAnsi="Calibri" w:cs="Calibri"/>
          <w:i/>
          <w:iCs/>
          <w:sz w:val="24"/>
          <w:szCs w:val="24"/>
        </w:rPr>
        <w:t xml:space="preserve">  </w:t>
      </w:r>
      <w:r w:rsidR="00F21A87" w:rsidRPr="00607E42">
        <w:rPr>
          <w:rFonts w:ascii="Calibri" w:hAnsi="Calibri" w:cs="Calibri"/>
          <w:i/>
          <w:iCs/>
          <w:sz w:val="24"/>
          <w:szCs w:val="24"/>
        </w:rPr>
        <w:t>and the positive lessons learnt</w:t>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t>page</w:t>
      </w:r>
      <w:r w:rsidR="007C5756">
        <w:rPr>
          <w:rFonts w:ascii="Calibri" w:hAnsi="Calibri" w:cs="Calibri"/>
          <w:i/>
          <w:iCs/>
          <w:sz w:val="24"/>
          <w:szCs w:val="24"/>
        </w:rPr>
        <w:t xml:space="preserve"> </w:t>
      </w:r>
      <w:r w:rsidR="00D44C1A">
        <w:rPr>
          <w:rFonts w:ascii="Calibri" w:hAnsi="Calibri" w:cs="Calibri"/>
          <w:i/>
          <w:iCs/>
          <w:sz w:val="24"/>
          <w:szCs w:val="24"/>
        </w:rPr>
        <w:t>1</w:t>
      </w:r>
      <w:r w:rsidR="000F0FB4">
        <w:rPr>
          <w:rFonts w:ascii="Calibri" w:hAnsi="Calibri" w:cs="Calibri"/>
          <w:i/>
          <w:iCs/>
          <w:sz w:val="24"/>
          <w:szCs w:val="24"/>
        </w:rPr>
        <w:t>90</w:t>
      </w:r>
    </w:p>
    <w:p w14:paraId="563883C5" w14:textId="316B925B" w:rsidR="00A4160F" w:rsidRDefault="00F514D9" w:rsidP="00F514D9">
      <w:pPr>
        <w:rPr>
          <w:rFonts w:ascii="Calibri" w:hAnsi="Calibri" w:cs="Calibri"/>
          <w:i/>
          <w:iCs/>
          <w:sz w:val="24"/>
          <w:szCs w:val="24"/>
        </w:rPr>
      </w:pPr>
      <w:r w:rsidRPr="00607E42">
        <w:rPr>
          <w:rFonts w:ascii="Calibri" w:hAnsi="Calibri" w:cs="Calibri"/>
          <w:i/>
          <w:iCs/>
          <w:sz w:val="24"/>
          <w:szCs w:val="24"/>
        </w:rPr>
        <w:t xml:space="preserve">Figure </w:t>
      </w:r>
      <w:r w:rsidR="00D44C1A">
        <w:rPr>
          <w:rFonts w:ascii="Calibri" w:hAnsi="Calibri" w:cs="Calibri"/>
          <w:i/>
          <w:iCs/>
          <w:sz w:val="24"/>
          <w:szCs w:val="24"/>
        </w:rPr>
        <w:t>10</w:t>
      </w:r>
      <w:r w:rsidR="00D54954">
        <w:rPr>
          <w:rFonts w:ascii="Calibri" w:hAnsi="Calibri" w:cs="Calibri"/>
          <w:i/>
          <w:iCs/>
          <w:sz w:val="24"/>
          <w:szCs w:val="24"/>
        </w:rPr>
        <w:t>:</w:t>
      </w:r>
      <w:r w:rsidRPr="00607E42">
        <w:rPr>
          <w:rFonts w:ascii="Calibri" w:hAnsi="Calibri" w:cs="Calibri"/>
          <w:i/>
          <w:iCs/>
          <w:sz w:val="24"/>
          <w:szCs w:val="24"/>
        </w:rPr>
        <w:t xml:space="preserve"> The importance of being held as a researcher</w:t>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t>page</w:t>
      </w:r>
      <w:r w:rsidR="00D44C1A">
        <w:rPr>
          <w:rFonts w:ascii="Calibri" w:hAnsi="Calibri" w:cs="Calibri"/>
          <w:i/>
          <w:iCs/>
          <w:sz w:val="24"/>
          <w:szCs w:val="24"/>
        </w:rPr>
        <w:t xml:space="preserve"> 1</w:t>
      </w:r>
      <w:r w:rsidR="000F0FB4">
        <w:rPr>
          <w:rFonts w:ascii="Calibri" w:hAnsi="Calibri" w:cs="Calibri"/>
          <w:i/>
          <w:iCs/>
          <w:sz w:val="24"/>
          <w:szCs w:val="24"/>
        </w:rPr>
        <w:t>91</w:t>
      </w:r>
    </w:p>
    <w:p w14:paraId="47A361F7" w14:textId="04FADF52" w:rsidR="00533AEC" w:rsidRPr="00607E42" w:rsidRDefault="00533AEC" w:rsidP="00F514D9">
      <w:pPr>
        <w:rPr>
          <w:rFonts w:ascii="Calibri" w:hAnsi="Calibri" w:cs="Calibri"/>
          <w:i/>
          <w:iCs/>
          <w:sz w:val="24"/>
          <w:szCs w:val="24"/>
        </w:rPr>
      </w:pPr>
      <w:r>
        <w:rPr>
          <w:rFonts w:ascii="Calibri" w:hAnsi="Calibri" w:cs="Calibri"/>
          <w:i/>
          <w:iCs/>
          <w:sz w:val="24"/>
          <w:szCs w:val="24"/>
        </w:rPr>
        <w:t xml:space="preserve">Figure </w:t>
      </w:r>
      <w:r w:rsidR="005F2C00">
        <w:rPr>
          <w:rFonts w:ascii="Calibri" w:hAnsi="Calibri" w:cs="Calibri"/>
          <w:i/>
          <w:iCs/>
          <w:sz w:val="24"/>
          <w:szCs w:val="24"/>
        </w:rPr>
        <w:t>11</w:t>
      </w:r>
      <w:r w:rsidR="00D54954">
        <w:rPr>
          <w:rFonts w:ascii="Calibri" w:hAnsi="Calibri" w:cs="Calibri"/>
          <w:i/>
          <w:iCs/>
          <w:sz w:val="24"/>
          <w:szCs w:val="24"/>
        </w:rPr>
        <w:t>:</w:t>
      </w:r>
      <w:r w:rsidR="006005D9">
        <w:rPr>
          <w:rFonts w:ascii="Calibri" w:hAnsi="Calibri" w:cs="Calibri"/>
          <w:i/>
          <w:iCs/>
          <w:sz w:val="24"/>
          <w:szCs w:val="24"/>
        </w:rPr>
        <w:t xml:space="preserve"> I</w:t>
      </w:r>
      <w:r w:rsidR="005F2C00">
        <w:rPr>
          <w:rFonts w:ascii="Calibri" w:hAnsi="Calibri" w:cs="Calibri"/>
          <w:i/>
          <w:iCs/>
          <w:sz w:val="24"/>
          <w:szCs w:val="24"/>
        </w:rPr>
        <w:t>’ve</w:t>
      </w:r>
      <w:r>
        <w:rPr>
          <w:rFonts w:ascii="Calibri" w:hAnsi="Calibri" w:cs="Calibri"/>
          <w:i/>
          <w:iCs/>
          <w:sz w:val="24"/>
          <w:szCs w:val="24"/>
        </w:rPr>
        <w:t xml:space="preserve"> got your back (Liz)</w:t>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t>page</w:t>
      </w:r>
      <w:r w:rsidR="00FF2D93">
        <w:rPr>
          <w:rFonts w:ascii="Calibri" w:hAnsi="Calibri" w:cs="Calibri"/>
          <w:i/>
          <w:iCs/>
          <w:sz w:val="24"/>
          <w:szCs w:val="24"/>
        </w:rPr>
        <w:t xml:space="preserve"> 1</w:t>
      </w:r>
      <w:r w:rsidR="009D3F35">
        <w:rPr>
          <w:rFonts w:ascii="Calibri" w:hAnsi="Calibri" w:cs="Calibri"/>
          <w:i/>
          <w:iCs/>
          <w:sz w:val="24"/>
          <w:szCs w:val="24"/>
        </w:rPr>
        <w:t>9</w:t>
      </w:r>
      <w:r w:rsidR="000F0FB4">
        <w:rPr>
          <w:rFonts w:ascii="Calibri" w:hAnsi="Calibri" w:cs="Calibri"/>
          <w:i/>
          <w:iCs/>
          <w:sz w:val="24"/>
          <w:szCs w:val="24"/>
        </w:rPr>
        <w:t>2</w:t>
      </w:r>
    </w:p>
    <w:p w14:paraId="42AA870E" w14:textId="77777777" w:rsidR="0017197E" w:rsidRDefault="000E6118" w:rsidP="00D66DF0">
      <w:pPr>
        <w:rPr>
          <w:rFonts w:ascii="Calibri" w:hAnsi="Calibri" w:cs="Calibri"/>
          <w:i/>
          <w:iCs/>
          <w:sz w:val="24"/>
          <w:szCs w:val="24"/>
        </w:rPr>
      </w:pPr>
      <w:r w:rsidRPr="00607E42">
        <w:rPr>
          <w:rFonts w:ascii="Calibri" w:hAnsi="Calibri" w:cs="Calibri"/>
          <w:i/>
          <w:iCs/>
          <w:sz w:val="24"/>
          <w:szCs w:val="24"/>
        </w:rPr>
        <w:t xml:space="preserve">Figure </w:t>
      </w:r>
      <w:r w:rsidR="00FF2D93">
        <w:rPr>
          <w:rFonts w:ascii="Calibri" w:hAnsi="Calibri" w:cs="Calibri"/>
          <w:i/>
          <w:iCs/>
          <w:sz w:val="24"/>
          <w:szCs w:val="24"/>
        </w:rPr>
        <w:t>12</w:t>
      </w:r>
      <w:r w:rsidR="00D54954">
        <w:rPr>
          <w:rFonts w:ascii="Calibri" w:hAnsi="Calibri" w:cs="Calibri"/>
          <w:i/>
          <w:iCs/>
          <w:sz w:val="24"/>
          <w:szCs w:val="24"/>
        </w:rPr>
        <w:t>:</w:t>
      </w:r>
      <w:r w:rsidRPr="00607E42">
        <w:rPr>
          <w:rFonts w:ascii="Calibri" w:hAnsi="Calibri" w:cs="Calibri"/>
          <w:i/>
          <w:iCs/>
          <w:sz w:val="24"/>
          <w:szCs w:val="24"/>
        </w:rPr>
        <w:t xml:space="preserve"> </w:t>
      </w:r>
      <w:r w:rsidR="00764FE6">
        <w:rPr>
          <w:rFonts w:ascii="Calibri" w:hAnsi="Calibri" w:cs="Calibri"/>
          <w:i/>
          <w:iCs/>
          <w:sz w:val="24"/>
          <w:szCs w:val="24"/>
        </w:rPr>
        <w:t>F</w:t>
      </w:r>
      <w:r w:rsidRPr="00607E42">
        <w:rPr>
          <w:rFonts w:ascii="Calibri" w:hAnsi="Calibri" w:cs="Calibri"/>
          <w:i/>
          <w:iCs/>
          <w:sz w:val="24"/>
          <w:szCs w:val="24"/>
        </w:rPr>
        <w:t>eatures of reflection as identified by participants</w:t>
      </w:r>
      <w:r w:rsidR="0017197E">
        <w:rPr>
          <w:rFonts w:ascii="Calibri" w:hAnsi="Calibri" w:cs="Calibri"/>
          <w:i/>
          <w:iCs/>
          <w:sz w:val="24"/>
          <w:szCs w:val="24"/>
        </w:rPr>
        <w:t xml:space="preserve"> </w:t>
      </w:r>
    </w:p>
    <w:p w14:paraId="1587E87D" w14:textId="2AFE6F3D" w:rsidR="00D571C3" w:rsidRDefault="0017197E" w:rsidP="00D66DF0">
      <w:pPr>
        <w:ind w:left="720"/>
        <w:rPr>
          <w:rFonts w:ascii="Calibri" w:hAnsi="Calibri" w:cs="Calibri"/>
          <w:i/>
          <w:iCs/>
          <w:sz w:val="24"/>
          <w:szCs w:val="24"/>
        </w:rPr>
      </w:pPr>
      <w:r>
        <w:rPr>
          <w:rFonts w:ascii="Calibri" w:hAnsi="Calibri" w:cs="Calibri"/>
          <w:i/>
          <w:iCs/>
          <w:sz w:val="24"/>
          <w:szCs w:val="24"/>
        </w:rPr>
        <w:t xml:space="preserve">     and the researcher</w:t>
      </w:r>
      <w:r w:rsidR="000574F2" w:rsidRPr="00607E42">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t>page 19</w:t>
      </w:r>
      <w:r w:rsidR="000F0FB4">
        <w:rPr>
          <w:rFonts w:ascii="Calibri" w:hAnsi="Calibri" w:cs="Calibri"/>
          <w:i/>
          <w:iCs/>
          <w:sz w:val="24"/>
          <w:szCs w:val="24"/>
        </w:rPr>
        <w:t>7</w:t>
      </w:r>
    </w:p>
    <w:p w14:paraId="5197E414" w14:textId="7F236F3F" w:rsidR="000574F2" w:rsidRDefault="000574F2" w:rsidP="00D571C3">
      <w:pPr>
        <w:rPr>
          <w:rFonts w:ascii="Calibri" w:hAnsi="Calibri" w:cs="Calibri"/>
          <w:i/>
          <w:iCs/>
          <w:sz w:val="24"/>
          <w:szCs w:val="24"/>
        </w:rPr>
      </w:pPr>
      <w:r w:rsidRPr="00607E42">
        <w:rPr>
          <w:rFonts w:ascii="Calibri" w:hAnsi="Calibri" w:cs="Calibri"/>
          <w:i/>
          <w:iCs/>
          <w:sz w:val="24"/>
          <w:szCs w:val="24"/>
        </w:rPr>
        <w:t>Figure 1</w:t>
      </w:r>
      <w:r w:rsidR="00AF6798">
        <w:rPr>
          <w:rFonts w:ascii="Calibri" w:hAnsi="Calibri" w:cs="Calibri"/>
          <w:i/>
          <w:iCs/>
          <w:sz w:val="24"/>
          <w:szCs w:val="24"/>
        </w:rPr>
        <w:t>3</w:t>
      </w:r>
      <w:r w:rsidR="00D54954">
        <w:rPr>
          <w:rFonts w:ascii="Calibri" w:hAnsi="Calibri" w:cs="Calibri"/>
          <w:i/>
          <w:iCs/>
          <w:sz w:val="24"/>
          <w:szCs w:val="24"/>
        </w:rPr>
        <w:t>:</w:t>
      </w:r>
      <w:r w:rsidRPr="00607E42">
        <w:rPr>
          <w:rFonts w:ascii="Calibri" w:hAnsi="Calibri" w:cs="Calibri"/>
          <w:i/>
          <w:iCs/>
          <w:sz w:val="24"/>
          <w:szCs w:val="24"/>
        </w:rPr>
        <w:t xml:space="preserve"> A pedagogic supervision model</w:t>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r>
      <w:r w:rsidRPr="00607E42">
        <w:rPr>
          <w:rFonts w:ascii="Calibri" w:hAnsi="Calibri" w:cs="Calibri"/>
          <w:i/>
          <w:iCs/>
          <w:sz w:val="24"/>
          <w:szCs w:val="24"/>
        </w:rPr>
        <w:tab/>
        <w:t>page</w:t>
      </w:r>
      <w:r w:rsidR="00601474">
        <w:rPr>
          <w:rFonts w:ascii="Calibri" w:hAnsi="Calibri" w:cs="Calibri"/>
          <w:i/>
          <w:iCs/>
          <w:sz w:val="24"/>
          <w:szCs w:val="24"/>
        </w:rPr>
        <w:t xml:space="preserve"> </w:t>
      </w:r>
      <w:r w:rsidR="009D3F35">
        <w:rPr>
          <w:rFonts w:ascii="Calibri" w:hAnsi="Calibri" w:cs="Calibri"/>
          <w:i/>
          <w:iCs/>
          <w:sz w:val="24"/>
          <w:szCs w:val="24"/>
        </w:rPr>
        <w:t>20</w:t>
      </w:r>
      <w:r w:rsidR="00980A1B">
        <w:rPr>
          <w:rFonts w:ascii="Calibri" w:hAnsi="Calibri" w:cs="Calibri"/>
          <w:i/>
          <w:iCs/>
          <w:sz w:val="24"/>
          <w:szCs w:val="24"/>
        </w:rPr>
        <w:t>3</w:t>
      </w:r>
    </w:p>
    <w:p w14:paraId="6A084589" w14:textId="6B121A9F" w:rsidR="006D4E00" w:rsidRDefault="006D4E00" w:rsidP="000574F2">
      <w:pPr>
        <w:rPr>
          <w:rFonts w:ascii="Calibri" w:hAnsi="Calibri" w:cs="Calibri"/>
          <w:i/>
          <w:iCs/>
          <w:sz w:val="24"/>
          <w:szCs w:val="24"/>
        </w:rPr>
      </w:pPr>
      <w:r>
        <w:rPr>
          <w:rFonts w:ascii="Calibri" w:hAnsi="Calibri" w:cs="Calibri"/>
          <w:i/>
          <w:iCs/>
          <w:sz w:val="24"/>
          <w:szCs w:val="24"/>
        </w:rPr>
        <w:t>Figure 1</w:t>
      </w:r>
      <w:r w:rsidR="003940F4">
        <w:rPr>
          <w:rFonts w:ascii="Calibri" w:hAnsi="Calibri" w:cs="Calibri"/>
          <w:i/>
          <w:iCs/>
          <w:sz w:val="24"/>
          <w:szCs w:val="24"/>
        </w:rPr>
        <w:t>4</w:t>
      </w:r>
      <w:r w:rsidR="00D54954">
        <w:rPr>
          <w:rFonts w:ascii="Calibri" w:hAnsi="Calibri" w:cs="Calibri"/>
          <w:i/>
          <w:iCs/>
          <w:sz w:val="24"/>
          <w:szCs w:val="24"/>
        </w:rPr>
        <w:t>:</w:t>
      </w:r>
      <w:r w:rsidR="003940F4">
        <w:rPr>
          <w:rFonts w:ascii="Calibri" w:hAnsi="Calibri" w:cs="Calibri"/>
          <w:i/>
          <w:iCs/>
          <w:sz w:val="24"/>
          <w:szCs w:val="24"/>
        </w:rPr>
        <w:t xml:space="preserve"> The data analysis process</w:t>
      </w:r>
      <w:r w:rsidR="00994BF2">
        <w:rPr>
          <w:rFonts w:ascii="Calibri" w:hAnsi="Calibri" w:cs="Calibri"/>
          <w:i/>
          <w:iCs/>
          <w:sz w:val="24"/>
          <w:szCs w:val="24"/>
        </w:rPr>
        <w:tab/>
      </w:r>
      <w:r w:rsidR="006B71CB">
        <w:rPr>
          <w:rFonts w:ascii="Calibri" w:hAnsi="Calibri" w:cs="Calibri"/>
          <w:i/>
          <w:iCs/>
          <w:sz w:val="24"/>
          <w:szCs w:val="24"/>
        </w:rPr>
        <w:tab/>
      </w:r>
      <w:r w:rsidR="006B71CB">
        <w:rPr>
          <w:rFonts w:ascii="Calibri" w:hAnsi="Calibri" w:cs="Calibri"/>
          <w:i/>
          <w:iCs/>
          <w:sz w:val="24"/>
          <w:szCs w:val="24"/>
        </w:rPr>
        <w:tab/>
      </w:r>
      <w:r w:rsidR="006B71CB">
        <w:rPr>
          <w:rFonts w:ascii="Calibri" w:hAnsi="Calibri" w:cs="Calibri"/>
          <w:i/>
          <w:iCs/>
          <w:sz w:val="24"/>
          <w:szCs w:val="24"/>
        </w:rPr>
        <w:tab/>
      </w:r>
      <w:r w:rsidR="006B71CB">
        <w:rPr>
          <w:rFonts w:ascii="Calibri" w:hAnsi="Calibri" w:cs="Calibri"/>
          <w:i/>
          <w:iCs/>
          <w:sz w:val="24"/>
          <w:szCs w:val="24"/>
        </w:rPr>
        <w:tab/>
      </w:r>
      <w:r w:rsidR="006B71CB">
        <w:rPr>
          <w:rFonts w:ascii="Calibri" w:hAnsi="Calibri" w:cs="Calibri"/>
          <w:i/>
          <w:iCs/>
          <w:sz w:val="24"/>
          <w:szCs w:val="24"/>
        </w:rPr>
        <w:tab/>
        <w:t>page</w:t>
      </w:r>
      <w:r w:rsidR="00994BF2">
        <w:rPr>
          <w:rFonts w:ascii="Calibri" w:hAnsi="Calibri" w:cs="Calibri"/>
          <w:i/>
          <w:iCs/>
          <w:sz w:val="24"/>
          <w:szCs w:val="24"/>
        </w:rPr>
        <w:t xml:space="preserve"> 3</w:t>
      </w:r>
      <w:r w:rsidR="00CA7631">
        <w:rPr>
          <w:rFonts w:ascii="Calibri" w:hAnsi="Calibri" w:cs="Calibri"/>
          <w:i/>
          <w:iCs/>
          <w:sz w:val="24"/>
          <w:szCs w:val="24"/>
        </w:rPr>
        <w:t>3</w:t>
      </w:r>
      <w:r w:rsidR="00875B44">
        <w:rPr>
          <w:rFonts w:ascii="Calibri" w:hAnsi="Calibri" w:cs="Calibri"/>
          <w:i/>
          <w:iCs/>
          <w:sz w:val="24"/>
          <w:szCs w:val="24"/>
        </w:rPr>
        <w:t>6</w:t>
      </w:r>
    </w:p>
    <w:p w14:paraId="139EA0F1" w14:textId="3C5D8CDD" w:rsidR="006B71CB" w:rsidRDefault="006B71CB" w:rsidP="000574F2">
      <w:pPr>
        <w:rPr>
          <w:rFonts w:ascii="Calibri" w:hAnsi="Calibri" w:cs="Calibri"/>
          <w:i/>
          <w:iCs/>
          <w:sz w:val="24"/>
          <w:szCs w:val="24"/>
        </w:rPr>
      </w:pPr>
      <w:r>
        <w:rPr>
          <w:rFonts w:ascii="Calibri" w:hAnsi="Calibri" w:cs="Calibri"/>
          <w:i/>
          <w:iCs/>
          <w:sz w:val="24"/>
          <w:szCs w:val="24"/>
        </w:rPr>
        <w:t>Figure 1</w:t>
      </w:r>
      <w:r w:rsidR="00265227">
        <w:rPr>
          <w:rFonts w:ascii="Calibri" w:hAnsi="Calibri" w:cs="Calibri"/>
          <w:i/>
          <w:iCs/>
          <w:sz w:val="24"/>
          <w:szCs w:val="24"/>
        </w:rPr>
        <w:t>5</w:t>
      </w:r>
      <w:r w:rsidR="00D54954">
        <w:rPr>
          <w:rFonts w:ascii="Calibri" w:hAnsi="Calibri" w:cs="Calibri"/>
          <w:i/>
          <w:iCs/>
          <w:sz w:val="24"/>
          <w:szCs w:val="24"/>
        </w:rPr>
        <w:t>:</w:t>
      </w:r>
      <w:r>
        <w:rPr>
          <w:rFonts w:ascii="Calibri" w:hAnsi="Calibri" w:cs="Calibri"/>
          <w:i/>
          <w:iCs/>
          <w:sz w:val="24"/>
          <w:szCs w:val="24"/>
        </w:rPr>
        <w:t xml:space="preserve"> </w:t>
      </w:r>
      <w:r w:rsidR="006D216F">
        <w:rPr>
          <w:rFonts w:ascii="Calibri" w:hAnsi="Calibri" w:cs="Calibri"/>
          <w:i/>
          <w:iCs/>
          <w:sz w:val="24"/>
          <w:szCs w:val="24"/>
        </w:rPr>
        <w:t xml:space="preserve">Coding based on </w:t>
      </w:r>
      <w:r w:rsidR="00E7739A">
        <w:rPr>
          <w:rFonts w:ascii="Calibri" w:hAnsi="Calibri" w:cs="Calibri"/>
          <w:i/>
          <w:iCs/>
          <w:sz w:val="24"/>
          <w:szCs w:val="24"/>
        </w:rPr>
        <w:t>remembering</w:t>
      </w:r>
      <w:r w:rsidR="006D216F">
        <w:rPr>
          <w:rFonts w:ascii="Calibri" w:hAnsi="Calibri" w:cs="Calibri"/>
          <w:i/>
          <w:iCs/>
          <w:sz w:val="24"/>
          <w:szCs w:val="24"/>
        </w:rPr>
        <w:t xml:space="preserve"> the lived experience story</w:t>
      </w:r>
      <w:r w:rsidR="006D216F">
        <w:rPr>
          <w:rFonts w:ascii="Calibri" w:hAnsi="Calibri" w:cs="Calibri"/>
          <w:i/>
          <w:iCs/>
          <w:sz w:val="24"/>
          <w:szCs w:val="24"/>
        </w:rPr>
        <w:tab/>
        <w:t>page</w:t>
      </w:r>
      <w:r w:rsidR="00E7739A">
        <w:rPr>
          <w:rFonts w:ascii="Calibri" w:hAnsi="Calibri" w:cs="Calibri"/>
          <w:i/>
          <w:iCs/>
          <w:sz w:val="24"/>
          <w:szCs w:val="24"/>
        </w:rPr>
        <w:t xml:space="preserve"> 3</w:t>
      </w:r>
      <w:r w:rsidR="00B54024">
        <w:rPr>
          <w:rFonts w:ascii="Calibri" w:hAnsi="Calibri" w:cs="Calibri"/>
          <w:i/>
          <w:iCs/>
          <w:sz w:val="24"/>
          <w:szCs w:val="24"/>
        </w:rPr>
        <w:t>3</w:t>
      </w:r>
      <w:r w:rsidR="00324E53">
        <w:rPr>
          <w:rFonts w:ascii="Calibri" w:hAnsi="Calibri" w:cs="Calibri"/>
          <w:i/>
          <w:iCs/>
          <w:sz w:val="24"/>
          <w:szCs w:val="24"/>
        </w:rPr>
        <w:t>8</w:t>
      </w:r>
    </w:p>
    <w:p w14:paraId="710E3302" w14:textId="34C01FB0" w:rsidR="006D216F" w:rsidRDefault="00DC543C" w:rsidP="000574F2">
      <w:pPr>
        <w:rPr>
          <w:rFonts w:ascii="Calibri" w:hAnsi="Calibri" w:cs="Calibri"/>
          <w:i/>
          <w:iCs/>
          <w:sz w:val="24"/>
          <w:szCs w:val="24"/>
        </w:rPr>
      </w:pPr>
      <w:r>
        <w:rPr>
          <w:rFonts w:ascii="Calibri" w:hAnsi="Calibri" w:cs="Calibri"/>
          <w:i/>
          <w:iCs/>
          <w:sz w:val="24"/>
          <w:szCs w:val="24"/>
        </w:rPr>
        <w:t>Figure 1</w:t>
      </w:r>
      <w:r w:rsidR="00265227">
        <w:rPr>
          <w:rFonts w:ascii="Calibri" w:hAnsi="Calibri" w:cs="Calibri"/>
          <w:i/>
          <w:iCs/>
          <w:sz w:val="24"/>
          <w:szCs w:val="24"/>
        </w:rPr>
        <w:t>6</w:t>
      </w:r>
      <w:r w:rsidR="00D54954">
        <w:rPr>
          <w:rFonts w:ascii="Calibri" w:hAnsi="Calibri" w:cs="Calibri"/>
          <w:i/>
          <w:iCs/>
          <w:sz w:val="24"/>
          <w:szCs w:val="24"/>
        </w:rPr>
        <w:t>:</w:t>
      </w:r>
      <w:r>
        <w:rPr>
          <w:rFonts w:ascii="Calibri" w:hAnsi="Calibri" w:cs="Calibri"/>
          <w:i/>
          <w:iCs/>
          <w:sz w:val="24"/>
          <w:szCs w:val="24"/>
        </w:rPr>
        <w:t xml:space="preserve"> Cashdan’s (1999) waystation model drawn from fairy tale lore</w:t>
      </w:r>
      <w:r w:rsidR="00897F28">
        <w:rPr>
          <w:rFonts w:ascii="Calibri" w:hAnsi="Calibri" w:cs="Calibri"/>
          <w:i/>
          <w:iCs/>
          <w:sz w:val="24"/>
          <w:szCs w:val="24"/>
        </w:rPr>
        <w:tab/>
        <w:t>page</w:t>
      </w:r>
      <w:r w:rsidR="00265227">
        <w:rPr>
          <w:rFonts w:ascii="Calibri" w:hAnsi="Calibri" w:cs="Calibri"/>
          <w:i/>
          <w:iCs/>
          <w:sz w:val="24"/>
          <w:szCs w:val="24"/>
        </w:rPr>
        <w:t xml:space="preserve"> 3</w:t>
      </w:r>
      <w:r w:rsidR="00B54024">
        <w:rPr>
          <w:rFonts w:ascii="Calibri" w:hAnsi="Calibri" w:cs="Calibri"/>
          <w:i/>
          <w:iCs/>
          <w:sz w:val="24"/>
          <w:szCs w:val="24"/>
        </w:rPr>
        <w:t>3</w:t>
      </w:r>
      <w:r w:rsidR="00324E53">
        <w:rPr>
          <w:rFonts w:ascii="Calibri" w:hAnsi="Calibri" w:cs="Calibri"/>
          <w:i/>
          <w:iCs/>
          <w:sz w:val="24"/>
          <w:szCs w:val="24"/>
        </w:rPr>
        <w:t>9</w:t>
      </w:r>
    </w:p>
    <w:p w14:paraId="45E9A38D" w14:textId="38747772" w:rsidR="00897F28" w:rsidRDefault="00897F28" w:rsidP="000574F2">
      <w:pPr>
        <w:rPr>
          <w:rFonts w:ascii="Calibri" w:hAnsi="Calibri" w:cs="Calibri"/>
          <w:i/>
          <w:iCs/>
          <w:sz w:val="24"/>
          <w:szCs w:val="24"/>
        </w:rPr>
      </w:pPr>
      <w:r>
        <w:rPr>
          <w:rFonts w:ascii="Calibri" w:hAnsi="Calibri" w:cs="Calibri"/>
          <w:i/>
          <w:iCs/>
          <w:sz w:val="24"/>
          <w:szCs w:val="24"/>
        </w:rPr>
        <w:t>Figure 1</w:t>
      </w:r>
      <w:r w:rsidR="00265227">
        <w:rPr>
          <w:rFonts w:ascii="Calibri" w:hAnsi="Calibri" w:cs="Calibri"/>
          <w:i/>
          <w:iCs/>
          <w:sz w:val="24"/>
          <w:szCs w:val="24"/>
        </w:rPr>
        <w:t>7</w:t>
      </w:r>
      <w:r w:rsidR="00D54954">
        <w:rPr>
          <w:rFonts w:ascii="Calibri" w:hAnsi="Calibri" w:cs="Calibri"/>
          <w:i/>
          <w:iCs/>
          <w:sz w:val="24"/>
          <w:szCs w:val="24"/>
        </w:rPr>
        <w:t>:</w:t>
      </w:r>
      <w:r>
        <w:rPr>
          <w:rFonts w:ascii="Calibri" w:hAnsi="Calibri" w:cs="Calibri"/>
          <w:i/>
          <w:iCs/>
          <w:sz w:val="24"/>
          <w:szCs w:val="24"/>
        </w:rPr>
        <w:t xml:space="preserve"> A coding based on lived experience</w:t>
      </w:r>
      <w:r w:rsidR="005532FE">
        <w:rPr>
          <w:rFonts w:ascii="Calibri" w:hAnsi="Calibri" w:cs="Calibri"/>
          <w:i/>
          <w:iCs/>
          <w:sz w:val="24"/>
          <w:szCs w:val="24"/>
        </w:rPr>
        <w:tab/>
      </w:r>
      <w:r w:rsidR="005532FE">
        <w:rPr>
          <w:rFonts w:ascii="Calibri" w:hAnsi="Calibri" w:cs="Calibri"/>
          <w:i/>
          <w:iCs/>
          <w:sz w:val="24"/>
          <w:szCs w:val="24"/>
        </w:rPr>
        <w:tab/>
      </w:r>
      <w:r w:rsidR="005532FE">
        <w:rPr>
          <w:rFonts w:ascii="Calibri" w:hAnsi="Calibri" w:cs="Calibri"/>
          <w:i/>
          <w:iCs/>
          <w:sz w:val="24"/>
          <w:szCs w:val="24"/>
        </w:rPr>
        <w:tab/>
      </w:r>
      <w:r w:rsidR="005532FE">
        <w:rPr>
          <w:rFonts w:ascii="Calibri" w:hAnsi="Calibri" w:cs="Calibri"/>
          <w:i/>
          <w:iCs/>
          <w:sz w:val="24"/>
          <w:szCs w:val="24"/>
        </w:rPr>
        <w:tab/>
        <w:t>page 3</w:t>
      </w:r>
      <w:r w:rsidR="00B54024">
        <w:rPr>
          <w:rFonts w:ascii="Calibri" w:hAnsi="Calibri" w:cs="Calibri"/>
          <w:i/>
          <w:iCs/>
          <w:sz w:val="24"/>
          <w:szCs w:val="24"/>
        </w:rPr>
        <w:t>3</w:t>
      </w:r>
      <w:r w:rsidR="00F74398">
        <w:rPr>
          <w:rFonts w:ascii="Calibri" w:hAnsi="Calibri" w:cs="Calibri"/>
          <w:i/>
          <w:iCs/>
          <w:sz w:val="24"/>
          <w:szCs w:val="24"/>
        </w:rPr>
        <w:t>9</w:t>
      </w:r>
    </w:p>
    <w:p w14:paraId="3C7EE8FC" w14:textId="0FCB9393" w:rsidR="002538AA" w:rsidRDefault="002538AA" w:rsidP="000574F2">
      <w:pPr>
        <w:rPr>
          <w:rFonts w:ascii="Calibri" w:hAnsi="Calibri" w:cs="Calibri"/>
          <w:i/>
          <w:iCs/>
          <w:sz w:val="24"/>
          <w:szCs w:val="24"/>
        </w:rPr>
      </w:pPr>
      <w:r>
        <w:rPr>
          <w:rFonts w:ascii="Calibri" w:hAnsi="Calibri" w:cs="Calibri"/>
          <w:i/>
          <w:iCs/>
          <w:sz w:val="24"/>
          <w:szCs w:val="24"/>
        </w:rPr>
        <w:t>Figure 1</w:t>
      </w:r>
      <w:r w:rsidR="0007799D">
        <w:rPr>
          <w:rFonts w:ascii="Calibri" w:hAnsi="Calibri" w:cs="Calibri"/>
          <w:i/>
          <w:iCs/>
          <w:sz w:val="24"/>
          <w:szCs w:val="24"/>
        </w:rPr>
        <w:t>8</w:t>
      </w:r>
      <w:r w:rsidR="00D54954">
        <w:rPr>
          <w:rFonts w:ascii="Calibri" w:hAnsi="Calibri" w:cs="Calibri"/>
          <w:i/>
          <w:iCs/>
          <w:sz w:val="24"/>
          <w:szCs w:val="24"/>
        </w:rPr>
        <w:t>:</w:t>
      </w:r>
      <w:r>
        <w:rPr>
          <w:rFonts w:ascii="Calibri" w:hAnsi="Calibri" w:cs="Calibri"/>
          <w:i/>
          <w:iCs/>
          <w:sz w:val="24"/>
          <w:szCs w:val="24"/>
        </w:rPr>
        <w:t xml:space="preserve"> The Driscoll (1994) model of reflection (based on Borton</w:t>
      </w:r>
      <w:r w:rsidR="008B2713">
        <w:rPr>
          <w:rFonts w:ascii="Calibri" w:hAnsi="Calibri" w:cs="Calibri"/>
          <w:i/>
          <w:iCs/>
          <w:sz w:val="24"/>
          <w:szCs w:val="24"/>
        </w:rPr>
        <w:t>, 1970)</w:t>
      </w:r>
      <w:r w:rsidR="008B2713">
        <w:rPr>
          <w:rFonts w:ascii="Calibri" w:hAnsi="Calibri" w:cs="Calibri"/>
          <w:i/>
          <w:iCs/>
          <w:sz w:val="24"/>
          <w:szCs w:val="24"/>
        </w:rPr>
        <w:tab/>
        <w:t>page</w:t>
      </w:r>
      <w:r w:rsidR="005532FE">
        <w:rPr>
          <w:rFonts w:ascii="Calibri" w:hAnsi="Calibri" w:cs="Calibri"/>
          <w:i/>
          <w:iCs/>
          <w:sz w:val="24"/>
          <w:szCs w:val="24"/>
        </w:rPr>
        <w:t xml:space="preserve"> 3</w:t>
      </w:r>
      <w:r w:rsidR="00F74398">
        <w:rPr>
          <w:rFonts w:ascii="Calibri" w:hAnsi="Calibri" w:cs="Calibri"/>
          <w:i/>
          <w:iCs/>
          <w:sz w:val="24"/>
          <w:szCs w:val="24"/>
        </w:rPr>
        <w:t>40</w:t>
      </w:r>
    </w:p>
    <w:p w14:paraId="24FE0ABF" w14:textId="305334B2" w:rsidR="002B34E7" w:rsidRPr="00005AE0" w:rsidRDefault="008B2713" w:rsidP="00005AE0">
      <w:pPr>
        <w:rPr>
          <w:rFonts w:ascii="Calibri" w:hAnsi="Calibri" w:cs="Calibri"/>
          <w:i/>
          <w:iCs/>
          <w:sz w:val="24"/>
          <w:szCs w:val="24"/>
        </w:rPr>
      </w:pPr>
      <w:r>
        <w:rPr>
          <w:rFonts w:ascii="Calibri" w:hAnsi="Calibri" w:cs="Calibri"/>
          <w:i/>
          <w:iCs/>
          <w:sz w:val="24"/>
          <w:szCs w:val="24"/>
        </w:rPr>
        <w:t>Figure 1</w:t>
      </w:r>
      <w:r w:rsidR="0007799D">
        <w:rPr>
          <w:rFonts w:ascii="Calibri" w:hAnsi="Calibri" w:cs="Calibri"/>
          <w:i/>
          <w:iCs/>
          <w:sz w:val="24"/>
          <w:szCs w:val="24"/>
        </w:rPr>
        <w:t>9</w:t>
      </w:r>
      <w:r w:rsidR="00D54954">
        <w:rPr>
          <w:rFonts w:ascii="Calibri" w:hAnsi="Calibri" w:cs="Calibri"/>
          <w:i/>
          <w:iCs/>
          <w:sz w:val="24"/>
          <w:szCs w:val="24"/>
        </w:rPr>
        <w:t>:</w:t>
      </w:r>
      <w:r>
        <w:rPr>
          <w:rFonts w:ascii="Calibri" w:hAnsi="Calibri" w:cs="Calibri"/>
          <w:i/>
          <w:iCs/>
          <w:sz w:val="24"/>
          <w:szCs w:val="24"/>
        </w:rPr>
        <w:t xml:space="preserve"> Final coding template</w:t>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r>
      <w:r>
        <w:rPr>
          <w:rFonts w:ascii="Calibri" w:hAnsi="Calibri" w:cs="Calibri"/>
          <w:i/>
          <w:iCs/>
          <w:sz w:val="24"/>
          <w:szCs w:val="24"/>
        </w:rPr>
        <w:tab/>
        <w:t>page</w:t>
      </w:r>
      <w:r w:rsidR="00512D52">
        <w:rPr>
          <w:rFonts w:ascii="Calibri" w:hAnsi="Calibri" w:cs="Calibri"/>
          <w:i/>
          <w:iCs/>
          <w:sz w:val="24"/>
          <w:szCs w:val="24"/>
        </w:rPr>
        <w:t xml:space="preserve"> 3</w:t>
      </w:r>
      <w:r w:rsidR="00965526">
        <w:rPr>
          <w:rFonts w:ascii="Calibri" w:hAnsi="Calibri" w:cs="Calibri"/>
          <w:i/>
          <w:iCs/>
          <w:sz w:val="24"/>
          <w:szCs w:val="24"/>
        </w:rPr>
        <w:t>4</w:t>
      </w:r>
      <w:r w:rsidR="00127503">
        <w:rPr>
          <w:rFonts w:ascii="Calibri" w:hAnsi="Calibri" w:cs="Calibri"/>
          <w:i/>
          <w:iCs/>
          <w:sz w:val="24"/>
          <w:szCs w:val="24"/>
        </w:rPr>
        <w:t>1</w:t>
      </w:r>
    </w:p>
    <w:p w14:paraId="2F9E15A0" w14:textId="77777777" w:rsidR="002B34E7" w:rsidRDefault="002B34E7" w:rsidP="007776C4">
      <w:pPr>
        <w:ind w:left="2880" w:firstLine="720"/>
        <w:rPr>
          <w:rFonts w:cstheme="minorHAnsi"/>
          <w:b/>
          <w:bCs/>
          <w:sz w:val="32"/>
          <w:szCs w:val="32"/>
        </w:rPr>
      </w:pPr>
    </w:p>
    <w:p w14:paraId="3CF34211" w14:textId="77777777" w:rsidR="00607E42" w:rsidRDefault="00607E42" w:rsidP="00A601E3">
      <w:pPr>
        <w:rPr>
          <w:rFonts w:cstheme="minorHAnsi"/>
          <w:b/>
          <w:bCs/>
          <w:sz w:val="32"/>
          <w:szCs w:val="32"/>
        </w:rPr>
      </w:pPr>
    </w:p>
    <w:p w14:paraId="7235B2A6" w14:textId="77777777" w:rsidR="009E24C9" w:rsidRDefault="009E24C9" w:rsidP="00005AE0">
      <w:pPr>
        <w:ind w:left="2880" w:firstLine="720"/>
        <w:rPr>
          <w:rFonts w:cstheme="minorHAnsi"/>
          <w:b/>
          <w:bCs/>
          <w:sz w:val="32"/>
          <w:szCs w:val="32"/>
        </w:rPr>
      </w:pPr>
    </w:p>
    <w:p w14:paraId="3456BEC1" w14:textId="77777777" w:rsidR="009E24C9" w:rsidRDefault="009E24C9" w:rsidP="00005AE0">
      <w:pPr>
        <w:ind w:left="2880" w:firstLine="720"/>
        <w:rPr>
          <w:rFonts w:cstheme="minorHAnsi"/>
          <w:b/>
          <w:bCs/>
          <w:sz w:val="32"/>
          <w:szCs w:val="32"/>
        </w:rPr>
      </w:pPr>
    </w:p>
    <w:p w14:paraId="6C66E018" w14:textId="1113815E" w:rsidR="00112931" w:rsidRPr="00900FB1" w:rsidRDefault="00423084" w:rsidP="00005AE0">
      <w:pPr>
        <w:ind w:left="2880" w:firstLine="720"/>
        <w:rPr>
          <w:rFonts w:cstheme="minorHAnsi"/>
          <w:b/>
          <w:bCs/>
          <w:sz w:val="28"/>
          <w:szCs w:val="28"/>
        </w:rPr>
      </w:pPr>
      <w:r w:rsidRPr="00900FB1">
        <w:rPr>
          <w:rFonts w:cstheme="minorHAnsi"/>
          <w:b/>
          <w:bCs/>
          <w:sz w:val="28"/>
          <w:szCs w:val="28"/>
        </w:rPr>
        <w:lastRenderedPageBreak/>
        <w:t xml:space="preserve">List of </w:t>
      </w:r>
      <w:r w:rsidR="007776C4" w:rsidRPr="00900FB1">
        <w:rPr>
          <w:rFonts w:cstheme="minorHAnsi"/>
          <w:b/>
          <w:bCs/>
          <w:sz w:val="28"/>
          <w:szCs w:val="28"/>
        </w:rPr>
        <w:t>Tables</w:t>
      </w:r>
    </w:p>
    <w:p w14:paraId="156EF8C2" w14:textId="77777777" w:rsidR="00112931" w:rsidRDefault="00112931" w:rsidP="002F39C8">
      <w:pPr>
        <w:rPr>
          <w:rFonts w:ascii="Calibri" w:hAnsi="Calibri" w:cs="Calibri"/>
          <w:b/>
          <w:bCs/>
          <w:sz w:val="24"/>
          <w:szCs w:val="24"/>
        </w:rPr>
      </w:pPr>
    </w:p>
    <w:p w14:paraId="0DBD3EF9" w14:textId="6D651EE5" w:rsidR="00C5576D" w:rsidRPr="00607E42" w:rsidRDefault="00C5576D" w:rsidP="002F39C8">
      <w:pPr>
        <w:rPr>
          <w:rFonts w:ascii="Calibri" w:hAnsi="Calibri" w:cs="Calibri"/>
          <w:i/>
          <w:iCs/>
          <w:sz w:val="24"/>
          <w:szCs w:val="24"/>
        </w:rPr>
      </w:pPr>
      <w:r w:rsidRPr="00607E42">
        <w:rPr>
          <w:rFonts w:ascii="Calibri" w:hAnsi="Calibri" w:cs="Calibri"/>
          <w:i/>
          <w:iCs/>
          <w:sz w:val="24"/>
          <w:szCs w:val="24"/>
        </w:rPr>
        <w:t>Table 1</w:t>
      </w:r>
      <w:r w:rsidR="00D54954">
        <w:rPr>
          <w:rFonts w:ascii="Calibri" w:hAnsi="Calibri" w:cs="Calibri"/>
          <w:i/>
          <w:iCs/>
          <w:sz w:val="24"/>
          <w:szCs w:val="24"/>
        </w:rPr>
        <w:t>:</w:t>
      </w:r>
      <w:r w:rsidRPr="00607E42">
        <w:rPr>
          <w:rFonts w:ascii="Calibri" w:hAnsi="Calibri" w:cs="Calibri"/>
          <w:i/>
          <w:iCs/>
          <w:sz w:val="24"/>
          <w:szCs w:val="24"/>
        </w:rPr>
        <w:t xml:space="preserve"> Research questions a</w:t>
      </w:r>
      <w:r w:rsidR="00CD030B" w:rsidRPr="00607E42">
        <w:rPr>
          <w:rFonts w:ascii="Calibri" w:hAnsi="Calibri" w:cs="Calibri"/>
          <w:i/>
          <w:iCs/>
          <w:sz w:val="24"/>
          <w:szCs w:val="24"/>
        </w:rPr>
        <w:t>nd resultant aims</w:t>
      </w:r>
      <w:r w:rsidR="00912AD5">
        <w:rPr>
          <w:rFonts w:ascii="Calibri" w:hAnsi="Calibri" w:cs="Calibri"/>
          <w:i/>
          <w:iCs/>
          <w:sz w:val="24"/>
          <w:szCs w:val="24"/>
        </w:rPr>
        <w:tab/>
      </w:r>
      <w:r w:rsidR="00912AD5">
        <w:rPr>
          <w:rFonts w:ascii="Calibri" w:hAnsi="Calibri" w:cs="Calibri"/>
          <w:i/>
          <w:iCs/>
          <w:sz w:val="24"/>
          <w:szCs w:val="24"/>
        </w:rPr>
        <w:tab/>
      </w:r>
      <w:r w:rsidR="00912AD5">
        <w:rPr>
          <w:rFonts w:ascii="Calibri" w:hAnsi="Calibri" w:cs="Calibri"/>
          <w:i/>
          <w:iCs/>
          <w:sz w:val="24"/>
          <w:szCs w:val="24"/>
        </w:rPr>
        <w:tab/>
      </w:r>
      <w:r w:rsidR="00912AD5">
        <w:rPr>
          <w:rFonts w:ascii="Calibri" w:hAnsi="Calibri" w:cs="Calibri"/>
          <w:i/>
          <w:iCs/>
          <w:sz w:val="24"/>
          <w:szCs w:val="24"/>
        </w:rPr>
        <w:tab/>
      </w:r>
      <w:r w:rsidR="00912AD5">
        <w:rPr>
          <w:rFonts w:ascii="Calibri" w:hAnsi="Calibri" w:cs="Calibri"/>
          <w:i/>
          <w:iCs/>
          <w:sz w:val="24"/>
          <w:szCs w:val="24"/>
        </w:rPr>
        <w:tab/>
        <w:t xml:space="preserve">page </w:t>
      </w:r>
      <w:r w:rsidR="0028726E">
        <w:rPr>
          <w:rFonts w:ascii="Calibri" w:hAnsi="Calibri" w:cs="Calibri"/>
          <w:i/>
          <w:iCs/>
          <w:sz w:val="24"/>
          <w:szCs w:val="24"/>
        </w:rPr>
        <w:t>22</w:t>
      </w:r>
    </w:p>
    <w:p w14:paraId="5C9EA99A" w14:textId="6B679745" w:rsidR="00CD030B" w:rsidRPr="00607E42" w:rsidRDefault="00CD030B" w:rsidP="002F39C8">
      <w:pPr>
        <w:rPr>
          <w:rFonts w:ascii="Calibri" w:hAnsi="Calibri" w:cs="Calibri"/>
          <w:i/>
          <w:iCs/>
          <w:sz w:val="24"/>
          <w:szCs w:val="24"/>
        </w:rPr>
      </w:pPr>
      <w:r w:rsidRPr="00607E42">
        <w:rPr>
          <w:rFonts w:ascii="Calibri" w:hAnsi="Calibri" w:cs="Calibri"/>
          <w:i/>
          <w:iCs/>
          <w:sz w:val="24"/>
          <w:szCs w:val="24"/>
        </w:rPr>
        <w:t>Table 2</w:t>
      </w:r>
      <w:r w:rsidR="00D54954">
        <w:rPr>
          <w:rFonts w:ascii="Calibri" w:hAnsi="Calibri" w:cs="Calibri"/>
          <w:i/>
          <w:iCs/>
          <w:sz w:val="24"/>
          <w:szCs w:val="24"/>
        </w:rPr>
        <w:t>:</w:t>
      </w:r>
      <w:r w:rsidRPr="00607E42">
        <w:rPr>
          <w:rFonts w:ascii="Calibri" w:hAnsi="Calibri" w:cs="Calibri"/>
          <w:i/>
          <w:iCs/>
          <w:sz w:val="24"/>
          <w:szCs w:val="24"/>
        </w:rPr>
        <w:t xml:space="preserve"> Description of chapters and content</w:t>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t>page 2</w:t>
      </w:r>
      <w:r w:rsidR="0028726E">
        <w:rPr>
          <w:rFonts w:ascii="Calibri" w:hAnsi="Calibri" w:cs="Calibri"/>
          <w:i/>
          <w:iCs/>
          <w:sz w:val="24"/>
          <w:szCs w:val="24"/>
        </w:rPr>
        <w:t>9</w:t>
      </w:r>
    </w:p>
    <w:p w14:paraId="5976E08D" w14:textId="66A9D0AC" w:rsidR="00CD030B" w:rsidRPr="00607E42" w:rsidRDefault="009E1CBF" w:rsidP="002F39C8">
      <w:pPr>
        <w:rPr>
          <w:rFonts w:ascii="Calibri" w:hAnsi="Calibri" w:cs="Calibri"/>
          <w:i/>
          <w:iCs/>
          <w:sz w:val="24"/>
          <w:szCs w:val="24"/>
        </w:rPr>
      </w:pPr>
      <w:r w:rsidRPr="00607E42">
        <w:rPr>
          <w:rFonts w:ascii="Calibri" w:hAnsi="Calibri" w:cs="Calibri"/>
          <w:i/>
          <w:iCs/>
          <w:sz w:val="24"/>
          <w:szCs w:val="24"/>
        </w:rPr>
        <w:t>Table 3</w:t>
      </w:r>
      <w:r w:rsidR="00D54954">
        <w:rPr>
          <w:rFonts w:ascii="Calibri" w:hAnsi="Calibri" w:cs="Calibri"/>
          <w:i/>
          <w:iCs/>
          <w:sz w:val="24"/>
          <w:szCs w:val="24"/>
        </w:rPr>
        <w:t>:</w:t>
      </w:r>
      <w:r w:rsidRPr="00607E42">
        <w:rPr>
          <w:rFonts w:ascii="Calibri" w:hAnsi="Calibri" w:cs="Calibri"/>
          <w:i/>
          <w:iCs/>
          <w:sz w:val="24"/>
          <w:szCs w:val="24"/>
        </w:rPr>
        <w:t xml:space="preserve"> Preliminary and refined research questions</w:t>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r>
      <w:r w:rsidR="00977823">
        <w:rPr>
          <w:rFonts w:ascii="Calibri" w:hAnsi="Calibri" w:cs="Calibri"/>
          <w:i/>
          <w:iCs/>
          <w:sz w:val="24"/>
          <w:szCs w:val="24"/>
        </w:rPr>
        <w:tab/>
        <w:t>page</w:t>
      </w:r>
      <w:r w:rsidR="008718A6">
        <w:rPr>
          <w:rFonts w:ascii="Calibri" w:hAnsi="Calibri" w:cs="Calibri"/>
          <w:i/>
          <w:iCs/>
          <w:sz w:val="24"/>
          <w:szCs w:val="24"/>
        </w:rPr>
        <w:t xml:space="preserve"> 4</w:t>
      </w:r>
      <w:r w:rsidR="003D0650">
        <w:rPr>
          <w:rFonts w:ascii="Calibri" w:hAnsi="Calibri" w:cs="Calibri"/>
          <w:i/>
          <w:iCs/>
          <w:sz w:val="24"/>
          <w:szCs w:val="24"/>
        </w:rPr>
        <w:t>7</w:t>
      </w:r>
    </w:p>
    <w:p w14:paraId="1F1FFE20" w14:textId="7203145D" w:rsidR="009E1CBF" w:rsidRPr="00607E42" w:rsidRDefault="00476273" w:rsidP="002F39C8">
      <w:pPr>
        <w:rPr>
          <w:rFonts w:ascii="Calibri" w:hAnsi="Calibri" w:cs="Calibri"/>
          <w:i/>
          <w:iCs/>
          <w:sz w:val="24"/>
          <w:szCs w:val="24"/>
        </w:rPr>
      </w:pPr>
      <w:r w:rsidRPr="00607E42">
        <w:rPr>
          <w:rFonts w:ascii="Calibri" w:hAnsi="Calibri" w:cs="Calibri"/>
          <w:i/>
          <w:iCs/>
          <w:sz w:val="24"/>
          <w:szCs w:val="24"/>
        </w:rPr>
        <w:t>Table 4</w:t>
      </w:r>
      <w:r w:rsidR="00D54954">
        <w:rPr>
          <w:rFonts w:ascii="Calibri" w:hAnsi="Calibri" w:cs="Calibri"/>
          <w:i/>
          <w:iCs/>
          <w:sz w:val="24"/>
          <w:szCs w:val="24"/>
        </w:rPr>
        <w:t>:</w:t>
      </w:r>
      <w:r w:rsidRPr="00607E42">
        <w:rPr>
          <w:rFonts w:ascii="Calibri" w:hAnsi="Calibri" w:cs="Calibri"/>
          <w:i/>
          <w:iCs/>
          <w:sz w:val="24"/>
          <w:szCs w:val="24"/>
        </w:rPr>
        <w:t xml:space="preserve"> Purpose and nature of supervision</w:t>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t>page 8</w:t>
      </w:r>
      <w:r w:rsidR="00455378">
        <w:rPr>
          <w:rFonts w:ascii="Calibri" w:hAnsi="Calibri" w:cs="Calibri"/>
          <w:i/>
          <w:iCs/>
          <w:sz w:val="24"/>
          <w:szCs w:val="24"/>
        </w:rPr>
        <w:t>7</w:t>
      </w:r>
    </w:p>
    <w:p w14:paraId="443AE99A" w14:textId="7196EC27" w:rsidR="00B065E3" w:rsidRDefault="00A604D4" w:rsidP="002F39C8">
      <w:pPr>
        <w:rPr>
          <w:rFonts w:ascii="Calibri" w:hAnsi="Calibri" w:cs="Calibri"/>
          <w:i/>
          <w:iCs/>
          <w:sz w:val="24"/>
          <w:szCs w:val="24"/>
        </w:rPr>
      </w:pPr>
      <w:r w:rsidRPr="00607E42">
        <w:rPr>
          <w:rFonts w:ascii="Calibri" w:hAnsi="Calibri" w:cs="Calibri"/>
          <w:i/>
          <w:iCs/>
          <w:sz w:val="24"/>
          <w:szCs w:val="24"/>
        </w:rPr>
        <w:t>Table 5</w:t>
      </w:r>
      <w:r w:rsidR="00D54954">
        <w:rPr>
          <w:rFonts w:ascii="Calibri" w:hAnsi="Calibri" w:cs="Calibri"/>
          <w:i/>
          <w:iCs/>
          <w:sz w:val="24"/>
          <w:szCs w:val="24"/>
        </w:rPr>
        <w:t>:</w:t>
      </w:r>
      <w:r w:rsidRPr="00607E42">
        <w:rPr>
          <w:rFonts w:ascii="Calibri" w:hAnsi="Calibri" w:cs="Calibri"/>
          <w:i/>
          <w:iCs/>
          <w:sz w:val="24"/>
          <w:szCs w:val="24"/>
        </w:rPr>
        <w:t xml:space="preserve"> Research questions and aims</w:t>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8718A6">
        <w:rPr>
          <w:rFonts w:ascii="Calibri" w:hAnsi="Calibri" w:cs="Calibri"/>
          <w:i/>
          <w:iCs/>
          <w:sz w:val="24"/>
          <w:szCs w:val="24"/>
        </w:rPr>
        <w:tab/>
      </w:r>
      <w:r w:rsidR="00B72A78">
        <w:rPr>
          <w:rFonts w:ascii="Calibri" w:hAnsi="Calibri" w:cs="Calibri"/>
          <w:i/>
          <w:iCs/>
          <w:sz w:val="24"/>
          <w:szCs w:val="24"/>
        </w:rPr>
        <w:tab/>
      </w:r>
      <w:r w:rsidR="00B72A78" w:rsidRPr="00B72A78">
        <w:rPr>
          <w:rFonts w:ascii="Calibri" w:hAnsi="Calibri" w:cs="Calibri"/>
          <w:i/>
          <w:iCs/>
          <w:sz w:val="24"/>
          <w:szCs w:val="24"/>
        </w:rPr>
        <w:t xml:space="preserve">page </w:t>
      </w:r>
      <w:r w:rsidR="000D002F">
        <w:rPr>
          <w:rFonts w:ascii="Calibri" w:hAnsi="Calibri" w:cs="Calibri"/>
          <w:i/>
          <w:iCs/>
          <w:sz w:val="24"/>
          <w:szCs w:val="24"/>
        </w:rPr>
        <w:t>10</w:t>
      </w:r>
      <w:r w:rsidR="001A5FDA">
        <w:rPr>
          <w:rFonts w:ascii="Calibri" w:hAnsi="Calibri" w:cs="Calibri"/>
          <w:i/>
          <w:iCs/>
          <w:sz w:val="24"/>
          <w:szCs w:val="24"/>
        </w:rPr>
        <w:t>1</w:t>
      </w:r>
    </w:p>
    <w:p w14:paraId="293FD350" w14:textId="6858107E" w:rsidR="00CA33E6" w:rsidRPr="00607E42" w:rsidRDefault="00CA33E6" w:rsidP="002F39C8">
      <w:pPr>
        <w:rPr>
          <w:rFonts w:ascii="Calibri" w:hAnsi="Calibri" w:cs="Calibri"/>
          <w:i/>
          <w:iCs/>
          <w:sz w:val="24"/>
          <w:szCs w:val="24"/>
        </w:rPr>
      </w:pPr>
      <w:r w:rsidRPr="00607E42">
        <w:rPr>
          <w:rFonts w:ascii="Calibri" w:hAnsi="Calibri" w:cs="Calibri"/>
          <w:i/>
          <w:iCs/>
          <w:sz w:val="24"/>
          <w:szCs w:val="24"/>
        </w:rPr>
        <w:t>Table 6</w:t>
      </w:r>
      <w:r w:rsidR="00B72A78">
        <w:rPr>
          <w:rFonts w:ascii="Calibri" w:hAnsi="Calibri" w:cs="Calibri"/>
          <w:i/>
          <w:iCs/>
          <w:sz w:val="24"/>
          <w:szCs w:val="24"/>
        </w:rPr>
        <w:t>:</w:t>
      </w:r>
      <w:r w:rsidRPr="00607E42">
        <w:rPr>
          <w:rFonts w:ascii="Calibri" w:hAnsi="Calibri" w:cs="Calibri"/>
          <w:i/>
          <w:iCs/>
          <w:sz w:val="24"/>
          <w:szCs w:val="24"/>
        </w:rPr>
        <w:t xml:space="preserve"> Justifying the research approach</w:t>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t>page 10</w:t>
      </w:r>
      <w:r w:rsidR="001A5FDA">
        <w:rPr>
          <w:rFonts w:ascii="Calibri" w:hAnsi="Calibri" w:cs="Calibri"/>
          <w:i/>
          <w:iCs/>
          <w:sz w:val="24"/>
          <w:szCs w:val="24"/>
        </w:rPr>
        <w:t>9</w:t>
      </w:r>
    </w:p>
    <w:p w14:paraId="062EF964" w14:textId="0DD4A707" w:rsidR="00CA33E6" w:rsidRPr="00607E42" w:rsidRDefault="00CA33E6" w:rsidP="002F39C8">
      <w:pPr>
        <w:rPr>
          <w:rFonts w:ascii="Calibri" w:hAnsi="Calibri" w:cs="Calibri"/>
          <w:i/>
          <w:iCs/>
          <w:sz w:val="24"/>
          <w:szCs w:val="24"/>
        </w:rPr>
      </w:pPr>
      <w:r w:rsidRPr="00607E42">
        <w:rPr>
          <w:rFonts w:ascii="Calibri" w:hAnsi="Calibri" w:cs="Calibri"/>
          <w:i/>
          <w:iCs/>
          <w:sz w:val="24"/>
          <w:szCs w:val="24"/>
        </w:rPr>
        <w:t>Table 7</w:t>
      </w:r>
      <w:r w:rsidR="00B065E3">
        <w:rPr>
          <w:rFonts w:ascii="Calibri" w:hAnsi="Calibri" w:cs="Calibri"/>
          <w:i/>
          <w:iCs/>
          <w:sz w:val="24"/>
          <w:szCs w:val="24"/>
        </w:rPr>
        <w:t>:</w:t>
      </w:r>
      <w:r w:rsidRPr="00607E42">
        <w:rPr>
          <w:rFonts w:ascii="Calibri" w:hAnsi="Calibri" w:cs="Calibri"/>
          <w:i/>
          <w:iCs/>
          <w:sz w:val="24"/>
          <w:szCs w:val="24"/>
        </w:rPr>
        <w:t xml:space="preserve"> Data collection and analysis </w:t>
      </w:r>
      <w:r w:rsidR="00F55BA1" w:rsidRPr="00607E42">
        <w:rPr>
          <w:rFonts w:ascii="Calibri" w:hAnsi="Calibri" w:cs="Calibri"/>
          <w:i/>
          <w:iCs/>
          <w:sz w:val="24"/>
          <w:szCs w:val="24"/>
        </w:rPr>
        <w:t>methods</w:t>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2B20A8">
        <w:rPr>
          <w:rFonts w:ascii="Calibri" w:hAnsi="Calibri" w:cs="Calibri"/>
          <w:i/>
          <w:iCs/>
          <w:sz w:val="24"/>
          <w:szCs w:val="24"/>
        </w:rPr>
        <w:tab/>
      </w:r>
      <w:r w:rsidR="00940608">
        <w:rPr>
          <w:rFonts w:ascii="Calibri" w:hAnsi="Calibri" w:cs="Calibri"/>
          <w:i/>
          <w:iCs/>
          <w:sz w:val="24"/>
          <w:szCs w:val="24"/>
        </w:rPr>
        <w:t>page 1</w:t>
      </w:r>
      <w:r w:rsidR="00B11FC7">
        <w:rPr>
          <w:rFonts w:ascii="Calibri" w:hAnsi="Calibri" w:cs="Calibri"/>
          <w:i/>
          <w:iCs/>
          <w:sz w:val="24"/>
          <w:szCs w:val="24"/>
        </w:rPr>
        <w:t>2</w:t>
      </w:r>
      <w:r w:rsidR="001A5FDA">
        <w:rPr>
          <w:rFonts w:ascii="Calibri" w:hAnsi="Calibri" w:cs="Calibri"/>
          <w:i/>
          <w:iCs/>
          <w:sz w:val="24"/>
          <w:szCs w:val="24"/>
        </w:rPr>
        <w:t>2</w:t>
      </w:r>
    </w:p>
    <w:p w14:paraId="56CAD781" w14:textId="6E8F07D2" w:rsidR="00F55BA1" w:rsidRPr="00607E42" w:rsidRDefault="00F55BA1" w:rsidP="002F39C8">
      <w:pPr>
        <w:rPr>
          <w:rFonts w:ascii="Calibri" w:hAnsi="Calibri" w:cs="Calibri"/>
          <w:i/>
          <w:iCs/>
          <w:sz w:val="24"/>
          <w:szCs w:val="24"/>
        </w:rPr>
      </w:pPr>
      <w:r w:rsidRPr="00607E42">
        <w:rPr>
          <w:rFonts w:ascii="Calibri" w:hAnsi="Calibri" w:cs="Calibri"/>
          <w:i/>
          <w:iCs/>
          <w:sz w:val="24"/>
          <w:szCs w:val="24"/>
        </w:rPr>
        <w:t>Table 8</w:t>
      </w:r>
      <w:r w:rsidR="00B065E3">
        <w:rPr>
          <w:rFonts w:ascii="Calibri" w:hAnsi="Calibri" w:cs="Calibri"/>
          <w:i/>
          <w:iCs/>
          <w:sz w:val="24"/>
          <w:szCs w:val="24"/>
        </w:rPr>
        <w:t>:</w:t>
      </w:r>
      <w:r w:rsidRPr="00607E42">
        <w:rPr>
          <w:rFonts w:ascii="Calibri" w:hAnsi="Calibri" w:cs="Calibri"/>
          <w:i/>
          <w:iCs/>
          <w:sz w:val="24"/>
          <w:szCs w:val="24"/>
        </w:rPr>
        <w:t xml:space="preserve"> Participants’ biographical information</w:t>
      </w:r>
      <w:r w:rsidR="003D5E9D" w:rsidRPr="00607E42">
        <w:rPr>
          <w:rFonts w:ascii="Calibri" w:hAnsi="Calibri" w:cs="Calibri"/>
          <w:i/>
          <w:iCs/>
          <w:sz w:val="24"/>
          <w:szCs w:val="24"/>
        </w:rPr>
        <w:t xml:space="preserve"> journey</w:t>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t>page 1</w:t>
      </w:r>
      <w:r w:rsidR="00B11FC7">
        <w:rPr>
          <w:rFonts w:ascii="Calibri" w:hAnsi="Calibri" w:cs="Calibri"/>
          <w:i/>
          <w:iCs/>
          <w:sz w:val="24"/>
          <w:szCs w:val="24"/>
        </w:rPr>
        <w:t>2</w:t>
      </w:r>
      <w:r w:rsidR="001A5FDA">
        <w:rPr>
          <w:rFonts w:ascii="Calibri" w:hAnsi="Calibri" w:cs="Calibri"/>
          <w:i/>
          <w:iCs/>
          <w:sz w:val="24"/>
          <w:szCs w:val="24"/>
        </w:rPr>
        <w:t>4</w:t>
      </w:r>
    </w:p>
    <w:p w14:paraId="3C491704" w14:textId="21B845C1" w:rsidR="0018774E" w:rsidRPr="00607E42" w:rsidRDefault="0018774E" w:rsidP="002F39C8">
      <w:pPr>
        <w:rPr>
          <w:rFonts w:ascii="Calibri" w:hAnsi="Calibri" w:cs="Calibri"/>
          <w:i/>
          <w:iCs/>
          <w:sz w:val="24"/>
          <w:szCs w:val="24"/>
        </w:rPr>
      </w:pPr>
      <w:r w:rsidRPr="00607E42">
        <w:rPr>
          <w:rFonts w:ascii="Calibri" w:hAnsi="Calibri" w:cs="Calibri"/>
          <w:i/>
          <w:iCs/>
          <w:sz w:val="24"/>
          <w:szCs w:val="24"/>
        </w:rPr>
        <w:t>Table 9</w:t>
      </w:r>
      <w:r w:rsidR="00B065E3">
        <w:rPr>
          <w:rFonts w:ascii="Calibri" w:hAnsi="Calibri" w:cs="Calibri"/>
          <w:i/>
          <w:iCs/>
          <w:sz w:val="24"/>
          <w:szCs w:val="24"/>
        </w:rPr>
        <w:t>:</w:t>
      </w:r>
      <w:r w:rsidRPr="00607E42">
        <w:rPr>
          <w:rFonts w:ascii="Calibri" w:hAnsi="Calibri" w:cs="Calibri"/>
          <w:i/>
          <w:iCs/>
          <w:sz w:val="24"/>
          <w:szCs w:val="24"/>
        </w:rPr>
        <w:t xml:space="preserve"> Research questions</w:t>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r>
      <w:r w:rsidR="00940608">
        <w:rPr>
          <w:rFonts w:ascii="Calibri" w:hAnsi="Calibri" w:cs="Calibri"/>
          <w:i/>
          <w:iCs/>
          <w:sz w:val="24"/>
          <w:szCs w:val="24"/>
        </w:rPr>
        <w:tab/>
        <w:t>page</w:t>
      </w:r>
      <w:r w:rsidR="00783F8F">
        <w:rPr>
          <w:rFonts w:ascii="Calibri" w:hAnsi="Calibri" w:cs="Calibri"/>
          <w:i/>
          <w:iCs/>
          <w:sz w:val="24"/>
          <w:szCs w:val="24"/>
        </w:rPr>
        <w:t xml:space="preserve"> 1</w:t>
      </w:r>
      <w:r w:rsidR="001A5FDA">
        <w:rPr>
          <w:rFonts w:ascii="Calibri" w:hAnsi="Calibri" w:cs="Calibri"/>
          <w:i/>
          <w:iCs/>
          <w:sz w:val="24"/>
          <w:szCs w:val="24"/>
        </w:rPr>
        <w:t>30</w:t>
      </w:r>
    </w:p>
    <w:p w14:paraId="366D3F48" w14:textId="173B5CAE" w:rsidR="001E3DB4" w:rsidRPr="00607E42" w:rsidRDefault="001E3DB4" w:rsidP="002F39C8">
      <w:pPr>
        <w:rPr>
          <w:rFonts w:ascii="Calibri" w:hAnsi="Calibri" w:cs="Calibri"/>
          <w:i/>
          <w:iCs/>
          <w:sz w:val="24"/>
          <w:szCs w:val="24"/>
        </w:rPr>
      </w:pPr>
      <w:r w:rsidRPr="00607E42">
        <w:rPr>
          <w:rFonts w:ascii="Calibri" w:hAnsi="Calibri" w:cs="Calibri"/>
          <w:i/>
          <w:iCs/>
          <w:sz w:val="24"/>
          <w:szCs w:val="24"/>
        </w:rPr>
        <w:t>Table 10</w:t>
      </w:r>
      <w:r w:rsidR="00B065E3">
        <w:rPr>
          <w:rFonts w:ascii="Calibri" w:hAnsi="Calibri" w:cs="Calibri"/>
          <w:i/>
          <w:iCs/>
          <w:sz w:val="24"/>
          <w:szCs w:val="24"/>
        </w:rPr>
        <w:t>:</w:t>
      </w:r>
      <w:r w:rsidRPr="00607E42">
        <w:rPr>
          <w:rFonts w:ascii="Calibri" w:hAnsi="Calibri" w:cs="Calibri"/>
          <w:i/>
          <w:iCs/>
          <w:sz w:val="24"/>
          <w:szCs w:val="24"/>
        </w:rPr>
        <w:t xml:space="preserve"> Coding themes and subthemes</w:t>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t>page 1</w:t>
      </w:r>
      <w:r w:rsidR="00386E7E">
        <w:rPr>
          <w:rFonts w:ascii="Calibri" w:hAnsi="Calibri" w:cs="Calibri"/>
          <w:i/>
          <w:iCs/>
          <w:sz w:val="24"/>
          <w:szCs w:val="24"/>
        </w:rPr>
        <w:t>3</w:t>
      </w:r>
      <w:r w:rsidR="00140988">
        <w:rPr>
          <w:rFonts w:ascii="Calibri" w:hAnsi="Calibri" w:cs="Calibri"/>
          <w:i/>
          <w:iCs/>
          <w:sz w:val="24"/>
          <w:szCs w:val="24"/>
        </w:rPr>
        <w:t>2</w:t>
      </w:r>
    </w:p>
    <w:p w14:paraId="17952870" w14:textId="6DE07ED7" w:rsidR="001E3DB4" w:rsidRPr="00607E42" w:rsidRDefault="001E3DB4" w:rsidP="002F39C8">
      <w:pPr>
        <w:rPr>
          <w:rFonts w:ascii="Calibri" w:hAnsi="Calibri" w:cs="Calibri"/>
          <w:i/>
          <w:iCs/>
          <w:sz w:val="24"/>
          <w:szCs w:val="24"/>
        </w:rPr>
      </w:pPr>
      <w:r w:rsidRPr="00607E42">
        <w:rPr>
          <w:rFonts w:ascii="Calibri" w:hAnsi="Calibri" w:cs="Calibri"/>
          <w:i/>
          <w:iCs/>
          <w:sz w:val="24"/>
          <w:szCs w:val="24"/>
        </w:rPr>
        <w:t>Table 11</w:t>
      </w:r>
      <w:r w:rsidR="00B065E3">
        <w:rPr>
          <w:rFonts w:ascii="Calibri" w:hAnsi="Calibri" w:cs="Calibri"/>
          <w:i/>
          <w:iCs/>
          <w:sz w:val="24"/>
          <w:szCs w:val="24"/>
        </w:rPr>
        <w:t>:</w:t>
      </w:r>
      <w:r w:rsidR="0096707C" w:rsidRPr="00607E42">
        <w:rPr>
          <w:rFonts w:ascii="Calibri" w:hAnsi="Calibri" w:cs="Calibri"/>
          <w:i/>
          <w:iCs/>
          <w:sz w:val="24"/>
          <w:szCs w:val="24"/>
        </w:rPr>
        <w:t xml:space="preserve"> Summary of the findings</w:t>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r>
      <w:r w:rsidR="00783F8F">
        <w:rPr>
          <w:rFonts w:ascii="Calibri" w:hAnsi="Calibri" w:cs="Calibri"/>
          <w:i/>
          <w:iCs/>
          <w:sz w:val="24"/>
          <w:szCs w:val="24"/>
        </w:rPr>
        <w:tab/>
        <w:t xml:space="preserve">page </w:t>
      </w:r>
      <w:r w:rsidR="006C0667">
        <w:rPr>
          <w:rFonts w:ascii="Calibri" w:hAnsi="Calibri" w:cs="Calibri"/>
          <w:i/>
          <w:iCs/>
          <w:sz w:val="24"/>
          <w:szCs w:val="24"/>
        </w:rPr>
        <w:t>1</w:t>
      </w:r>
      <w:r w:rsidR="00386E7E">
        <w:rPr>
          <w:rFonts w:ascii="Calibri" w:hAnsi="Calibri" w:cs="Calibri"/>
          <w:i/>
          <w:iCs/>
          <w:sz w:val="24"/>
          <w:szCs w:val="24"/>
        </w:rPr>
        <w:t>6</w:t>
      </w:r>
      <w:r w:rsidR="00140988">
        <w:rPr>
          <w:rFonts w:ascii="Calibri" w:hAnsi="Calibri" w:cs="Calibri"/>
          <w:i/>
          <w:iCs/>
          <w:sz w:val="24"/>
          <w:szCs w:val="24"/>
        </w:rPr>
        <w:t>3</w:t>
      </w:r>
    </w:p>
    <w:p w14:paraId="0A10D6E3" w14:textId="333EE3F8" w:rsidR="0096707C" w:rsidRPr="00607E42" w:rsidRDefault="0096707C" w:rsidP="002F39C8">
      <w:pPr>
        <w:rPr>
          <w:rFonts w:ascii="Calibri" w:hAnsi="Calibri" w:cs="Calibri"/>
          <w:i/>
          <w:iCs/>
          <w:sz w:val="24"/>
          <w:szCs w:val="24"/>
        </w:rPr>
      </w:pPr>
      <w:r w:rsidRPr="00607E42">
        <w:rPr>
          <w:rFonts w:ascii="Calibri" w:hAnsi="Calibri" w:cs="Calibri"/>
          <w:i/>
          <w:iCs/>
          <w:sz w:val="24"/>
          <w:szCs w:val="24"/>
        </w:rPr>
        <w:t>Table 12</w:t>
      </w:r>
      <w:r w:rsidR="00B065E3">
        <w:rPr>
          <w:rFonts w:ascii="Calibri" w:hAnsi="Calibri" w:cs="Calibri"/>
          <w:i/>
          <w:iCs/>
          <w:sz w:val="24"/>
          <w:szCs w:val="24"/>
        </w:rPr>
        <w:t>:</w:t>
      </w:r>
      <w:r w:rsidRPr="00607E42">
        <w:rPr>
          <w:rFonts w:ascii="Calibri" w:hAnsi="Calibri" w:cs="Calibri"/>
          <w:i/>
          <w:iCs/>
          <w:sz w:val="24"/>
          <w:szCs w:val="24"/>
        </w:rPr>
        <w:t xml:space="preserve"> A selection of the participants’ </w:t>
      </w:r>
      <w:r w:rsidR="00530D0D" w:rsidRPr="00607E42">
        <w:rPr>
          <w:rFonts w:ascii="Calibri" w:hAnsi="Calibri" w:cs="Calibri"/>
          <w:i/>
          <w:iCs/>
          <w:sz w:val="24"/>
          <w:szCs w:val="24"/>
        </w:rPr>
        <w:t>final thoughts and reflections</w:t>
      </w:r>
      <w:r w:rsidR="0064675F">
        <w:rPr>
          <w:rFonts w:ascii="Calibri" w:hAnsi="Calibri" w:cs="Calibri"/>
          <w:i/>
          <w:iCs/>
          <w:sz w:val="24"/>
          <w:szCs w:val="24"/>
        </w:rPr>
        <w:tab/>
      </w:r>
      <w:r w:rsidR="0064675F">
        <w:rPr>
          <w:rFonts w:ascii="Calibri" w:hAnsi="Calibri" w:cs="Calibri"/>
          <w:i/>
          <w:iCs/>
          <w:sz w:val="24"/>
          <w:szCs w:val="24"/>
        </w:rPr>
        <w:tab/>
        <w:t>page 17</w:t>
      </w:r>
      <w:r w:rsidR="00140988">
        <w:rPr>
          <w:rFonts w:ascii="Calibri" w:hAnsi="Calibri" w:cs="Calibri"/>
          <w:i/>
          <w:iCs/>
          <w:sz w:val="24"/>
          <w:szCs w:val="24"/>
        </w:rPr>
        <w:t>8</w:t>
      </w:r>
    </w:p>
    <w:p w14:paraId="292F26E7" w14:textId="6F5A9947" w:rsidR="005419C0" w:rsidRPr="00607E42" w:rsidRDefault="00442570" w:rsidP="002F39C8">
      <w:pPr>
        <w:rPr>
          <w:rFonts w:ascii="Calibri" w:hAnsi="Calibri" w:cs="Calibri"/>
          <w:i/>
          <w:iCs/>
          <w:sz w:val="24"/>
          <w:szCs w:val="24"/>
        </w:rPr>
      </w:pPr>
      <w:r w:rsidRPr="00607E42">
        <w:rPr>
          <w:rFonts w:ascii="Calibri" w:hAnsi="Calibri" w:cs="Calibri"/>
          <w:i/>
          <w:iCs/>
          <w:sz w:val="24"/>
          <w:szCs w:val="24"/>
        </w:rPr>
        <w:t>Table 13</w:t>
      </w:r>
      <w:r w:rsidR="00B065E3">
        <w:rPr>
          <w:rFonts w:ascii="Calibri" w:hAnsi="Calibri" w:cs="Calibri"/>
          <w:i/>
          <w:iCs/>
          <w:sz w:val="24"/>
          <w:szCs w:val="24"/>
        </w:rPr>
        <w:t>:</w:t>
      </w:r>
      <w:r w:rsidRPr="00607E42">
        <w:rPr>
          <w:rFonts w:ascii="Calibri" w:hAnsi="Calibri" w:cs="Calibri"/>
          <w:i/>
          <w:iCs/>
          <w:sz w:val="24"/>
          <w:szCs w:val="24"/>
        </w:rPr>
        <w:t xml:space="preserve"> Gaps identified</w:t>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r>
      <w:r w:rsidR="0064675F">
        <w:rPr>
          <w:rFonts w:ascii="Calibri" w:hAnsi="Calibri" w:cs="Calibri"/>
          <w:i/>
          <w:iCs/>
          <w:sz w:val="24"/>
          <w:szCs w:val="24"/>
        </w:rPr>
        <w:tab/>
        <w:t>page 17</w:t>
      </w:r>
      <w:r w:rsidR="00140988">
        <w:rPr>
          <w:rFonts w:ascii="Calibri" w:hAnsi="Calibri" w:cs="Calibri"/>
          <w:i/>
          <w:iCs/>
          <w:sz w:val="24"/>
          <w:szCs w:val="24"/>
        </w:rPr>
        <w:t>9</w:t>
      </w:r>
    </w:p>
    <w:p w14:paraId="3F852A88" w14:textId="6CDBC2C3" w:rsidR="00442570" w:rsidRPr="00607E42" w:rsidRDefault="00442570" w:rsidP="002F39C8">
      <w:pPr>
        <w:rPr>
          <w:rFonts w:ascii="Calibri" w:hAnsi="Calibri" w:cs="Calibri"/>
          <w:i/>
          <w:iCs/>
          <w:sz w:val="24"/>
          <w:szCs w:val="24"/>
        </w:rPr>
      </w:pPr>
      <w:r w:rsidRPr="00607E42">
        <w:rPr>
          <w:rFonts w:ascii="Calibri" w:hAnsi="Calibri" w:cs="Calibri"/>
          <w:i/>
          <w:iCs/>
          <w:sz w:val="24"/>
          <w:szCs w:val="24"/>
        </w:rPr>
        <w:t>Table 14</w:t>
      </w:r>
      <w:r w:rsidR="00B065E3">
        <w:rPr>
          <w:rFonts w:ascii="Calibri" w:hAnsi="Calibri" w:cs="Calibri"/>
          <w:i/>
          <w:iCs/>
          <w:sz w:val="24"/>
          <w:szCs w:val="24"/>
        </w:rPr>
        <w:t>:</w:t>
      </w:r>
      <w:r w:rsidRPr="00607E42">
        <w:rPr>
          <w:rFonts w:ascii="Calibri" w:hAnsi="Calibri" w:cs="Calibri"/>
          <w:i/>
          <w:iCs/>
          <w:sz w:val="24"/>
          <w:szCs w:val="24"/>
        </w:rPr>
        <w:t xml:space="preserve"> Relational features of the HE teacher</w:t>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t>page 1</w:t>
      </w:r>
      <w:r w:rsidR="00394367">
        <w:rPr>
          <w:rFonts w:ascii="Calibri" w:hAnsi="Calibri" w:cs="Calibri"/>
          <w:i/>
          <w:iCs/>
          <w:sz w:val="24"/>
          <w:szCs w:val="24"/>
        </w:rPr>
        <w:t>8</w:t>
      </w:r>
      <w:r w:rsidR="00140988">
        <w:rPr>
          <w:rFonts w:ascii="Calibri" w:hAnsi="Calibri" w:cs="Calibri"/>
          <w:i/>
          <w:iCs/>
          <w:sz w:val="24"/>
          <w:szCs w:val="24"/>
        </w:rPr>
        <w:t>4</w:t>
      </w:r>
    </w:p>
    <w:p w14:paraId="542482EA" w14:textId="32CBB3CF" w:rsidR="00442570" w:rsidRDefault="00204AD3" w:rsidP="002F39C8">
      <w:pPr>
        <w:rPr>
          <w:rFonts w:ascii="Calibri" w:hAnsi="Calibri" w:cs="Calibri"/>
          <w:i/>
          <w:iCs/>
          <w:sz w:val="24"/>
          <w:szCs w:val="24"/>
        </w:rPr>
      </w:pPr>
      <w:r w:rsidRPr="00607E42">
        <w:rPr>
          <w:rFonts w:ascii="Calibri" w:hAnsi="Calibri" w:cs="Calibri"/>
          <w:i/>
          <w:iCs/>
          <w:sz w:val="24"/>
          <w:szCs w:val="24"/>
        </w:rPr>
        <w:t>Table 15</w:t>
      </w:r>
      <w:r w:rsidR="00B065E3">
        <w:rPr>
          <w:rFonts w:ascii="Calibri" w:hAnsi="Calibri" w:cs="Calibri"/>
          <w:i/>
          <w:iCs/>
          <w:sz w:val="24"/>
          <w:szCs w:val="24"/>
        </w:rPr>
        <w:t>:</w:t>
      </w:r>
      <w:r w:rsidRPr="00607E42">
        <w:rPr>
          <w:rFonts w:ascii="Calibri" w:hAnsi="Calibri" w:cs="Calibri"/>
          <w:i/>
          <w:iCs/>
          <w:sz w:val="24"/>
          <w:szCs w:val="24"/>
        </w:rPr>
        <w:t xml:space="preserve"> </w:t>
      </w:r>
      <w:r w:rsidR="00B761E4" w:rsidRPr="00607E42">
        <w:rPr>
          <w:rFonts w:ascii="Calibri" w:hAnsi="Calibri" w:cs="Calibri"/>
          <w:i/>
          <w:iCs/>
          <w:sz w:val="24"/>
          <w:szCs w:val="24"/>
        </w:rPr>
        <w:t>Participants</w:t>
      </w:r>
      <w:r w:rsidR="002D76A3">
        <w:rPr>
          <w:rFonts w:ascii="Calibri" w:hAnsi="Calibri" w:cs="Calibri"/>
          <w:i/>
          <w:iCs/>
          <w:sz w:val="24"/>
          <w:szCs w:val="24"/>
        </w:rPr>
        <w:t>’</w:t>
      </w:r>
      <w:r w:rsidRPr="00607E42">
        <w:rPr>
          <w:rFonts w:ascii="Calibri" w:hAnsi="Calibri" w:cs="Calibri"/>
          <w:i/>
          <w:iCs/>
          <w:sz w:val="24"/>
          <w:szCs w:val="24"/>
        </w:rPr>
        <w:t xml:space="preserve"> specified holding framework</w:t>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t xml:space="preserve">page </w:t>
      </w:r>
      <w:r w:rsidR="00394367">
        <w:rPr>
          <w:rFonts w:ascii="Calibri" w:hAnsi="Calibri" w:cs="Calibri"/>
          <w:i/>
          <w:iCs/>
          <w:sz w:val="24"/>
          <w:szCs w:val="24"/>
        </w:rPr>
        <w:t>20</w:t>
      </w:r>
      <w:r w:rsidR="00140988">
        <w:rPr>
          <w:rFonts w:ascii="Calibri" w:hAnsi="Calibri" w:cs="Calibri"/>
          <w:i/>
          <w:iCs/>
          <w:sz w:val="24"/>
          <w:szCs w:val="24"/>
        </w:rPr>
        <w:t>2</w:t>
      </w:r>
    </w:p>
    <w:p w14:paraId="32027BD1" w14:textId="4B496C2E" w:rsidR="00B761E4" w:rsidRDefault="00B761E4" w:rsidP="002F39C8">
      <w:pPr>
        <w:rPr>
          <w:rFonts w:ascii="Calibri" w:hAnsi="Calibri" w:cs="Calibri"/>
          <w:i/>
          <w:iCs/>
          <w:sz w:val="24"/>
          <w:szCs w:val="24"/>
        </w:rPr>
      </w:pPr>
      <w:r>
        <w:rPr>
          <w:rFonts w:ascii="Calibri" w:hAnsi="Calibri" w:cs="Calibri"/>
          <w:i/>
          <w:iCs/>
          <w:sz w:val="24"/>
          <w:szCs w:val="24"/>
        </w:rPr>
        <w:t>Table 16</w:t>
      </w:r>
      <w:r w:rsidR="00B065E3">
        <w:rPr>
          <w:rFonts w:ascii="Calibri" w:hAnsi="Calibri" w:cs="Calibri"/>
          <w:i/>
          <w:iCs/>
          <w:sz w:val="24"/>
          <w:szCs w:val="24"/>
        </w:rPr>
        <w:t>:</w:t>
      </w:r>
      <w:r>
        <w:rPr>
          <w:rFonts w:ascii="Calibri" w:hAnsi="Calibri" w:cs="Calibri"/>
          <w:i/>
          <w:iCs/>
          <w:sz w:val="24"/>
          <w:szCs w:val="24"/>
        </w:rPr>
        <w:t xml:space="preserve"> Research Aims</w:t>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r>
      <w:r w:rsidR="006A340E">
        <w:rPr>
          <w:rFonts w:ascii="Calibri" w:hAnsi="Calibri" w:cs="Calibri"/>
          <w:i/>
          <w:iCs/>
          <w:sz w:val="24"/>
          <w:szCs w:val="24"/>
        </w:rPr>
        <w:tab/>
        <w:t>page 20</w:t>
      </w:r>
      <w:r w:rsidR="00140988">
        <w:rPr>
          <w:rFonts w:ascii="Calibri" w:hAnsi="Calibri" w:cs="Calibri"/>
          <w:i/>
          <w:iCs/>
          <w:sz w:val="24"/>
          <w:szCs w:val="24"/>
        </w:rPr>
        <w:t>9</w:t>
      </w:r>
    </w:p>
    <w:p w14:paraId="7414EC8F" w14:textId="4F5D99D7" w:rsidR="00B761E4" w:rsidRDefault="00B761E4" w:rsidP="002F39C8">
      <w:pPr>
        <w:rPr>
          <w:rFonts w:ascii="Calibri" w:hAnsi="Calibri" w:cs="Calibri"/>
          <w:i/>
          <w:iCs/>
          <w:sz w:val="24"/>
          <w:szCs w:val="24"/>
        </w:rPr>
      </w:pPr>
      <w:r>
        <w:rPr>
          <w:rFonts w:ascii="Calibri" w:hAnsi="Calibri" w:cs="Calibri"/>
          <w:i/>
          <w:iCs/>
          <w:sz w:val="24"/>
          <w:szCs w:val="24"/>
        </w:rPr>
        <w:t>Table 17</w:t>
      </w:r>
      <w:r w:rsidR="00B065E3">
        <w:rPr>
          <w:rFonts w:ascii="Calibri" w:hAnsi="Calibri" w:cs="Calibri"/>
          <w:i/>
          <w:iCs/>
          <w:sz w:val="24"/>
          <w:szCs w:val="24"/>
        </w:rPr>
        <w:t>:</w:t>
      </w:r>
      <w:r>
        <w:rPr>
          <w:rFonts w:ascii="Calibri" w:hAnsi="Calibri" w:cs="Calibri"/>
          <w:i/>
          <w:iCs/>
          <w:sz w:val="24"/>
          <w:szCs w:val="24"/>
        </w:rPr>
        <w:t xml:space="preserve"> Contributions to practice</w:t>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t>page 2</w:t>
      </w:r>
      <w:r w:rsidR="001977E7">
        <w:rPr>
          <w:rFonts w:ascii="Calibri" w:hAnsi="Calibri" w:cs="Calibri"/>
          <w:i/>
          <w:iCs/>
          <w:sz w:val="24"/>
          <w:szCs w:val="24"/>
        </w:rPr>
        <w:t>1</w:t>
      </w:r>
      <w:r w:rsidR="00D14888">
        <w:rPr>
          <w:rFonts w:ascii="Calibri" w:hAnsi="Calibri" w:cs="Calibri"/>
          <w:i/>
          <w:iCs/>
          <w:sz w:val="24"/>
          <w:szCs w:val="24"/>
        </w:rPr>
        <w:t>4</w:t>
      </w:r>
    </w:p>
    <w:p w14:paraId="1ECDB1A9" w14:textId="3DB35623" w:rsidR="00B761E4" w:rsidRDefault="00E90651" w:rsidP="002F39C8">
      <w:pPr>
        <w:rPr>
          <w:rFonts w:ascii="Calibri" w:hAnsi="Calibri" w:cs="Calibri"/>
          <w:i/>
          <w:iCs/>
          <w:sz w:val="24"/>
          <w:szCs w:val="24"/>
        </w:rPr>
      </w:pPr>
      <w:r>
        <w:rPr>
          <w:rFonts w:ascii="Calibri" w:hAnsi="Calibri" w:cs="Calibri"/>
          <w:i/>
          <w:iCs/>
          <w:sz w:val="24"/>
          <w:szCs w:val="24"/>
        </w:rPr>
        <w:t>Table 18</w:t>
      </w:r>
      <w:r w:rsidR="00B065E3">
        <w:rPr>
          <w:rFonts w:ascii="Calibri" w:hAnsi="Calibri" w:cs="Calibri"/>
          <w:i/>
          <w:iCs/>
          <w:sz w:val="24"/>
          <w:szCs w:val="24"/>
        </w:rPr>
        <w:t>:</w:t>
      </w:r>
      <w:r>
        <w:rPr>
          <w:rFonts w:ascii="Calibri" w:hAnsi="Calibri" w:cs="Calibri"/>
          <w:i/>
          <w:iCs/>
          <w:sz w:val="24"/>
          <w:szCs w:val="24"/>
        </w:rPr>
        <w:t xml:space="preserve"> Broad applications to practice recommendations</w:t>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t>page 2</w:t>
      </w:r>
      <w:r w:rsidR="001977E7">
        <w:rPr>
          <w:rFonts w:ascii="Calibri" w:hAnsi="Calibri" w:cs="Calibri"/>
          <w:i/>
          <w:iCs/>
          <w:sz w:val="24"/>
          <w:szCs w:val="24"/>
        </w:rPr>
        <w:t>1</w:t>
      </w:r>
      <w:r w:rsidR="00D14888">
        <w:rPr>
          <w:rFonts w:ascii="Calibri" w:hAnsi="Calibri" w:cs="Calibri"/>
          <w:i/>
          <w:iCs/>
          <w:sz w:val="24"/>
          <w:szCs w:val="24"/>
        </w:rPr>
        <w:t>6</w:t>
      </w:r>
    </w:p>
    <w:p w14:paraId="47D11086" w14:textId="5CE3B5B2" w:rsidR="00E90651" w:rsidRDefault="006F447C" w:rsidP="002F39C8">
      <w:pPr>
        <w:rPr>
          <w:rFonts w:ascii="Calibri" w:hAnsi="Calibri" w:cs="Calibri"/>
          <w:i/>
          <w:iCs/>
          <w:sz w:val="24"/>
          <w:szCs w:val="24"/>
        </w:rPr>
      </w:pPr>
      <w:r>
        <w:rPr>
          <w:rFonts w:ascii="Calibri" w:hAnsi="Calibri" w:cs="Calibri"/>
          <w:i/>
          <w:iCs/>
          <w:sz w:val="24"/>
          <w:szCs w:val="24"/>
        </w:rPr>
        <w:t>Table 19</w:t>
      </w:r>
      <w:r w:rsidR="00B065E3">
        <w:rPr>
          <w:rFonts w:ascii="Calibri" w:hAnsi="Calibri" w:cs="Calibri"/>
          <w:i/>
          <w:iCs/>
          <w:sz w:val="24"/>
          <w:szCs w:val="24"/>
        </w:rPr>
        <w:t>:</w:t>
      </w:r>
      <w:r>
        <w:rPr>
          <w:rFonts w:ascii="Calibri" w:hAnsi="Calibri" w:cs="Calibri"/>
          <w:i/>
          <w:iCs/>
          <w:sz w:val="24"/>
          <w:szCs w:val="24"/>
        </w:rPr>
        <w:t xml:space="preserve"> Information found, and information yet to be explored</w:t>
      </w:r>
      <w:r w:rsidR="00130D34">
        <w:rPr>
          <w:rFonts w:ascii="Calibri" w:hAnsi="Calibri" w:cs="Calibri"/>
          <w:i/>
          <w:iCs/>
          <w:sz w:val="24"/>
          <w:szCs w:val="24"/>
        </w:rPr>
        <w:tab/>
      </w:r>
      <w:r w:rsidR="00130D34">
        <w:rPr>
          <w:rFonts w:ascii="Calibri" w:hAnsi="Calibri" w:cs="Calibri"/>
          <w:i/>
          <w:iCs/>
          <w:sz w:val="24"/>
          <w:szCs w:val="24"/>
        </w:rPr>
        <w:tab/>
      </w:r>
      <w:r w:rsidR="00130D34">
        <w:rPr>
          <w:rFonts w:ascii="Calibri" w:hAnsi="Calibri" w:cs="Calibri"/>
          <w:i/>
          <w:iCs/>
          <w:sz w:val="24"/>
          <w:szCs w:val="24"/>
        </w:rPr>
        <w:tab/>
      </w:r>
      <w:r w:rsidR="004B6863">
        <w:rPr>
          <w:rFonts w:ascii="Calibri" w:hAnsi="Calibri" w:cs="Calibri"/>
          <w:i/>
          <w:iCs/>
          <w:sz w:val="24"/>
          <w:szCs w:val="24"/>
        </w:rPr>
        <w:t>page 2</w:t>
      </w:r>
      <w:r w:rsidR="00D14888">
        <w:rPr>
          <w:rFonts w:ascii="Calibri" w:hAnsi="Calibri" w:cs="Calibri"/>
          <w:i/>
          <w:iCs/>
          <w:sz w:val="24"/>
          <w:szCs w:val="24"/>
        </w:rPr>
        <w:t>2</w:t>
      </w:r>
      <w:r w:rsidR="0034430F">
        <w:rPr>
          <w:rFonts w:ascii="Calibri" w:hAnsi="Calibri" w:cs="Calibri"/>
          <w:i/>
          <w:iCs/>
          <w:sz w:val="24"/>
          <w:szCs w:val="24"/>
        </w:rPr>
        <w:t>1</w:t>
      </w:r>
    </w:p>
    <w:p w14:paraId="175EAE4A" w14:textId="0C2E84AC" w:rsidR="00436EA2" w:rsidRDefault="00436EA2" w:rsidP="002F39C8">
      <w:pPr>
        <w:rPr>
          <w:rFonts w:ascii="Calibri" w:hAnsi="Calibri" w:cs="Calibri"/>
          <w:i/>
          <w:iCs/>
          <w:sz w:val="24"/>
          <w:szCs w:val="24"/>
        </w:rPr>
      </w:pPr>
      <w:r>
        <w:rPr>
          <w:rFonts w:ascii="Calibri" w:hAnsi="Calibri" w:cs="Calibri"/>
          <w:i/>
          <w:iCs/>
          <w:sz w:val="24"/>
          <w:szCs w:val="24"/>
        </w:rPr>
        <w:t>Table 20</w:t>
      </w:r>
      <w:r w:rsidR="00B065E3">
        <w:rPr>
          <w:rFonts w:ascii="Calibri" w:hAnsi="Calibri" w:cs="Calibri"/>
          <w:i/>
          <w:iCs/>
          <w:sz w:val="24"/>
          <w:szCs w:val="24"/>
        </w:rPr>
        <w:t>:</w:t>
      </w:r>
      <w:r>
        <w:rPr>
          <w:rFonts w:ascii="Calibri" w:hAnsi="Calibri" w:cs="Calibri"/>
          <w:i/>
          <w:iCs/>
          <w:sz w:val="24"/>
          <w:szCs w:val="24"/>
        </w:rPr>
        <w:t xml:space="preserve"> Periodisation</w:t>
      </w:r>
      <w:r w:rsidR="004848E0">
        <w:rPr>
          <w:rFonts w:ascii="Calibri" w:hAnsi="Calibri" w:cs="Calibri"/>
          <w:i/>
          <w:iCs/>
          <w:sz w:val="24"/>
          <w:szCs w:val="24"/>
        </w:rPr>
        <w:t xml:space="preserve"> table of reflection</w:t>
      </w:r>
      <w:r w:rsidR="00183A68">
        <w:rPr>
          <w:rFonts w:ascii="Calibri" w:hAnsi="Calibri" w:cs="Calibri"/>
          <w:i/>
          <w:iCs/>
          <w:sz w:val="24"/>
          <w:szCs w:val="24"/>
        </w:rPr>
        <w:tab/>
      </w:r>
      <w:r w:rsidR="00183A68">
        <w:rPr>
          <w:rFonts w:ascii="Calibri" w:hAnsi="Calibri" w:cs="Calibri"/>
          <w:i/>
          <w:iCs/>
          <w:sz w:val="24"/>
          <w:szCs w:val="24"/>
        </w:rPr>
        <w:tab/>
      </w:r>
      <w:r w:rsidR="00183A68">
        <w:rPr>
          <w:rFonts w:ascii="Calibri" w:hAnsi="Calibri" w:cs="Calibri"/>
          <w:i/>
          <w:iCs/>
          <w:sz w:val="24"/>
          <w:szCs w:val="24"/>
        </w:rPr>
        <w:tab/>
      </w:r>
      <w:r w:rsidR="00183A68">
        <w:rPr>
          <w:rFonts w:ascii="Calibri" w:hAnsi="Calibri" w:cs="Calibri"/>
          <w:i/>
          <w:iCs/>
          <w:sz w:val="24"/>
          <w:szCs w:val="24"/>
        </w:rPr>
        <w:tab/>
      </w:r>
      <w:r w:rsidR="00183A68">
        <w:rPr>
          <w:rFonts w:ascii="Calibri" w:hAnsi="Calibri" w:cs="Calibri"/>
          <w:i/>
          <w:iCs/>
          <w:sz w:val="24"/>
          <w:szCs w:val="24"/>
        </w:rPr>
        <w:tab/>
      </w:r>
      <w:r w:rsidR="00183A68">
        <w:rPr>
          <w:rFonts w:ascii="Calibri" w:hAnsi="Calibri" w:cs="Calibri"/>
          <w:i/>
          <w:iCs/>
          <w:sz w:val="24"/>
          <w:szCs w:val="24"/>
        </w:rPr>
        <w:tab/>
        <w:t>page 30</w:t>
      </w:r>
      <w:r w:rsidR="00824A2E" w:rsidRPr="00824A2E">
        <w:rPr>
          <w:rFonts w:ascii="Calibri" w:hAnsi="Calibri" w:cs="Calibri"/>
          <w:sz w:val="24"/>
          <w:szCs w:val="24"/>
        </w:rPr>
        <w:t>9</w:t>
      </w:r>
    </w:p>
    <w:p w14:paraId="698F4215" w14:textId="11914E40" w:rsidR="00A601E3" w:rsidRDefault="00A601E3" w:rsidP="002F39C8">
      <w:pPr>
        <w:rPr>
          <w:rFonts w:ascii="Calibri" w:hAnsi="Calibri" w:cs="Calibri"/>
          <w:i/>
          <w:iCs/>
          <w:sz w:val="24"/>
          <w:szCs w:val="24"/>
        </w:rPr>
      </w:pPr>
      <w:r>
        <w:rPr>
          <w:rFonts w:ascii="Calibri" w:hAnsi="Calibri" w:cs="Calibri"/>
          <w:i/>
          <w:iCs/>
          <w:sz w:val="24"/>
          <w:szCs w:val="24"/>
        </w:rPr>
        <w:t>Table 2</w:t>
      </w:r>
      <w:r w:rsidR="004B6863">
        <w:rPr>
          <w:rFonts w:ascii="Calibri" w:hAnsi="Calibri" w:cs="Calibri"/>
          <w:i/>
          <w:iCs/>
          <w:sz w:val="24"/>
          <w:szCs w:val="24"/>
        </w:rPr>
        <w:t>1</w:t>
      </w:r>
      <w:r w:rsidR="00B065E3">
        <w:rPr>
          <w:rFonts w:ascii="Calibri" w:hAnsi="Calibri" w:cs="Calibri"/>
          <w:i/>
          <w:iCs/>
          <w:sz w:val="24"/>
          <w:szCs w:val="24"/>
        </w:rPr>
        <w:t>:</w:t>
      </w:r>
      <w:r>
        <w:rPr>
          <w:rFonts w:ascii="Calibri" w:hAnsi="Calibri" w:cs="Calibri"/>
          <w:i/>
          <w:iCs/>
          <w:sz w:val="24"/>
          <w:szCs w:val="24"/>
        </w:rPr>
        <w:t xml:space="preserve"> Braun and Clarke’s </w:t>
      </w:r>
      <w:r w:rsidR="00FC79E7">
        <w:rPr>
          <w:rFonts w:ascii="Calibri" w:hAnsi="Calibri" w:cs="Calibri"/>
          <w:i/>
          <w:iCs/>
          <w:sz w:val="24"/>
          <w:szCs w:val="24"/>
        </w:rPr>
        <w:t>Thematic Analysis</w:t>
      </w:r>
      <w:r w:rsidR="001953CA">
        <w:rPr>
          <w:rFonts w:ascii="Calibri" w:hAnsi="Calibri" w:cs="Calibri"/>
          <w:i/>
          <w:iCs/>
          <w:sz w:val="24"/>
          <w:szCs w:val="24"/>
        </w:rPr>
        <w:tab/>
      </w:r>
      <w:r w:rsidR="001953CA">
        <w:rPr>
          <w:rFonts w:ascii="Calibri" w:hAnsi="Calibri" w:cs="Calibri"/>
          <w:i/>
          <w:iCs/>
          <w:sz w:val="24"/>
          <w:szCs w:val="24"/>
        </w:rPr>
        <w:tab/>
      </w:r>
      <w:r w:rsidR="001953CA">
        <w:rPr>
          <w:rFonts w:ascii="Calibri" w:hAnsi="Calibri" w:cs="Calibri"/>
          <w:i/>
          <w:iCs/>
          <w:sz w:val="24"/>
          <w:szCs w:val="24"/>
        </w:rPr>
        <w:tab/>
      </w:r>
      <w:r w:rsidR="001953CA">
        <w:rPr>
          <w:rFonts w:ascii="Calibri" w:hAnsi="Calibri" w:cs="Calibri"/>
          <w:i/>
          <w:iCs/>
          <w:sz w:val="24"/>
          <w:szCs w:val="24"/>
        </w:rPr>
        <w:tab/>
      </w:r>
      <w:r w:rsidR="001953CA">
        <w:rPr>
          <w:rFonts w:ascii="Calibri" w:hAnsi="Calibri" w:cs="Calibri"/>
          <w:i/>
          <w:iCs/>
          <w:sz w:val="24"/>
          <w:szCs w:val="24"/>
        </w:rPr>
        <w:tab/>
        <w:t xml:space="preserve">page </w:t>
      </w:r>
      <w:r w:rsidR="0010755D">
        <w:rPr>
          <w:rFonts w:ascii="Calibri" w:hAnsi="Calibri" w:cs="Calibri"/>
          <w:i/>
          <w:iCs/>
          <w:sz w:val="24"/>
          <w:szCs w:val="24"/>
        </w:rPr>
        <w:t>3</w:t>
      </w:r>
      <w:r w:rsidR="00D14888">
        <w:rPr>
          <w:rFonts w:ascii="Calibri" w:hAnsi="Calibri" w:cs="Calibri"/>
          <w:i/>
          <w:iCs/>
          <w:sz w:val="24"/>
          <w:szCs w:val="24"/>
        </w:rPr>
        <w:t>3</w:t>
      </w:r>
      <w:r w:rsidR="00824A2E">
        <w:rPr>
          <w:rFonts w:ascii="Calibri" w:hAnsi="Calibri" w:cs="Calibri"/>
          <w:i/>
          <w:iCs/>
          <w:sz w:val="24"/>
          <w:szCs w:val="24"/>
        </w:rPr>
        <w:t>2</w:t>
      </w:r>
    </w:p>
    <w:p w14:paraId="03E64734" w14:textId="28E0489B" w:rsidR="00A408DB" w:rsidRPr="00D46F8D" w:rsidRDefault="00FC79E7" w:rsidP="00D46F8D">
      <w:pPr>
        <w:rPr>
          <w:rFonts w:ascii="Calibri" w:hAnsi="Calibri" w:cs="Calibri"/>
          <w:i/>
          <w:iCs/>
          <w:sz w:val="24"/>
          <w:szCs w:val="24"/>
        </w:rPr>
      </w:pPr>
      <w:r>
        <w:rPr>
          <w:rFonts w:ascii="Calibri" w:hAnsi="Calibri" w:cs="Calibri"/>
          <w:i/>
          <w:iCs/>
          <w:sz w:val="24"/>
          <w:szCs w:val="24"/>
        </w:rPr>
        <w:t>Table 2</w:t>
      </w:r>
      <w:r w:rsidR="004B6863">
        <w:rPr>
          <w:rFonts w:ascii="Calibri" w:hAnsi="Calibri" w:cs="Calibri"/>
          <w:i/>
          <w:iCs/>
          <w:sz w:val="24"/>
          <w:szCs w:val="24"/>
        </w:rPr>
        <w:t>2</w:t>
      </w:r>
      <w:r w:rsidR="00B065E3">
        <w:rPr>
          <w:rFonts w:ascii="Calibri" w:hAnsi="Calibri" w:cs="Calibri"/>
          <w:i/>
          <w:iCs/>
          <w:sz w:val="24"/>
          <w:szCs w:val="24"/>
        </w:rPr>
        <w:t>:</w:t>
      </w:r>
      <w:r>
        <w:rPr>
          <w:rFonts w:ascii="Calibri" w:hAnsi="Calibri" w:cs="Calibri"/>
          <w:i/>
          <w:iCs/>
          <w:sz w:val="24"/>
          <w:szCs w:val="24"/>
        </w:rPr>
        <w:t xml:space="preserve"> Samples of Supervision Trainings</w:t>
      </w:r>
      <w:r w:rsidR="004848E0">
        <w:rPr>
          <w:rFonts w:ascii="Calibri" w:hAnsi="Calibri" w:cs="Calibri"/>
          <w:i/>
          <w:iCs/>
          <w:sz w:val="24"/>
          <w:szCs w:val="24"/>
        </w:rPr>
        <w:tab/>
      </w:r>
      <w:r w:rsidR="004848E0">
        <w:rPr>
          <w:rFonts w:ascii="Calibri" w:hAnsi="Calibri" w:cs="Calibri"/>
          <w:i/>
          <w:iCs/>
          <w:sz w:val="24"/>
          <w:szCs w:val="24"/>
        </w:rPr>
        <w:tab/>
      </w:r>
      <w:r w:rsidR="004848E0">
        <w:rPr>
          <w:rFonts w:ascii="Calibri" w:hAnsi="Calibri" w:cs="Calibri"/>
          <w:i/>
          <w:iCs/>
          <w:sz w:val="24"/>
          <w:szCs w:val="24"/>
        </w:rPr>
        <w:tab/>
      </w:r>
      <w:r w:rsidR="004848E0">
        <w:rPr>
          <w:rFonts w:ascii="Calibri" w:hAnsi="Calibri" w:cs="Calibri"/>
          <w:i/>
          <w:iCs/>
          <w:sz w:val="24"/>
          <w:szCs w:val="24"/>
        </w:rPr>
        <w:tab/>
      </w:r>
      <w:r w:rsidR="004848E0">
        <w:rPr>
          <w:rFonts w:ascii="Calibri" w:hAnsi="Calibri" w:cs="Calibri"/>
          <w:i/>
          <w:iCs/>
          <w:sz w:val="24"/>
          <w:szCs w:val="24"/>
        </w:rPr>
        <w:tab/>
      </w:r>
      <w:r w:rsidR="004848E0">
        <w:rPr>
          <w:rFonts w:ascii="Calibri" w:hAnsi="Calibri" w:cs="Calibri"/>
          <w:i/>
          <w:iCs/>
          <w:sz w:val="24"/>
          <w:szCs w:val="24"/>
        </w:rPr>
        <w:tab/>
        <w:t>page 3</w:t>
      </w:r>
      <w:r w:rsidR="00381E73">
        <w:rPr>
          <w:rFonts w:ascii="Calibri" w:hAnsi="Calibri" w:cs="Calibri"/>
          <w:i/>
          <w:iCs/>
          <w:sz w:val="24"/>
          <w:szCs w:val="24"/>
        </w:rPr>
        <w:t>4</w:t>
      </w:r>
      <w:r w:rsidR="004B6B44">
        <w:rPr>
          <w:rFonts w:ascii="Calibri" w:hAnsi="Calibri" w:cs="Calibri"/>
          <w:i/>
          <w:iCs/>
          <w:sz w:val="24"/>
          <w:szCs w:val="24"/>
        </w:rPr>
        <w:t>4</w:t>
      </w:r>
    </w:p>
    <w:p w14:paraId="094C3CA9" w14:textId="77777777" w:rsidR="00EF755F" w:rsidRDefault="00EF755F" w:rsidP="008E5EEC">
      <w:pPr>
        <w:ind w:left="2160" w:firstLine="720"/>
        <w:rPr>
          <w:rFonts w:cstheme="minorHAnsi"/>
          <w:b/>
          <w:bCs/>
          <w:sz w:val="28"/>
          <w:szCs w:val="28"/>
        </w:rPr>
      </w:pPr>
    </w:p>
    <w:p w14:paraId="73A5423A" w14:textId="77777777" w:rsidR="00EF755F" w:rsidRDefault="00EF755F" w:rsidP="008E5EEC">
      <w:pPr>
        <w:ind w:left="2160" w:firstLine="720"/>
        <w:rPr>
          <w:rFonts w:cstheme="minorHAnsi"/>
          <w:b/>
          <w:bCs/>
          <w:sz w:val="28"/>
          <w:szCs w:val="28"/>
        </w:rPr>
      </w:pPr>
    </w:p>
    <w:p w14:paraId="35F8D6C4" w14:textId="77777777" w:rsidR="00EF755F" w:rsidRDefault="00EF755F" w:rsidP="008E5EEC">
      <w:pPr>
        <w:ind w:left="2160" w:firstLine="720"/>
        <w:rPr>
          <w:rFonts w:cstheme="minorHAnsi"/>
          <w:b/>
          <w:bCs/>
          <w:sz w:val="28"/>
          <w:szCs w:val="28"/>
        </w:rPr>
      </w:pPr>
    </w:p>
    <w:p w14:paraId="7F4A4661" w14:textId="77777777" w:rsidR="00EF755F" w:rsidRDefault="00EF755F" w:rsidP="008E5EEC">
      <w:pPr>
        <w:ind w:left="2160" w:firstLine="720"/>
        <w:rPr>
          <w:rFonts w:cstheme="minorHAnsi"/>
          <w:b/>
          <w:bCs/>
          <w:sz w:val="28"/>
          <w:szCs w:val="28"/>
        </w:rPr>
      </w:pPr>
    </w:p>
    <w:p w14:paraId="28605637" w14:textId="2653FE2A" w:rsidR="002F39C8" w:rsidRPr="00900FB1" w:rsidRDefault="002F39C8" w:rsidP="00753837">
      <w:pPr>
        <w:ind w:left="2880" w:firstLine="720"/>
        <w:rPr>
          <w:rFonts w:cstheme="minorHAnsi"/>
          <w:b/>
          <w:bCs/>
          <w:sz w:val="28"/>
          <w:szCs w:val="28"/>
        </w:rPr>
      </w:pPr>
      <w:r w:rsidRPr="00900FB1">
        <w:rPr>
          <w:rFonts w:cstheme="minorHAnsi"/>
          <w:b/>
          <w:bCs/>
          <w:sz w:val="28"/>
          <w:szCs w:val="28"/>
        </w:rPr>
        <w:lastRenderedPageBreak/>
        <w:t>List of Appendices</w:t>
      </w:r>
    </w:p>
    <w:p w14:paraId="682695FE" w14:textId="77777777" w:rsidR="0055790E" w:rsidRDefault="0055790E" w:rsidP="002F39C8">
      <w:pPr>
        <w:rPr>
          <w:rFonts w:cstheme="minorHAnsi"/>
          <w:sz w:val="24"/>
          <w:szCs w:val="24"/>
        </w:rPr>
      </w:pPr>
    </w:p>
    <w:p w14:paraId="12D85363" w14:textId="01EF3ED7" w:rsidR="002F39C8" w:rsidRPr="005E6A11" w:rsidRDefault="002F39C8" w:rsidP="002F39C8">
      <w:pPr>
        <w:rPr>
          <w:rFonts w:cstheme="minorHAnsi"/>
          <w:sz w:val="24"/>
          <w:szCs w:val="24"/>
        </w:rPr>
      </w:pPr>
      <w:r w:rsidRPr="005E6A11">
        <w:rPr>
          <w:rFonts w:cstheme="minorHAnsi"/>
          <w:sz w:val="24"/>
          <w:szCs w:val="24"/>
        </w:rPr>
        <w:t>Appendix A: A periodisation table of reflective practice taxonomies                          p</w:t>
      </w:r>
      <w:r w:rsidR="005E0F7A">
        <w:rPr>
          <w:rFonts w:cstheme="minorHAnsi"/>
          <w:sz w:val="24"/>
          <w:szCs w:val="24"/>
        </w:rPr>
        <w:t xml:space="preserve">age </w:t>
      </w:r>
      <w:r w:rsidR="004520A2">
        <w:rPr>
          <w:rFonts w:cstheme="minorHAnsi"/>
          <w:sz w:val="24"/>
          <w:szCs w:val="24"/>
        </w:rPr>
        <w:t>30</w:t>
      </w:r>
      <w:r w:rsidR="00127503">
        <w:rPr>
          <w:rFonts w:cstheme="minorHAnsi"/>
          <w:sz w:val="24"/>
          <w:szCs w:val="24"/>
        </w:rPr>
        <w:t>9</w:t>
      </w:r>
    </w:p>
    <w:p w14:paraId="1003BF2B" w14:textId="0C8FAE54" w:rsidR="002F39C8" w:rsidRPr="005E6A11" w:rsidRDefault="002F39C8" w:rsidP="002F39C8">
      <w:pPr>
        <w:rPr>
          <w:rFonts w:cstheme="minorHAnsi"/>
          <w:sz w:val="24"/>
          <w:szCs w:val="24"/>
        </w:rPr>
      </w:pPr>
      <w:r w:rsidRPr="005E6A11">
        <w:rPr>
          <w:rFonts w:cstheme="minorHAnsi"/>
          <w:sz w:val="24"/>
          <w:szCs w:val="24"/>
        </w:rPr>
        <w:t>Appendix B: Invitation to take part in my research project</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t>p</w:t>
      </w:r>
      <w:r w:rsidR="008463C2">
        <w:rPr>
          <w:rFonts w:cstheme="minorHAnsi"/>
          <w:sz w:val="24"/>
          <w:szCs w:val="24"/>
        </w:rPr>
        <w:t xml:space="preserve">age </w:t>
      </w:r>
      <w:r w:rsidR="004520A2">
        <w:rPr>
          <w:rFonts w:cstheme="minorHAnsi"/>
          <w:sz w:val="24"/>
          <w:szCs w:val="24"/>
        </w:rPr>
        <w:t>3</w:t>
      </w:r>
      <w:r w:rsidR="00381E73">
        <w:rPr>
          <w:rFonts w:cstheme="minorHAnsi"/>
          <w:sz w:val="24"/>
          <w:szCs w:val="24"/>
        </w:rPr>
        <w:t>1</w:t>
      </w:r>
      <w:r w:rsidR="00127503">
        <w:rPr>
          <w:rFonts w:cstheme="minorHAnsi"/>
          <w:sz w:val="24"/>
          <w:szCs w:val="24"/>
        </w:rPr>
        <w:t>6</w:t>
      </w:r>
    </w:p>
    <w:p w14:paraId="7AC9874F" w14:textId="7849F040" w:rsidR="002F39C8" w:rsidRPr="005E6A11" w:rsidRDefault="002F39C8" w:rsidP="002F39C8">
      <w:pPr>
        <w:rPr>
          <w:rFonts w:cstheme="minorHAnsi"/>
          <w:sz w:val="24"/>
          <w:szCs w:val="24"/>
        </w:rPr>
      </w:pPr>
      <w:r w:rsidRPr="005E6A11">
        <w:rPr>
          <w:rFonts w:cstheme="minorHAnsi"/>
          <w:sz w:val="24"/>
          <w:szCs w:val="24"/>
        </w:rPr>
        <w:t>Appendix C: Indicative Interview Schedule</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t>p</w:t>
      </w:r>
      <w:r w:rsidR="009C6CD6">
        <w:rPr>
          <w:rFonts w:cstheme="minorHAnsi"/>
          <w:sz w:val="24"/>
          <w:szCs w:val="24"/>
        </w:rPr>
        <w:t xml:space="preserve">age </w:t>
      </w:r>
      <w:r w:rsidR="004520A2">
        <w:rPr>
          <w:rFonts w:cstheme="minorHAnsi"/>
          <w:sz w:val="24"/>
          <w:szCs w:val="24"/>
        </w:rPr>
        <w:t>3</w:t>
      </w:r>
      <w:r w:rsidR="00381E73">
        <w:rPr>
          <w:rFonts w:cstheme="minorHAnsi"/>
          <w:sz w:val="24"/>
          <w:szCs w:val="24"/>
        </w:rPr>
        <w:t>1</w:t>
      </w:r>
      <w:r w:rsidR="00127503">
        <w:rPr>
          <w:rFonts w:cstheme="minorHAnsi"/>
          <w:sz w:val="24"/>
          <w:szCs w:val="24"/>
        </w:rPr>
        <w:t>7</w:t>
      </w:r>
    </w:p>
    <w:p w14:paraId="2058CA1D" w14:textId="63DB0BD1" w:rsidR="002F39C8" w:rsidRPr="005E6A11" w:rsidRDefault="002F39C8" w:rsidP="002F39C8">
      <w:pPr>
        <w:rPr>
          <w:rFonts w:cstheme="minorHAnsi"/>
          <w:sz w:val="24"/>
          <w:szCs w:val="24"/>
        </w:rPr>
      </w:pPr>
      <w:r w:rsidRPr="005E6A11">
        <w:rPr>
          <w:rFonts w:cstheme="minorHAnsi"/>
          <w:sz w:val="24"/>
          <w:szCs w:val="24"/>
        </w:rPr>
        <w:t>Appendix D: Participant Information Sheets</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005E0F7A">
        <w:rPr>
          <w:rFonts w:cstheme="minorHAnsi"/>
          <w:sz w:val="24"/>
          <w:szCs w:val="24"/>
        </w:rPr>
        <w:tab/>
      </w:r>
      <w:r w:rsidRPr="005E6A11">
        <w:rPr>
          <w:rFonts w:cstheme="minorHAnsi"/>
          <w:sz w:val="24"/>
          <w:szCs w:val="24"/>
        </w:rPr>
        <w:t>p</w:t>
      </w:r>
      <w:r w:rsidR="009C6CD6">
        <w:rPr>
          <w:rFonts w:cstheme="minorHAnsi"/>
          <w:sz w:val="24"/>
          <w:szCs w:val="24"/>
        </w:rPr>
        <w:t xml:space="preserve">age </w:t>
      </w:r>
      <w:r w:rsidR="00574949">
        <w:rPr>
          <w:rFonts w:cstheme="minorHAnsi"/>
          <w:sz w:val="24"/>
          <w:szCs w:val="24"/>
        </w:rPr>
        <w:t>3</w:t>
      </w:r>
      <w:r w:rsidR="006173A3">
        <w:rPr>
          <w:rFonts w:cstheme="minorHAnsi"/>
          <w:sz w:val="24"/>
          <w:szCs w:val="24"/>
        </w:rPr>
        <w:t>1</w:t>
      </w:r>
      <w:r w:rsidR="00127503">
        <w:rPr>
          <w:rFonts w:cstheme="minorHAnsi"/>
          <w:sz w:val="24"/>
          <w:szCs w:val="24"/>
        </w:rPr>
        <w:t>9</w:t>
      </w:r>
    </w:p>
    <w:p w14:paraId="094E85B1" w14:textId="60F0D67A" w:rsidR="002F39C8" w:rsidRPr="005E6A11" w:rsidRDefault="002F39C8" w:rsidP="002F39C8">
      <w:pPr>
        <w:rPr>
          <w:rFonts w:cstheme="minorHAnsi"/>
          <w:sz w:val="24"/>
          <w:szCs w:val="24"/>
        </w:rPr>
      </w:pPr>
      <w:r w:rsidRPr="005E6A11">
        <w:rPr>
          <w:rFonts w:cstheme="minorHAnsi"/>
          <w:sz w:val="24"/>
          <w:szCs w:val="24"/>
        </w:rPr>
        <w:t xml:space="preserve">Appendix E: </w:t>
      </w:r>
      <w:r w:rsidRPr="005E6A11">
        <w:rPr>
          <w:rFonts w:cstheme="minorHAnsi"/>
          <w:bCs/>
          <w:sz w:val="24"/>
          <w:szCs w:val="24"/>
        </w:rPr>
        <w:t>Participant Consent Form</w:t>
      </w:r>
      <w:r w:rsidRPr="005E6A11">
        <w:rPr>
          <w:rFonts w:cstheme="minorHAnsi"/>
          <w:bCs/>
          <w:sz w:val="24"/>
          <w:szCs w:val="24"/>
        </w:rPr>
        <w:tab/>
      </w:r>
      <w:r w:rsidRPr="005E6A11">
        <w:rPr>
          <w:rFonts w:cstheme="minorHAnsi"/>
          <w:bCs/>
          <w:sz w:val="24"/>
          <w:szCs w:val="24"/>
        </w:rPr>
        <w:tab/>
      </w:r>
      <w:r w:rsidRPr="005E6A11">
        <w:rPr>
          <w:rFonts w:cstheme="minorHAnsi"/>
          <w:bCs/>
          <w:sz w:val="24"/>
          <w:szCs w:val="24"/>
        </w:rPr>
        <w:tab/>
      </w:r>
      <w:r w:rsidRPr="005E6A11">
        <w:rPr>
          <w:rFonts w:cstheme="minorHAnsi"/>
          <w:bCs/>
          <w:sz w:val="24"/>
          <w:szCs w:val="24"/>
        </w:rPr>
        <w:tab/>
      </w:r>
      <w:r w:rsidRPr="005E6A11">
        <w:rPr>
          <w:rFonts w:cstheme="minorHAnsi"/>
          <w:bCs/>
          <w:sz w:val="24"/>
          <w:szCs w:val="24"/>
        </w:rPr>
        <w:tab/>
      </w:r>
      <w:r w:rsidRPr="005E6A11">
        <w:rPr>
          <w:rFonts w:cstheme="minorHAnsi"/>
          <w:bCs/>
          <w:sz w:val="24"/>
          <w:szCs w:val="24"/>
        </w:rPr>
        <w:tab/>
        <w:t>p</w:t>
      </w:r>
      <w:r w:rsidR="009C6CD6">
        <w:rPr>
          <w:rFonts w:cstheme="minorHAnsi"/>
          <w:bCs/>
          <w:sz w:val="24"/>
          <w:szCs w:val="24"/>
        </w:rPr>
        <w:t xml:space="preserve">age </w:t>
      </w:r>
      <w:r w:rsidR="00574949">
        <w:rPr>
          <w:rFonts w:cstheme="minorHAnsi"/>
          <w:bCs/>
          <w:sz w:val="24"/>
          <w:szCs w:val="24"/>
        </w:rPr>
        <w:t>3</w:t>
      </w:r>
      <w:r w:rsidR="006173A3">
        <w:rPr>
          <w:rFonts w:cstheme="minorHAnsi"/>
          <w:bCs/>
          <w:sz w:val="24"/>
          <w:szCs w:val="24"/>
        </w:rPr>
        <w:t>2</w:t>
      </w:r>
      <w:r w:rsidR="00127503">
        <w:rPr>
          <w:rFonts w:cstheme="minorHAnsi"/>
          <w:bCs/>
          <w:sz w:val="24"/>
          <w:szCs w:val="24"/>
        </w:rPr>
        <w:t>4</w:t>
      </w:r>
    </w:p>
    <w:p w14:paraId="246B91E6" w14:textId="2E3E801F" w:rsidR="002F39C8" w:rsidRPr="005E6A11" w:rsidRDefault="002F39C8" w:rsidP="002F39C8">
      <w:pPr>
        <w:rPr>
          <w:rFonts w:cstheme="minorHAnsi"/>
          <w:sz w:val="24"/>
          <w:szCs w:val="24"/>
        </w:rPr>
      </w:pPr>
      <w:r w:rsidRPr="005E6A11">
        <w:rPr>
          <w:rFonts w:cstheme="minorHAnsi"/>
          <w:sz w:val="24"/>
          <w:szCs w:val="24"/>
        </w:rPr>
        <w:t>Appendix F: Pre-interview questionnaire</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t>p</w:t>
      </w:r>
      <w:r w:rsidR="00427034">
        <w:rPr>
          <w:rFonts w:cstheme="minorHAnsi"/>
          <w:sz w:val="24"/>
          <w:szCs w:val="24"/>
        </w:rPr>
        <w:t xml:space="preserve">age </w:t>
      </w:r>
      <w:r w:rsidR="00574949">
        <w:rPr>
          <w:rFonts w:cstheme="minorHAnsi"/>
          <w:sz w:val="24"/>
          <w:szCs w:val="24"/>
        </w:rPr>
        <w:t>3</w:t>
      </w:r>
      <w:r w:rsidR="006173A3">
        <w:rPr>
          <w:rFonts w:cstheme="minorHAnsi"/>
          <w:sz w:val="24"/>
          <w:szCs w:val="24"/>
        </w:rPr>
        <w:t>2</w:t>
      </w:r>
      <w:r w:rsidR="00127503">
        <w:rPr>
          <w:rFonts w:cstheme="minorHAnsi"/>
          <w:sz w:val="24"/>
          <w:szCs w:val="24"/>
        </w:rPr>
        <w:t>7</w:t>
      </w:r>
    </w:p>
    <w:p w14:paraId="0AD61D58" w14:textId="7B7C89C3" w:rsidR="00BC4C46" w:rsidRDefault="002F39C8" w:rsidP="002F39C8">
      <w:pPr>
        <w:rPr>
          <w:rFonts w:cstheme="minorHAnsi"/>
          <w:sz w:val="24"/>
          <w:szCs w:val="24"/>
        </w:rPr>
      </w:pPr>
      <w:r w:rsidRPr="005E6A11">
        <w:rPr>
          <w:rFonts w:cstheme="minorHAnsi"/>
          <w:sz w:val="24"/>
          <w:szCs w:val="24"/>
        </w:rPr>
        <w:t xml:space="preserve">Appendix G: </w:t>
      </w:r>
      <w:r w:rsidR="000A7776">
        <w:rPr>
          <w:rFonts w:cstheme="minorHAnsi"/>
          <w:sz w:val="24"/>
          <w:szCs w:val="24"/>
        </w:rPr>
        <w:t>Ethical approval letter</w:t>
      </w:r>
      <w:r w:rsidR="000A7776">
        <w:rPr>
          <w:rFonts w:cstheme="minorHAnsi"/>
          <w:sz w:val="24"/>
          <w:szCs w:val="24"/>
        </w:rPr>
        <w:tab/>
      </w:r>
      <w:r w:rsidR="000A7776">
        <w:rPr>
          <w:rFonts w:cstheme="minorHAnsi"/>
          <w:sz w:val="24"/>
          <w:szCs w:val="24"/>
        </w:rPr>
        <w:tab/>
      </w:r>
      <w:r w:rsidR="000A7776">
        <w:rPr>
          <w:rFonts w:cstheme="minorHAnsi"/>
          <w:sz w:val="24"/>
          <w:szCs w:val="24"/>
        </w:rPr>
        <w:tab/>
      </w:r>
      <w:r w:rsidR="000A7776">
        <w:rPr>
          <w:rFonts w:cstheme="minorHAnsi"/>
          <w:sz w:val="24"/>
          <w:szCs w:val="24"/>
        </w:rPr>
        <w:tab/>
      </w:r>
      <w:r w:rsidR="000A7776">
        <w:rPr>
          <w:rFonts w:cstheme="minorHAnsi"/>
          <w:sz w:val="24"/>
          <w:szCs w:val="24"/>
        </w:rPr>
        <w:tab/>
      </w:r>
      <w:r w:rsidR="000A7776">
        <w:rPr>
          <w:rFonts w:cstheme="minorHAnsi"/>
          <w:sz w:val="24"/>
          <w:szCs w:val="24"/>
        </w:rPr>
        <w:tab/>
      </w:r>
      <w:r w:rsidR="000A7776">
        <w:rPr>
          <w:rFonts w:cstheme="minorHAnsi"/>
          <w:sz w:val="24"/>
          <w:szCs w:val="24"/>
        </w:rPr>
        <w:tab/>
        <w:t>p</w:t>
      </w:r>
      <w:r w:rsidR="00427034">
        <w:rPr>
          <w:rFonts w:cstheme="minorHAnsi"/>
          <w:sz w:val="24"/>
          <w:szCs w:val="24"/>
        </w:rPr>
        <w:t>age 3</w:t>
      </w:r>
      <w:r w:rsidR="006173A3">
        <w:rPr>
          <w:rFonts w:cstheme="minorHAnsi"/>
          <w:sz w:val="24"/>
          <w:szCs w:val="24"/>
        </w:rPr>
        <w:t>2</w:t>
      </w:r>
      <w:r w:rsidR="00127503">
        <w:rPr>
          <w:rFonts w:cstheme="minorHAnsi"/>
          <w:sz w:val="24"/>
          <w:szCs w:val="24"/>
        </w:rPr>
        <w:t>8</w:t>
      </w:r>
    </w:p>
    <w:p w14:paraId="4DC8D9AE" w14:textId="09CAB50D" w:rsidR="002F39C8" w:rsidRPr="005E6A11" w:rsidRDefault="000A7776" w:rsidP="002F39C8">
      <w:pPr>
        <w:rPr>
          <w:rFonts w:cstheme="minorHAnsi"/>
          <w:sz w:val="24"/>
          <w:szCs w:val="24"/>
        </w:rPr>
      </w:pPr>
      <w:r>
        <w:rPr>
          <w:rFonts w:cstheme="minorHAnsi"/>
          <w:sz w:val="24"/>
          <w:szCs w:val="24"/>
        </w:rPr>
        <w:t xml:space="preserve">Appendix H: </w:t>
      </w:r>
      <w:r w:rsidR="002F39C8" w:rsidRPr="005E6A11">
        <w:rPr>
          <w:rFonts w:cstheme="minorHAnsi"/>
          <w:sz w:val="24"/>
          <w:szCs w:val="24"/>
        </w:rPr>
        <w:t>Winnicott’s models of holding</w:t>
      </w:r>
      <w:r w:rsidR="002F39C8" w:rsidRPr="005E6A11">
        <w:rPr>
          <w:rFonts w:cstheme="minorHAnsi"/>
          <w:sz w:val="24"/>
          <w:szCs w:val="24"/>
        </w:rPr>
        <w:tab/>
      </w:r>
      <w:r w:rsidR="002F39C8" w:rsidRPr="005E6A11">
        <w:rPr>
          <w:rFonts w:cstheme="minorHAnsi"/>
          <w:sz w:val="24"/>
          <w:szCs w:val="24"/>
        </w:rPr>
        <w:tab/>
      </w:r>
      <w:r w:rsidR="002F39C8" w:rsidRPr="005E6A11">
        <w:rPr>
          <w:rFonts w:cstheme="minorHAnsi"/>
          <w:sz w:val="24"/>
          <w:szCs w:val="24"/>
        </w:rPr>
        <w:tab/>
      </w:r>
      <w:r w:rsidR="002F39C8" w:rsidRPr="005E6A11">
        <w:rPr>
          <w:rFonts w:cstheme="minorHAnsi"/>
          <w:sz w:val="24"/>
          <w:szCs w:val="24"/>
        </w:rPr>
        <w:tab/>
      </w:r>
      <w:r w:rsidR="002F39C8" w:rsidRPr="005E6A11">
        <w:rPr>
          <w:rFonts w:cstheme="minorHAnsi"/>
          <w:sz w:val="24"/>
          <w:szCs w:val="24"/>
        </w:rPr>
        <w:tab/>
      </w:r>
      <w:r w:rsidR="002F39C8" w:rsidRPr="005E6A11">
        <w:rPr>
          <w:rFonts w:cstheme="minorHAnsi"/>
          <w:sz w:val="24"/>
          <w:szCs w:val="24"/>
        </w:rPr>
        <w:tab/>
        <w:t>p</w:t>
      </w:r>
      <w:r w:rsidR="00427034">
        <w:rPr>
          <w:rFonts w:cstheme="minorHAnsi"/>
          <w:sz w:val="24"/>
          <w:szCs w:val="24"/>
        </w:rPr>
        <w:t>age 3</w:t>
      </w:r>
      <w:r w:rsidR="00127503">
        <w:rPr>
          <w:rFonts w:cstheme="minorHAnsi"/>
          <w:sz w:val="24"/>
          <w:szCs w:val="24"/>
        </w:rPr>
        <w:t>30</w:t>
      </w:r>
    </w:p>
    <w:p w14:paraId="2D53B9BC" w14:textId="7D63F1C0" w:rsidR="002F39C8" w:rsidRPr="005E6A11" w:rsidRDefault="002F39C8" w:rsidP="002F39C8">
      <w:pPr>
        <w:rPr>
          <w:rFonts w:cstheme="minorHAnsi"/>
          <w:sz w:val="24"/>
          <w:szCs w:val="24"/>
        </w:rPr>
      </w:pPr>
      <w:r w:rsidRPr="005E6A11">
        <w:rPr>
          <w:rFonts w:cstheme="minorHAnsi"/>
          <w:sz w:val="24"/>
          <w:szCs w:val="24"/>
        </w:rPr>
        <w:t xml:space="preserve">Appendix </w:t>
      </w:r>
      <w:r w:rsidR="000A7776">
        <w:rPr>
          <w:rFonts w:cstheme="minorHAnsi"/>
          <w:sz w:val="24"/>
          <w:szCs w:val="24"/>
        </w:rPr>
        <w:t>I</w:t>
      </w:r>
      <w:r w:rsidRPr="005E6A11">
        <w:rPr>
          <w:rFonts w:cstheme="minorHAnsi"/>
          <w:sz w:val="24"/>
          <w:szCs w:val="24"/>
        </w:rPr>
        <w:t>: List of Resources for Participants</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Pr="005E6A11">
        <w:rPr>
          <w:rFonts w:cstheme="minorHAnsi"/>
          <w:sz w:val="24"/>
          <w:szCs w:val="24"/>
        </w:rPr>
        <w:tab/>
        <w:t>p</w:t>
      </w:r>
      <w:r w:rsidR="00427034">
        <w:rPr>
          <w:rFonts w:cstheme="minorHAnsi"/>
          <w:sz w:val="24"/>
          <w:szCs w:val="24"/>
        </w:rPr>
        <w:t>age 3</w:t>
      </w:r>
      <w:r w:rsidR="001964FF">
        <w:rPr>
          <w:rFonts w:cstheme="minorHAnsi"/>
          <w:sz w:val="24"/>
          <w:szCs w:val="24"/>
        </w:rPr>
        <w:t>3</w:t>
      </w:r>
      <w:r w:rsidR="00127503">
        <w:rPr>
          <w:rFonts w:cstheme="minorHAnsi"/>
          <w:sz w:val="24"/>
          <w:szCs w:val="24"/>
        </w:rPr>
        <w:t>1</w:t>
      </w:r>
    </w:p>
    <w:p w14:paraId="00092CC1" w14:textId="367FFDB8" w:rsidR="002F39C8" w:rsidRPr="005E6A11" w:rsidRDefault="002F39C8" w:rsidP="002F39C8">
      <w:pPr>
        <w:rPr>
          <w:rFonts w:cstheme="minorHAnsi"/>
          <w:sz w:val="24"/>
          <w:szCs w:val="24"/>
        </w:rPr>
      </w:pPr>
      <w:r w:rsidRPr="005E6A11">
        <w:rPr>
          <w:rFonts w:cstheme="minorHAnsi"/>
          <w:sz w:val="24"/>
          <w:szCs w:val="24"/>
        </w:rPr>
        <w:t xml:space="preserve">Appendix </w:t>
      </w:r>
      <w:r w:rsidR="000A7776">
        <w:rPr>
          <w:rFonts w:cstheme="minorHAnsi"/>
          <w:sz w:val="24"/>
          <w:szCs w:val="24"/>
        </w:rPr>
        <w:t>J</w:t>
      </w:r>
      <w:r w:rsidRPr="005E6A11">
        <w:rPr>
          <w:rFonts w:cstheme="minorHAnsi"/>
          <w:sz w:val="24"/>
          <w:szCs w:val="24"/>
        </w:rPr>
        <w:t>: Stages of Braun and Clarke’s Thematic Analysis</w:t>
      </w:r>
      <w:r w:rsidRPr="005E6A11">
        <w:rPr>
          <w:rFonts w:cstheme="minorHAnsi"/>
          <w:sz w:val="24"/>
          <w:szCs w:val="24"/>
        </w:rPr>
        <w:tab/>
      </w:r>
      <w:r w:rsidRPr="005E6A11">
        <w:rPr>
          <w:rFonts w:cstheme="minorHAnsi"/>
          <w:sz w:val="24"/>
          <w:szCs w:val="24"/>
        </w:rPr>
        <w:tab/>
      </w:r>
      <w:r w:rsidRPr="005E6A11">
        <w:rPr>
          <w:rFonts w:cstheme="minorHAnsi"/>
          <w:sz w:val="24"/>
          <w:szCs w:val="24"/>
        </w:rPr>
        <w:tab/>
      </w:r>
      <w:r w:rsidR="008463C2">
        <w:rPr>
          <w:rFonts w:cstheme="minorHAnsi"/>
          <w:sz w:val="24"/>
          <w:szCs w:val="24"/>
        </w:rPr>
        <w:tab/>
      </w:r>
      <w:r w:rsidRPr="005E6A11">
        <w:rPr>
          <w:rFonts w:cstheme="minorHAnsi"/>
          <w:sz w:val="24"/>
          <w:szCs w:val="24"/>
        </w:rPr>
        <w:t>p</w:t>
      </w:r>
      <w:r w:rsidR="00427034">
        <w:rPr>
          <w:rFonts w:cstheme="minorHAnsi"/>
          <w:sz w:val="24"/>
          <w:szCs w:val="24"/>
        </w:rPr>
        <w:t>age 3</w:t>
      </w:r>
      <w:r w:rsidR="009642F8">
        <w:rPr>
          <w:rFonts w:cstheme="minorHAnsi"/>
          <w:sz w:val="24"/>
          <w:szCs w:val="24"/>
        </w:rPr>
        <w:t>3</w:t>
      </w:r>
      <w:r w:rsidR="00127503">
        <w:rPr>
          <w:rFonts w:cstheme="minorHAnsi"/>
          <w:sz w:val="24"/>
          <w:szCs w:val="24"/>
        </w:rPr>
        <w:t>2</w:t>
      </w:r>
    </w:p>
    <w:p w14:paraId="067624A9" w14:textId="01A6C8F6" w:rsidR="008F6A6F" w:rsidRDefault="002F39C8" w:rsidP="002F39C8">
      <w:pPr>
        <w:rPr>
          <w:rFonts w:cstheme="minorHAnsi"/>
          <w:sz w:val="24"/>
          <w:szCs w:val="24"/>
        </w:rPr>
      </w:pPr>
      <w:r w:rsidRPr="005E6A11">
        <w:rPr>
          <w:rFonts w:cstheme="minorHAnsi"/>
          <w:sz w:val="24"/>
          <w:szCs w:val="24"/>
        </w:rPr>
        <w:t xml:space="preserve">Appendix </w:t>
      </w:r>
      <w:r w:rsidR="00AE1492">
        <w:rPr>
          <w:rFonts w:cstheme="minorHAnsi"/>
          <w:sz w:val="24"/>
          <w:szCs w:val="24"/>
        </w:rPr>
        <w:t>K</w:t>
      </w:r>
      <w:r w:rsidRPr="005E6A11">
        <w:rPr>
          <w:rFonts w:cstheme="minorHAnsi"/>
          <w:sz w:val="24"/>
          <w:szCs w:val="24"/>
        </w:rPr>
        <w:t xml:space="preserve">: </w:t>
      </w:r>
      <w:r w:rsidR="008F6A6F">
        <w:rPr>
          <w:rFonts w:cstheme="minorHAnsi"/>
          <w:sz w:val="24"/>
          <w:szCs w:val="24"/>
        </w:rPr>
        <w:t>Sample of a transcript</w:t>
      </w:r>
      <w:r w:rsidR="00006DD5">
        <w:rPr>
          <w:rFonts w:cstheme="minorHAnsi"/>
          <w:sz w:val="24"/>
          <w:szCs w:val="24"/>
        </w:rPr>
        <w:tab/>
      </w:r>
      <w:r w:rsidR="00006DD5">
        <w:rPr>
          <w:rFonts w:cstheme="minorHAnsi"/>
          <w:sz w:val="24"/>
          <w:szCs w:val="24"/>
        </w:rPr>
        <w:tab/>
      </w:r>
      <w:r w:rsidR="00006DD5">
        <w:rPr>
          <w:rFonts w:cstheme="minorHAnsi"/>
          <w:sz w:val="24"/>
          <w:szCs w:val="24"/>
        </w:rPr>
        <w:tab/>
      </w:r>
      <w:r w:rsidR="00006DD5">
        <w:rPr>
          <w:rFonts w:cstheme="minorHAnsi"/>
          <w:sz w:val="24"/>
          <w:szCs w:val="24"/>
        </w:rPr>
        <w:tab/>
      </w:r>
      <w:r w:rsidR="00006DD5">
        <w:rPr>
          <w:rFonts w:cstheme="minorHAnsi"/>
          <w:sz w:val="24"/>
          <w:szCs w:val="24"/>
        </w:rPr>
        <w:tab/>
      </w:r>
      <w:r w:rsidR="00006DD5">
        <w:rPr>
          <w:rFonts w:cstheme="minorHAnsi"/>
          <w:sz w:val="24"/>
          <w:szCs w:val="24"/>
        </w:rPr>
        <w:tab/>
      </w:r>
      <w:r w:rsidR="00006DD5">
        <w:rPr>
          <w:rFonts w:cstheme="minorHAnsi"/>
          <w:sz w:val="24"/>
          <w:szCs w:val="24"/>
        </w:rPr>
        <w:tab/>
        <w:t>page</w:t>
      </w:r>
      <w:r w:rsidR="004654A6">
        <w:rPr>
          <w:rFonts w:cstheme="minorHAnsi"/>
          <w:sz w:val="24"/>
          <w:szCs w:val="24"/>
        </w:rPr>
        <w:t xml:space="preserve"> 3</w:t>
      </w:r>
      <w:r w:rsidR="004F62F0">
        <w:rPr>
          <w:rFonts w:cstheme="minorHAnsi"/>
          <w:sz w:val="24"/>
          <w:szCs w:val="24"/>
        </w:rPr>
        <w:t>3</w:t>
      </w:r>
      <w:r w:rsidR="00127503">
        <w:rPr>
          <w:rFonts w:cstheme="minorHAnsi"/>
          <w:sz w:val="24"/>
          <w:szCs w:val="24"/>
        </w:rPr>
        <w:t>3</w:t>
      </w:r>
    </w:p>
    <w:p w14:paraId="7B069837" w14:textId="7C381300" w:rsidR="002F39C8" w:rsidRPr="005E6A11" w:rsidRDefault="00006DD5" w:rsidP="002F39C8">
      <w:pPr>
        <w:rPr>
          <w:rFonts w:cstheme="minorHAnsi"/>
          <w:sz w:val="24"/>
          <w:szCs w:val="24"/>
        </w:rPr>
      </w:pPr>
      <w:r>
        <w:rPr>
          <w:rFonts w:cstheme="minorHAnsi"/>
          <w:sz w:val="24"/>
          <w:szCs w:val="24"/>
        </w:rPr>
        <w:t xml:space="preserve">Appendix L: </w:t>
      </w:r>
      <w:r w:rsidR="002F39C8" w:rsidRPr="005E6A11">
        <w:rPr>
          <w:rFonts w:cstheme="minorHAnsi"/>
          <w:sz w:val="24"/>
          <w:szCs w:val="24"/>
        </w:rPr>
        <w:t>Iterations</w:t>
      </w:r>
      <w:r w:rsidR="00D560B6" w:rsidRPr="005E6A11">
        <w:rPr>
          <w:rFonts w:cstheme="minorHAnsi"/>
          <w:sz w:val="24"/>
          <w:szCs w:val="24"/>
        </w:rPr>
        <w:t xml:space="preserve"> </w:t>
      </w:r>
      <w:r w:rsidR="002F39C8" w:rsidRPr="005E6A11">
        <w:rPr>
          <w:rFonts w:cstheme="minorHAnsi"/>
          <w:sz w:val="24"/>
          <w:szCs w:val="24"/>
        </w:rPr>
        <w:t>of the Coding Process</w:t>
      </w:r>
      <w:r w:rsidR="002F39C8" w:rsidRPr="005E6A11">
        <w:rPr>
          <w:rFonts w:cstheme="minorHAnsi"/>
          <w:sz w:val="24"/>
          <w:szCs w:val="24"/>
        </w:rPr>
        <w:tab/>
      </w:r>
      <w:r w:rsidR="002F39C8" w:rsidRPr="005E6A11">
        <w:rPr>
          <w:rFonts w:cstheme="minorHAnsi"/>
          <w:sz w:val="24"/>
          <w:szCs w:val="24"/>
        </w:rPr>
        <w:tab/>
      </w:r>
      <w:r w:rsidR="002F39C8" w:rsidRPr="005E6A11">
        <w:rPr>
          <w:rFonts w:cstheme="minorHAnsi"/>
          <w:sz w:val="24"/>
          <w:szCs w:val="24"/>
        </w:rPr>
        <w:tab/>
      </w:r>
      <w:r>
        <w:rPr>
          <w:rFonts w:cstheme="minorHAnsi"/>
          <w:sz w:val="24"/>
          <w:szCs w:val="24"/>
        </w:rPr>
        <w:tab/>
      </w:r>
      <w:r w:rsidR="002F39C8" w:rsidRPr="005E6A11">
        <w:rPr>
          <w:rFonts w:cstheme="minorHAnsi"/>
          <w:sz w:val="24"/>
          <w:szCs w:val="24"/>
        </w:rPr>
        <w:tab/>
      </w:r>
      <w:r w:rsidR="002F39C8" w:rsidRPr="005E6A11">
        <w:rPr>
          <w:rFonts w:cstheme="minorHAnsi"/>
          <w:sz w:val="24"/>
          <w:szCs w:val="24"/>
        </w:rPr>
        <w:tab/>
        <w:t>p</w:t>
      </w:r>
      <w:r w:rsidR="00427034">
        <w:rPr>
          <w:rFonts w:cstheme="minorHAnsi"/>
          <w:sz w:val="24"/>
          <w:szCs w:val="24"/>
        </w:rPr>
        <w:t>age 3</w:t>
      </w:r>
      <w:r w:rsidR="008A7E7D">
        <w:rPr>
          <w:rFonts w:cstheme="minorHAnsi"/>
          <w:sz w:val="24"/>
          <w:szCs w:val="24"/>
        </w:rPr>
        <w:t>3</w:t>
      </w:r>
      <w:r w:rsidR="00127503">
        <w:rPr>
          <w:rFonts w:cstheme="minorHAnsi"/>
          <w:sz w:val="24"/>
          <w:szCs w:val="24"/>
        </w:rPr>
        <w:t>6</w:t>
      </w:r>
    </w:p>
    <w:p w14:paraId="4AC0B1C1" w14:textId="79A772F1" w:rsidR="00544D8D" w:rsidRPr="005E6A11" w:rsidRDefault="002F39C8" w:rsidP="002F39C8">
      <w:pPr>
        <w:rPr>
          <w:rFonts w:cstheme="minorHAnsi"/>
          <w:sz w:val="24"/>
          <w:szCs w:val="24"/>
        </w:rPr>
      </w:pPr>
      <w:r w:rsidRPr="005E6A11">
        <w:rPr>
          <w:rFonts w:cstheme="minorHAnsi"/>
          <w:sz w:val="24"/>
          <w:szCs w:val="24"/>
        </w:rPr>
        <w:t xml:space="preserve">Appendix </w:t>
      </w:r>
      <w:r w:rsidR="00126CCC">
        <w:rPr>
          <w:rFonts w:cstheme="minorHAnsi"/>
          <w:sz w:val="24"/>
          <w:szCs w:val="24"/>
        </w:rPr>
        <w:t>M</w:t>
      </w:r>
      <w:r w:rsidRPr="005E6A11">
        <w:rPr>
          <w:rFonts w:cstheme="minorHAnsi"/>
          <w:sz w:val="24"/>
          <w:szCs w:val="24"/>
        </w:rPr>
        <w:t>: Samples of Supervision Trainings</w:t>
      </w:r>
      <w:r w:rsidR="00AE1492">
        <w:rPr>
          <w:rFonts w:cstheme="minorHAnsi"/>
          <w:sz w:val="24"/>
          <w:szCs w:val="24"/>
        </w:rPr>
        <w:tab/>
      </w:r>
      <w:r w:rsidR="00AE1492">
        <w:rPr>
          <w:rFonts w:cstheme="minorHAnsi"/>
          <w:sz w:val="24"/>
          <w:szCs w:val="24"/>
        </w:rPr>
        <w:tab/>
      </w:r>
      <w:r w:rsidR="00AE1492">
        <w:rPr>
          <w:rFonts w:cstheme="minorHAnsi"/>
          <w:sz w:val="24"/>
          <w:szCs w:val="24"/>
        </w:rPr>
        <w:tab/>
      </w:r>
      <w:r w:rsidR="00AE1492">
        <w:rPr>
          <w:rFonts w:cstheme="minorHAnsi"/>
          <w:sz w:val="24"/>
          <w:szCs w:val="24"/>
        </w:rPr>
        <w:tab/>
      </w:r>
      <w:r w:rsidR="00AE1492">
        <w:rPr>
          <w:rFonts w:cstheme="minorHAnsi"/>
          <w:sz w:val="24"/>
          <w:szCs w:val="24"/>
        </w:rPr>
        <w:tab/>
        <w:t>p</w:t>
      </w:r>
      <w:r w:rsidR="00E94617">
        <w:rPr>
          <w:rFonts w:cstheme="minorHAnsi"/>
          <w:sz w:val="24"/>
          <w:szCs w:val="24"/>
        </w:rPr>
        <w:t>age 3</w:t>
      </w:r>
      <w:r w:rsidR="008A7E7D">
        <w:rPr>
          <w:rFonts w:cstheme="minorHAnsi"/>
          <w:sz w:val="24"/>
          <w:szCs w:val="24"/>
        </w:rPr>
        <w:t>4</w:t>
      </w:r>
      <w:r w:rsidR="00127503">
        <w:rPr>
          <w:rFonts w:cstheme="minorHAnsi"/>
          <w:sz w:val="24"/>
          <w:szCs w:val="24"/>
        </w:rPr>
        <w:t>4</w:t>
      </w:r>
    </w:p>
    <w:p w14:paraId="2F1851E0" w14:textId="77777777" w:rsidR="00544D8D" w:rsidRPr="005E6A11" w:rsidRDefault="00544D8D" w:rsidP="00872D84">
      <w:pPr>
        <w:rPr>
          <w:rFonts w:cstheme="minorHAnsi"/>
          <w:sz w:val="24"/>
          <w:szCs w:val="24"/>
        </w:rPr>
      </w:pPr>
    </w:p>
    <w:p w14:paraId="3976C1A6" w14:textId="77777777" w:rsidR="00544D8D" w:rsidRPr="005E6A11" w:rsidRDefault="00544D8D" w:rsidP="00872D84">
      <w:pPr>
        <w:rPr>
          <w:rFonts w:cstheme="minorHAnsi"/>
          <w:sz w:val="24"/>
          <w:szCs w:val="24"/>
        </w:rPr>
      </w:pPr>
    </w:p>
    <w:p w14:paraId="58B373EB" w14:textId="77777777" w:rsidR="00544D8D" w:rsidRPr="005E6A11" w:rsidRDefault="00544D8D" w:rsidP="00872D84">
      <w:pPr>
        <w:rPr>
          <w:rFonts w:cstheme="minorHAnsi"/>
          <w:sz w:val="24"/>
          <w:szCs w:val="24"/>
        </w:rPr>
      </w:pPr>
    </w:p>
    <w:p w14:paraId="6DFB7E84" w14:textId="1E1D88DC" w:rsidR="0047237B" w:rsidRPr="00683A82" w:rsidRDefault="0047237B" w:rsidP="00683A82">
      <w:pPr>
        <w:rPr>
          <w:rFonts w:ascii="Calibri" w:eastAsia="Calibri" w:hAnsi="Calibri" w:cs="Times New Roman"/>
          <w:b/>
          <w:bCs/>
          <w:sz w:val="24"/>
          <w:szCs w:val="24"/>
        </w:rPr>
      </w:pPr>
    </w:p>
    <w:p w14:paraId="78DB2A1A" w14:textId="77777777" w:rsidR="00C039B7" w:rsidRDefault="00C039B7" w:rsidP="00FA4476">
      <w:pPr>
        <w:rPr>
          <w:sz w:val="72"/>
          <w:szCs w:val="72"/>
        </w:rPr>
      </w:pPr>
    </w:p>
    <w:p w14:paraId="7865D39B" w14:textId="77777777" w:rsidR="00C039B7" w:rsidRDefault="00C039B7" w:rsidP="00C039B7">
      <w:pPr>
        <w:ind w:left="2880" w:firstLine="720"/>
        <w:rPr>
          <w:sz w:val="72"/>
          <w:szCs w:val="72"/>
        </w:rPr>
      </w:pPr>
    </w:p>
    <w:p w14:paraId="641F4D04" w14:textId="77777777" w:rsidR="00E2720A" w:rsidRDefault="00E2720A" w:rsidP="00683A82">
      <w:pPr>
        <w:rPr>
          <w:rFonts w:ascii="Calibri" w:eastAsia="Calibri" w:hAnsi="Calibri" w:cs="Times New Roman"/>
          <w:noProof/>
          <w:sz w:val="72"/>
          <w:szCs w:val="72"/>
        </w:rPr>
      </w:pPr>
    </w:p>
    <w:p w14:paraId="2E28123E" w14:textId="77777777" w:rsidR="00F70225" w:rsidRDefault="00F70225" w:rsidP="00683A82">
      <w:pPr>
        <w:rPr>
          <w:rFonts w:ascii="Calibri" w:eastAsia="Calibri" w:hAnsi="Calibri" w:cs="Times New Roman"/>
          <w:noProof/>
          <w:sz w:val="72"/>
          <w:szCs w:val="72"/>
        </w:rPr>
      </w:pPr>
    </w:p>
    <w:p w14:paraId="577C8AD5" w14:textId="77777777" w:rsidR="00A75C9F" w:rsidRDefault="00A75C9F" w:rsidP="00683A82">
      <w:pPr>
        <w:rPr>
          <w:rFonts w:ascii="Calibri" w:eastAsia="Calibri" w:hAnsi="Calibri" w:cs="Times New Roman"/>
          <w:noProof/>
          <w:sz w:val="72"/>
          <w:szCs w:val="72"/>
        </w:rPr>
      </w:pPr>
    </w:p>
    <w:p w14:paraId="3BE756FC" w14:textId="77777777" w:rsidR="00A75C9F" w:rsidRDefault="00A75C9F" w:rsidP="00683A82">
      <w:pPr>
        <w:rPr>
          <w:rFonts w:ascii="Calibri" w:eastAsia="Calibri" w:hAnsi="Calibri" w:cs="Times New Roman"/>
          <w:noProof/>
          <w:sz w:val="72"/>
          <w:szCs w:val="72"/>
        </w:rPr>
      </w:pPr>
    </w:p>
    <w:p w14:paraId="7D5D5197" w14:textId="77777777" w:rsidR="00A75C9F" w:rsidRDefault="00A75C9F" w:rsidP="00683A82">
      <w:pPr>
        <w:rPr>
          <w:rFonts w:ascii="Calibri" w:eastAsia="Calibri" w:hAnsi="Calibri" w:cs="Times New Roman"/>
          <w:noProof/>
          <w:sz w:val="72"/>
          <w:szCs w:val="72"/>
        </w:rPr>
      </w:pPr>
    </w:p>
    <w:p w14:paraId="01D01472" w14:textId="77777777" w:rsidR="00A75C9F" w:rsidRDefault="00A75C9F" w:rsidP="00683A82">
      <w:pPr>
        <w:rPr>
          <w:rFonts w:ascii="Calibri" w:eastAsia="Calibri" w:hAnsi="Calibri" w:cs="Times New Roman"/>
          <w:noProof/>
          <w:sz w:val="72"/>
          <w:szCs w:val="72"/>
        </w:rPr>
      </w:pPr>
    </w:p>
    <w:p w14:paraId="582202AA" w14:textId="77777777" w:rsidR="00A75C9F" w:rsidRDefault="00A75C9F" w:rsidP="00683A82">
      <w:pPr>
        <w:rPr>
          <w:rFonts w:ascii="Calibri" w:eastAsia="Calibri" w:hAnsi="Calibri" w:cs="Times New Roman"/>
          <w:noProof/>
          <w:sz w:val="72"/>
          <w:szCs w:val="72"/>
        </w:rPr>
      </w:pPr>
    </w:p>
    <w:p w14:paraId="74393C21" w14:textId="77777777" w:rsidR="00A75C9F" w:rsidRDefault="00A75C9F" w:rsidP="00683A82">
      <w:pPr>
        <w:rPr>
          <w:rFonts w:ascii="Calibri" w:eastAsia="Calibri" w:hAnsi="Calibri" w:cs="Times New Roman"/>
          <w:noProof/>
          <w:sz w:val="72"/>
          <w:szCs w:val="72"/>
        </w:rPr>
      </w:pPr>
    </w:p>
    <w:p w14:paraId="5018715C" w14:textId="6B3E731B" w:rsidR="002D3AE9" w:rsidRPr="00F54AF1" w:rsidRDefault="002D3AE9" w:rsidP="002D3AE9">
      <w:pPr>
        <w:ind w:left="2880" w:firstLine="720"/>
        <w:rPr>
          <w:rFonts w:ascii="Calibri" w:eastAsia="Calibri" w:hAnsi="Calibri" w:cs="Times New Roman"/>
          <w:noProof/>
          <w:sz w:val="56"/>
          <w:szCs w:val="56"/>
        </w:rPr>
      </w:pPr>
      <w:r w:rsidRPr="00F54AF1">
        <w:rPr>
          <w:rFonts w:ascii="Calibri" w:eastAsia="Calibri" w:hAnsi="Calibri" w:cs="Times New Roman"/>
          <w:noProof/>
          <w:sz w:val="56"/>
          <w:szCs w:val="56"/>
        </w:rPr>
        <w:t>Preface</w:t>
      </w:r>
    </w:p>
    <w:p w14:paraId="7C496DF1" w14:textId="77777777" w:rsidR="0041522A" w:rsidRDefault="0041522A" w:rsidP="002D3AE9">
      <w:pPr>
        <w:ind w:left="2880" w:firstLine="720"/>
        <w:rPr>
          <w:rFonts w:ascii="Calibri" w:eastAsia="Calibri" w:hAnsi="Calibri" w:cs="Times New Roman"/>
          <w:noProof/>
          <w:sz w:val="72"/>
          <w:szCs w:val="72"/>
        </w:rPr>
      </w:pPr>
    </w:p>
    <w:p w14:paraId="61DF7958" w14:textId="77777777" w:rsidR="0041522A" w:rsidRDefault="0041522A" w:rsidP="002D3AE9">
      <w:pPr>
        <w:ind w:left="2880" w:firstLine="720"/>
        <w:rPr>
          <w:rFonts w:ascii="Calibri" w:eastAsia="Calibri" w:hAnsi="Calibri" w:cs="Times New Roman"/>
          <w:noProof/>
          <w:sz w:val="72"/>
          <w:szCs w:val="72"/>
        </w:rPr>
      </w:pPr>
    </w:p>
    <w:p w14:paraId="70909107" w14:textId="77777777" w:rsidR="0041522A" w:rsidRDefault="0041522A" w:rsidP="002D3AE9">
      <w:pPr>
        <w:ind w:left="2880" w:firstLine="720"/>
        <w:rPr>
          <w:rFonts w:ascii="Calibri" w:eastAsia="Calibri" w:hAnsi="Calibri" w:cs="Times New Roman"/>
          <w:noProof/>
          <w:sz w:val="72"/>
          <w:szCs w:val="72"/>
        </w:rPr>
      </w:pPr>
    </w:p>
    <w:p w14:paraId="4E252261" w14:textId="77777777" w:rsidR="0041522A" w:rsidRDefault="0041522A" w:rsidP="002D3AE9">
      <w:pPr>
        <w:ind w:left="2880" w:firstLine="720"/>
        <w:rPr>
          <w:rFonts w:ascii="Calibri" w:eastAsia="Calibri" w:hAnsi="Calibri" w:cs="Times New Roman"/>
          <w:noProof/>
          <w:sz w:val="72"/>
          <w:szCs w:val="72"/>
        </w:rPr>
      </w:pPr>
    </w:p>
    <w:p w14:paraId="2AED57CC" w14:textId="77777777" w:rsidR="0041522A" w:rsidRDefault="0041522A" w:rsidP="002D3AE9">
      <w:pPr>
        <w:ind w:left="2880" w:firstLine="720"/>
        <w:rPr>
          <w:rFonts w:ascii="Calibri" w:eastAsia="Calibri" w:hAnsi="Calibri" w:cs="Times New Roman"/>
          <w:noProof/>
          <w:sz w:val="72"/>
          <w:szCs w:val="72"/>
        </w:rPr>
      </w:pPr>
    </w:p>
    <w:p w14:paraId="1DAC5F7E" w14:textId="77777777" w:rsidR="00730416" w:rsidRDefault="00730416" w:rsidP="00FA6789">
      <w:pPr>
        <w:ind w:left="2160"/>
        <w:rPr>
          <w:rFonts w:ascii="Calibri" w:eastAsia="Calibri" w:hAnsi="Calibri" w:cs="Times New Roman"/>
          <w:b/>
          <w:bCs/>
          <w:sz w:val="24"/>
          <w:szCs w:val="24"/>
        </w:rPr>
      </w:pPr>
    </w:p>
    <w:p w14:paraId="157D5D0C" w14:textId="77777777" w:rsidR="00730416" w:rsidRDefault="00730416" w:rsidP="00FA6789">
      <w:pPr>
        <w:ind w:left="2160"/>
        <w:rPr>
          <w:rFonts w:ascii="Calibri" w:eastAsia="Calibri" w:hAnsi="Calibri" w:cs="Times New Roman"/>
          <w:b/>
          <w:bCs/>
          <w:sz w:val="24"/>
          <w:szCs w:val="24"/>
        </w:rPr>
      </w:pPr>
    </w:p>
    <w:p w14:paraId="7F70D993" w14:textId="6C7AAB7D" w:rsidR="00F107B4" w:rsidRPr="00FA6789" w:rsidRDefault="004059FD" w:rsidP="00FA6789">
      <w:pPr>
        <w:ind w:left="2160"/>
        <w:rPr>
          <w:rFonts w:ascii="Calibri" w:eastAsia="Calibri" w:hAnsi="Calibri" w:cs="Times New Roman"/>
          <w:b/>
          <w:bCs/>
          <w:sz w:val="24"/>
          <w:szCs w:val="24"/>
        </w:rPr>
      </w:pPr>
      <w:r>
        <w:rPr>
          <w:rFonts w:ascii="Calibri" w:eastAsia="Calibri" w:hAnsi="Calibri" w:cs="Times New Roman"/>
          <w:b/>
          <w:bCs/>
          <w:sz w:val="24"/>
          <w:szCs w:val="24"/>
        </w:rPr>
        <w:lastRenderedPageBreak/>
        <w:t xml:space="preserve">     </w:t>
      </w:r>
      <w:r w:rsidR="00F107B4" w:rsidRPr="00FA6789">
        <w:rPr>
          <w:rFonts w:ascii="Calibri" w:eastAsia="Calibri" w:hAnsi="Calibri" w:cs="Times New Roman"/>
          <w:b/>
          <w:bCs/>
          <w:sz w:val="24"/>
          <w:szCs w:val="24"/>
        </w:rPr>
        <w:t>D.H. Lawrence’s First Lesson: The Apple</w:t>
      </w:r>
    </w:p>
    <w:p w14:paraId="2757CB99" w14:textId="77777777" w:rsidR="00F107B4" w:rsidRPr="00FA6789" w:rsidRDefault="00F107B4" w:rsidP="00FA6789">
      <w:pPr>
        <w:jc w:val="center"/>
        <w:rPr>
          <w:rFonts w:ascii="Calibri" w:eastAsia="Calibri" w:hAnsi="Calibri" w:cs="Times New Roman"/>
          <w:b/>
          <w:bCs/>
          <w:i/>
          <w:iCs/>
          <w:sz w:val="24"/>
          <w:szCs w:val="24"/>
        </w:rPr>
      </w:pPr>
      <w:r w:rsidRPr="00FA6789">
        <w:rPr>
          <w:rFonts w:ascii="Calibri" w:eastAsia="Calibri" w:hAnsi="Calibri" w:cs="Times New Roman"/>
          <w:b/>
          <w:bCs/>
          <w:i/>
          <w:iCs/>
          <w:sz w:val="24"/>
          <w:szCs w:val="24"/>
        </w:rPr>
        <w:t>Let the apple be X: The Elements of Algebra Book 1</w:t>
      </w:r>
    </w:p>
    <w:p w14:paraId="754FB151" w14:textId="77777777" w:rsidR="004059FD" w:rsidRDefault="004059FD" w:rsidP="00FA6789">
      <w:pPr>
        <w:jc w:val="center"/>
        <w:rPr>
          <w:rFonts w:ascii="Calibri" w:eastAsia="Calibri" w:hAnsi="Calibri" w:cs="Times New Roman"/>
          <w:sz w:val="24"/>
          <w:szCs w:val="24"/>
        </w:rPr>
      </w:pPr>
    </w:p>
    <w:p w14:paraId="6E2A7556" w14:textId="1EF9EEED"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Dear student, you have my permission.</w:t>
      </w:r>
    </w:p>
    <w:p w14:paraId="6DE44C64"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Create a revolution, if you must,</w:t>
      </w:r>
    </w:p>
    <w:p w14:paraId="21188D4C" w14:textId="2385F959" w:rsidR="00F107B4" w:rsidRPr="00FA6789" w:rsidRDefault="00F107B4" w:rsidP="007E514A">
      <w:pPr>
        <w:jc w:val="center"/>
        <w:rPr>
          <w:rFonts w:ascii="Calibri" w:eastAsia="Calibri" w:hAnsi="Calibri" w:cs="Times New Roman"/>
          <w:sz w:val="24"/>
          <w:szCs w:val="24"/>
        </w:rPr>
      </w:pPr>
      <w:r w:rsidRPr="00FA6789">
        <w:rPr>
          <w:rFonts w:ascii="Calibri" w:eastAsia="Calibri" w:hAnsi="Calibri" w:cs="Times New Roman"/>
          <w:sz w:val="24"/>
          <w:szCs w:val="24"/>
        </w:rPr>
        <w:t>But only for the fun of it; not for social class,</w:t>
      </w:r>
    </w:p>
    <w:p w14:paraId="45F16464"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Nor cash. And, whatever you do,</w:t>
      </w:r>
    </w:p>
    <w:p w14:paraId="58A52A9E"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Continue to resist the text.</w:t>
      </w:r>
    </w:p>
    <w:p w14:paraId="5360C484"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Do not let the apple be X.</w:t>
      </w:r>
    </w:p>
    <w:p w14:paraId="425FE2FB" w14:textId="77777777" w:rsidR="00F107B4" w:rsidRPr="00FA6789" w:rsidRDefault="00F107B4" w:rsidP="00FA6789">
      <w:pPr>
        <w:jc w:val="center"/>
        <w:rPr>
          <w:rFonts w:ascii="Calibri" w:eastAsia="Calibri" w:hAnsi="Calibri" w:cs="Times New Roman"/>
          <w:sz w:val="24"/>
          <w:szCs w:val="24"/>
        </w:rPr>
      </w:pPr>
    </w:p>
    <w:p w14:paraId="739387A7"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 xml:space="preserve">Now clear away your books. </w:t>
      </w:r>
    </w:p>
    <w:p w14:paraId="7DC81504"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As I place this apple on your desk</w:t>
      </w:r>
    </w:p>
    <w:p w14:paraId="150D7752" w14:textId="7361E5EA" w:rsidR="00F107B4" w:rsidRPr="00FA6789" w:rsidRDefault="00F107B4" w:rsidP="007E514A">
      <w:pPr>
        <w:jc w:val="center"/>
        <w:rPr>
          <w:rFonts w:ascii="Calibri" w:eastAsia="Calibri" w:hAnsi="Calibri" w:cs="Times New Roman"/>
          <w:sz w:val="24"/>
          <w:szCs w:val="24"/>
        </w:rPr>
      </w:pPr>
      <w:r w:rsidRPr="00FA6789">
        <w:rPr>
          <w:rFonts w:ascii="Calibri" w:eastAsia="Calibri" w:hAnsi="Calibri" w:cs="Times New Roman"/>
          <w:sz w:val="24"/>
          <w:szCs w:val="24"/>
        </w:rPr>
        <w:t>Look at its freckled skin.</w:t>
      </w:r>
    </w:p>
    <w:p w14:paraId="40A73F4F"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Observe its mellow creases, its curving lines.</w:t>
      </w:r>
    </w:p>
    <w:p w14:paraId="6B348E37"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See with your own clear eyes</w:t>
      </w:r>
    </w:p>
    <w:p w14:paraId="5A40CFFC"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The beauty of its blemishes.</w:t>
      </w:r>
    </w:p>
    <w:p w14:paraId="0377E811" w14:textId="77777777" w:rsidR="00F107B4" w:rsidRPr="00FA6789" w:rsidRDefault="00F107B4" w:rsidP="00FA6789">
      <w:pPr>
        <w:jc w:val="center"/>
        <w:rPr>
          <w:rFonts w:ascii="Calibri" w:eastAsia="Calibri" w:hAnsi="Calibri" w:cs="Times New Roman"/>
          <w:sz w:val="24"/>
          <w:szCs w:val="24"/>
        </w:rPr>
      </w:pPr>
    </w:p>
    <w:p w14:paraId="2A0E8EC5"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Now touch its gloss and sheen.</w:t>
      </w:r>
    </w:p>
    <w:p w14:paraId="0B87F70F"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Next taste the flesh, sense Autumn on your tongue,</w:t>
      </w:r>
    </w:p>
    <w:p w14:paraId="7A1DA59B"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The sourness vying with the sweetness:</w:t>
      </w:r>
    </w:p>
    <w:p w14:paraId="34D52B2B" w14:textId="41BEF5DE" w:rsidR="00F107B4" w:rsidRPr="00FA6789" w:rsidRDefault="007E514A" w:rsidP="007E514A">
      <w:pPr>
        <w:ind w:left="2160"/>
        <w:rPr>
          <w:rFonts w:ascii="Calibri" w:eastAsia="Calibri" w:hAnsi="Calibri" w:cs="Times New Roman"/>
          <w:sz w:val="24"/>
          <w:szCs w:val="24"/>
        </w:rPr>
      </w:pPr>
      <w:r>
        <w:rPr>
          <w:rFonts w:ascii="Calibri" w:eastAsia="Calibri" w:hAnsi="Calibri" w:cs="Times New Roman"/>
          <w:sz w:val="24"/>
          <w:szCs w:val="24"/>
        </w:rPr>
        <w:t xml:space="preserve">            </w:t>
      </w:r>
      <w:r w:rsidR="00F107B4" w:rsidRPr="00FA6789">
        <w:rPr>
          <w:rFonts w:ascii="Calibri" w:eastAsia="Calibri" w:hAnsi="Calibri" w:cs="Times New Roman"/>
          <w:sz w:val="24"/>
          <w:szCs w:val="24"/>
        </w:rPr>
        <w:t>A long white second of communion.</w:t>
      </w:r>
    </w:p>
    <w:p w14:paraId="70E5E297" w14:textId="77777777" w:rsidR="00F107B4" w:rsidRPr="00FA6789" w:rsidRDefault="00F107B4" w:rsidP="00FA6789">
      <w:pPr>
        <w:jc w:val="center"/>
        <w:rPr>
          <w:rFonts w:ascii="Calibri" w:eastAsia="Calibri" w:hAnsi="Calibri" w:cs="Times New Roman"/>
          <w:i/>
          <w:iCs/>
          <w:sz w:val="24"/>
          <w:szCs w:val="24"/>
        </w:rPr>
      </w:pPr>
      <w:r w:rsidRPr="00FA6789">
        <w:rPr>
          <w:rFonts w:ascii="Calibri" w:eastAsia="Calibri" w:hAnsi="Calibri" w:cs="Times New Roman"/>
          <w:i/>
          <w:iCs/>
          <w:sz w:val="24"/>
          <w:szCs w:val="24"/>
        </w:rPr>
        <w:t>This is what you know, and this is best.</w:t>
      </w:r>
    </w:p>
    <w:p w14:paraId="3E32B01E" w14:textId="1A99F28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This is the Alpha and the Omega</w:t>
      </w:r>
      <w:r w:rsidR="004059FD">
        <w:rPr>
          <w:rFonts w:ascii="Calibri" w:eastAsia="Calibri" w:hAnsi="Calibri" w:cs="Times New Roman"/>
          <w:sz w:val="24"/>
          <w:szCs w:val="24"/>
        </w:rPr>
        <w:t xml:space="preserve"> </w:t>
      </w:r>
      <w:r w:rsidRPr="00FA6789">
        <w:rPr>
          <w:rFonts w:ascii="Calibri" w:eastAsia="Calibri" w:hAnsi="Calibri" w:cs="Times New Roman"/>
          <w:sz w:val="24"/>
          <w:szCs w:val="24"/>
        </w:rPr>
        <w:t>-</w:t>
      </w:r>
    </w:p>
    <w:p w14:paraId="399B5314" w14:textId="77777777" w:rsidR="00F107B4" w:rsidRPr="00FA6789" w:rsidRDefault="00F107B4" w:rsidP="00FA6789">
      <w:pPr>
        <w:jc w:val="center"/>
        <w:rPr>
          <w:rFonts w:ascii="Calibri" w:eastAsia="Calibri" w:hAnsi="Calibri" w:cs="Times New Roman"/>
          <w:sz w:val="24"/>
          <w:szCs w:val="24"/>
        </w:rPr>
      </w:pPr>
    </w:p>
    <w:p w14:paraId="16CEFA7D" w14:textId="77777777" w:rsidR="00F107B4" w:rsidRPr="00FA6789" w:rsidRDefault="00F107B4" w:rsidP="00FA6789">
      <w:pPr>
        <w:jc w:val="center"/>
        <w:rPr>
          <w:rFonts w:ascii="Calibri" w:eastAsia="Calibri" w:hAnsi="Calibri" w:cs="Times New Roman"/>
          <w:sz w:val="24"/>
          <w:szCs w:val="24"/>
        </w:rPr>
      </w:pPr>
      <w:r w:rsidRPr="00FA6789">
        <w:rPr>
          <w:rFonts w:ascii="Calibri" w:eastAsia="Calibri" w:hAnsi="Calibri" w:cs="Times New Roman"/>
          <w:sz w:val="24"/>
          <w:szCs w:val="24"/>
        </w:rPr>
        <w:t>Before the little X.</w:t>
      </w:r>
    </w:p>
    <w:p w14:paraId="1D6C472F" w14:textId="77777777" w:rsidR="00F107B4" w:rsidRPr="00FA6789" w:rsidRDefault="00F107B4" w:rsidP="00FA6789">
      <w:pPr>
        <w:rPr>
          <w:rFonts w:ascii="Calibri" w:eastAsia="Calibri" w:hAnsi="Calibri" w:cs="Times New Roman"/>
          <w:sz w:val="24"/>
          <w:szCs w:val="24"/>
        </w:rPr>
      </w:pPr>
    </w:p>
    <w:p w14:paraId="3AABBF6D" w14:textId="3D5EE7BB" w:rsidR="008D7051" w:rsidRPr="00F54AF1" w:rsidRDefault="00F107B4" w:rsidP="00A75C9F">
      <w:pPr>
        <w:ind w:left="1440" w:firstLine="720"/>
        <w:rPr>
          <w:rFonts w:ascii="Calibri" w:eastAsia="Calibri" w:hAnsi="Calibri" w:cs="Times New Roman"/>
        </w:rPr>
        <w:sectPr w:rsidR="008D7051" w:rsidRPr="00F54AF1" w:rsidSect="009762A7">
          <w:footerReference w:type="default" r:id="rId19"/>
          <w:headerReference w:type="first" r:id="rId20"/>
          <w:pgSz w:w="11906" w:h="16838"/>
          <w:pgMar w:top="1440" w:right="1440" w:bottom="1440" w:left="1440" w:header="709" w:footer="709" w:gutter="0"/>
          <w:pgNumType w:start="0"/>
          <w:cols w:space="708"/>
          <w:titlePg/>
          <w:docGrid w:linePitch="360"/>
        </w:sectPr>
      </w:pPr>
      <w:r w:rsidRPr="00B94A52">
        <w:rPr>
          <w:rFonts w:ascii="Calibri" w:eastAsia="Calibri" w:hAnsi="Calibri" w:cs="Times New Roman"/>
        </w:rPr>
        <w:t xml:space="preserve">(Peter Abbs, 1995, </w:t>
      </w:r>
      <w:r w:rsidRPr="00B94A52">
        <w:rPr>
          <w:rFonts w:ascii="Calibri" w:eastAsia="Calibri" w:hAnsi="Calibri" w:cs="Times New Roman"/>
          <w:i/>
          <w:iCs/>
        </w:rPr>
        <w:t xml:space="preserve">Personae and Other Selected Poems, </w:t>
      </w:r>
      <w:r w:rsidRPr="00B94A52">
        <w:rPr>
          <w:rFonts w:ascii="Calibri" w:eastAsia="Calibri" w:hAnsi="Calibri" w:cs="Times New Roman"/>
        </w:rPr>
        <w:t>p.13</w:t>
      </w:r>
      <w:r w:rsidR="005A5831" w:rsidRPr="00B94A52">
        <w:rPr>
          <w:rFonts w:ascii="Calibri" w:eastAsia="Calibri" w:hAnsi="Calibri" w:cs="Times New Roman"/>
        </w:rPr>
        <w:t>)</w:t>
      </w:r>
    </w:p>
    <w:p w14:paraId="2F7F5C22" w14:textId="77777777" w:rsidR="0063700E" w:rsidRDefault="0063700E" w:rsidP="008D7051">
      <w:pPr>
        <w:ind w:left="720" w:firstLine="720"/>
        <w:rPr>
          <w:rFonts w:ascii="Calibri" w:hAnsi="Calibri" w:cs="Calibri"/>
          <w:sz w:val="56"/>
          <w:szCs w:val="56"/>
        </w:rPr>
      </w:pPr>
    </w:p>
    <w:p w14:paraId="0E2309FD" w14:textId="77777777" w:rsidR="0063700E" w:rsidRDefault="0063700E" w:rsidP="008D7051">
      <w:pPr>
        <w:ind w:left="720" w:firstLine="720"/>
        <w:rPr>
          <w:rFonts w:ascii="Calibri" w:hAnsi="Calibri" w:cs="Calibri"/>
          <w:sz w:val="56"/>
          <w:szCs w:val="56"/>
        </w:rPr>
      </w:pPr>
    </w:p>
    <w:p w14:paraId="2E0220FE" w14:textId="77777777" w:rsidR="0063700E" w:rsidRDefault="0063700E" w:rsidP="008D7051">
      <w:pPr>
        <w:ind w:left="720" w:firstLine="720"/>
        <w:rPr>
          <w:rFonts w:ascii="Calibri" w:hAnsi="Calibri" w:cs="Calibri"/>
          <w:sz w:val="56"/>
          <w:szCs w:val="56"/>
        </w:rPr>
      </w:pPr>
    </w:p>
    <w:p w14:paraId="1972706C" w14:textId="77777777" w:rsidR="0063700E" w:rsidRDefault="0063700E" w:rsidP="008D7051">
      <w:pPr>
        <w:ind w:left="720" w:firstLine="720"/>
        <w:rPr>
          <w:rFonts w:ascii="Calibri" w:hAnsi="Calibri" w:cs="Calibri"/>
          <w:sz w:val="56"/>
          <w:szCs w:val="56"/>
        </w:rPr>
      </w:pPr>
    </w:p>
    <w:p w14:paraId="461DDD64" w14:textId="77777777" w:rsidR="0063700E" w:rsidRDefault="0063700E" w:rsidP="008D7051">
      <w:pPr>
        <w:ind w:left="720" w:firstLine="720"/>
        <w:rPr>
          <w:rFonts w:ascii="Calibri" w:hAnsi="Calibri" w:cs="Calibri"/>
          <w:sz w:val="56"/>
          <w:szCs w:val="56"/>
        </w:rPr>
      </w:pPr>
    </w:p>
    <w:p w14:paraId="147DF00D" w14:textId="77777777" w:rsidR="0063700E" w:rsidRDefault="0063700E" w:rsidP="008D7051">
      <w:pPr>
        <w:ind w:left="720" w:firstLine="720"/>
        <w:rPr>
          <w:rFonts w:ascii="Calibri" w:hAnsi="Calibri" w:cs="Calibri"/>
          <w:sz w:val="56"/>
          <w:szCs w:val="56"/>
        </w:rPr>
      </w:pPr>
    </w:p>
    <w:p w14:paraId="53CF6067" w14:textId="02C32C0F" w:rsidR="00D81DB0" w:rsidRPr="00F54AF1" w:rsidRDefault="000106B8" w:rsidP="008D7051">
      <w:pPr>
        <w:ind w:left="720" w:firstLine="720"/>
        <w:rPr>
          <w:rFonts w:ascii="Calibri" w:hAnsi="Calibri" w:cs="Calibri"/>
          <w:sz w:val="56"/>
          <w:szCs w:val="56"/>
        </w:rPr>
      </w:pPr>
      <w:r w:rsidRPr="00F54AF1">
        <w:rPr>
          <w:rFonts w:ascii="Calibri" w:hAnsi="Calibri" w:cs="Calibri"/>
          <w:sz w:val="56"/>
          <w:szCs w:val="56"/>
        </w:rPr>
        <w:t>Chapter One:</w:t>
      </w:r>
      <w:r w:rsidR="001576E3" w:rsidRPr="00F54AF1">
        <w:rPr>
          <w:rFonts w:ascii="Calibri" w:hAnsi="Calibri" w:cs="Calibri"/>
          <w:sz w:val="56"/>
          <w:szCs w:val="56"/>
        </w:rPr>
        <w:t xml:space="preserve"> </w:t>
      </w:r>
      <w:r w:rsidR="005A44BD" w:rsidRPr="00F54AF1">
        <w:rPr>
          <w:rFonts w:ascii="Calibri" w:hAnsi="Calibri" w:cs="Calibri"/>
          <w:sz w:val="56"/>
          <w:szCs w:val="56"/>
        </w:rPr>
        <w:t>The Exposition</w:t>
      </w:r>
    </w:p>
    <w:p w14:paraId="6EE33760" w14:textId="77777777" w:rsidR="005A44BD" w:rsidRDefault="005A44BD" w:rsidP="00D81DB0">
      <w:pPr>
        <w:rPr>
          <w:rFonts w:ascii="Calibri" w:hAnsi="Calibri" w:cs="Calibri"/>
          <w:sz w:val="72"/>
          <w:szCs w:val="72"/>
        </w:rPr>
      </w:pPr>
    </w:p>
    <w:p w14:paraId="75549793" w14:textId="77777777" w:rsidR="009762A7" w:rsidRDefault="009762A7" w:rsidP="00D81DB0">
      <w:pPr>
        <w:rPr>
          <w:rFonts w:ascii="Calibri" w:hAnsi="Calibri" w:cs="Calibri"/>
          <w:sz w:val="72"/>
          <w:szCs w:val="72"/>
        </w:rPr>
      </w:pPr>
    </w:p>
    <w:p w14:paraId="61F61248" w14:textId="77777777" w:rsidR="009762A7" w:rsidRDefault="009762A7" w:rsidP="00D81DB0">
      <w:pPr>
        <w:rPr>
          <w:rFonts w:ascii="Calibri" w:hAnsi="Calibri" w:cs="Calibri"/>
          <w:sz w:val="72"/>
          <w:szCs w:val="72"/>
        </w:rPr>
      </w:pPr>
    </w:p>
    <w:p w14:paraId="57C7CD31" w14:textId="77777777" w:rsidR="00223998" w:rsidRDefault="00223998" w:rsidP="00163143">
      <w:pPr>
        <w:rPr>
          <w:rFonts w:ascii="Calibri" w:hAnsi="Calibri" w:cs="Calibri"/>
          <w:sz w:val="72"/>
          <w:szCs w:val="72"/>
        </w:rPr>
      </w:pPr>
    </w:p>
    <w:p w14:paraId="0CA2448B" w14:textId="77777777" w:rsidR="001E4957" w:rsidRDefault="001E4957" w:rsidP="005942BD">
      <w:pPr>
        <w:rPr>
          <w:rFonts w:ascii="Calibri" w:hAnsi="Calibri" w:cs="Calibri"/>
          <w:sz w:val="72"/>
          <w:szCs w:val="72"/>
        </w:rPr>
      </w:pPr>
    </w:p>
    <w:p w14:paraId="7DF73E19" w14:textId="77777777" w:rsidR="001576E3" w:rsidRDefault="001576E3" w:rsidP="005942BD">
      <w:pPr>
        <w:rPr>
          <w:rFonts w:ascii="Calibri" w:hAnsi="Calibri" w:cs="Calibri"/>
          <w:sz w:val="72"/>
          <w:szCs w:val="72"/>
        </w:rPr>
      </w:pPr>
    </w:p>
    <w:p w14:paraId="229DBD29" w14:textId="77777777" w:rsidR="00591BB7" w:rsidRDefault="00591BB7" w:rsidP="008D7051">
      <w:pPr>
        <w:ind w:left="2160" w:firstLine="720"/>
        <w:rPr>
          <w:rFonts w:ascii="Calibri" w:hAnsi="Calibri" w:cs="Calibri"/>
          <w:sz w:val="72"/>
          <w:szCs w:val="72"/>
        </w:rPr>
      </w:pPr>
    </w:p>
    <w:p w14:paraId="4D421430" w14:textId="186E86C5" w:rsidR="008D7051" w:rsidRPr="0063700E" w:rsidRDefault="008D7051" w:rsidP="008D7051">
      <w:pPr>
        <w:ind w:left="2160" w:firstLine="720"/>
        <w:rPr>
          <w:b/>
          <w:bCs/>
          <w:sz w:val="28"/>
          <w:szCs w:val="28"/>
        </w:rPr>
      </w:pPr>
      <w:r w:rsidRPr="0063700E">
        <w:rPr>
          <w:b/>
          <w:bCs/>
          <w:sz w:val="28"/>
          <w:szCs w:val="28"/>
        </w:rPr>
        <w:lastRenderedPageBreak/>
        <w:t>Chapter One: The Exposition</w:t>
      </w:r>
    </w:p>
    <w:p w14:paraId="0D634DE0" w14:textId="77777777" w:rsidR="001E681E" w:rsidRDefault="001E681E" w:rsidP="008D7051">
      <w:pPr>
        <w:ind w:left="720"/>
      </w:pPr>
      <w:bookmarkStart w:id="3" w:name="_Hlk124065234"/>
    </w:p>
    <w:p w14:paraId="59759A01" w14:textId="0432012A" w:rsidR="00B16DAA" w:rsidRPr="00A74052" w:rsidRDefault="00B16DAA" w:rsidP="008D7051">
      <w:pPr>
        <w:ind w:left="720"/>
      </w:pPr>
      <w:r w:rsidRPr="00A74052">
        <w:t>Assimilating others, through storytelling and story listening, facilitates integration and wholeness, health, and well-being of the individual and of the greater group, and the framing of a more adequate and more complete worldview.</w:t>
      </w:r>
    </w:p>
    <w:p w14:paraId="0FA1FFEB" w14:textId="77777777" w:rsidR="00B16DAA" w:rsidRPr="00A74052" w:rsidRDefault="00B16DAA" w:rsidP="003D0443">
      <w:pPr>
        <w:rPr>
          <w:sz w:val="20"/>
          <w:szCs w:val="20"/>
        </w:rPr>
      </w:pPr>
      <w:r w:rsidRPr="003D0443">
        <w:rPr>
          <w:sz w:val="24"/>
          <w:szCs w:val="24"/>
        </w:rPr>
        <w:tab/>
      </w:r>
      <w:r w:rsidRPr="003D0443">
        <w:rPr>
          <w:sz w:val="24"/>
          <w:szCs w:val="24"/>
        </w:rPr>
        <w:tab/>
      </w:r>
      <w:r w:rsidRPr="003D0443">
        <w:rPr>
          <w:sz w:val="24"/>
          <w:szCs w:val="24"/>
        </w:rPr>
        <w:tab/>
      </w:r>
      <w:r w:rsidRPr="003D0443">
        <w:rPr>
          <w:sz w:val="24"/>
          <w:szCs w:val="24"/>
        </w:rPr>
        <w:tab/>
      </w:r>
      <w:r w:rsidRPr="003D0443">
        <w:rPr>
          <w:sz w:val="24"/>
          <w:szCs w:val="24"/>
        </w:rPr>
        <w:tab/>
      </w:r>
      <w:r w:rsidRPr="003D0443">
        <w:rPr>
          <w:sz w:val="24"/>
          <w:szCs w:val="24"/>
        </w:rPr>
        <w:tab/>
      </w:r>
      <w:r w:rsidRPr="003D0443">
        <w:rPr>
          <w:sz w:val="24"/>
          <w:szCs w:val="24"/>
        </w:rPr>
        <w:tab/>
      </w:r>
      <w:r w:rsidRPr="003D0443">
        <w:rPr>
          <w:sz w:val="24"/>
          <w:szCs w:val="24"/>
        </w:rPr>
        <w:tab/>
      </w:r>
      <w:r w:rsidRPr="003D0443">
        <w:rPr>
          <w:sz w:val="24"/>
          <w:szCs w:val="24"/>
        </w:rPr>
        <w:tab/>
      </w:r>
      <w:r w:rsidRPr="00A74052">
        <w:rPr>
          <w:sz w:val="20"/>
          <w:szCs w:val="20"/>
        </w:rPr>
        <w:t>(Braud, 1998, p. 46)</w:t>
      </w:r>
    </w:p>
    <w:bookmarkEnd w:id="3"/>
    <w:p w14:paraId="54E38EE5" w14:textId="77777777" w:rsidR="00B16DAA" w:rsidRDefault="00B16DAA" w:rsidP="00D94741">
      <w:pPr>
        <w:pStyle w:val="Heading2"/>
      </w:pPr>
    </w:p>
    <w:p w14:paraId="33A111C4" w14:textId="38D3F58A" w:rsidR="008D7051" w:rsidRPr="008D7051" w:rsidRDefault="008D7051" w:rsidP="00291A83">
      <w:pPr>
        <w:spacing w:line="360" w:lineRule="auto"/>
        <w:rPr>
          <w:b/>
          <w:bCs/>
          <w:sz w:val="24"/>
          <w:szCs w:val="24"/>
        </w:rPr>
      </w:pPr>
      <w:r w:rsidRPr="008D7051">
        <w:rPr>
          <w:b/>
          <w:bCs/>
          <w:sz w:val="24"/>
          <w:szCs w:val="24"/>
        </w:rPr>
        <w:t>Introduction</w:t>
      </w:r>
    </w:p>
    <w:p w14:paraId="38EDCDB2" w14:textId="45E0B695" w:rsidR="00B16DAA" w:rsidRPr="00291A83" w:rsidRDefault="00B16DAA" w:rsidP="00291A83">
      <w:pPr>
        <w:spacing w:line="360" w:lineRule="auto"/>
        <w:rPr>
          <w:sz w:val="24"/>
          <w:szCs w:val="24"/>
        </w:rPr>
      </w:pPr>
      <w:r w:rsidRPr="00E753B9">
        <w:rPr>
          <w:sz w:val="24"/>
          <w:szCs w:val="24"/>
        </w:rPr>
        <w:t xml:space="preserve">The exposition serves as an aperture story </w:t>
      </w:r>
      <w:r>
        <w:rPr>
          <w:sz w:val="24"/>
          <w:szCs w:val="24"/>
        </w:rPr>
        <w:t>(</w:t>
      </w:r>
      <w:r w:rsidRPr="00E753B9">
        <w:rPr>
          <w:sz w:val="24"/>
          <w:szCs w:val="24"/>
        </w:rPr>
        <w:t>Pinkola-Estes</w:t>
      </w:r>
      <w:r>
        <w:rPr>
          <w:sz w:val="24"/>
          <w:szCs w:val="24"/>
        </w:rPr>
        <w:t xml:space="preserve">, </w:t>
      </w:r>
      <w:r w:rsidRPr="00E753B9">
        <w:rPr>
          <w:sz w:val="24"/>
          <w:szCs w:val="24"/>
        </w:rPr>
        <w:t xml:space="preserve">1992) offering the reader a brief insight into the themes explored in the chapters that follow. By framing the </w:t>
      </w:r>
      <w:r w:rsidR="00194096">
        <w:rPr>
          <w:sz w:val="24"/>
          <w:szCs w:val="24"/>
        </w:rPr>
        <w:t xml:space="preserve">introductory </w:t>
      </w:r>
      <w:r w:rsidRPr="00E753B9">
        <w:rPr>
          <w:sz w:val="24"/>
          <w:szCs w:val="24"/>
        </w:rPr>
        <w:t>chapter in this way, the intention is to prepare the reader for the journey ahea</w:t>
      </w:r>
      <w:r>
        <w:rPr>
          <w:sz w:val="24"/>
          <w:szCs w:val="24"/>
        </w:rPr>
        <w:t xml:space="preserve">d </w:t>
      </w:r>
      <w:r w:rsidRPr="00E753B9">
        <w:rPr>
          <w:sz w:val="24"/>
          <w:szCs w:val="24"/>
        </w:rPr>
        <w:t xml:space="preserve">that will soon be traversed in greater depth. </w:t>
      </w:r>
      <w:r w:rsidRPr="00291A83">
        <w:rPr>
          <w:sz w:val="24"/>
          <w:szCs w:val="24"/>
        </w:rPr>
        <w:t>This chapter introduce</w:t>
      </w:r>
      <w:r>
        <w:rPr>
          <w:sz w:val="24"/>
          <w:szCs w:val="24"/>
        </w:rPr>
        <w:t>s</w:t>
      </w:r>
      <w:r w:rsidRPr="00291A83">
        <w:rPr>
          <w:sz w:val="24"/>
          <w:szCs w:val="24"/>
        </w:rPr>
        <w:t xml:space="preserve"> a psychosocial enquiry of teachers’ storytelling about their lived experiences within the context of teaching and learning to teach in a university setting. The research adopts an experiential and reflective approach</w:t>
      </w:r>
      <w:r>
        <w:rPr>
          <w:sz w:val="24"/>
          <w:szCs w:val="24"/>
        </w:rPr>
        <w:t xml:space="preserve"> </w:t>
      </w:r>
      <w:r w:rsidRPr="00291A83">
        <w:rPr>
          <w:sz w:val="24"/>
          <w:szCs w:val="24"/>
        </w:rPr>
        <w:t xml:space="preserve">using </w:t>
      </w:r>
      <w:r>
        <w:rPr>
          <w:sz w:val="24"/>
          <w:szCs w:val="24"/>
        </w:rPr>
        <w:t xml:space="preserve">the research instrument of </w:t>
      </w:r>
      <w:r w:rsidRPr="00291A83">
        <w:rPr>
          <w:sz w:val="24"/>
          <w:szCs w:val="24"/>
        </w:rPr>
        <w:t xml:space="preserve">semi-structured interviews </w:t>
      </w:r>
      <w:r>
        <w:rPr>
          <w:sz w:val="24"/>
          <w:szCs w:val="24"/>
        </w:rPr>
        <w:t xml:space="preserve">with </w:t>
      </w:r>
      <w:r w:rsidRPr="00291A83">
        <w:rPr>
          <w:sz w:val="24"/>
          <w:szCs w:val="24"/>
        </w:rPr>
        <w:t>a narrative focus</w:t>
      </w:r>
      <w:r>
        <w:rPr>
          <w:sz w:val="24"/>
          <w:szCs w:val="24"/>
        </w:rPr>
        <w:t xml:space="preserve">. </w:t>
      </w:r>
    </w:p>
    <w:p w14:paraId="15F8EBBA" w14:textId="4FC39F0D" w:rsidR="00B16DAA" w:rsidRDefault="00B16DAA" w:rsidP="007D0E5B">
      <w:pPr>
        <w:spacing w:line="360" w:lineRule="auto"/>
        <w:ind w:right="117"/>
        <w:rPr>
          <w:sz w:val="24"/>
          <w:szCs w:val="24"/>
        </w:rPr>
      </w:pPr>
      <w:r>
        <w:rPr>
          <w:sz w:val="24"/>
          <w:szCs w:val="24"/>
        </w:rPr>
        <w:t xml:space="preserve">As a practicing depth psychotherapist, I embarked on a journey to discover something very important: real stories about </w:t>
      </w:r>
      <w:r w:rsidRPr="0023369C">
        <w:rPr>
          <w:sz w:val="24"/>
          <w:szCs w:val="24"/>
        </w:rPr>
        <w:t xml:space="preserve">teaching and the process of learning to teach </w:t>
      </w:r>
      <w:r w:rsidRPr="0052026C">
        <w:rPr>
          <w:sz w:val="24"/>
          <w:szCs w:val="24"/>
        </w:rPr>
        <w:t xml:space="preserve">that reflect the complexity and richness of </w:t>
      </w:r>
      <w:r w:rsidRPr="0023369C">
        <w:rPr>
          <w:sz w:val="24"/>
          <w:szCs w:val="24"/>
        </w:rPr>
        <w:t>teachers’</w:t>
      </w:r>
      <w:r w:rsidRPr="0052026C">
        <w:rPr>
          <w:sz w:val="24"/>
          <w:szCs w:val="24"/>
        </w:rPr>
        <w:t xml:space="preserve"> </w:t>
      </w:r>
      <w:r w:rsidR="000F7EC7">
        <w:rPr>
          <w:sz w:val="24"/>
          <w:szCs w:val="24"/>
        </w:rPr>
        <w:t xml:space="preserve">firsthand </w:t>
      </w:r>
      <w:r w:rsidRPr="0052026C">
        <w:rPr>
          <w:sz w:val="24"/>
          <w:szCs w:val="24"/>
        </w:rPr>
        <w:t>experiences</w:t>
      </w:r>
      <w:r>
        <w:rPr>
          <w:sz w:val="24"/>
          <w:szCs w:val="24"/>
        </w:rPr>
        <w:t>.</w:t>
      </w:r>
      <w:r w:rsidRPr="00D043CE">
        <w:rPr>
          <w:sz w:val="24"/>
          <w:szCs w:val="24"/>
        </w:rPr>
        <w:t xml:space="preserve"> In the </w:t>
      </w:r>
      <w:r>
        <w:rPr>
          <w:sz w:val="24"/>
          <w:szCs w:val="24"/>
        </w:rPr>
        <w:t xml:space="preserve">research </w:t>
      </w:r>
      <w:r w:rsidRPr="00D043CE">
        <w:rPr>
          <w:sz w:val="24"/>
          <w:szCs w:val="24"/>
        </w:rPr>
        <w:t>tale about to be told</w:t>
      </w:r>
      <w:r w:rsidR="00FC1644">
        <w:rPr>
          <w:sz w:val="24"/>
          <w:szCs w:val="24"/>
        </w:rPr>
        <w:t>,</w:t>
      </w:r>
      <w:r w:rsidRPr="00D043CE">
        <w:rPr>
          <w:sz w:val="24"/>
          <w:szCs w:val="24"/>
        </w:rPr>
        <w:t xml:space="preserve"> I intend inhabiting the apertures within the literature, participants</w:t>
      </w:r>
      <w:r w:rsidR="0061500E">
        <w:rPr>
          <w:sz w:val="24"/>
          <w:szCs w:val="24"/>
        </w:rPr>
        <w:t xml:space="preserve">’ </w:t>
      </w:r>
      <w:r w:rsidRPr="00D043CE">
        <w:rPr>
          <w:sz w:val="24"/>
          <w:szCs w:val="24"/>
        </w:rPr>
        <w:t xml:space="preserve">stories and the context to actualise (Maslow, 1943) the stories I hear. The term actualisation was coined by Abraham Maslow (1908-1970) to denote a process of personal growth and potential. </w:t>
      </w:r>
      <w:r>
        <w:rPr>
          <w:sz w:val="24"/>
          <w:szCs w:val="24"/>
        </w:rPr>
        <w:t>A</w:t>
      </w:r>
      <w:r w:rsidRPr="00D043CE">
        <w:rPr>
          <w:sz w:val="24"/>
          <w:szCs w:val="24"/>
        </w:rPr>
        <w:t xml:space="preserve">ctualisation </w:t>
      </w:r>
      <w:r>
        <w:rPr>
          <w:sz w:val="24"/>
          <w:szCs w:val="24"/>
        </w:rPr>
        <w:t>is</w:t>
      </w:r>
      <w:r w:rsidRPr="00D043CE">
        <w:rPr>
          <w:sz w:val="24"/>
          <w:szCs w:val="24"/>
        </w:rPr>
        <w:t xml:space="preserve"> the product of a journey that Carl Gustav Jung (1875-1961) refers to as individuation (Jung, 1953)</w:t>
      </w:r>
      <w:r w:rsidR="00BB0B34">
        <w:rPr>
          <w:sz w:val="24"/>
          <w:szCs w:val="24"/>
        </w:rPr>
        <w:t>:</w:t>
      </w:r>
      <w:r>
        <w:rPr>
          <w:sz w:val="24"/>
          <w:szCs w:val="24"/>
        </w:rPr>
        <w:t xml:space="preserve"> </w:t>
      </w:r>
      <w:r w:rsidRPr="00D043CE">
        <w:rPr>
          <w:sz w:val="24"/>
          <w:szCs w:val="24"/>
        </w:rPr>
        <w:t xml:space="preserve">a journey </w:t>
      </w:r>
      <w:r w:rsidR="00490828" w:rsidRPr="00D043CE">
        <w:rPr>
          <w:sz w:val="24"/>
          <w:szCs w:val="24"/>
        </w:rPr>
        <w:t>of integration</w:t>
      </w:r>
      <w:r w:rsidRPr="00D043CE">
        <w:rPr>
          <w:sz w:val="24"/>
          <w:szCs w:val="24"/>
        </w:rPr>
        <w:t xml:space="preserve"> that incorporates a refle</w:t>
      </w:r>
      <w:r w:rsidR="00496439">
        <w:rPr>
          <w:sz w:val="24"/>
          <w:szCs w:val="24"/>
        </w:rPr>
        <w:t>ctive</w:t>
      </w:r>
      <w:r w:rsidRPr="00D043CE">
        <w:rPr>
          <w:sz w:val="24"/>
          <w:szCs w:val="24"/>
        </w:rPr>
        <w:t xml:space="preserve"> stance.</w:t>
      </w:r>
      <w:r>
        <w:rPr>
          <w:sz w:val="24"/>
          <w:szCs w:val="24"/>
        </w:rPr>
        <w:t xml:space="preserve"> A </w:t>
      </w:r>
      <w:r w:rsidR="00496439">
        <w:rPr>
          <w:sz w:val="24"/>
          <w:szCs w:val="24"/>
        </w:rPr>
        <w:t xml:space="preserve">reflective </w:t>
      </w:r>
      <w:r>
        <w:rPr>
          <w:sz w:val="24"/>
          <w:szCs w:val="24"/>
        </w:rPr>
        <w:t>stance enables and creates deep insights into the work “by inhabiting the work as one might take up dwelling in a house” (Romanyshyn, 2021, p.11)</w:t>
      </w:r>
      <w:r w:rsidR="00B367A0">
        <w:rPr>
          <w:sz w:val="24"/>
          <w:szCs w:val="24"/>
        </w:rPr>
        <w:t xml:space="preserve"> and </w:t>
      </w:r>
      <w:r w:rsidRPr="003F73B0">
        <w:rPr>
          <w:sz w:val="24"/>
          <w:szCs w:val="24"/>
        </w:rPr>
        <w:t>facilitates</w:t>
      </w:r>
      <w:r>
        <w:rPr>
          <w:sz w:val="24"/>
          <w:szCs w:val="24"/>
        </w:rPr>
        <w:t xml:space="preserve"> </w:t>
      </w:r>
      <w:r w:rsidRPr="003F73B0">
        <w:rPr>
          <w:sz w:val="24"/>
          <w:szCs w:val="24"/>
        </w:rPr>
        <w:t>the framing of a more complete worldview (Braud, 1998)</w:t>
      </w:r>
      <w:r>
        <w:rPr>
          <w:sz w:val="24"/>
          <w:szCs w:val="24"/>
        </w:rPr>
        <w:t xml:space="preserve">. </w:t>
      </w:r>
      <w:r w:rsidRPr="003F73B0">
        <w:rPr>
          <w:sz w:val="24"/>
          <w:szCs w:val="24"/>
        </w:rPr>
        <w:t xml:space="preserve">Intentionally polyvocal, reflections </w:t>
      </w:r>
      <w:r>
        <w:rPr>
          <w:sz w:val="24"/>
          <w:szCs w:val="24"/>
        </w:rPr>
        <w:t xml:space="preserve">will </w:t>
      </w:r>
      <w:r w:rsidRPr="003F73B0">
        <w:rPr>
          <w:sz w:val="24"/>
          <w:szCs w:val="24"/>
        </w:rPr>
        <w:t xml:space="preserve">incorporate stories from contemporary and historical </w:t>
      </w:r>
      <w:r>
        <w:rPr>
          <w:sz w:val="24"/>
          <w:szCs w:val="24"/>
        </w:rPr>
        <w:t xml:space="preserve">scholarship and literary </w:t>
      </w:r>
      <w:r w:rsidRPr="003F73B0">
        <w:rPr>
          <w:sz w:val="24"/>
          <w:szCs w:val="24"/>
        </w:rPr>
        <w:t>sources</w:t>
      </w:r>
      <w:r>
        <w:rPr>
          <w:sz w:val="24"/>
          <w:szCs w:val="24"/>
        </w:rPr>
        <w:t xml:space="preserve"> in an overarching individuation story.</w:t>
      </w:r>
      <w:r w:rsidRPr="009100D8">
        <w:rPr>
          <w:sz w:val="24"/>
          <w:szCs w:val="24"/>
        </w:rPr>
        <w:t xml:space="preserve"> </w:t>
      </w:r>
    </w:p>
    <w:p w14:paraId="0977EBAE" w14:textId="29C5A5A1" w:rsidR="00B16DAA" w:rsidRDefault="00B16DAA" w:rsidP="003D66A2">
      <w:pPr>
        <w:spacing w:line="360" w:lineRule="auto"/>
        <w:rPr>
          <w:sz w:val="24"/>
          <w:szCs w:val="24"/>
        </w:rPr>
      </w:pPr>
      <w:r>
        <w:rPr>
          <w:sz w:val="24"/>
          <w:szCs w:val="24"/>
        </w:rPr>
        <w:t xml:space="preserve">Beginning with introducing the research framework, </w:t>
      </w:r>
      <w:r w:rsidR="00A50A09" w:rsidRPr="00A50A09">
        <w:rPr>
          <w:sz w:val="24"/>
          <w:szCs w:val="24"/>
        </w:rPr>
        <w:t>the aims, research questions and context</w:t>
      </w:r>
      <w:r w:rsidR="00324983">
        <w:rPr>
          <w:sz w:val="24"/>
          <w:szCs w:val="24"/>
        </w:rPr>
        <w:t xml:space="preserve"> are </w:t>
      </w:r>
      <w:r w:rsidR="00BE5D22">
        <w:rPr>
          <w:sz w:val="24"/>
          <w:szCs w:val="24"/>
        </w:rPr>
        <w:t xml:space="preserve">then </w:t>
      </w:r>
      <w:r w:rsidR="00324983">
        <w:rPr>
          <w:sz w:val="24"/>
          <w:szCs w:val="24"/>
        </w:rPr>
        <w:t xml:space="preserve">described in brief. Thereafter, </w:t>
      </w:r>
      <w:r>
        <w:rPr>
          <w:sz w:val="24"/>
          <w:szCs w:val="24"/>
        </w:rPr>
        <w:t xml:space="preserve">some of the theoretical influences that </w:t>
      </w:r>
      <w:r>
        <w:rPr>
          <w:sz w:val="24"/>
          <w:szCs w:val="24"/>
        </w:rPr>
        <w:lastRenderedPageBreak/>
        <w:t xml:space="preserve">informed this study are </w:t>
      </w:r>
      <w:r w:rsidR="00BE5D22">
        <w:rPr>
          <w:sz w:val="24"/>
          <w:szCs w:val="24"/>
        </w:rPr>
        <w:t>explained</w:t>
      </w:r>
      <w:r w:rsidR="001A108A">
        <w:rPr>
          <w:sz w:val="24"/>
          <w:szCs w:val="24"/>
        </w:rPr>
        <w:t>,</w:t>
      </w:r>
      <w:r>
        <w:rPr>
          <w:sz w:val="24"/>
          <w:szCs w:val="24"/>
        </w:rPr>
        <w:t xml:space="preserve"> followed by the </w:t>
      </w:r>
      <w:bookmarkStart w:id="4" w:name="_Hlk219287734"/>
      <w:r>
        <w:rPr>
          <w:sz w:val="24"/>
          <w:szCs w:val="24"/>
        </w:rPr>
        <w:t>d</w:t>
      </w:r>
      <w:bookmarkEnd w:id="4"/>
      <w:r w:rsidR="00324983">
        <w:rPr>
          <w:sz w:val="24"/>
          <w:szCs w:val="24"/>
        </w:rPr>
        <w:t xml:space="preserve">esign. </w:t>
      </w:r>
      <w:r w:rsidR="00F87281">
        <w:rPr>
          <w:sz w:val="24"/>
          <w:szCs w:val="24"/>
        </w:rPr>
        <w:t>Thereafter, p</w:t>
      </w:r>
      <w:r>
        <w:rPr>
          <w:sz w:val="24"/>
          <w:szCs w:val="24"/>
        </w:rPr>
        <w:t>ersonal motivations explain how the research trajectory came into focus. T</w:t>
      </w:r>
      <w:r w:rsidRPr="007517D4">
        <w:rPr>
          <w:sz w:val="24"/>
          <w:szCs w:val="24"/>
        </w:rPr>
        <w:t>he prospect of emotional dynamics and dimensions in education</w:t>
      </w:r>
      <w:r>
        <w:rPr>
          <w:sz w:val="24"/>
          <w:szCs w:val="24"/>
        </w:rPr>
        <w:t xml:space="preserve"> is explored followed by considerations of how r</w:t>
      </w:r>
      <w:r w:rsidRPr="007517D4">
        <w:rPr>
          <w:sz w:val="24"/>
          <w:szCs w:val="24"/>
        </w:rPr>
        <w:t xml:space="preserve">eflective practice </w:t>
      </w:r>
      <w:r>
        <w:rPr>
          <w:sz w:val="24"/>
          <w:szCs w:val="24"/>
        </w:rPr>
        <w:t xml:space="preserve">might constitute </w:t>
      </w:r>
      <w:r w:rsidRPr="007517D4">
        <w:rPr>
          <w:sz w:val="24"/>
          <w:szCs w:val="24"/>
        </w:rPr>
        <w:t xml:space="preserve">potential support </w:t>
      </w:r>
      <w:r>
        <w:rPr>
          <w:sz w:val="24"/>
          <w:szCs w:val="24"/>
        </w:rPr>
        <w:t>or “holding” (Winnicott, 1965, pp.43-44)</w:t>
      </w:r>
      <w:r w:rsidRPr="007517D4">
        <w:rPr>
          <w:sz w:val="24"/>
          <w:szCs w:val="24"/>
        </w:rPr>
        <w:t xml:space="preserve"> for teachers. Following a</w:t>
      </w:r>
      <w:r>
        <w:rPr>
          <w:sz w:val="24"/>
          <w:szCs w:val="24"/>
        </w:rPr>
        <w:t xml:space="preserve">n overview </w:t>
      </w:r>
      <w:r w:rsidRPr="007517D4">
        <w:rPr>
          <w:sz w:val="24"/>
          <w:szCs w:val="24"/>
        </w:rPr>
        <w:t xml:space="preserve">of the structure of the thesis, I </w:t>
      </w:r>
      <w:r w:rsidR="00BF7CDF">
        <w:rPr>
          <w:sz w:val="24"/>
          <w:szCs w:val="24"/>
        </w:rPr>
        <w:t xml:space="preserve">explain </w:t>
      </w:r>
      <w:r w:rsidR="004710B7">
        <w:rPr>
          <w:sz w:val="24"/>
          <w:szCs w:val="24"/>
        </w:rPr>
        <w:t xml:space="preserve">the </w:t>
      </w:r>
      <w:r>
        <w:rPr>
          <w:sz w:val="24"/>
          <w:szCs w:val="24"/>
        </w:rPr>
        <w:t xml:space="preserve">rationale </w:t>
      </w:r>
      <w:r w:rsidR="001B2377">
        <w:rPr>
          <w:sz w:val="24"/>
          <w:szCs w:val="24"/>
        </w:rPr>
        <w:t xml:space="preserve">for this research </w:t>
      </w:r>
      <w:r w:rsidRPr="007517D4">
        <w:rPr>
          <w:sz w:val="24"/>
          <w:szCs w:val="24"/>
        </w:rPr>
        <w:t xml:space="preserve">which </w:t>
      </w:r>
      <w:r>
        <w:rPr>
          <w:sz w:val="24"/>
          <w:szCs w:val="24"/>
        </w:rPr>
        <w:t>is inextricably</w:t>
      </w:r>
      <w:r w:rsidRPr="007517D4">
        <w:rPr>
          <w:sz w:val="24"/>
          <w:szCs w:val="24"/>
        </w:rPr>
        <w:t xml:space="preserve"> bound in the </w:t>
      </w:r>
      <w:r>
        <w:rPr>
          <w:sz w:val="24"/>
          <w:szCs w:val="24"/>
        </w:rPr>
        <w:t xml:space="preserve">tale </w:t>
      </w:r>
      <w:r w:rsidRPr="007517D4">
        <w:rPr>
          <w:sz w:val="24"/>
          <w:szCs w:val="24"/>
        </w:rPr>
        <w:t xml:space="preserve">behind why I embarked on this journey. </w:t>
      </w:r>
    </w:p>
    <w:p w14:paraId="58993306" w14:textId="77777777" w:rsidR="00B16DAA" w:rsidRPr="000C74FC" w:rsidRDefault="00B16DAA" w:rsidP="003D66A2">
      <w:pPr>
        <w:spacing w:line="360" w:lineRule="auto"/>
        <w:rPr>
          <w:b/>
          <w:bCs/>
          <w:sz w:val="24"/>
          <w:szCs w:val="24"/>
        </w:rPr>
      </w:pPr>
      <w:r>
        <w:rPr>
          <w:b/>
          <w:bCs/>
          <w:sz w:val="24"/>
          <w:szCs w:val="24"/>
        </w:rPr>
        <w:t>The research journey framework</w:t>
      </w:r>
    </w:p>
    <w:p w14:paraId="08474B98" w14:textId="5608DB01" w:rsidR="00B16DAA" w:rsidRDefault="00B16DAA" w:rsidP="003D66A2">
      <w:pPr>
        <w:spacing w:line="360" w:lineRule="auto"/>
        <w:rPr>
          <w:sz w:val="24"/>
          <w:szCs w:val="24"/>
        </w:rPr>
      </w:pPr>
      <w:r w:rsidRPr="003C4931">
        <w:rPr>
          <w:sz w:val="24"/>
          <w:szCs w:val="24"/>
        </w:rPr>
        <w:t xml:space="preserve">At the beginning of a fairy tale the protagonist, cursed and cast out, must journey to the farthest reaches before </w:t>
      </w:r>
      <w:r>
        <w:rPr>
          <w:sz w:val="24"/>
          <w:szCs w:val="24"/>
        </w:rPr>
        <w:t xml:space="preserve">arriving at </w:t>
      </w:r>
      <w:r w:rsidRPr="003C4931">
        <w:rPr>
          <w:sz w:val="24"/>
          <w:szCs w:val="24"/>
        </w:rPr>
        <w:t>their destination (Solnit, 2013)</w:t>
      </w:r>
      <w:r>
        <w:rPr>
          <w:sz w:val="24"/>
          <w:szCs w:val="24"/>
        </w:rPr>
        <w:t>. Much l</w:t>
      </w:r>
      <w:r w:rsidRPr="001674FC">
        <w:rPr>
          <w:sz w:val="24"/>
          <w:szCs w:val="24"/>
        </w:rPr>
        <w:t xml:space="preserve">ike a hero in a fairy tale, the researcher is living a seemingly ordinary life until something stirs, and the balance of their current positionality is interrupted. This results in the </w:t>
      </w:r>
      <w:r>
        <w:rPr>
          <w:sz w:val="24"/>
          <w:szCs w:val="24"/>
        </w:rPr>
        <w:t xml:space="preserve">researcher </w:t>
      </w:r>
      <w:r w:rsidRPr="001674FC">
        <w:rPr>
          <w:sz w:val="24"/>
          <w:szCs w:val="24"/>
        </w:rPr>
        <w:t xml:space="preserve">setting out on not only a </w:t>
      </w:r>
      <w:r>
        <w:rPr>
          <w:sz w:val="24"/>
          <w:szCs w:val="24"/>
        </w:rPr>
        <w:t xml:space="preserve">hero’s </w:t>
      </w:r>
      <w:r w:rsidRPr="001674FC">
        <w:rPr>
          <w:sz w:val="24"/>
          <w:szCs w:val="24"/>
        </w:rPr>
        <w:t>journey of discovery</w:t>
      </w:r>
      <w:r w:rsidR="00425156">
        <w:rPr>
          <w:sz w:val="24"/>
          <w:szCs w:val="24"/>
        </w:rPr>
        <w:t xml:space="preserve">, </w:t>
      </w:r>
      <w:r w:rsidRPr="001674FC">
        <w:rPr>
          <w:sz w:val="24"/>
          <w:szCs w:val="24"/>
        </w:rPr>
        <w:t>but a quest (Campbell, 1949)</w:t>
      </w:r>
      <w:r>
        <w:rPr>
          <w:sz w:val="24"/>
          <w:szCs w:val="24"/>
        </w:rPr>
        <w:t xml:space="preserve"> during which powerful forces are encountered “</w:t>
      </w:r>
      <w:r w:rsidRPr="00654D33">
        <w:rPr>
          <w:sz w:val="24"/>
          <w:szCs w:val="24"/>
        </w:rPr>
        <w:t>and a decisive victory is won: the hero comes back from his mysterious adventure with the power to bestow boons on his fellow man</w:t>
      </w:r>
      <w:r>
        <w:rPr>
          <w:sz w:val="24"/>
          <w:szCs w:val="24"/>
        </w:rPr>
        <w:t>” (Campbell, 1949, p.23)</w:t>
      </w:r>
      <w:r w:rsidRPr="00654D33">
        <w:rPr>
          <w:sz w:val="24"/>
          <w:szCs w:val="24"/>
        </w:rPr>
        <w:t>.</w:t>
      </w:r>
      <w:r>
        <w:rPr>
          <w:sz w:val="24"/>
          <w:szCs w:val="24"/>
        </w:rPr>
        <w:t xml:space="preserve"> In a quest for new knowledge powerful forces such as dragons and witches are encountered and a support structure was needed to hold these “fabulous forces” (Campbell, 1949).</w:t>
      </w:r>
      <w:r w:rsidRPr="00316457">
        <w:rPr>
          <w:sz w:val="24"/>
          <w:szCs w:val="24"/>
        </w:rPr>
        <w:t xml:space="preserve">  </w:t>
      </w:r>
      <w:r>
        <w:rPr>
          <w:sz w:val="24"/>
          <w:szCs w:val="24"/>
        </w:rPr>
        <w:t xml:space="preserve">I am therefore signposting the reader to a four-part way station framework (Cashdan, 1999) drawn from folklore of </w:t>
      </w:r>
      <w:r w:rsidRPr="00333728">
        <w:rPr>
          <w:i/>
          <w:iCs/>
          <w:sz w:val="24"/>
          <w:szCs w:val="24"/>
        </w:rPr>
        <w:t>The Crossing, The Encounter, The Conquest</w:t>
      </w:r>
      <w:r>
        <w:rPr>
          <w:sz w:val="24"/>
          <w:szCs w:val="24"/>
        </w:rPr>
        <w:t xml:space="preserve"> and </w:t>
      </w:r>
      <w:r w:rsidRPr="00333728">
        <w:rPr>
          <w:i/>
          <w:iCs/>
          <w:sz w:val="24"/>
          <w:szCs w:val="24"/>
        </w:rPr>
        <w:t>The Celebration</w:t>
      </w:r>
      <w:r>
        <w:rPr>
          <w:sz w:val="24"/>
          <w:szCs w:val="24"/>
        </w:rPr>
        <w:t xml:space="preserve"> utilised to hold the researcher</w:t>
      </w:r>
      <w:r w:rsidR="00B404D0">
        <w:rPr>
          <w:sz w:val="24"/>
          <w:szCs w:val="24"/>
        </w:rPr>
        <w:t>,</w:t>
      </w:r>
      <w:r>
        <w:rPr>
          <w:sz w:val="24"/>
          <w:szCs w:val="24"/>
        </w:rPr>
        <w:t xml:space="preserve"> and that which is being researched. </w:t>
      </w:r>
      <w:bookmarkStart w:id="5" w:name="_Hlk151564234"/>
      <w:r>
        <w:rPr>
          <w:sz w:val="24"/>
          <w:szCs w:val="24"/>
        </w:rPr>
        <w:t xml:space="preserve">This framework </w:t>
      </w:r>
      <w:r w:rsidRPr="00963047">
        <w:rPr>
          <w:sz w:val="24"/>
          <w:szCs w:val="24"/>
        </w:rPr>
        <w:t>was both a choice and a calling (Booker, 2004</w:t>
      </w:r>
      <w:r>
        <w:rPr>
          <w:sz w:val="24"/>
          <w:szCs w:val="24"/>
        </w:rPr>
        <w:t>;</w:t>
      </w:r>
      <w:r w:rsidRPr="00F75F0C">
        <w:rPr>
          <w:sz w:val="24"/>
          <w:szCs w:val="24"/>
        </w:rPr>
        <w:t xml:space="preserve"> Hillman, 1996</w:t>
      </w:r>
      <w:r w:rsidRPr="00963047">
        <w:rPr>
          <w:sz w:val="24"/>
          <w:szCs w:val="24"/>
        </w:rPr>
        <w:t xml:space="preserve">) to hold the varying relational and power dynamics that emerged. </w:t>
      </w:r>
      <w:bookmarkStart w:id="6" w:name="_Hlk211237524"/>
    </w:p>
    <w:bookmarkEnd w:id="6"/>
    <w:p w14:paraId="3A48E7D2" w14:textId="02A3F276" w:rsidR="00F070DA" w:rsidRPr="00A54568" w:rsidRDefault="00B16DAA" w:rsidP="003D66A2">
      <w:pPr>
        <w:spacing w:line="360" w:lineRule="auto"/>
        <w:rPr>
          <w:sz w:val="24"/>
          <w:szCs w:val="24"/>
        </w:rPr>
      </w:pPr>
      <w:r>
        <w:rPr>
          <w:sz w:val="24"/>
          <w:szCs w:val="24"/>
        </w:rPr>
        <w:t xml:space="preserve">A </w:t>
      </w:r>
      <w:r w:rsidRPr="00596994">
        <w:rPr>
          <w:sz w:val="24"/>
          <w:szCs w:val="24"/>
        </w:rPr>
        <w:t xml:space="preserve">protagonist in a </w:t>
      </w:r>
      <w:r>
        <w:rPr>
          <w:sz w:val="24"/>
          <w:szCs w:val="24"/>
        </w:rPr>
        <w:t xml:space="preserve">tale </w:t>
      </w:r>
      <w:r w:rsidRPr="00596994">
        <w:rPr>
          <w:sz w:val="24"/>
          <w:szCs w:val="24"/>
        </w:rPr>
        <w:t xml:space="preserve">often becomes a hero through a process of individuation </w:t>
      </w:r>
      <w:r w:rsidR="00D9084C">
        <w:rPr>
          <w:sz w:val="24"/>
          <w:szCs w:val="24"/>
        </w:rPr>
        <w:t>(Jung, 1953)</w:t>
      </w:r>
      <w:r w:rsidR="005E3FC2">
        <w:rPr>
          <w:sz w:val="24"/>
          <w:szCs w:val="24"/>
        </w:rPr>
        <w:t xml:space="preserve"> </w:t>
      </w:r>
      <w:r w:rsidRPr="00596994">
        <w:rPr>
          <w:sz w:val="24"/>
          <w:szCs w:val="24"/>
        </w:rPr>
        <w:t xml:space="preserve">which is facilitated by a fairy godmother or a fortuitously positioned woodcutter figure. In my view the </w:t>
      </w:r>
      <w:r>
        <w:rPr>
          <w:sz w:val="24"/>
          <w:szCs w:val="24"/>
        </w:rPr>
        <w:t>participants</w:t>
      </w:r>
      <w:r w:rsidRPr="00596994">
        <w:rPr>
          <w:sz w:val="24"/>
          <w:szCs w:val="24"/>
        </w:rPr>
        <w:t xml:space="preserve"> in this research tale are the heroes </w:t>
      </w:r>
      <w:r w:rsidRPr="00596994">
        <w:rPr>
          <w:i/>
          <w:iCs/>
          <w:sz w:val="24"/>
          <w:szCs w:val="24"/>
        </w:rPr>
        <w:t>and</w:t>
      </w:r>
      <w:r w:rsidRPr="00596994">
        <w:rPr>
          <w:sz w:val="24"/>
          <w:szCs w:val="24"/>
        </w:rPr>
        <w:t xml:space="preserve"> fairy godmothers who were committed to actualising their students and making them heroes of </w:t>
      </w:r>
      <w:r w:rsidRPr="00596994">
        <w:rPr>
          <w:i/>
          <w:iCs/>
          <w:sz w:val="24"/>
          <w:szCs w:val="24"/>
        </w:rPr>
        <w:t>their</w:t>
      </w:r>
      <w:r w:rsidRPr="00596994">
        <w:rPr>
          <w:sz w:val="24"/>
          <w:szCs w:val="24"/>
        </w:rPr>
        <w:t xml:space="preserve"> learning. “Teachers are heroic people, doing heroic work, often against enormous odds” writes Mayes (2007), “who need to be supported in their vital mission of nurturing students not only academically but also emotionally and spiritually” (p. 16). By conducting this reflective, empirical </w:t>
      </w:r>
      <w:r w:rsidRPr="00596994">
        <w:rPr>
          <w:i/>
          <w:iCs/>
          <w:sz w:val="24"/>
          <w:szCs w:val="24"/>
        </w:rPr>
        <w:t>and</w:t>
      </w:r>
      <w:r w:rsidRPr="00596994">
        <w:rPr>
          <w:sz w:val="24"/>
          <w:szCs w:val="24"/>
        </w:rPr>
        <w:t xml:space="preserve"> </w:t>
      </w:r>
      <w:r w:rsidR="006C0AED">
        <w:rPr>
          <w:sz w:val="24"/>
          <w:szCs w:val="24"/>
        </w:rPr>
        <w:t>experiential</w:t>
      </w:r>
      <w:r w:rsidRPr="00596994">
        <w:rPr>
          <w:sz w:val="24"/>
          <w:szCs w:val="24"/>
        </w:rPr>
        <w:t xml:space="preserve"> research</w:t>
      </w:r>
      <w:r w:rsidR="00E935B7">
        <w:rPr>
          <w:sz w:val="24"/>
          <w:szCs w:val="24"/>
        </w:rPr>
        <w:t>,</w:t>
      </w:r>
      <w:r w:rsidRPr="00596994">
        <w:rPr>
          <w:sz w:val="24"/>
          <w:szCs w:val="24"/>
        </w:rPr>
        <w:t xml:space="preserve"> I am </w:t>
      </w:r>
      <w:r>
        <w:rPr>
          <w:sz w:val="24"/>
          <w:szCs w:val="24"/>
        </w:rPr>
        <w:t xml:space="preserve">affirming the teacher-protagonists-participants and </w:t>
      </w:r>
      <w:r w:rsidRPr="00596994">
        <w:rPr>
          <w:sz w:val="24"/>
          <w:szCs w:val="24"/>
        </w:rPr>
        <w:t xml:space="preserve">providing nurture and support for future generations of students. </w:t>
      </w:r>
      <w:bookmarkEnd w:id="5"/>
    </w:p>
    <w:p w14:paraId="51BC3C21" w14:textId="1F311D97" w:rsidR="00B16DAA" w:rsidRPr="005F78FB" w:rsidRDefault="00B16DAA" w:rsidP="003D66A2">
      <w:pPr>
        <w:spacing w:line="360" w:lineRule="auto"/>
        <w:rPr>
          <w:b/>
          <w:bCs/>
          <w:sz w:val="24"/>
          <w:szCs w:val="24"/>
        </w:rPr>
      </w:pPr>
      <w:r w:rsidRPr="005F78FB">
        <w:rPr>
          <w:b/>
          <w:bCs/>
          <w:sz w:val="24"/>
          <w:szCs w:val="24"/>
        </w:rPr>
        <w:lastRenderedPageBreak/>
        <w:t>Aims</w:t>
      </w:r>
      <w:r>
        <w:rPr>
          <w:b/>
          <w:bCs/>
          <w:sz w:val="24"/>
          <w:szCs w:val="24"/>
        </w:rPr>
        <w:t xml:space="preserve"> </w:t>
      </w:r>
    </w:p>
    <w:p w14:paraId="3D5BA311" w14:textId="07E9BF65" w:rsidR="00B16DAA" w:rsidRPr="003D0443" w:rsidRDefault="00B16DAA" w:rsidP="003D66A2">
      <w:pPr>
        <w:spacing w:line="360" w:lineRule="auto"/>
        <w:rPr>
          <w:sz w:val="24"/>
          <w:szCs w:val="24"/>
        </w:rPr>
      </w:pPr>
      <w:r w:rsidRPr="003D0443">
        <w:rPr>
          <w:sz w:val="24"/>
          <w:szCs w:val="24"/>
        </w:rPr>
        <w:t xml:space="preserve">The </w:t>
      </w:r>
      <w:r>
        <w:rPr>
          <w:sz w:val="24"/>
          <w:szCs w:val="24"/>
        </w:rPr>
        <w:t xml:space="preserve">overarching </w:t>
      </w:r>
      <w:r w:rsidRPr="003D0443">
        <w:rPr>
          <w:sz w:val="24"/>
          <w:szCs w:val="24"/>
        </w:rPr>
        <w:t xml:space="preserve">aim of this research is to explore </w:t>
      </w:r>
      <w:r w:rsidR="00BE536A">
        <w:rPr>
          <w:sz w:val="24"/>
          <w:szCs w:val="24"/>
        </w:rPr>
        <w:t>psychosocial</w:t>
      </w:r>
      <w:r w:rsidRPr="003D0443">
        <w:rPr>
          <w:sz w:val="24"/>
          <w:szCs w:val="24"/>
        </w:rPr>
        <w:t xml:space="preserve"> experiences at the heart of learning and teaching</w:t>
      </w:r>
      <w:r>
        <w:rPr>
          <w:sz w:val="24"/>
          <w:szCs w:val="24"/>
        </w:rPr>
        <w:t xml:space="preserve"> in higher education (HE) and support mechanisms that might be required for the same. A</w:t>
      </w:r>
      <w:r w:rsidRPr="003D0443">
        <w:rPr>
          <w:sz w:val="24"/>
          <w:szCs w:val="24"/>
        </w:rPr>
        <w:t>n in-depth exploration through narrative methods</w:t>
      </w:r>
      <w:r>
        <w:rPr>
          <w:sz w:val="24"/>
          <w:szCs w:val="24"/>
        </w:rPr>
        <w:t xml:space="preserve">, this study will explore </w:t>
      </w:r>
      <w:r w:rsidRPr="00F33603">
        <w:rPr>
          <w:sz w:val="24"/>
          <w:szCs w:val="24"/>
        </w:rPr>
        <w:t>lived experience stories</w:t>
      </w:r>
      <w:r>
        <w:rPr>
          <w:sz w:val="24"/>
          <w:szCs w:val="24"/>
        </w:rPr>
        <w:t xml:space="preserve"> of higher education (HE) teachers as they reflect on emotions, reflective practice and support. F</w:t>
      </w:r>
      <w:r w:rsidRPr="003D0443">
        <w:rPr>
          <w:sz w:val="24"/>
          <w:szCs w:val="24"/>
        </w:rPr>
        <w:t xml:space="preserve">rom a </w:t>
      </w:r>
      <w:r>
        <w:rPr>
          <w:sz w:val="24"/>
          <w:szCs w:val="24"/>
        </w:rPr>
        <w:t>depth pedagogy</w:t>
      </w:r>
      <w:r w:rsidRPr="003D0443">
        <w:rPr>
          <w:sz w:val="24"/>
          <w:szCs w:val="24"/>
        </w:rPr>
        <w:t xml:space="preserve"> perspective</w:t>
      </w:r>
      <w:r>
        <w:rPr>
          <w:sz w:val="24"/>
          <w:szCs w:val="24"/>
        </w:rPr>
        <w:t>,</w:t>
      </w:r>
      <w:r w:rsidRPr="00850CFF">
        <w:rPr>
          <w:sz w:val="24"/>
          <w:szCs w:val="24"/>
        </w:rPr>
        <w:t xml:space="preserve"> I offer a theoretical and experiential response to this exploration</w:t>
      </w:r>
      <w:r>
        <w:rPr>
          <w:sz w:val="24"/>
          <w:szCs w:val="24"/>
        </w:rPr>
        <w:t xml:space="preserve"> which is detailed in the ensuing </w:t>
      </w:r>
      <w:r w:rsidRPr="00514CCC">
        <w:rPr>
          <w:color w:val="000000" w:themeColor="text1"/>
          <w:sz w:val="24"/>
          <w:szCs w:val="24"/>
        </w:rPr>
        <w:t xml:space="preserve">methodology and analysis chapters (Chapters </w:t>
      </w:r>
      <w:r w:rsidR="00E93DA2">
        <w:rPr>
          <w:color w:val="000000" w:themeColor="text1"/>
          <w:sz w:val="24"/>
          <w:szCs w:val="24"/>
        </w:rPr>
        <w:t xml:space="preserve">Three </w:t>
      </w:r>
      <w:r w:rsidRPr="00514CCC">
        <w:rPr>
          <w:color w:val="000000" w:themeColor="text1"/>
          <w:sz w:val="24"/>
          <w:szCs w:val="24"/>
        </w:rPr>
        <w:t>-</w:t>
      </w:r>
      <w:r w:rsidR="00E93DA2">
        <w:rPr>
          <w:color w:val="000000" w:themeColor="text1"/>
          <w:sz w:val="24"/>
          <w:szCs w:val="24"/>
        </w:rPr>
        <w:t xml:space="preserve"> Five</w:t>
      </w:r>
      <w:r w:rsidRPr="00514CCC">
        <w:rPr>
          <w:color w:val="000000" w:themeColor="text1"/>
          <w:sz w:val="24"/>
          <w:szCs w:val="24"/>
        </w:rPr>
        <w:t>).</w:t>
      </w:r>
    </w:p>
    <w:p w14:paraId="7F8B9E49" w14:textId="52134F52" w:rsidR="00B16DAA" w:rsidRDefault="00B16DAA" w:rsidP="003D66A2">
      <w:pPr>
        <w:spacing w:line="360" w:lineRule="auto"/>
        <w:rPr>
          <w:sz w:val="24"/>
          <w:szCs w:val="24"/>
        </w:rPr>
      </w:pPr>
      <w:r w:rsidRPr="0075612F">
        <w:rPr>
          <w:sz w:val="24"/>
          <w:szCs w:val="24"/>
        </w:rPr>
        <w:t xml:space="preserve">Teacher support constitutes </w:t>
      </w:r>
      <w:r>
        <w:rPr>
          <w:sz w:val="24"/>
          <w:szCs w:val="24"/>
        </w:rPr>
        <w:t>“</w:t>
      </w:r>
      <w:r w:rsidRPr="0075612F">
        <w:rPr>
          <w:sz w:val="24"/>
          <w:szCs w:val="24"/>
        </w:rPr>
        <w:t>an ethic of care</w:t>
      </w:r>
      <w:r>
        <w:rPr>
          <w:sz w:val="24"/>
          <w:szCs w:val="24"/>
        </w:rPr>
        <w:t>”</w:t>
      </w:r>
      <w:r w:rsidRPr="0075612F">
        <w:rPr>
          <w:sz w:val="24"/>
          <w:szCs w:val="24"/>
        </w:rPr>
        <w:t xml:space="preserve"> (Noddings, 2002, p.13) within the teacher’s praxis, and includes self-care, care for their students and the emotional dimensions of teaching and learning. </w:t>
      </w:r>
      <w:r>
        <w:rPr>
          <w:sz w:val="24"/>
          <w:szCs w:val="24"/>
        </w:rPr>
        <w:t>By researching s</w:t>
      </w:r>
      <w:r w:rsidRPr="0075612F">
        <w:rPr>
          <w:sz w:val="24"/>
          <w:szCs w:val="24"/>
        </w:rPr>
        <w:t xml:space="preserve">upport provision, </w:t>
      </w:r>
      <w:r>
        <w:rPr>
          <w:sz w:val="24"/>
          <w:szCs w:val="24"/>
        </w:rPr>
        <w:t xml:space="preserve">the teacher </w:t>
      </w:r>
      <w:r w:rsidRPr="0075612F">
        <w:rPr>
          <w:sz w:val="24"/>
          <w:szCs w:val="24"/>
        </w:rPr>
        <w:t xml:space="preserve">might </w:t>
      </w:r>
      <w:r>
        <w:rPr>
          <w:sz w:val="24"/>
          <w:szCs w:val="24"/>
        </w:rPr>
        <w:t xml:space="preserve">be assisted in </w:t>
      </w:r>
      <w:r w:rsidRPr="0075612F">
        <w:rPr>
          <w:sz w:val="24"/>
          <w:szCs w:val="24"/>
        </w:rPr>
        <w:t>manag</w:t>
      </w:r>
      <w:r>
        <w:rPr>
          <w:sz w:val="24"/>
          <w:szCs w:val="24"/>
        </w:rPr>
        <w:t>ing</w:t>
      </w:r>
      <w:r w:rsidRPr="0075612F">
        <w:rPr>
          <w:sz w:val="24"/>
          <w:szCs w:val="24"/>
        </w:rPr>
        <w:t xml:space="preserve"> their own emotions and </w:t>
      </w:r>
      <w:r>
        <w:rPr>
          <w:sz w:val="24"/>
          <w:szCs w:val="24"/>
        </w:rPr>
        <w:t xml:space="preserve">those of </w:t>
      </w:r>
      <w:r w:rsidRPr="0075612F">
        <w:rPr>
          <w:sz w:val="24"/>
          <w:szCs w:val="24"/>
        </w:rPr>
        <w:t>their students more effectively in the changing learning and teaching context</w:t>
      </w:r>
      <w:r>
        <w:rPr>
          <w:sz w:val="24"/>
          <w:szCs w:val="24"/>
        </w:rPr>
        <w:t>. It is anticipated that the findings might</w:t>
      </w:r>
      <w:r w:rsidRPr="0075612F">
        <w:rPr>
          <w:sz w:val="24"/>
          <w:szCs w:val="24"/>
        </w:rPr>
        <w:t xml:space="preserve"> </w:t>
      </w:r>
      <w:r w:rsidRPr="0075612F">
        <w:rPr>
          <w:sz w:val="24"/>
          <w:szCs w:val="24"/>
          <w:lang w:val="en-US"/>
        </w:rPr>
        <w:t>pro</w:t>
      </w:r>
      <w:r>
        <w:rPr>
          <w:sz w:val="24"/>
          <w:szCs w:val="24"/>
          <w:lang w:val="en-US"/>
        </w:rPr>
        <w:t>vide</w:t>
      </w:r>
      <w:r w:rsidRPr="0075612F">
        <w:rPr>
          <w:sz w:val="24"/>
          <w:szCs w:val="24"/>
          <w:lang w:val="en-US"/>
        </w:rPr>
        <w:t xml:space="preserve"> a </w:t>
      </w:r>
      <w:r>
        <w:rPr>
          <w:sz w:val="24"/>
          <w:szCs w:val="24"/>
          <w:lang w:val="en-US"/>
        </w:rPr>
        <w:t xml:space="preserve">greater understanding of the need for supporting </w:t>
      </w:r>
      <w:r w:rsidRPr="0075612F">
        <w:rPr>
          <w:sz w:val="24"/>
          <w:szCs w:val="24"/>
          <w:lang w:val="en-US"/>
        </w:rPr>
        <w:t xml:space="preserve">teacher well-being. </w:t>
      </w:r>
      <w:r>
        <w:rPr>
          <w:sz w:val="24"/>
          <w:szCs w:val="24"/>
        </w:rPr>
        <w:t>W</w:t>
      </w:r>
      <w:r w:rsidRPr="003D0443">
        <w:rPr>
          <w:sz w:val="24"/>
          <w:szCs w:val="24"/>
        </w:rPr>
        <w:t xml:space="preserve">ell-being incorporates support mechanisms for the </w:t>
      </w:r>
      <w:r>
        <w:rPr>
          <w:sz w:val="24"/>
          <w:szCs w:val="24"/>
        </w:rPr>
        <w:t xml:space="preserve">emotional </w:t>
      </w:r>
      <w:r w:rsidRPr="003D0443">
        <w:rPr>
          <w:sz w:val="24"/>
          <w:szCs w:val="24"/>
        </w:rPr>
        <w:t>dimension</w:t>
      </w:r>
      <w:r>
        <w:rPr>
          <w:sz w:val="24"/>
          <w:szCs w:val="24"/>
        </w:rPr>
        <w:t>s</w:t>
      </w:r>
      <w:r w:rsidRPr="003D0443">
        <w:rPr>
          <w:sz w:val="24"/>
          <w:szCs w:val="24"/>
        </w:rPr>
        <w:t xml:space="preserve"> of teachers, teaching, and learning</w:t>
      </w:r>
      <w:r>
        <w:rPr>
          <w:sz w:val="24"/>
          <w:szCs w:val="24"/>
        </w:rPr>
        <w:t>. W</w:t>
      </w:r>
      <w:r w:rsidRPr="003D0443">
        <w:rPr>
          <w:sz w:val="24"/>
          <w:szCs w:val="24"/>
        </w:rPr>
        <w:t xml:space="preserve">ithout well-being </w:t>
      </w:r>
      <w:r>
        <w:rPr>
          <w:sz w:val="24"/>
          <w:szCs w:val="24"/>
        </w:rPr>
        <w:t xml:space="preserve">mechanisms </w:t>
      </w:r>
      <w:r w:rsidRPr="003D0443">
        <w:rPr>
          <w:sz w:val="24"/>
          <w:szCs w:val="24"/>
        </w:rPr>
        <w:t xml:space="preserve">in place, a “facilitating environment” (Winnicott, 1965, p.223) that supports growth, </w:t>
      </w:r>
      <w:r w:rsidR="001616B1">
        <w:rPr>
          <w:sz w:val="24"/>
          <w:szCs w:val="24"/>
        </w:rPr>
        <w:t>an</w:t>
      </w:r>
      <w:r w:rsidR="00A81AD2">
        <w:rPr>
          <w:sz w:val="24"/>
          <w:szCs w:val="24"/>
        </w:rPr>
        <w:t xml:space="preserve">y </w:t>
      </w:r>
      <w:r>
        <w:rPr>
          <w:sz w:val="24"/>
          <w:szCs w:val="24"/>
        </w:rPr>
        <w:t>s</w:t>
      </w:r>
      <w:r w:rsidRPr="003D0443">
        <w:rPr>
          <w:sz w:val="24"/>
          <w:szCs w:val="24"/>
        </w:rPr>
        <w:t xml:space="preserve">ocial and </w:t>
      </w:r>
      <w:r>
        <w:rPr>
          <w:sz w:val="24"/>
          <w:szCs w:val="24"/>
        </w:rPr>
        <w:t>e</w:t>
      </w:r>
      <w:r w:rsidRPr="003D0443">
        <w:rPr>
          <w:sz w:val="24"/>
          <w:szCs w:val="24"/>
        </w:rPr>
        <w:t xml:space="preserve">motional </w:t>
      </w:r>
      <w:r>
        <w:rPr>
          <w:sz w:val="24"/>
          <w:szCs w:val="24"/>
        </w:rPr>
        <w:t>l</w:t>
      </w:r>
      <w:r w:rsidRPr="003D0443">
        <w:rPr>
          <w:sz w:val="24"/>
          <w:szCs w:val="24"/>
        </w:rPr>
        <w:t>earning</w:t>
      </w:r>
      <w:r>
        <w:rPr>
          <w:sz w:val="24"/>
          <w:szCs w:val="24"/>
        </w:rPr>
        <w:t xml:space="preserve"> </w:t>
      </w:r>
      <w:r w:rsidRPr="003D0443">
        <w:rPr>
          <w:sz w:val="24"/>
          <w:szCs w:val="24"/>
        </w:rPr>
        <w:t>for teachers and their students</w:t>
      </w:r>
      <w:r>
        <w:rPr>
          <w:sz w:val="24"/>
          <w:szCs w:val="24"/>
        </w:rPr>
        <w:t xml:space="preserve"> </w:t>
      </w:r>
      <w:r w:rsidRPr="003D0443">
        <w:rPr>
          <w:sz w:val="24"/>
          <w:szCs w:val="24"/>
        </w:rPr>
        <w:t xml:space="preserve">may be compromised. </w:t>
      </w:r>
    </w:p>
    <w:p w14:paraId="1A07D13C" w14:textId="71588CC4" w:rsidR="00B16DAA" w:rsidRDefault="00B16DAA" w:rsidP="00D12D1A">
      <w:pPr>
        <w:spacing w:line="360" w:lineRule="auto"/>
        <w:rPr>
          <w:sz w:val="24"/>
          <w:szCs w:val="24"/>
        </w:rPr>
      </w:pPr>
      <w:r>
        <w:rPr>
          <w:sz w:val="24"/>
          <w:szCs w:val="24"/>
        </w:rPr>
        <w:t>According to c</w:t>
      </w:r>
      <w:r w:rsidRPr="003D0443">
        <w:rPr>
          <w:sz w:val="24"/>
          <w:szCs w:val="24"/>
        </w:rPr>
        <w:t>hild psychoanalyst</w:t>
      </w:r>
      <w:r>
        <w:rPr>
          <w:sz w:val="24"/>
          <w:szCs w:val="24"/>
        </w:rPr>
        <w:t xml:space="preserve"> D.W. </w:t>
      </w:r>
      <w:r w:rsidRPr="003D0443">
        <w:rPr>
          <w:sz w:val="24"/>
          <w:szCs w:val="24"/>
        </w:rPr>
        <w:t>Winnicott</w:t>
      </w:r>
      <w:r>
        <w:rPr>
          <w:sz w:val="24"/>
          <w:szCs w:val="24"/>
        </w:rPr>
        <w:t xml:space="preserve"> (1896-1971)</w:t>
      </w:r>
      <w:r w:rsidRPr="003D0443">
        <w:rPr>
          <w:sz w:val="24"/>
          <w:szCs w:val="24"/>
        </w:rPr>
        <w:t>, support</w:t>
      </w:r>
      <w:r>
        <w:rPr>
          <w:sz w:val="24"/>
          <w:szCs w:val="24"/>
        </w:rPr>
        <w:t xml:space="preserve"> is</w:t>
      </w:r>
      <w:r w:rsidRPr="003D0443">
        <w:rPr>
          <w:sz w:val="24"/>
          <w:szCs w:val="24"/>
        </w:rPr>
        <w:t xml:space="preserve"> </w:t>
      </w:r>
      <w:r>
        <w:rPr>
          <w:sz w:val="24"/>
          <w:szCs w:val="24"/>
        </w:rPr>
        <w:t>“</w:t>
      </w:r>
      <w:r w:rsidRPr="003D0443">
        <w:rPr>
          <w:sz w:val="24"/>
          <w:szCs w:val="24"/>
        </w:rPr>
        <w:t>holding</w:t>
      </w:r>
      <w:r>
        <w:rPr>
          <w:sz w:val="24"/>
          <w:szCs w:val="24"/>
        </w:rPr>
        <w:t>” (Winnicott, 1965, pp.43-44)</w:t>
      </w:r>
      <w:r w:rsidRPr="003D0443">
        <w:rPr>
          <w:sz w:val="24"/>
          <w:szCs w:val="24"/>
        </w:rPr>
        <w:t xml:space="preserve">. </w:t>
      </w:r>
      <w:r>
        <w:rPr>
          <w:sz w:val="24"/>
          <w:szCs w:val="24"/>
        </w:rPr>
        <w:t xml:space="preserve">As an initial working definition, </w:t>
      </w:r>
      <w:r w:rsidRPr="003D0443">
        <w:rPr>
          <w:sz w:val="24"/>
          <w:szCs w:val="24"/>
        </w:rPr>
        <w:t xml:space="preserve">holding </w:t>
      </w:r>
      <w:r>
        <w:rPr>
          <w:sz w:val="24"/>
          <w:szCs w:val="24"/>
        </w:rPr>
        <w:t xml:space="preserve">is </w:t>
      </w:r>
      <w:r w:rsidRPr="003D0443">
        <w:rPr>
          <w:sz w:val="24"/>
          <w:szCs w:val="24"/>
        </w:rPr>
        <w:t xml:space="preserve">a metaphorical embrace </w:t>
      </w:r>
      <w:r>
        <w:rPr>
          <w:sz w:val="24"/>
          <w:szCs w:val="24"/>
        </w:rPr>
        <w:t>which mirrors the process of mothering (Liedloff</w:t>
      </w:r>
      <w:r w:rsidR="00A81AD2">
        <w:rPr>
          <w:sz w:val="24"/>
          <w:szCs w:val="24"/>
        </w:rPr>
        <w:t>,</w:t>
      </w:r>
      <w:r>
        <w:rPr>
          <w:sz w:val="24"/>
          <w:szCs w:val="24"/>
        </w:rPr>
        <w:t xml:space="preserve"> 1975/1986), of being held with care by a nurturing container, be it a person or concept</w:t>
      </w:r>
      <w:r w:rsidRPr="00193C2D">
        <w:rPr>
          <w:sz w:val="24"/>
          <w:szCs w:val="24"/>
        </w:rPr>
        <w:t xml:space="preserve"> which results in an individual trusting the self, and the world</w:t>
      </w:r>
      <w:r>
        <w:rPr>
          <w:sz w:val="24"/>
          <w:szCs w:val="24"/>
        </w:rPr>
        <w:t>. O</w:t>
      </w:r>
      <w:r w:rsidRPr="003D0443">
        <w:rPr>
          <w:sz w:val="24"/>
          <w:szCs w:val="24"/>
        </w:rPr>
        <w:t xml:space="preserve">ne of the </w:t>
      </w:r>
      <w:r>
        <w:rPr>
          <w:sz w:val="24"/>
          <w:szCs w:val="24"/>
        </w:rPr>
        <w:t xml:space="preserve">objectives </w:t>
      </w:r>
      <w:r w:rsidRPr="003D0443">
        <w:rPr>
          <w:sz w:val="24"/>
          <w:szCs w:val="24"/>
        </w:rPr>
        <w:t xml:space="preserve">of this study </w:t>
      </w:r>
      <w:r>
        <w:rPr>
          <w:sz w:val="24"/>
          <w:szCs w:val="24"/>
        </w:rPr>
        <w:t>was</w:t>
      </w:r>
      <w:r w:rsidRPr="003D0443">
        <w:rPr>
          <w:sz w:val="24"/>
          <w:szCs w:val="24"/>
        </w:rPr>
        <w:t xml:space="preserve"> to discover if other teachers might concur with </w:t>
      </w:r>
      <w:r>
        <w:rPr>
          <w:sz w:val="24"/>
          <w:szCs w:val="24"/>
        </w:rPr>
        <w:t>holding requirements for themselves, and their students</w:t>
      </w:r>
      <w:r w:rsidRPr="003D0443">
        <w:rPr>
          <w:sz w:val="24"/>
          <w:szCs w:val="24"/>
        </w:rPr>
        <w:t xml:space="preserve">. </w:t>
      </w:r>
      <w:r>
        <w:rPr>
          <w:sz w:val="24"/>
          <w:szCs w:val="24"/>
        </w:rPr>
        <w:t xml:space="preserve">To aid in this discovery, it was important to anchor and align the research questions and aims of the study. After many iterations, </w:t>
      </w:r>
      <w:r w:rsidRPr="0009188B">
        <w:rPr>
          <w:sz w:val="24"/>
          <w:szCs w:val="24"/>
        </w:rPr>
        <w:t xml:space="preserve">definitive questions and aims were reached through a process of reflective dialogue with my research supervisors. The final version </w:t>
      </w:r>
      <w:r>
        <w:rPr>
          <w:sz w:val="24"/>
          <w:szCs w:val="24"/>
        </w:rPr>
        <w:t>(</w:t>
      </w:r>
      <w:r w:rsidR="00204E38">
        <w:rPr>
          <w:sz w:val="24"/>
          <w:szCs w:val="24"/>
        </w:rPr>
        <w:t>T</w:t>
      </w:r>
      <w:r>
        <w:rPr>
          <w:sz w:val="24"/>
          <w:szCs w:val="24"/>
        </w:rPr>
        <w:t>able</w:t>
      </w:r>
      <w:r w:rsidR="00204E38">
        <w:rPr>
          <w:sz w:val="24"/>
          <w:szCs w:val="24"/>
        </w:rPr>
        <w:t xml:space="preserve"> 1</w:t>
      </w:r>
      <w:r w:rsidR="008B6A7E">
        <w:rPr>
          <w:sz w:val="24"/>
          <w:szCs w:val="24"/>
        </w:rPr>
        <w:t>, p.22</w:t>
      </w:r>
      <w:r>
        <w:rPr>
          <w:sz w:val="24"/>
          <w:szCs w:val="24"/>
        </w:rPr>
        <w:t xml:space="preserve">) </w:t>
      </w:r>
      <w:r w:rsidRPr="0009188B">
        <w:rPr>
          <w:sz w:val="24"/>
          <w:szCs w:val="24"/>
        </w:rPr>
        <w:t>aligns experience, feelings, understanding</w:t>
      </w:r>
      <w:r>
        <w:rPr>
          <w:sz w:val="24"/>
          <w:szCs w:val="24"/>
        </w:rPr>
        <w:t xml:space="preserve"> and </w:t>
      </w:r>
      <w:r w:rsidRPr="0009188B">
        <w:rPr>
          <w:sz w:val="24"/>
          <w:szCs w:val="24"/>
        </w:rPr>
        <w:t>meaning</w:t>
      </w:r>
      <w:r>
        <w:rPr>
          <w:sz w:val="24"/>
          <w:szCs w:val="24"/>
        </w:rPr>
        <w:t xml:space="preserve">, </w:t>
      </w:r>
      <w:r w:rsidRPr="0009188B">
        <w:rPr>
          <w:sz w:val="24"/>
          <w:szCs w:val="24"/>
        </w:rPr>
        <w:t>the very essence I am seeking to capture when interviewing my participants</w:t>
      </w:r>
      <w:r>
        <w:rPr>
          <w:sz w:val="24"/>
          <w:szCs w:val="24"/>
        </w:rPr>
        <w:t>:</w:t>
      </w:r>
      <w:r w:rsidRPr="0009188B">
        <w:rPr>
          <w:sz w:val="24"/>
          <w:szCs w:val="24"/>
        </w:rPr>
        <w:t xml:space="preserve"> </w:t>
      </w:r>
    </w:p>
    <w:p w14:paraId="320A95D9" w14:textId="77777777" w:rsidR="005D0EB6" w:rsidRPr="00D12D1A" w:rsidRDefault="005D0EB6" w:rsidP="00D12D1A">
      <w:pPr>
        <w:spacing w:line="360" w:lineRule="auto"/>
        <w:rPr>
          <w:sz w:val="24"/>
          <w:szCs w:val="24"/>
        </w:rPr>
      </w:pPr>
    </w:p>
    <w:p w14:paraId="38F29FFF" w14:textId="63AD1481" w:rsidR="00B16DAA" w:rsidRPr="00204E38" w:rsidRDefault="00B16DAA" w:rsidP="002C7562">
      <w:pPr>
        <w:ind w:left="1440" w:firstLine="720"/>
        <w:rPr>
          <w:b/>
          <w:bCs/>
          <w:i/>
          <w:iCs/>
          <w:color w:val="EE0000"/>
          <w:sz w:val="24"/>
          <w:szCs w:val="24"/>
        </w:rPr>
      </w:pPr>
      <w:r w:rsidRPr="00204E38">
        <w:rPr>
          <w:i/>
          <w:iCs/>
          <w:sz w:val="24"/>
          <w:szCs w:val="24"/>
        </w:rPr>
        <w:lastRenderedPageBreak/>
        <w:t xml:space="preserve">Table </w:t>
      </w:r>
      <w:r w:rsidR="00204E38" w:rsidRPr="00204E38">
        <w:rPr>
          <w:i/>
          <w:iCs/>
          <w:sz w:val="24"/>
          <w:szCs w:val="24"/>
        </w:rPr>
        <w:t>1</w:t>
      </w:r>
      <w:r w:rsidRPr="00204E38">
        <w:rPr>
          <w:i/>
          <w:iCs/>
          <w:sz w:val="24"/>
          <w:szCs w:val="24"/>
        </w:rPr>
        <w:t>: Research questions and resultant aims</w:t>
      </w:r>
    </w:p>
    <w:p w14:paraId="4EF0D220" w14:textId="77777777" w:rsidR="00B16DAA" w:rsidRPr="004B0056" w:rsidRDefault="00B16DAA" w:rsidP="00F01358"/>
    <w:tbl>
      <w:tblPr>
        <w:tblStyle w:val="TableGrid"/>
        <w:tblW w:w="0" w:type="auto"/>
        <w:tblInd w:w="-5" w:type="dxa"/>
        <w:tblLook w:val="04A0" w:firstRow="1" w:lastRow="0" w:firstColumn="1" w:lastColumn="0" w:noHBand="0" w:noVBand="1"/>
      </w:tblPr>
      <w:tblGrid>
        <w:gridCol w:w="4193"/>
        <w:gridCol w:w="4738"/>
      </w:tblGrid>
      <w:tr w:rsidR="00BB7047" w14:paraId="50490955" w14:textId="77777777" w:rsidTr="007225BB">
        <w:tc>
          <w:tcPr>
            <w:tcW w:w="8931" w:type="dxa"/>
            <w:gridSpan w:val="2"/>
          </w:tcPr>
          <w:p w14:paraId="2BD2967E" w14:textId="77777777" w:rsidR="00BB7047" w:rsidRDefault="00BB7047" w:rsidP="00083E76">
            <w:pPr>
              <w:rPr>
                <w:b/>
                <w:bCs/>
                <w:sz w:val="24"/>
                <w:szCs w:val="24"/>
                <w:lang w:val="en-US"/>
              </w:rPr>
            </w:pPr>
            <w:r>
              <w:rPr>
                <w:b/>
                <w:bCs/>
                <w:sz w:val="24"/>
                <w:szCs w:val="24"/>
              </w:rPr>
              <w:t xml:space="preserve">Overarching research question: </w:t>
            </w:r>
            <w:r>
              <w:rPr>
                <w:b/>
                <w:bCs/>
                <w:sz w:val="24"/>
                <w:szCs w:val="24"/>
                <w:lang w:val="en-US"/>
              </w:rPr>
              <w:t xml:space="preserve">What are the lived experiences of HE teachers? </w:t>
            </w:r>
          </w:p>
          <w:p w14:paraId="061E37A3" w14:textId="2DD55970" w:rsidR="00E3150A" w:rsidRPr="00BB7047" w:rsidRDefault="00E3150A" w:rsidP="00083E76">
            <w:pPr>
              <w:rPr>
                <w:b/>
                <w:bCs/>
                <w:sz w:val="24"/>
                <w:szCs w:val="24"/>
              </w:rPr>
            </w:pPr>
          </w:p>
        </w:tc>
      </w:tr>
      <w:tr w:rsidR="00B16DAA" w14:paraId="5AD36BBC" w14:textId="77777777" w:rsidTr="00ED2718">
        <w:tc>
          <w:tcPr>
            <w:tcW w:w="4193" w:type="dxa"/>
          </w:tcPr>
          <w:p w14:paraId="1CF7E6A9" w14:textId="77777777" w:rsidR="00B16DAA" w:rsidRPr="00ED2718" w:rsidRDefault="00B16DAA" w:rsidP="00ED2718">
            <w:pPr>
              <w:rPr>
                <w:b/>
                <w:bCs/>
                <w:sz w:val="24"/>
                <w:szCs w:val="24"/>
              </w:rPr>
            </w:pPr>
            <w:r w:rsidRPr="00ED2718">
              <w:rPr>
                <w:b/>
                <w:bCs/>
                <w:sz w:val="24"/>
                <w:szCs w:val="24"/>
              </w:rPr>
              <w:t>Research questions</w:t>
            </w:r>
          </w:p>
          <w:p w14:paraId="6D58A0A2" w14:textId="77777777" w:rsidR="00B16DAA" w:rsidRDefault="00B16DAA" w:rsidP="004F2A90">
            <w:pPr>
              <w:rPr>
                <w:sz w:val="24"/>
                <w:szCs w:val="24"/>
                <w:lang w:val="en-US"/>
              </w:rPr>
            </w:pPr>
          </w:p>
        </w:tc>
        <w:tc>
          <w:tcPr>
            <w:tcW w:w="4738" w:type="dxa"/>
          </w:tcPr>
          <w:p w14:paraId="7C174C60" w14:textId="77777777" w:rsidR="00B16DAA" w:rsidRPr="00083E76" w:rsidRDefault="00B16DAA" w:rsidP="00083E76">
            <w:pPr>
              <w:rPr>
                <w:b/>
                <w:bCs/>
                <w:sz w:val="24"/>
                <w:szCs w:val="24"/>
                <w:lang w:val="en-US"/>
              </w:rPr>
            </w:pPr>
            <w:r w:rsidRPr="00083E76">
              <w:rPr>
                <w:b/>
                <w:bCs/>
                <w:sz w:val="24"/>
                <w:szCs w:val="24"/>
                <w:lang w:val="en-US"/>
              </w:rPr>
              <w:t xml:space="preserve">Resulting </w:t>
            </w:r>
            <w:r w:rsidRPr="00083E76">
              <w:rPr>
                <w:b/>
                <w:bCs/>
                <w:sz w:val="24"/>
                <w:szCs w:val="24"/>
              </w:rPr>
              <w:t>Research Aims:</w:t>
            </w:r>
          </w:p>
          <w:p w14:paraId="24DA03E0" w14:textId="77777777" w:rsidR="00B16DAA" w:rsidRDefault="00B16DAA" w:rsidP="004F2A90">
            <w:pPr>
              <w:rPr>
                <w:sz w:val="24"/>
                <w:szCs w:val="24"/>
                <w:lang w:val="en-US"/>
              </w:rPr>
            </w:pPr>
          </w:p>
        </w:tc>
      </w:tr>
      <w:tr w:rsidR="00B16DAA" w:rsidRPr="00586070" w14:paraId="559DE7E1" w14:textId="77777777" w:rsidTr="00ED2718">
        <w:tc>
          <w:tcPr>
            <w:tcW w:w="4193" w:type="dxa"/>
          </w:tcPr>
          <w:p w14:paraId="7BD8F072" w14:textId="77777777" w:rsidR="00B16DAA" w:rsidRPr="00DD7575" w:rsidRDefault="00B16DAA" w:rsidP="00B16DAA">
            <w:pPr>
              <w:numPr>
                <w:ilvl w:val="0"/>
                <w:numId w:val="1"/>
              </w:numPr>
              <w:rPr>
                <w:lang w:val="en-US"/>
              </w:rPr>
            </w:pPr>
            <w:bookmarkStart w:id="7" w:name="_Hlk215902242"/>
            <w:r w:rsidRPr="00DD7575">
              <w:rPr>
                <w:lang w:val="en-US"/>
              </w:rPr>
              <w:t>What are the experiences, perspectives, and reflections of HE teachers on their teaching, and teacher training journeys?</w:t>
            </w:r>
          </w:p>
          <w:bookmarkEnd w:id="7"/>
          <w:p w14:paraId="4C8D4DDC" w14:textId="77777777" w:rsidR="00B16DAA" w:rsidRPr="00DD7575" w:rsidRDefault="00B16DAA" w:rsidP="004F2A90">
            <w:pPr>
              <w:rPr>
                <w:lang w:val="en-US"/>
              </w:rPr>
            </w:pPr>
          </w:p>
        </w:tc>
        <w:tc>
          <w:tcPr>
            <w:tcW w:w="4738" w:type="dxa"/>
          </w:tcPr>
          <w:p w14:paraId="63F0C1EB" w14:textId="258784F3" w:rsidR="00B16DAA" w:rsidRPr="00586070" w:rsidRDefault="00B16DAA" w:rsidP="00495434">
            <w:pPr>
              <w:numPr>
                <w:ilvl w:val="0"/>
                <w:numId w:val="2"/>
              </w:numPr>
              <w:rPr>
                <w:rFonts w:ascii="Calibri" w:eastAsia="Aptos" w:hAnsi="Calibri" w:cs="Calibri"/>
                <w:lang w:val="en-US"/>
              </w:rPr>
            </w:pPr>
            <w:r w:rsidRPr="00586070">
              <w:rPr>
                <w:rFonts w:ascii="Calibri" w:eastAsia="Aptos" w:hAnsi="Calibri" w:cs="Calibri"/>
                <w:lang w:val="en-US"/>
              </w:rPr>
              <w:t>To identify HE teachers’ perspectives of their emotional wellbeing and support mechanisms during their teacher training, teaching praxis and in their teaching environments</w:t>
            </w:r>
          </w:p>
          <w:p w14:paraId="264C3BC6" w14:textId="77777777" w:rsidR="00B16DAA" w:rsidRPr="00586070" w:rsidRDefault="00B16DAA" w:rsidP="00586070">
            <w:pPr>
              <w:rPr>
                <w:lang w:val="en-US"/>
              </w:rPr>
            </w:pPr>
          </w:p>
        </w:tc>
      </w:tr>
      <w:tr w:rsidR="00B16DAA" w14:paraId="5387E4EB" w14:textId="77777777" w:rsidTr="00ED2718">
        <w:tc>
          <w:tcPr>
            <w:tcW w:w="4193" w:type="dxa"/>
          </w:tcPr>
          <w:p w14:paraId="25D5917C" w14:textId="77777777" w:rsidR="00B16DAA" w:rsidRDefault="00B16DAA" w:rsidP="00B16DAA">
            <w:pPr>
              <w:numPr>
                <w:ilvl w:val="0"/>
                <w:numId w:val="1"/>
              </w:numPr>
              <w:rPr>
                <w:lang w:val="en-US"/>
              </w:rPr>
            </w:pPr>
            <w:r w:rsidRPr="00DD7575">
              <w:rPr>
                <w:lang w:val="en-US"/>
              </w:rPr>
              <w:t>What role does reflective practice play in the teaching practices of HE teachers?</w:t>
            </w:r>
          </w:p>
          <w:p w14:paraId="0D3B075C" w14:textId="77777777" w:rsidR="00B16DAA" w:rsidRPr="00DD7575" w:rsidRDefault="00B16DAA" w:rsidP="00624A3B">
            <w:pPr>
              <w:ind w:left="360"/>
              <w:rPr>
                <w:lang w:val="en-US"/>
              </w:rPr>
            </w:pPr>
          </w:p>
          <w:p w14:paraId="2C960893" w14:textId="77777777" w:rsidR="00B16DAA" w:rsidRPr="00DD7575" w:rsidRDefault="00B16DAA" w:rsidP="004F2A90">
            <w:pPr>
              <w:rPr>
                <w:lang w:val="en-US"/>
              </w:rPr>
            </w:pPr>
          </w:p>
        </w:tc>
        <w:tc>
          <w:tcPr>
            <w:tcW w:w="4738" w:type="dxa"/>
          </w:tcPr>
          <w:p w14:paraId="12D3B311" w14:textId="77777777" w:rsidR="00B16DAA" w:rsidRPr="00CC6692" w:rsidRDefault="00B16DAA" w:rsidP="00495434">
            <w:pPr>
              <w:pStyle w:val="ListParagraph"/>
              <w:numPr>
                <w:ilvl w:val="0"/>
                <w:numId w:val="2"/>
              </w:numPr>
              <w:spacing w:after="0" w:line="240" w:lineRule="auto"/>
              <w:rPr>
                <w:rFonts w:ascii="Calibri" w:eastAsia="Aptos" w:hAnsi="Calibri" w:cs="Calibri"/>
                <w:lang w:val="en-US"/>
              </w:rPr>
            </w:pPr>
            <w:r w:rsidRPr="00CC6692">
              <w:rPr>
                <w:rFonts w:ascii="Calibri" w:eastAsia="Aptos" w:hAnsi="Calibri" w:cs="Calibri"/>
                <w:lang w:val="en-US"/>
              </w:rPr>
              <w:t>To understand how and if HE teachers utilise reflective practice to manage and process their emotions</w:t>
            </w:r>
          </w:p>
          <w:p w14:paraId="5E894779" w14:textId="77777777" w:rsidR="00B16DAA" w:rsidRPr="00DD7575" w:rsidRDefault="00B16DAA" w:rsidP="008602BB">
            <w:pPr>
              <w:rPr>
                <w:lang w:val="en-US"/>
              </w:rPr>
            </w:pPr>
          </w:p>
        </w:tc>
      </w:tr>
      <w:tr w:rsidR="00B16DAA" w14:paraId="0349E042" w14:textId="77777777" w:rsidTr="00ED2718">
        <w:tc>
          <w:tcPr>
            <w:tcW w:w="4193" w:type="dxa"/>
          </w:tcPr>
          <w:p w14:paraId="1F65DDCB" w14:textId="13FDC897" w:rsidR="00B16DAA" w:rsidRPr="00624A3B" w:rsidRDefault="0039233D" w:rsidP="00B16DAA">
            <w:pPr>
              <w:pStyle w:val="ListParagraph"/>
              <w:numPr>
                <w:ilvl w:val="0"/>
                <w:numId w:val="1"/>
              </w:numPr>
              <w:spacing w:after="0" w:line="240" w:lineRule="auto"/>
              <w:rPr>
                <w:lang w:val="en-US"/>
              </w:rPr>
            </w:pPr>
            <w:r>
              <w:rPr>
                <w:lang w:val="en-US"/>
              </w:rPr>
              <w:t>How can HE teachers make use of Winnicott’s concept of holding?</w:t>
            </w:r>
          </w:p>
          <w:p w14:paraId="21FA8718" w14:textId="77777777" w:rsidR="00B16DAA" w:rsidRPr="00DD7575" w:rsidRDefault="00B16DAA" w:rsidP="004F2A90">
            <w:pPr>
              <w:rPr>
                <w:lang w:val="en-US"/>
              </w:rPr>
            </w:pPr>
          </w:p>
        </w:tc>
        <w:tc>
          <w:tcPr>
            <w:tcW w:w="4738" w:type="dxa"/>
          </w:tcPr>
          <w:p w14:paraId="231D6F19" w14:textId="78749D52" w:rsidR="00B16DAA" w:rsidRPr="00184845" w:rsidRDefault="00B16DAA" w:rsidP="006B37C5">
            <w:pPr>
              <w:pStyle w:val="ListParagraph"/>
              <w:numPr>
                <w:ilvl w:val="0"/>
                <w:numId w:val="2"/>
              </w:numPr>
              <w:spacing w:after="0" w:line="240" w:lineRule="auto"/>
              <w:rPr>
                <w:rFonts w:ascii="Calibri" w:eastAsia="Aptos" w:hAnsi="Calibri" w:cs="Calibri"/>
                <w:lang w:val="en-US"/>
              </w:rPr>
            </w:pPr>
            <w:r w:rsidRPr="00184845">
              <w:rPr>
                <w:rFonts w:ascii="Calibri" w:eastAsia="Aptos" w:hAnsi="Calibri" w:cs="Calibri"/>
                <w:lang w:val="en-US"/>
              </w:rPr>
              <w:t xml:space="preserve">To explore whether the concept of holding drawn from Winnicottian theory provides enhanced awareness of support and reflective practice for HE teachers </w:t>
            </w:r>
          </w:p>
          <w:p w14:paraId="3B3BE195" w14:textId="77777777" w:rsidR="00B16DAA" w:rsidRPr="00DD7575" w:rsidRDefault="00B16DAA" w:rsidP="007C0B5B">
            <w:pPr>
              <w:rPr>
                <w:lang w:val="en-US"/>
              </w:rPr>
            </w:pPr>
          </w:p>
        </w:tc>
      </w:tr>
    </w:tbl>
    <w:p w14:paraId="442CF042" w14:textId="77777777" w:rsidR="00B16DAA" w:rsidRDefault="00B16DAA" w:rsidP="000D39FA">
      <w:pPr>
        <w:rPr>
          <w:rFonts w:ascii="Calibri" w:eastAsia="Calibri" w:hAnsi="Calibri" w:cs="Times New Roman"/>
          <w:sz w:val="24"/>
          <w:szCs w:val="24"/>
        </w:rPr>
      </w:pPr>
    </w:p>
    <w:p w14:paraId="0B09FB3C" w14:textId="77777777" w:rsidR="00B16DAA" w:rsidRPr="000E69CC" w:rsidRDefault="00B16DAA" w:rsidP="000D39FA">
      <w:pPr>
        <w:rPr>
          <w:rFonts w:ascii="Calibri" w:eastAsia="Calibri" w:hAnsi="Calibri" w:cs="Times New Roman"/>
          <w:sz w:val="24"/>
          <w:szCs w:val="24"/>
        </w:rPr>
      </w:pPr>
      <w:r>
        <w:rPr>
          <w:rFonts w:ascii="Calibri" w:eastAsia="Calibri" w:hAnsi="Calibri" w:cs="Times New Roman"/>
          <w:b/>
          <w:bCs/>
          <w:sz w:val="24"/>
          <w:szCs w:val="24"/>
        </w:rPr>
        <w:t>T</w:t>
      </w:r>
      <w:r w:rsidRPr="000D39FA">
        <w:rPr>
          <w:rFonts w:ascii="Calibri" w:eastAsia="Calibri" w:hAnsi="Calibri" w:cs="Times New Roman"/>
          <w:b/>
          <w:bCs/>
          <w:sz w:val="24"/>
          <w:szCs w:val="24"/>
        </w:rPr>
        <w:t>he context</w:t>
      </w:r>
    </w:p>
    <w:p w14:paraId="18F7DC74" w14:textId="7DE86C56" w:rsidR="00B16DAA" w:rsidRDefault="00B16DAA" w:rsidP="00FC5385">
      <w:pPr>
        <w:spacing w:line="360" w:lineRule="auto"/>
        <w:rPr>
          <w:rFonts w:ascii="Calibri" w:eastAsia="Calibri" w:hAnsi="Calibri" w:cs="Times New Roman"/>
          <w:sz w:val="24"/>
          <w:szCs w:val="24"/>
          <w:lang w:val="en-US"/>
        </w:rPr>
      </w:pPr>
      <w:r w:rsidRPr="00B760B9">
        <w:rPr>
          <w:rFonts w:ascii="Calibri" w:eastAsia="Calibri" w:hAnsi="Calibri" w:cs="Times New Roman"/>
          <w:sz w:val="24"/>
          <w:szCs w:val="24"/>
          <w:lang w:val="en-US"/>
        </w:rPr>
        <w:t>In a fairytale, the story</w:t>
      </w:r>
      <w:r>
        <w:rPr>
          <w:rFonts w:ascii="Calibri" w:eastAsia="Calibri" w:hAnsi="Calibri" w:cs="Times New Roman"/>
          <w:sz w:val="24"/>
          <w:szCs w:val="24"/>
          <w:lang w:val="en-US"/>
        </w:rPr>
        <w:t xml:space="preserve">’s location </w:t>
      </w:r>
      <w:r w:rsidRPr="00B760B9">
        <w:rPr>
          <w:rFonts w:ascii="Calibri" w:eastAsia="Calibri" w:hAnsi="Calibri" w:cs="Times New Roman"/>
          <w:sz w:val="24"/>
          <w:szCs w:val="24"/>
          <w:lang w:val="en-US"/>
        </w:rPr>
        <w:t>is often</w:t>
      </w:r>
      <w:r>
        <w:rPr>
          <w:rFonts w:ascii="Calibri" w:eastAsia="Calibri" w:hAnsi="Calibri" w:cs="Times New Roman"/>
          <w:sz w:val="24"/>
          <w:szCs w:val="24"/>
          <w:lang w:val="en-US"/>
        </w:rPr>
        <w:t xml:space="preserve"> </w:t>
      </w:r>
      <w:r w:rsidRPr="00B760B9">
        <w:rPr>
          <w:rFonts w:ascii="Calibri" w:eastAsia="Calibri" w:hAnsi="Calibri" w:cs="Times New Roman"/>
          <w:sz w:val="24"/>
          <w:szCs w:val="24"/>
          <w:lang w:val="en-US"/>
        </w:rPr>
        <w:t>denoted as far away</w:t>
      </w:r>
      <w:r>
        <w:rPr>
          <w:rFonts w:ascii="Calibri" w:eastAsia="Calibri" w:hAnsi="Calibri" w:cs="Times New Roman"/>
          <w:sz w:val="24"/>
          <w:szCs w:val="24"/>
          <w:lang w:val="en-US"/>
        </w:rPr>
        <w:t>, leaving the reader</w:t>
      </w:r>
      <w:r w:rsidRPr="00B760B9">
        <w:rPr>
          <w:rFonts w:ascii="Calibri" w:eastAsia="Calibri" w:hAnsi="Calibri" w:cs="Times New Roman"/>
          <w:sz w:val="24"/>
          <w:szCs w:val="24"/>
          <w:lang w:val="en-US"/>
        </w:rPr>
        <w:t xml:space="preserve"> </w:t>
      </w:r>
      <w:r w:rsidR="00FA26F9">
        <w:rPr>
          <w:rFonts w:ascii="Calibri" w:eastAsia="Calibri" w:hAnsi="Calibri" w:cs="Times New Roman"/>
          <w:sz w:val="24"/>
          <w:szCs w:val="24"/>
          <w:lang w:val="en-US"/>
        </w:rPr>
        <w:t xml:space="preserve">making </w:t>
      </w:r>
      <w:r>
        <w:rPr>
          <w:rFonts w:ascii="Calibri" w:eastAsia="Calibri" w:hAnsi="Calibri" w:cs="Times New Roman"/>
          <w:sz w:val="24"/>
          <w:szCs w:val="24"/>
          <w:lang w:val="en-US"/>
        </w:rPr>
        <w:t xml:space="preserve">their </w:t>
      </w:r>
      <w:r w:rsidRPr="00B760B9">
        <w:rPr>
          <w:rFonts w:ascii="Calibri" w:eastAsia="Calibri" w:hAnsi="Calibri" w:cs="Times New Roman"/>
          <w:sz w:val="24"/>
          <w:szCs w:val="24"/>
          <w:lang w:val="en-US"/>
        </w:rPr>
        <w:t xml:space="preserve">own assumptions </w:t>
      </w:r>
      <w:r>
        <w:rPr>
          <w:rFonts w:ascii="Calibri" w:eastAsia="Calibri" w:hAnsi="Calibri" w:cs="Times New Roman"/>
          <w:sz w:val="24"/>
          <w:szCs w:val="24"/>
          <w:lang w:val="en-US"/>
        </w:rPr>
        <w:t xml:space="preserve">about the </w:t>
      </w:r>
      <w:r w:rsidRPr="00B760B9">
        <w:rPr>
          <w:rFonts w:ascii="Calibri" w:eastAsia="Calibri" w:hAnsi="Calibri" w:cs="Times New Roman"/>
          <w:sz w:val="24"/>
          <w:szCs w:val="24"/>
          <w:lang w:val="en-US"/>
        </w:rPr>
        <w:t>culture</w:t>
      </w:r>
      <w:r>
        <w:rPr>
          <w:rFonts w:ascii="Calibri" w:eastAsia="Calibri" w:hAnsi="Calibri" w:cs="Times New Roman"/>
          <w:sz w:val="24"/>
          <w:szCs w:val="24"/>
          <w:lang w:val="en-US"/>
        </w:rPr>
        <w:t>, topography</w:t>
      </w:r>
      <w:r w:rsidRPr="00B760B9">
        <w:rPr>
          <w:rFonts w:ascii="Calibri" w:eastAsia="Calibri" w:hAnsi="Calibri" w:cs="Times New Roman"/>
          <w:sz w:val="24"/>
          <w:szCs w:val="24"/>
          <w:lang w:val="en-US"/>
        </w:rPr>
        <w:t xml:space="preserve"> and history</w:t>
      </w:r>
      <w:r>
        <w:rPr>
          <w:rFonts w:ascii="Calibri" w:eastAsia="Calibri" w:hAnsi="Calibri" w:cs="Times New Roman"/>
          <w:sz w:val="24"/>
          <w:szCs w:val="24"/>
          <w:lang w:val="en-US"/>
        </w:rPr>
        <w:t xml:space="preserve"> of this mysterious place</w:t>
      </w:r>
      <w:r w:rsidRPr="00B760B9">
        <w:rPr>
          <w:rFonts w:ascii="Calibri" w:eastAsia="Calibri" w:hAnsi="Calibri" w:cs="Times New Roman"/>
          <w:sz w:val="24"/>
          <w:szCs w:val="24"/>
          <w:lang w:val="en-US"/>
        </w:rPr>
        <w:t xml:space="preserve">. In this </w:t>
      </w:r>
      <w:r>
        <w:rPr>
          <w:rFonts w:ascii="Calibri" w:eastAsia="Calibri" w:hAnsi="Calibri" w:cs="Times New Roman"/>
          <w:sz w:val="24"/>
          <w:szCs w:val="24"/>
          <w:lang w:val="en-US"/>
        </w:rPr>
        <w:t xml:space="preserve">research story </w:t>
      </w:r>
      <w:r w:rsidRPr="00B760B9">
        <w:rPr>
          <w:rFonts w:ascii="Calibri" w:eastAsia="Calibri" w:hAnsi="Calibri" w:cs="Times New Roman"/>
          <w:sz w:val="24"/>
          <w:szCs w:val="24"/>
          <w:lang w:val="en-US"/>
        </w:rPr>
        <w:t xml:space="preserve">the </w:t>
      </w:r>
      <w:r>
        <w:rPr>
          <w:rFonts w:ascii="Calibri" w:eastAsia="Calibri" w:hAnsi="Calibri" w:cs="Times New Roman"/>
          <w:sz w:val="24"/>
          <w:szCs w:val="24"/>
          <w:lang w:val="en-US"/>
        </w:rPr>
        <w:t xml:space="preserve">context </w:t>
      </w:r>
      <w:r w:rsidRPr="00B760B9">
        <w:rPr>
          <w:rFonts w:ascii="Calibri" w:eastAsia="Calibri" w:hAnsi="Calibri" w:cs="Times New Roman"/>
          <w:sz w:val="24"/>
          <w:szCs w:val="24"/>
          <w:lang w:val="en-US"/>
        </w:rPr>
        <w:t xml:space="preserve">will be </w:t>
      </w:r>
      <w:r>
        <w:rPr>
          <w:rFonts w:ascii="Calibri" w:eastAsia="Calibri" w:hAnsi="Calibri" w:cs="Times New Roman"/>
          <w:sz w:val="24"/>
          <w:szCs w:val="24"/>
          <w:lang w:val="en-US"/>
        </w:rPr>
        <w:t xml:space="preserve">briefly </w:t>
      </w:r>
      <w:r w:rsidRPr="00B760B9">
        <w:rPr>
          <w:rFonts w:ascii="Calibri" w:eastAsia="Calibri" w:hAnsi="Calibri" w:cs="Times New Roman"/>
          <w:sz w:val="24"/>
          <w:szCs w:val="24"/>
          <w:lang w:val="en-US"/>
        </w:rPr>
        <w:t>named</w:t>
      </w:r>
      <w:r>
        <w:rPr>
          <w:rFonts w:ascii="Calibri" w:eastAsia="Calibri" w:hAnsi="Calibri" w:cs="Times New Roman"/>
          <w:sz w:val="24"/>
          <w:szCs w:val="24"/>
          <w:lang w:val="en-US"/>
        </w:rPr>
        <w:t xml:space="preserve"> and</w:t>
      </w:r>
      <w:r w:rsidRPr="00B760B9">
        <w:rPr>
          <w:rFonts w:ascii="Calibri" w:eastAsia="Calibri" w:hAnsi="Calibri" w:cs="Times New Roman"/>
          <w:sz w:val="24"/>
          <w:szCs w:val="24"/>
          <w:lang w:val="en-US"/>
        </w:rPr>
        <w:t xml:space="preserve"> await</w:t>
      </w:r>
      <w:r>
        <w:rPr>
          <w:rFonts w:ascii="Calibri" w:eastAsia="Calibri" w:hAnsi="Calibri" w:cs="Times New Roman"/>
          <w:sz w:val="24"/>
          <w:szCs w:val="24"/>
          <w:lang w:val="en-US"/>
        </w:rPr>
        <w:t xml:space="preserve"> a</w:t>
      </w:r>
      <w:r w:rsidRPr="00B760B9">
        <w:rPr>
          <w:rFonts w:ascii="Calibri" w:eastAsia="Calibri" w:hAnsi="Calibri" w:cs="Times New Roman"/>
          <w:sz w:val="24"/>
          <w:szCs w:val="24"/>
          <w:lang w:val="en-US"/>
        </w:rPr>
        <w:t xml:space="preserve"> more in-depth explanation in Chapter </w:t>
      </w:r>
      <w:r w:rsidR="002B4318">
        <w:rPr>
          <w:rFonts w:ascii="Calibri" w:eastAsia="Calibri" w:hAnsi="Calibri" w:cs="Times New Roman"/>
          <w:sz w:val="24"/>
          <w:szCs w:val="24"/>
          <w:lang w:val="en-US"/>
        </w:rPr>
        <w:t>Two</w:t>
      </w:r>
      <w:r w:rsidRPr="00B760B9">
        <w:rPr>
          <w:rFonts w:ascii="Calibri" w:eastAsia="Calibri" w:hAnsi="Calibri" w:cs="Times New Roman"/>
          <w:sz w:val="24"/>
          <w:szCs w:val="24"/>
          <w:lang w:val="en-US"/>
        </w:rPr>
        <w:t>. Suffice to say that th</w:t>
      </w:r>
      <w:r>
        <w:rPr>
          <w:rFonts w:ascii="Calibri" w:eastAsia="Calibri" w:hAnsi="Calibri" w:cs="Times New Roman"/>
          <w:sz w:val="24"/>
          <w:szCs w:val="24"/>
          <w:lang w:val="en-US"/>
        </w:rPr>
        <w:t>is</w:t>
      </w:r>
      <w:r w:rsidRPr="00B760B9">
        <w:rPr>
          <w:rFonts w:ascii="Calibri" w:eastAsia="Calibri" w:hAnsi="Calibri" w:cs="Times New Roman"/>
          <w:sz w:val="24"/>
          <w:szCs w:val="24"/>
          <w:lang w:val="en-US"/>
        </w:rPr>
        <w:t xml:space="preserve"> study is situated within the contemporary tertiary educational context</w:t>
      </w:r>
      <w:r>
        <w:rPr>
          <w:rFonts w:ascii="Calibri" w:eastAsia="Calibri" w:hAnsi="Calibri" w:cs="Times New Roman"/>
          <w:sz w:val="24"/>
          <w:szCs w:val="24"/>
          <w:lang w:val="en-US"/>
        </w:rPr>
        <w:t xml:space="preserve"> </w:t>
      </w:r>
      <w:r w:rsidRPr="00B760B9">
        <w:rPr>
          <w:rFonts w:ascii="Calibri" w:eastAsia="Calibri" w:hAnsi="Calibri" w:cs="Times New Roman"/>
          <w:sz w:val="24"/>
          <w:szCs w:val="24"/>
          <w:lang w:val="en-US"/>
        </w:rPr>
        <w:t xml:space="preserve">which </w:t>
      </w:r>
      <w:r>
        <w:rPr>
          <w:rFonts w:ascii="Calibri" w:eastAsia="Calibri" w:hAnsi="Calibri" w:cs="Times New Roman"/>
          <w:sz w:val="24"/>
          <w:szCs w:val="24"/>
          <w:lang w:val="en-US"/>
        </w:rPr>
        <w:t>finds itself</w:t>
      </w:r>
      <w:r w:rsidRPr="00B760B9">
        <w:rPr>
          <w:rFonts w:ascii="Calibri" w:eastAsia="Calibri" w:hAnsi="Calibri" w:cs="Times New Roman"/>
          <w:sz w:val="24"/>
          <w:szCs w:val="24"/>
          <w:lang w:val="en-US"/>
        </w:rPr>
        <w:t xml:space="preserve"> in a transition of systemic change beyond its own carefully constructed mental map (Hunt, 1998), and image. </w:t>
      </w:r>
      <w:r>
        <w:rPr>
          <w:rFonts w:ascii="Calibri" w:eastAsia="Calibri" w:hAnsi="Calibri" w:cs="Times New Roman"/>
          <w:sz w:val="24"/>
          <w:szCs w:val="24"/>
          <w:lang w:val="en-US"/>
        </w:rPr>
        <w:t>T</w:t>
      </w:r>
      <w:r w:rsidRPr="00B760B9">
        <w:rPr>
          <w:rFonts w:ascii="Calibri" w:eastAsia="Calibri" w:hAnsi="Calibri" w:cs="Times New Roman"/>
          <w:sz w:val="24"/>
          <w:szCs w:val="24"/>
          <w:lang w:val="en-US"/>
        </w:rPr>
        <w:t xml:space="preserve">he territorial map of the university, one of a “conserver and reproducer of knowledge” (Lu and Etzkowitz, 2008, p. 15), is transmuting into one where it plays an active role in securing its competitive and fiscal advantage (Zott </w:t>
      </w:r>
      <w:r w:rsidR="00FB3A6E" w:rsidRPr="00FB3A6E">
        <w:rPr>
          <w:rFonts w:ascii="Calibri" w:eastAsia="Calibri" w:hAnsi="Calibri" w:cs="Times New Roman"/>
          <w:i/>
          <w:sz w:val="24"/>
          <w:szCs w:val="24"/>
          <w:lang w:val="en-US"/>
        </w:rPr>
        <w:t>et al.</w:t>
      </w:r>
      <w:r w:rsidRPr="00B760B9">
        <w:rPr>
          <w:rFonts w:ascii="Calibri" w:eastAsia="Calibri" w:hAnsi="Calibri" w:cs="Times New Roman"/>
          <w:sz w:val="24"/>
          <w:szCs w:val="24"/>
          <w:lang w:val="en-US"/>
        </w:rPr>
        <w:t>, 2011). The operational, functional, and cultural shape of the public landscapes of universities is changing</w:t>
      </w:r>
      <w:r>
        <w:rPr>
          <w:rFonts w:ascii="Calibri" w:eastAsia="Calibri" w:hAnsi="Calibri" w:cs="Times New Roman"/>
          <w:sz w:val="24"/>
          <w:szCs w:val="24"/>
          <w:lang w:val="en-US"/>
        </w:rPr>
        <w:t>, indeed f</w:t>
      </w:r>
      <w:r w:rsidRPr="00322392">
        <w:rPr>
          <w:rFonts w:ascii="Calibri" w:eastAsia="Calibri" w:hAnsi="Calibri" w:cs="Times New Roman"/>
          <w:sz w:val="24"/>
          <w:szCs w:val="24"/>
          <w:lang w:val="en-US"/>
        </w:rPr>
        <w:t xml:space="preserve">eminist scholar Rebecca Solnit (2019) </w:t>
      </w:r>
      <w:r w:rsidR="00C8555D">
        <w:rPr>
          <w:rFonts w:ascii="Calibri" w:eastAsia="Calibri" w:hAnsi="Calibri" w:cs="Times New Roman"/>
          <w:sz w:val="24"/>
          <w:szCs w:val="24"/>
          <w:lang w:val="en-US"/>
        </w:rPr>
        <w:t xml:space="preserve">believes </w:t>
      </w:r>
      <w:r w:rsidRPr="00322392">
        <w:rPr>
          <w:rFonts w:ascii="Calibri" w:eastAsia="Calibri" w:hAnsi="Calibri" w:cs="Times New Roman"/>
          <w:sz w:val="24"/>
          <w:szCs w:val="24"/>
          <w:lang w:val="en-US"/>
        </w:rPr>
        <w:t>the wider public landscape is undergoing a transformation</w:t>
      </w:r>
      <w:r>
        <w:rPr>
          <w:rFonts w:ascii="Calibri" w:eastAsia="Calibri" w:hAnsi="Calibri" w:cs="Times New Roman"/>
          <w:sz w:val="24"/>
          <w:szCs w:val="24"/>
          <w:lang w:val="en-US"/>
        </w:rPr>
        <w:t xml:space="preserve">. Amid </w:t>
      </w:r>
      <w:r w:rsidRPr="00B760B9">
        <w:rPr>
          <w:rFonts w:ascii="Calibri" w:eastAsia="Calibri" w:hAnsi="Calibri" w:cs="Times New Roman"/>
          <w:sz w:val="24"/>
          <w:szCs w:val="24"/>
          <w:lang w:val="en-US"/>
        </w:rPr>
        <w:t xml:space="preserve">changes in the </w:t>
      </w:r>
      <w:r>
        <w:rPr>
          <w:rFonts w:ascii="Calibri" w:eastAsia="Calibri" w:hAnsi="Calibri" w:cs="Times New Roman"/>
          <w:sz w:val="24"/>
          <w:szCs w:val="24"/>
          <w:lang w:val="en-US"/>
        </w:rPr>
        <w:t xml:space="preserve">higher education </w:t>
      </w:r>
      <w:r w:rsidRPr="00B760B9">
        <w:rPr>
          <w:rFonts w:ascii="Calibri" w:eastAsia="Calibri" w:hAnsi="Calibri" w:cs="Times New Roman"/>
          <w:sz w:val="24"/>
          <w:szCs w:val="24"/>
          <w:lang w:val="en-US"/>
        </w:rPr>
        <w:t xml:space="preserve">kingdom, </w:t>
      </w:r>
      <w:r>
        <w:rPr>
          <w:rFonts w:ascii="Calibri" w:eastAsia="Calibri" w:hAnsi="Calibri" w:cs="Times New Roman"/>
          <w:sz w:val="24"/>
          <w:szCs w:val="24"/>
          <w:lang w:val="en-US"/>
        </w:rPr>
        <w:t>all subjects are</w:t>
      </w:r>
      <w:r w:rsidRPr="00B760B9">
        <w:rPr>
          <w:rFonts w:ascii="Calibri" w:eastAsia="Calibri" w:hAnsi="Calibri" w:cs="Times New Roman"/>
          <w:sz w:val="24"/>
          <w:szCs w:val="24"/>
          <w:lang w:val="en-US"/>
        </w:rPr>
        <w:t xml:space="preserve"> having to adapt</w:t>
      </w:r>
      <w:r>
        <w:rPr>
          <w:rFonts w:ascii="Calibri" w:eastAsia="Calibri" w:hAnsi="Calibri" w:cs="Times New Roman"/>
          <w:sz w:val="24"/>
          <w:szCs w:val="24"/>
          <w:lang w:val="en-US"/>
        </w:rPr>
        <w:t xml:space="preserve"> to some un</w:t>
      </w:r>
      <w:r w:rsidR="00D87D81">
        <w:rPr>
          <w:rFonts w:ascii="Calibri" w:eastAsia="Calibri" w:hAnsi="Calibri" w:cs="Times New Roman"/>
          <w:sz w:val="24"/>
          <w:szCs w:val="24"/>
          <w:lang w:val="en-US"/>
        </w:rPr>
        <w:t>invited subjects</w:t>
      </w:r>
      <w:r>
        <w:rPr>
          <w:rFonts w:ascii="Calibri" w:eastAsia="Calibri" w:hAnsi="Calibri" w:cs="Times New Roman"/>
          <w:sz w:val="24"/>
          <w:szCs w:val="24"/>
          <w:lang w:val="en-US"/>
        </w:rPr>
        <w:t xml:space="preserve"> that are </w:t>
      </w:r>
      <w:r w:rsidR="00BE536A">
        <w:rPr>
          <w:rFonts w:ascii="Calibri" w:eastAsia="Calibri" w:hAnsi="Calibri" w:cs="Times New Roman"/>
          <w:sz w:val="24"/>
          <w:szCs w:val="24"/>
          <w:lang w:val="en-US"/>
        </w:rPr>
        <w:t>psychosocial</w:t>
      </w:r>
      <w:r>
        <w:rPr>
          <w:rFonts w:ascii="Calibri" w:eastAsia="Calibri" w:hAnsi="Calibri" w:cs="Times New Roman"/>
          <w:sz w:val="24"/>
          <w:szCs w:val="24"/>
          <w:lang w:val="en-US"/>
        </w:rPr>
        <w:t xml:space="preserve"> </w:t>
      </w:r>
      <w:r w:rsidR="00B874DB">
        <w:rPr>
          <w:rFonts w:ascii="Calibri" w:eastAsia="Calibri" w:hAnsi="Calibri" w:cs="Times New Roman"/>
          <w:sz w:val="24"/>
          <w:szCs w:val="24"/>
          <w:lang w:val="en-US"/>
        </w:rPr>
        <w:t xml:space="preserve">in </w:t>
      </w:r>
      <w:r>
        <w:rPr>
          <w:rFonts w:ascii="Calibri" w:eastAsia="Calibri" w:hAnsi="Calibri" w:cs="Times New Roman"/>
          <w:sz w:val="24"/>
          <w:szCs w:val="24"/>
          <w:lang w:val="en-US"/>
        </w:rPr>
        <w:t>nature</w:t>
      </w:r>
      <w:r w:rsidR="007140A6">
        <w:rPr>
          <w:rFonts w:ascii="Calibri" w:eastAsia="Calibri" w:hAnsi="Calibri" w:cs="Times New Roman"/>
          <w:sz w:val="24"/>
          <w:szCs w:val="24"/>
          <w:lang w:val="en-US"/>
        </w:rPr>
        <w:t xml:space="preserve">: </w:t>
      </w:r>
      <w:r w:rsidR="00A805B8" w:rsidRPr="00A805B8">
        <w:rPr>
          <w:rFonts w:ascii="Calibri" w:eastAsia="Calibri" w:hAnsi="Calibri" w:cs="Times New Roman"/>
          <w:sz w:val="24"/>
          <w:szCs w:val="24"/>
        </w:rPr>
        <w:t>the mental, emotional and social domains of life</w:t>
      </w:r>
      <w:r w:rsidR="00AB0D3D">
        <w:rPr>
          <w:rFonts w:ascii="Calibri" w:eastAsia="Calibri" w:hAnsi="Calibri" w:cs="Times New Roman"/>
          <w:sz w:val="24"/>
          <w:szCs w:val="24"/>
        </w:rPr>
        <w:t xml:space="preserve"> (Suttie, 1922)</w:t>
      </w:r>
      <w:r w:rsidR="00A805B8" w:rsidRPr="00A805B8">
        <w:rPr>
          <w:rFonts w:ascii="Calibri" w:eastAsia="Calibri" w:hAnsi="Calibri" w:cs="Times New Roman"/>
          <w:sz w:val="24"/>
          <w:szCs w:val="24"/>
        </w:rPr>
        <w:t xml:space="preserve">. </w:t>
      </w:r>
      <w:r w:rsidRPr="00B760B9">
        <w:rPr>
          <w:rFonts w:ascii="Calibri" w:eastAsia="Calibri" w:hAnsi="Calibri" w:cs="Times New Roman"/>
          <w:sz w:val="24"/>
          <w:szCs w:val="24"/>
          <w:lang w:val="en-US"/>
        </w:rPr>
        <w:t xml:space="preserve"> </w:t>
      </w:r>
      <w:r>
        <w:rPr>
          <w:rFonts w:ascii="Calibri" w:eastAsia="Calibri" w:hAnsi="Calibri" w:cs="Times New Roman"/>
          <w:sz w:val="24"/>
          <w:szCs w:val="24"/>
          <w:lang w:val="en-US"/>
        </w:rPr>
        <w:t xml:space="preserve">I suggest </w:t>
      </w:r>
      <w:r w:rsidRPr="00FA5BF1">
        <w:rPr>
          <w:rFonts w:ascii="Calibri" w:eastAsia="Calibri" w:hAnsi="Calibri" w:cs="Times New Roman"/>
          <w:sz w:val="24"/>
          <w:szCs w:val="24"/>
          <w:lang w:val="en-US"/>
        </w:rPr>
        <w:t>these uninvited guests require more focused attention.</w:t>
      </w:r>
      <w:r>
        <w:rPr>
          <w:rFonts w:ascii="Calibri" w:eastAsia="Calibri" w:hAnsi="Calibri" w:cs="Times New Roman"/>
          <w:sz w:val="24"/>
          <w:szCs w:val="24"/>
          <w:lang w:val="en-US"/>
        </w:rPr>
        <w:t xml:space="preserve"> </w:t>
      </w:r>
      <w:bookmarkStart w:id="8" w:name="_Hlk213069220"/>
    </w:p>
    <w:bookmarkEnd w:id="8"/>
    <w:p w14:paraId="77D115B2" w14:textId="7008499A" w:rsidR="00B16DAA" w:rsidRPr="00B760B9" w:rsidRDefault="00B16DAA" w:rsidP="00FC5385">
      <w:pPr>
        <w:spacing w:line="360" w:lineRule="auto"/>
        <w:rPr>
          <w:rFonts w:ascii="Calibri" w:eastAsia="Calibri" w:hAnsi="Calibri" w:cs="Times New Roman"/>
          <w:sz w:val="24"/>
          <w:szCs w:val="24"/>
          <w:lang w:val="en-US"/>
        </w:rPr>
      </w:pPr>
      <w:r>
        <w:rPr>
          <w:rFonts w:ascii="Calibri" w:eastAsia="Calibri" w:hAnsi="Calibri" w:cs="Times New Roman"/>
          <w:sz w:val="24"/>
          <w:szCs w:val="24"/>
          <w:lang w:val="en-US"/>
        </w:rPr>
        <w:lastRenderedPageBreak/>
        <w:t>T</w:t>
      </w:r>
      <w:r w:rsidRPr="00B760B9">
        <w:rPr>
          <w:rFonts w:ascii="Calibri" w:eastAsia="Calibri" w:hAnsi="Calibri" w:cs="Times New Roman"/>
          <w:sz w:val="24"/>
          <w:szCs w:val="24"/>
          <w:lang w:val="en-US"/>
        </w:rPr>
        <w:t xml:space="preserve">he </w:t>
      </w:r>
      <w:r>
        <w:rPr>
          <w:rFonts w:ascii="Calibri" w:eastAsia="Calibri" w:hAnsi="Calibri" w:cs="Times New Roman"/>
          <w:sz w:val="24"/>
          <w:szCs w:val="24"/>
          <w:lang w:val="en-US"/>
        </w:rPr>
        <w:t xml:space="preserve">incorporation of </w:t>
      </w:r>
      <w:r w:rsidR="00BE536A">
        <w:rPr>
          <w:rFonts w:ascii="Calibri" w:eastAsia="Calibri" w:hAnsi="Calibri" w:cs="Times New Roman"/>
          <w:sz w:val="24"/>
          <w:szCs w:val="24"/>
          <w:lang w:val="en-US"/>
        </w:rPr>
        <w:t>psychosocial</w:t>
      </w:r>
      <w:r w:rsidRPr="00B760B9">
        <w:rPr>
          <w:rFonts w:ascii="Calibri" w:eastAsia="Calibri" w:hAnsi="Calibri" w:cs="Times New Roman"/>
          <w:sz w:val="24"/>
          <w:szCs w:val="24"/>
          <w:lang w:val="en-US"/>
        </w:rPr>
        <w:t xml:space="preserve"> aspects </w:t>
      </w:r>
      <w:r>
        <w:rPr>
          <w:rFonts w:ascii="Calibri" w:eastAsia="Calibri" w:hAnsi="Calibri" w:cs="Times New Roman"/>
          <w:sz w:val="24"/>
          <w:szCs w:val="24"/>
          <w:lang w:val="en-US"/>
        </w:rPr>
        <w:t>across all sectors of</w:t>
      </w:r>
      <w:r w:rsidRPr="00B760B9">
        <w:rPr>
          <w:rFonts w:ascii="Calibri" w:eastAsia="Calibri" w:hAnsi="Calibri" w:cs="Times New Roman"/>
          <w:sz w:val="24"/>
          <w:szCs w:val="24"/>
          <w:lang w:val="en-US"/>
        </w:rPr>
        <w:t xml:space="preserve"> education</w:t>
      </w:r>
      <w:r>
        <w:rPr>
          <w:rFonts w:ascii="Calibri" w:eastAsia="Calibri" w:hAnsi="Calibri" w:cs="Times New Roman"/>
          <w:sz w:val="24"/>
          <w:szCs w:val="24"/>
          <w:lang w:val="en-US"/>
        </w:rPr>
        <w:t xml:space="preserve"> is gaining traction</w:t>
      </w:r>
      <w:r w:rsidR="00202E40">
        <w:rPr>
          <w:rFonts w:ascii="Calibri" w:eastAsia="Calibri" w:hAnsi="Calibri" w:cs="Times New Roman"/>
          <w:sz w:val="24"/>
          <w:szCs w:val="24"/>
          <w:lang w:val="en-US"/>
        </w:rPr>
        <w:t xml:space="preserve"> (see Chapter 3)</w:t>
      </w:r>
      <w:r w:rsidR="00B15768">
        <w:rPr>
          <w:rFonts w:ascii="Calibri" w:eastAsia="Calibri" w:hAnsi="Calibri" w:cs="Times New Roman"/>
          <w:sz w:val="24"/>
          <w:szCs w:val="24"/>
          <w:lang w:val="en-US"/>
        </w:rPr>
        <w:t>,</w:t>
      </w:r>
      <w:r>
        <w:rPr>
          <w:rFonts w:ascii="Calibri" w:eastAsia="Calibri" w:hAnsi="Calibri" w:cs="Times New Roman"/>
          <w:sz w:val="24"/>
          <w:szCs w:val="24"/>
          <w:lang w:val="en-US"/>
        </w:rPr>
        <w:t xml:space="preserve"> and scholars such as Ecclestone and Hayes (2009) believe </w:t>
      </w:r>
      <w:r w:rsidR="00D52275">
        <w:rPr>
          <w:rFonts w:ascii="Calibri" w:eastAsia="Calibri" w:hAnsi="Calibri" w:cs="Times New Roman"/>
          <w:sz w:val="24"/>
          <w:szCs w:val="24"/>
          <w:lang w:val="en-US"/>
        </w:rPr>
        <w:t>such</w:t>
      </w:r>
      <w:r>
        <w:rPr>
          <w:rFonts w:ascii="Calibri" w:eastAsia="Calibri" w:hAnsi="Calibri" w:cs="Times New Roman"/>
          <w:sz w:val="24"/>
          <w:szCs w:val="24"/>
          <w:lang w:val="en-US"/>
        </w:rPr>
        <w:t xml:space="preserve"> therapeutic </w:t>
      </w:r>
      <w:r w:rsidRPr="00B760B9">
        <w:rPr>
          <w:rFonts w:ascii="Calibri" w:eastAsia="Calibri" w:hAnsi="Calibri" w:cs="Times New Roman"/>
          <w:sz w:val="24"/>
          <w:szCs w:val="24"/>
          <w:lang w:val="en-US"/>
        </w:rPr>
        <w:t>trends are dangerous and undermine “the once highly prized critical faculty of the mind” (</w:t>
      </w:r>
      <w:r w:rsidR="00AB1ADC">
        <w:rPr>
          <w:rFonts w:ascii="Calibri" w:eastAsia="Calibri" w:hAnsi="Calibri" w:cs="Times New Roman"/>
          <w:sz w:val="24"/>
          <w:szCs w:val="24"/>
          <w:lang w:val="en-US"/>
        </w:rPr>
        <w:t>ibid.</w:t>
      </w:r>
      <w:r>
        <w:rPr>
          <w:rFonts w:ascii="Calibri" w:eastAsia="Calibri" w:hAnsi="Calibri" w:cs="Times New Roman"/>
          <w:sz w:val="24"/>
          <w:szCs w:val="24"/>
          <w:lang w:val="en-US"/>
        </w:rPr>
        <w:t xml:space="preserve">, </w:t>
      </w:r>
      <w:r w:rsidRPr="00B760B9">
        <w:rPr>
          <w:rFonts w:ascii="Calibri" w:eastAsia="Calibri" w:hAnsi="Calibri" w:cs="Times New Roman"/>
          <w:sz w:val="24"/>
          <w:szCs w:val="24"/>
          <w:lang w:val="en-US"/>
        </w:rPr>
        <w:t xml:space="preserve">p.87). </w:t>
      </w:r>
      <w:r>
        <w:rPr>
          <w:rFonts w:ascii="Calibri" w:eastAsia="Calibri" w:hAnsi="Calibri" w:cs="Times New Roman"/>
          <w:sz w:val="24"/>
          <w:szCs w:val="24"/>
          <w:lang w:val="en-US"/>
        </w:rPr>
        <w:t xml:space="preserve">I read dangerous to mean the purity of scholarship is </w:t>
      </w:r>
      <w:r w:rsidRPr="00B760B9">
        <w:rPr>
          <w:rFonts w:ascii="Calibri" w:eastAsia="Calibri" w:hAnsi="Calibri" w:cs="Times New Roman"/>
          <w:sz w:val="24"/>
          <w:szCs w:val="24"/>
          <w:lang w:val="en-US"/>
        </w:rPr>
        <w:t xml:space="preserve">being contaminated. In seeing </w:t>
      </w:r>
      <w:r w:rsidR="00BE536A">
        <w:rPr>
          <w:rFonts w:ascii="Calibri" w:eastAsia="Calibri" w:hAnsi="Calibri" w:cs="Times New Roman"/>
          <w:sz w:val="24"/>
          <w:szCs w:val="24"/>
          <w:lang w:val="en-US"/>
        </w:rPr>
        <w:t>psychosocial</w:t>
      </w:r>
      <w:r w:rsidRPr="00B760B9">
        <w:rPr>
          <w:rFonts w:ascii="Calibri" w:eastAsia="Calibri" w:hAnsi="Calibri" w:cs="Times New Roman"/>
          <w:sz w:val="24"/>
          <w:szCs w:val="24"/>
          <w:lang w:val="en-US"/>
        </w:rPr>
        <w:t xml:space="preserve"> aspects through a lens of infiltration, scholarship may be, in principle, returned to its ivory tower </w:t>
      </w:r>
      <w:r w:rsidRPr="00D31F73">
        <w:rPr>
          <w:rFonts w:ascii="Calibri" w:eastAsia="Calibri" w:hAnsi="Calibri" w:cs="Times New Roman"/>
          <w:color w:val="000000"/>
          <w:sz w:val="24"/>
          <w:szCs w:val="24"/>
          <w:lang w:val="en-US"/>
        </w:rPr>
        <w:t xml:space="preserve">(Skowronek and Lewis, 2010) </w:t>
      </w:r>
      <w:r w:rsidRPr="00B760B9">
        <w:rPr>
          <w:rFonts w:ascii="Calibri" w:eastAsia="Calibri" w:hAnsi="Calibri" w:cs="Times New Roman"/>
          <w:sz w:val="24"/>
          <w:szCs w:val="24"/>
          <w:lang w:val="en-US"/>
        </w:rPr>
        <w:t xml:space="preserve">and retain its positivist leaning. However, such intellectual cleansing gives rise to ethical concerns about responsibility for, and inclusivity of, </w:t>
      </w:r>
      <w:r w:rsidR="002E254F">
        <w:rPr>
          <w:rFonts w:ascii="Calibri" w:eastAsia="Calibri" w:hAnsi="Calibri" w:cs="Times New Roman"/>
          <w:sz w:val="24"/>
          <w:szCs w:val="24"/>
          <w:lang w:val="en-US"/>
        </w:rPr>
        <w:t xml:space="preserve">mental, emotional and social </w:t>
      </w:r>
      <w:r w:rsidRPr="00B760B9">
        <w:rPr>
          <w:rFonts w:ascii="Calibri" w:eastAsia="Calibri" w:hAnsi="Calibri" w:cs="Times New Roman"/>
          <w:sz w:val="24"/>
          <w:szCs w:val="24"/>
          <w:lang w:val="en-US"/>
        </w:rPr>
        <w:t>elements in learning and teaching</w:t>
      </w:r>
      <w:r w:rsidR="003743F8">
        <w:rPr>
          <w:rFonts w:ascii="Calibri" w:eastAsia="Calibri" w:hAnsi="Calibri" w:cs="Times New Roman"/>
          <w:sz w:val="24"/>
          <w:szCs w:val="24"/>
          <w:lang w:val="en-US"/>
        </w:rPr>
        <w:t xml:space="preserve"> (Suttie, </w:t>
      </w:r>
      <w:r w:rsidR="00CA76D2">
        <w:rPr>
          <w:rFonts w:ascii="Calibri" w:eastAsia="Calibri" w:hAnsi="Calibri" w:cs="Times New Roman"/>
          <w:sz w:val="24"/>
          <w:szCs w:val="24"/>
          <w:lang w:val="en-US"/>
        </w:rPr>
        <w:t>1922)</w:t>
      </w:r>
      <w:r w:rsidRPr="00B760B9">
        <w:rPr>
          <w:rFonts w:ascii="Calibri" w:eastAsia="Calibri" w:hAnsi="Calibri" w:cs="Times New Roman"/>
          <w:sz w:val="24"/>
          <w:szCs w:val="24"/>
          <w:lang w:val="en-US"/>
        </w:rPr>
        <w:t>.</w:t>
      </w:r>
      <w:r w:rsidRPr="00D40B75">
        <w:rPr>
          <w:rFonts w:ascii="Calibri" w:eastAsia="Calibri" w:hAnsi="Calibri" w:cs="Times New Roman"/>
          <w:color w:val="FF0000"/>
          <w:sz w:val="24"/>
          <w:szCs w:val="24"/>
          <w:lang w:val="en-US"/>
        </w:rPr>
        <w:t xml:space="preserve"> </w:t>
      </w:r>
      <w:r w:rsidRPr="00D40B75">
        <w:rPr>
          <w:rFonts w:ascii="Calibri" w:eastAsia="Calibri" w:hAnsi="Calibri" w:cs="Times New Roman"/>
          <w:sz w:val="24"/>
          <w:szCs w:val="24"/>
          <w:lang w:val="en-US"/>
        </w:rPr>
        <w:t xml:space="preserve">I am concerned about the emotional safety and well-being of the teacher who </w:t>
      </w:r>
      <w:r>
        <w:rPr>
          <w:rFonts w:ascii="Calibri" w:eastAsia="Calibri" w:hAnsi="Calibri" w:cs="Times New Roman"/>
          <w:sz w:val="24"/>
          <w:szCs w:val="24"/>
          <w:lang w:val="en-US"/>
        </w:rPr>
        <w:t xml:space="preserve">might be the unwitting host of </w:t>
      </w:r>
      <w:r w:rsidRPr="00D40B75">
        <w:rPr>
          <w:rFonts w:ascii="Calibri" w:eastAsia="Calibri" w:hAnsi="Calibri" w:cs="Times New Roman"/>
          <w:sz w:val="24"/>
          <w:szCs w:val="24"/>
          <w:lang w:val="en-US"/>
        </w:rPr>
        <w:t>uninvited guests of the psychosocial realms, aspects to which the university</w:t>
      </w:r>
      <w:r>
        <w:rPr>
          <w:rFonts w:ascii="Calibri" w:eastAsia="Calibri" w:hAnsi="Calibri" w:cs="Times New Roman"/>
          <w:sz w:val="24"/>
          <w:szCs w:val="24"/>
          <w:lang w:val="en-US"/>
        </w:rPr>
        <w:t xml:space="preserve"> </w:t>
      </w:r>
      <w:r w:rsidRPr="00D40B75">
        <w:rPr>
          <w:rFonts w:ascii="Calibri" w:eastAsia="Calibri" w:hAnsi="Calibri" w:cs="Times New Roman"/>
          <w:sz w:val="24"/>
          <w:szCs w:val="24"/>
          <w:lang w:val="en-US"/>
        </w:rPr>
        <w:t>may not be particularly attentive.</w:t>
      </w:r>
      <w:r>
        <w:rPr>
          <w:rFonts w:ascii="Calibri" w:eastAsia="Calibri" w:hAnsi="Calibri" w:cs="Times New Roman"/>
          <w:sz w:val="24"/>
          <w:szCs w:val="24"/>
          <w:lang w:val="en-US"/>
        </w:rPr>
        <w:t xml:space="preserve"> </w:t>
      </w:r>
      <w:r w:rsidRPr="00B760B9">
        <w:rPr>
          <w:rFonts w:ascii="Calibri" w:eastAsia="Calibri" w:hAnsi="Calibri" w:cs="Times New Roman"/>
          <w:sz w:val="24"/>
          <w:szCs w:val="24"/>
          <w:lang w:val="en-US"/>
        </w:rPr>
        <w:t xml:space="preserve">These very matters, and how emotions matter, will be explored in depth in chapters </w:t>
      </w:r>
      <w:r w:rsidR="00DF5C33">
        <w:rPr>
          <w:rFonts w:ascii="Calibri" w:eastAsia="Calibri" w:hAnsi="Calibri" w:cs="Times New Roman"/>
          <w:sz w:val="24"/>
          <w:szCs w:val="24"/>
          <w:lang w:val="en-US"/>
        </w:rPr>
        <w:t>Two</w:t>
      </w:r>
      <w:r w:rsidR="008340F2">
        <w:rPr>
          <w:rFonts w:ascii="Calibri" w:eastAsia="Calibri" w:hAnsi="Calibri" w:cs="Times New Roman"/>
          <w:sz w:val="24"/>
          <w:szCs w:val="24"/>
          <w:lang w:val="en-US"/>
        </w:rPr>
        <w:t xml:space="preserve"> </w:t>
      </w:r>
      <w:r w:rsidRPr="00B760B9">
        <w:rPr>
          <w:rFonts w:ascii="Calibri" w:eastAsia="Calibri" w:hAnsi="Calibri" w:cs="Times New Roman"/>
          <w:sz w:val="24"/>
          <w:szCs w:val="24"/>
          <w:lang w:val="en-US"/>
        </w:rPr>
        <w:t>-</w:t>
      </w:r>
      <w:r w:rsidR="008340F2">
        <w:rPr>
          <w:rFonts w:ascii="Calibri" w:eastAsia="Calibri" w:hAnsi="Calibri" w:cs="Times New Roman"/>
          <w:sz w:val="24"/>
          <w:szCs w:val="24"/>
          <w:lang w:val="en-US"/>
        </w:rPr>
        <w:t>Three</w:t>
      </w:r>
      <w:r w:rsidRPr="00B760B9">
        <w:rPr>
          <w:rFonts w:ascii="Calibri" w:eastAsia="Calibri" w:hAnsi="Calibri" w:cs="Times New Roman"/>
          <w:sz w:val="24"/>
          <w:szCs w:val="24"/>
          <w:lang w:val="en-US"/>
        </w:rPr>
        <w:t>.</w:t>
      </w:r>
    </w:p>
    <w:p w14:paraId="2B3A396A" w14:textId="77777777" w:rsidR="00B16DAA" w:rsidRPr="00A46FD7" w:rsidRDefault="00B16DAA" w:rsidP="00FC5385">
      <w:pPr>
        <w:spacing w:line="360" w:lineRule="auto"/>
        <w:rPr>
          <w:b/>
          <w:bCs/>
          <w:sz w:val="24"/>
          <w:szCs w:val="24"/>
        </w:rPr>
      </w:pPr>
      <w:r w:rsidRPr="00A46FD7">
        <w:rPr>
          <w:b/>
          <w:bCs/>
          <w:sz w:val="24"/>
          <w:szCs w:val="24"/>
        </w:rPr>
        <w:t>Theoretical influences</w:t>
      </w:r>
    </w:p>
    <w:p w14:paraId="73B952C6" w14:textId="117593D3" w:rsidR="00B16DAA" w:rsidRDefault="00B16DAA" w:rsidP="00FC5385">
      <w:pPr>
        <w:spacing w:line="360" w:lineRule="auto"/>
        <w:rPr>
          <w:sz w:val="24"/>
          <w:szCs w:val="24"/>
        </w:rPr>
      </w:pPr>
      <w:r>
        <w:rPr>
          <w:sz w:val="24"/>
          <w:szCs w:val="24"/>
        </w:rPr>
        <w:t>This research is informed by key theories and processes in pedagogy that incorporate the emotional realms of teaching and learning such as Social and Emotional Learning (SEL)</w:t>
      </w:r>
      <w:r w:rsidRPr="002E6F06">
        <w:rPr>
          <w:sz w:val="24"/>
          <w:szCs w:val="24"/>
          <w:lang w:val="en-US"/>
        </w:rPr>
        <w:t xml:space="preserve"> and the Social and Emotional Aspects of Learning (SEAL)</w:t>
      </w:r>
      <w:r>
        <w:rPr>
          <w:sz w:val="24"/>
          <w:szCs w:val="24"/>
          <w:lang w:val="en-US"/>
        </w:rPr>
        <w:t xml:space="preserve">, initiatives that were </w:t>
      </w:r>
      <w:r w:rsidRPr="002E6F06">
        <w:rPr>
          <w:sz w:val="24"/>
          <w:szCs w:val="24"/>
          <w:lang w:val="en-US"/>
        </w:rPr>
        <w:t xml:space="preserve">introduced </w:t>
      </w:r>
      <w:r w:rsidRPr="00BF6EA7">
        <w:rPr>
          <w:sz w:val="24"/>
          <w:szCs w:val="24"/>
          <w:lang w:val="en-US"/>
        </w:rPr>
        <w:t>into mainstream public education</w:t>
      </w:r>
      <w:r>
        <w:rPr>
          <w:sz w:val="24"/>
          <w:szCs w:val="24"/>
          <w:lang w:val="en-US"/>
        </w:rPr>
        <w:t xml:space="preserve"> </w:t>
      </w:r>
      <w:r w:rsidRPr="002E6F06">
        <w:rPr>
          <w:sz w:val="24"/>
          <w:szCs w:val="24"/>
          <w:lang w:val="en-US"/>
        </w:rPr>
        <w:t>by the Department for Education and Skill</w:t>
      </w:r>
      <w:r>
        <w:rPr>
          <w:sz w:val="24"/>
          <w:szCs w:val="24"/>
          <w:lang w:val="en-US"/>
        </w:rPr>
        <w:t>s (</w:t>
      </w:r>
      <w:r w:rsidRPr="002E6F06">
        <w:rPr>
          <w:sz w:val="24"/>
          <w:szCs w:val="24"/>
          <w:lang w:val="en-US"/>
        </w:rPr>
        <w:t>DfES, 2005)</w:t>
      </w:r>
      <w:r>
        <w:rPr>
          <w:sz w:val="24"/>
          <w:szCs w:val="24"/>
          <w:lang w:val="en-US"/>
        </w:rPr>
        <w:t xml:space="preserve">. Recipients of these 20-year-old initiatives are potentially </w:t>
      </w:r>
      <w:r w:rsidRPr="002E6F06">
        <w:rPr>
          <w:sz w:val="24"/>
          <w:szCs w:val="24"/>
          <w:lang w:val="en-US"/>
        </w:rPr>
        <w:t xml:space="preserve">the </w:t>
      </w:r>
      <w:r>
        <w:rPr>
          <w:sz w:val="24"/>
          <w:szCs w:val="24"/>
          <w:lang w:val="en-US"/>
        </w:rPr>
        <w:t xml:space="preserve">younger students </w:t>
      </w:r>
      <w:r w:rsidRPr="002E6F06">
        <w:rPr>
          <w:sz w:val="24"/>
          <w:szCs w:val="24"/>
          <w:lang w:val="en-US"/>
        </w:rPr>
        <w:t>arriving at our universities</w:t>
      </w:r>
      <w:r>
        <w:rPr>
          <w:sz w:val="24"/>
          <w:szCs w:val="24"/>
          <w:lang w:val="en-US"/>
        </w:rPr>
        <w:t xml:space="preserve"> today. </w:t>
      </w:r>
      <w:r>
        <w:rPr>
          <w:sz w:val="24"/>
          <w:szCs w:val="24"/>
        </w:rPr>
        <w:t xml:space="preserve">Underpinning the SEL and SEAL approaches is the belief </w:t>
      </w:r>
      <w:r w:rsidRPr="009927E6">
        <w:rPr>
          <w:sz w:val="24"/>
          <w:szCs w:val="24"/>
        </w:rPr>
        <w:t xml:space="preserve">that emotion, cognition, and learning are interdependent </w:t>
      </w:r>
      <w:r>
        <w:rPr>
          <w:sz w:val="24"/>
          <w:szCs w:val="24"/>
        </w:rPr>
        <w:t>and socially/relationally formed (</w:t>
      </w:r>
      <w:r w:rsidRPr="00D17EE2">
        <w:rPr>
          <w:sz w:val="24"/>
          <w:szCs w:val="24"/>
        </w:rPr>
        <w:t>Boyer, 1990</w:t>
      </w:r>
      <w:r>
        <w:rPr>
          <w:sz w:val="24"/>
          <w:szCs w:val="24"/>
        </w:rPr>
        <w:t xml:space="preserve">; </w:t>
      </w:r>
      <w:r w:rsidRPr="00943C84">
        <w:rPr>
          <w:sz w:val="24"/>
          <w:szCs w:val="24"/>
        </w:rPr>
        <w:t xml:space="preserve">Brendtro </w:t>
      </w:r>
      <w:r w:rsidR="00FB3A6E" w:rsidRPr="00FB3A6E">
        <w:rPr>
          <w:i/>
          <w:sz w:val="24"/>
          <w:szCs w:val="24"/>
        </w:rPr>
        <w:t>et al.</w:t>
      </w:r>
      <w:r w:rsidRPr="00943C84">
        <w:rPr>
          <w:sz w:val="24"/>
          <w:szCs w:val="24"/>
        </w:rPr>
        <w:t xml:space="preserve">, 1990; </w:t>
      </w:r>
      <w:r>
        <w:rPr>
          <w:sz w:val="24"/>
          <w:szCs w:val="24"/>
        </w:rPr>
        <w:t>Greenberg and Black, 2022;</w:t>
      </w:r>
      <w:r w:rsidR="00675622">
        <w:rPr>
          <w:sz w:val="24"/>
          <w:szCs w:val="24"/>
        </w:rPr>
        <w:t xml:space="preserve"> </w:t>
      </w:r>
      <w:r w:rsidRPr="009927E6">
        <w:rPr>
          <w:sz w:val="24"/>
          <w:szCs w:val="24"/>
        </w:rPr>
        <w:t>Perry, 1996)</w:t>
      </w:r>
      <w:r>
        <w:rPr>
          <w:sz w:val="24"/>
          <w:szCs w:val="24"/>
        </w:rPr>
        <w:t>.  The</w:t>
      </w:r>
      <w:r w:rsidR="0049148C">
        <w:rPr>
          <w:sz w:val="24"/>
          <w:szCs w:val="24"/>
        </w:rPr>
        <w:t>se elements</w:t>
      </w:r>
      <w:r>
        <w:rPr>
          <w:sz w:val="24"/>
          <w:szCs w:val="24"/>
        </w:rPr>
        <w:t xml:space="preserve"> </w:t>
      </w:r>
      <w:r w:rsidR="005964EC">
        <w:rPr>
          <w:sz w:val="24"/>
          <w:szCs w:val="24"/>
        </w:rPr>
        <w:t>feature in</w:t>
      </w:r>
      <w:r>
        <w:rPr>
          <w:sz w:val="24"/>
          <w:szCs w:val="24"/>
        </w:rPr>
        <w:t xml:space="preserve"> student </w:t>
      </w:r>
      <w:r w:rsidR="00D4562D">
        <w:rPr>
          <w:sz w:val="24"/>
          <w:szCs w:val="24"/>
        </w:rPr>
        <w:t xml:space="preserve">learning </w:t>
      </w:r>
      <w:r>
        <w:rPr>
          <w:sz w:val="24"/>
          <w:szCs w:val="24"/>
        </w:rPr>
        <w:t xml:space="preserve">and </w:t>
      </w:r>
      <w:r w:rsidR="00D16AB0">
        <w:rPr>
          <w:sz w:val="24"/>
          <w:szCs w:val="24"/>
        </w:rPr>
        <w:t>the teacher’s</w:t>
      </w:r>
      <w:r>
        <w:rPr>
          <w:sz w:val="24"/>
          <w:szCs w:val="24"/>
        </w:rPr>
        <w:t xml:space="preserve"> teaching practice. </w:t>
      </w:r>
    </w:p>
    <w:p w14:paraId="2B783ECB" w14:textId="73D3BE98" w:rsidR="000F5916" w:rsidRPr="00D12D1A" w:rsidRDefault="00B16DAA" w:rsidP="00FC5385">
      <w:pPr>
        <w:spacing w:line="360" w:lineRule="auto"/>
        <w:rPr>
          <w:sz w:val="24"/>
          <w:szCs w:val="24"/>
        </w:rPr>
      </w:pPr>
      <w:r>
        <w:rPr>
          <w:sz w:val="24"/>
          <w:szCs w:val="24"/>
        </w:rPr>
        <w:t xml:space="preserve">Beyond teaching initiatives, key thinkers in the field of depth psychology and depth pedagogy are drawn upon throughout this research. Jung (1959), Winnicott (1965) and Mayes (2007) support the notion that emotions are an integral aspect of learning and learning to learn, and that learning is a relational process (Chapter </w:t>
      </w:r>
      <w:r w:rsidR="005F0E16">
        <w:rPr>
          <w:sz w:val="24"/>
          <w:szCs w:val="24"/>
        </w:rPr>
        <w:t>Three</w:t>
      </w:r>
      <w:r>
        <w:rPr>
          <w:sz w:val="24"/>
          <w:szCs w:val="24"/>
        </w:rPr>
        <w:t>). Further significant protagonists informing the work are key thinkers in the reflective dimensions of education such as Dewey (1933),</w:t>
      </w:r>
      <w:r w:rsidRPr="006D0784">
        <w:rPr>
          <w:sz w:val="24"/>
          <w:szCs w:val="24"/>
        </w:rPr>
        <w:t xml:space="preserve"> Sch</w:t>
      </w:r>
      <w:r>
        <w:rPr>
          <w:rFonts w:cstheme="minorHAnsi"/>
          <w:sz w:val="24"/>
          <w:szCs w:val="24"/>
        </w:rPr>
        <w:t>ö</w:t>
      </w:r>
      <w:r w:rsidRPr="006D0784">
        <w:rPr>
          <w:sz w:val="24"/>
          <w:szCs w:val="24"/>
        </w:rPr>
        <w:t xml:space="preserve">n </w:t>
      </w:r>
      <w:r>
        <w:rPr>
          <w:sz w:val="24"/>
          <w:szCs w:val="24"/>
        </w:rPr>
        <w:t>(</w:t>
      </w:r>
      <w:r w:rsidRPr="006D0784">
        <w:rPr>
          <w:sz w:val="24"/>
          <w:szCs w:val="24"/>
        </w:rPr>
        <w:t>1983</w:t>
      </w:r>
      <w:r>
        <w:rPr>
          <w:sz w:val="24"/>
          <w:szCs w:val="24"/>
        </w:rPr>
        <w:t>), Brookfield (1995)</w:t>
      </w:r>
      <w:r w:rsidR="001F1501">
        <w:rPr>
          <w:sz w:val="24"/>
          <w:szCs w:val="24"/>
        </w:rPr>
        <w:t xml:space="preserve"> </w:t>
      </w:r>
      <w:r>
        <w:rPr>
          <w:sz w:val="24"/>
          <w:szCs w:val="24"/>
        </w:rPr>
        <w:t xml:space="preserve">and Boud (2006). </w:t>
      </w:r>
    </w:p>
    <w:p w14:paraId="2445C77E" w14:textId="77777777" w:rsidR="00EB4B70" w:rsidRDefault="00EB4B70" w:rsidP="00FC5385">
      <w:pPr>
        <w:spacing w:line="360" w:lineRule="auto"/>
        <w:rPr>
          <w:b/>
          <w:bCs/>
          <w:sz w:val="24"/>
          <w:szCs w:val="24"/>
        </w:rPr>
      </w:pPr>
    </w:p>
    <w:p w14:paraId="294B7D84" w14:textId="3A42806E" w:rsidR="00B16DAA" w:rsidRPr="00C803B4" w:rsidRDefault="00B16DAA" w:rsidP="00FC5385">
      <w:pPr>
        <w:spacing w:line="360" w:lineRule="auto"/>
        <w:rPr>
          <w:b/>
          <w:bCs/>
          <w:sz w:val="24"/>
          <w:szCs w:val="24"/>
        </w:rPr>
      </w:pPr>
      <w:r w:rsidRPr="00C803B4">
        <w:rPr>
          <w:b/>
          <w:bCs/>
          <w:sz w:val="24"/>
          <w:szCs w:val="24"/>
        </w:rPr>
        <w:lastRenderedPageBreak/>
        <w:t xml:space="preserve">Research design </w:t>
      </w:r>
    </w:p>
    <w:p w14:paraId="501AE75A" w14:textId="68F3821F" w:rsidR="00B16DAA" w:rsidRDefault="00B16DAA" w:rsidP="00FC5385">
      <w:pPr>
        <w:spacing w:line="360" w:lineRule="auto"/>
        <w:rPr>
          <w:sz w:val="24"/>
          <w:szCs w:val="24"/>
        </w:rPr>
      </w:pPr>
      <w:r w:rsidRPr="00CD40CA">
        <w:rPr>
          <w:sz w:val="24"/>
          <w:szCs w:val="24"/>
        </w:rPr>
        <w:t>This is a qualitative study</w:t>
      </w:r>
      <w:r>
        <w:rPr>
          <w:sz w:val="24"/>
          <w:szCs w:val="24"/>
        </w:rPr>
        <w:t xml:space="preserve"> comprising two </w:t>
      </w:r>
      <w:r w:rsidRPr="00CD40CA">
        <w:rPr>
          <w:sz w:val="24"/>
          <w:szCs w:val="24"/>
        </w:rPr>
        <w:t>semi structured interviews with a narrative focus</w:t>
      </w:r>
      <w:r>
        <w:rPr>
          <w:sz w:val="24"/>
          <w:szCs w:val="24"/>
        </w:rPr>
        <w:t xml:space="preserve"> conducted with nine research participants recruited from three universities in the UK</w:t>
      </w:r>
      <w:r w:rsidRPr="00352C03">
        <w:rPr>
          <w:sz w:val="24"/>
          <w:szCs w:val="24"/>
        </w:rPr>
        <w:t xml:space="preserve">.  </w:t>
      </w:r>
      <w:r>
        <w:rPr>
          <w:sz w:val="24"/>
          <w:szCs w:val="24"/>
        </w:rPr>
        <w:t>During this study l</w:t>
      </w:r>
      <w:r w:rsidRPr="00352C03">
        <w:rPr>
          <w:sz w:val="24"/>
          <w:szCs w:val="24"/>
        </w:rPr>
        <w:t>ived experience stories of participants as</w:t>
      </w:r>
      <w:r>
        <w:rPr>
          <w:sz w:val="24"/>
          <w:szCs w:val="24"/>
        </w:rPr>
        <w:t xml:space="preserve"> </w:t>
      </w:r>
      <w:r w:rsidRPr="00352C03">
        <w:rPr>
          <w:sz w:val="24"/>
          <w:szCs w:val="24"/>
        </w:rPr>
        <w:t>beginning apprentices (Stoltenberg and Delworth, 1987)</w:t>
      </w:r>
      <w:r>
        <w:rPr>
          <w:sz w:val="24"/>
          <w:szCs w:val="24"/>
        </w:rPr>
        <w:t xml:space="preserve"> and</w:t>
      </w:r>
      <w:r w:rsidRPr="00352C03">
        <w:rPr>
          <w:sz w:val="24"/>
          <w:szCs w:val="24"/>
        </w:rPr>
        <w:t xml:space="preserve"> post </w:t>
      </w:r>
      <w:r>
        <w:rPr>
          <w:sz w:val="24"/>
          <w:szCs w:val="24"/>
        </w:rPr>
        <w:t xml:space="preserve">their teacher </w:t>
      </w:r>
      <w:r w:rsidRPr="00352C03">
        <w:rPr>
          <w:sz w:val="24"/>
          <w:szCs w:val="24"/>
        </w:rPr>
        <w:t>training</w:t>
      </w:r>
      <w:r>
        <w:rPr>
          <w:sz w:val="24"/>
          <w:szCs w:val="24"/>
        </w:rPr>
        <w:t xml:space="preserve"> were gathered. Drawn from supervision models that provide support for psychotherapists and counsellors, the term </w:t>
      </w:r>
      <w:r w:rsidR="00F62933">
        <w:rPr>
          <w:sz w:val="24"/>
          <w:szCs w:val="24"/>
        </w:rPr>
        <w:t>“</w:t>
      </w:r>
      <w:r>
        <w:rPr>
          <w:sz w:val="24"/>
          <w:szCs w:val="24"/>
        </w:rPr>
        <w:t>beginning apprentice</w:t>
      </w:r>
      <w:r w:rsidR="00F62933">
        <w:rPr>
          <w:sz w:val="24"/>
          <w:szCs w:val="24"/>
        </w:rPr>
        <w:t>”</w:t>
      </w:r>
      <w:r>
        <w:rPr>
          <w:sz w:val="24"/>
          <w:szCs w:val="24"/>
        </w:rPr>
        <w:t xml:space="preserve"> refers to the trainee and acknowledges the need for support during their journey of learning to practice</w:t>
      </w:r>
      <w:r w:rsidRPr="00CD40CA">
        <w:rPr>
          <w:sz w:val="24"/>
          <w:szCs w:val="24"/>
        </w:rPr>
        <w:t>.</w:t>
      </w:r>
      <w:r>
        <w:rPr>
          <w:sz w:val="24"/>
          <w:szCs w:val="24"/>
        </w:rPr>
        <w:t xml:space="preserve"> </w:t>
      </w:r>
      <w:r w:rsidRPr="00CD40CA">
        <w:rPr>
          <w:sz w:val="24"/>
          <w:szCs w:val="24"/>
        </w:rPr>
        <w:t xml:space="preserve"> </w:t>
      </w:r>
    </w:p>
    <w:p w14:paraId="332A3C97" w14:textId="77777777" w:rsidR="00B16DAA" w:rsidRPr="00344EE9" w:rsidRDefault="00B16DAA" w:rsidP="00FC5385">
      <w:pPr>
        <w:spacing w:line="360" w:lineRule="auto"/>
        <w:rPr>
          <w:b/>
          <w:bCs/>
          <w:sz w:val="24"/>
          <w:szCs w:val="24"/>
        </w:rPr>
      </w:pPr>
      <w:r>
        <w:rPr>
          <w:b/>
          <w:bCs/>
          <w:sz w:val="24"/>
          <w:szCs w:val="24"/>
        </w:rPr>
        <w:t>The researcher’s exposition story</w:t>
      </w:r>
    </w:p>
    <w:p w14:paraId="76633EF9" w14:textId="4EB9A22B" w:rsidR="00B16DAA" w:rsidRDefault="00B16DAA" w:rsidP="00FC5385">
      <w:pPr>
        <w:spacing w:line="360" w:lineRule="auto"/>
        <w:rPr>
          <w:sz w:val="24"/>
          <w:szCs w:val="24"/>
        </w:rPr>
      </w:pPr>
      <w:r w:rsidRPr="006D6BED">
        <w:rPr>
          <w:sz w:val="24"/>
          <w:szCs w:val="24"/>
        </w:rPr>
        <w:t>Brookfield (1995), an advocate of transformation and reflection in pedagogy, states: “We teach to change the world” (p.1)</w:t>
      </w:r>
      <w:r>
        <w:rPr>
          <w:sz w:val="24"/>
          <w:szCs w:val="24"/>
        </w:rPr>
        <w:t>. I</w:t>
      </w:r>
      <w:r w:rsidRPr="006D6BED">
        <w:rPr>
          <w:sz w:val="24"/>
          <w:szCs w:val="24"/>
        </w:rPr>
        <w:t>f I am hoping to locate new knowledge</w:t>
      </w:r>
      <w:r>
        <w:rPr>
          <w:sz w:val="24"/>
          <w:szCs w:val="24"/>
        </w:rPr>
        <w:t xml:space="preserve"> and</w:t>
      </w:r>
      <w:r w:rsidRPr="006D6BED">
        <w:rPr>
          <w:sz w:val="24"/>
          <w:szCs w:val="24"/>
        </w:rPr>
        <w:t xml:space="preserve"> insights </w:t>
      </w:r>
      <w:r>
        <w:rPr>
          <w:sz w:val="24"/>
          <w:szCs w:val="24"/>
        </w:rPr>
        <w:t xml:space="preserve">that change </w:t>
      </w:r>
      <w:r w:rsidRPr="006D6BED">
        <w:rPr>
          <w:sz w:val="24"/>
          <w:szCs w:val="24"/>
        </w:rPr>
        <w:t xml:space="preserve">the domain of pedagogy, I </w:t>
      </w:r>
      <w:r>
        <w:rPr>
          <w:sz w:val="24"/>
          <w:szCs w:val="24"/>
        </w:rPr>
        <w:t>feel a responsibility to prepare the reader for an entry into the world of my research</w:t>
      </w:r>
      <w:r w:rsidR="00C40221">
        <w:rPr>
          <w:sz w:val="24"/>
          <w:szCs w:val="24"/>
        </w:rPr>
        <w:t>. T</w:t>
      </w:r>
      <w:r>
        <w:rPr>
          <w:sz w:val="24"/>
          <w:szCs w:val="24"/>
        </w:rPr>
        <w:t>o this end</w:t>
      </w:r>
      <w:r w:rsidR="00DC0830">
        <w:rPr>
          <w:sz w:val="24"/>
          <w:szCs w:val="24"/>
        </w:rPr>
        <w:t xml:space="preserve">, </w:t>
      </w:r>
      <w:r>
        <w:rPr>
          <w:sz w:val="24"/>
          <w:szCs w:val="24"/>
        </w:rPr>
        <w:t xml:space="preserve">I explore the place where this research story begins. </w:t>
      </w:r>
    </w:p>
    <w:p w14:paraId="5873D9A8" w14:textId="4ABB9498" w:rsidR="00B16DAA" w:rsidRDefault="00B16DAA" w:rsidP="00FC5385">
      <w:pPr>
        <w:spacing w:line="360" w:lineRule="auto"/>
        <w:rPr>
          <w:sz w:val="24"/>
          <w:szCs w:val="24"/>
        </w:rPr>
      </w:pPr>
      <w:r>
        <w:rPr>
          <w:sz w:val="24"/>
          <w:szCs w:val="24"/>
        </w:rPr>
        <w:t xml:space="preserve">As a newly appointed Visiting Lecturer (VL) on a </w:t>
      </w:r>
      <w:r w:rsidRPr="003D0443">
        <w:rPr>
          <w:sz w:val="24"/>
          <w:szCs w:val="24"/>
        </w:rPr>
        <w:t xml:space="preserve">psychotherapy </w:t>
      </w:r>
      <w:r>
        <w:rPr>
          <w:sz w:val="24"/>
          <w:szCs w:val="24"/>
        </w:rPr>
        <w:t xml:space="preserve">programme </w:t>
      </w:r>
      <w:r w:rsidRPr="003D0443">
        <w:rPr>
          <w:sz w:val="24"/>
          <w:szCs w:val="24"/>
        </w:rPr>
        <w:t xml:space="preserve">in </w:t>
      </w:r>
      <w:r>
        <w:rPr>
          <w:sz w:val="24"/>
          <w:szCs w:val="24"/>
        </w:rPr>
        <w:t>HE</w:t>
      </w:r>
      <w:r w:rsidR="00992F12">
        <w:rPr>
          <w:sz w:val="24"/>
          <w:szCs w:val="24"/>
        </w:rPr>
        <w:t>,</w:t>
      </w:r>
      <w:r w:rsidRPr="003D0443">
        <w:rPr>
          <w:sz w:val="24"/>
          <w:szCs w:val="24"/>
        </w:rPr>
        <w:t xml:space="preserve"> I encountered a</w:t>
      </w:r>
      <w:r>
        <w:rPr>
          <w:sz w:val="24"/>
          <w:szCs w:val="24"/>
        </w:rPr>
        <w:t xml:space="preserve">n entrenched political </w:t>
      </w:r>
      <w:r w:rsidRPr="003D0443">
        <w:rPr>
          <w:sz w:val="24"/>
          <w:szCs w:val="24"/>
        </w:rPr>
        <w:t>culture</w:t>
      </w:r>
      <w:r>
        <w:rPr>
          <w:sz w:val="24"/>
          <w:szCs w:val="24"/>
        </w:rPr>
        <w:t xml:space="preserve"> in the department</w:t>
      </w:r>
      <w:r w:rsidRPr="003D0443">
        <w:rPr>
          <w:sz w:val="24"/>
          <w:szCs w:val="24"/>
        </w:rPr>
        <w:t>.</w:t>
      </w:r>
      <w:r>
        <w:rPr>
          <w:sz w:val="24"/>
          <w:szCs w:val="24"/>
        </w:rPr>
        <w:t xml:space="preserve"> Replete with nepotism, teaching staff </w:t>
      </w:r>
      <w:r w:rsidRPr="003D0443">
        <w:rPr>
          <w:sz w:val="24"/>
          <w:szCs w:val="24"/>
        </w:rPr>
        <w:t xml:space="preserve">comprised teachers </w:t>
      </w:r>
      <w:r>
        <w:rPr>
          <w:sz w:val="24"/>
          <w:szCs w:val="24"/>
        </w:rPr>
        <w:t xml:space="preserve">who </w:t>
      </w:r>
      <w:r w:rsidRPr="003D0443">
        <w:rPr>
          <w:sz w:val="24"/>
          <w:szCs w:val="24"/>
        </w:rPr>
        <w:t xml:space="preserve">had completed their psychotherapy training </w:t>
      </w:r>
      <w:r>
        <w:rPr>
          <w:sz w:val="24"/>
          <w:szCs w:val="24"/>
        </w:rPr>
        <w:t>within</w:t>
      </w:r>
      <w:r w:rsidRPr="003D0443">
        <w:rPr>
          <w:sz w:val="24"/>
          <w:szCs w:val="24"/>
        </w:rPr>
        <w:t xml:space="preserve"> </w:t>
      </w:r>
      <w:r w:rsidR="00F62933">
        <w:rPr>
          <w:sz w:val="24"/>
          <w:szCs w:val="24"/>
        </w:rPr>
        <w:t xml:space="preserve">the </w:t>
      </w:r>
      <w:r w:rsidRPr="003D0443">
        <w:rPr>
          <w:sz w:val="24"/>
          <w:szCs w:val="24"/>
        </w:rPr>
        <w:t xml:space="preserve">very same </w:t>
      </w:r>
      <w:r>
        <w:rPr>
          <w:sz w:val="24"/>
          <w:szCs w:val="24"/>
        </w:rPr>
        <w:t xml:space="preserve">department at the </w:t>
      </w:r>
      <w:r w:rsidRPr="003D0443">
        <w:rPr>
          <w:sz w:val="24"/>
          <w:szCs w:val="24"/>
        </w:rPr>
        <w:t xml:space="preserve">university. </w:t>
      </w:r>
      <w:r w:rsidR="00952414">
        <w:rPr>
          <w:sz w:val="24"/>
          <w:szCs w:val="24"/>
        </w:rPr>
        <w:t>Staff</w:t>
      </w:r>
      <w:r>
        <w:rPr>
          <w:sz w:val="24"/>
          <w:szCs w:val="24"/>
        </w:rPr>
        <w:t xml:space="preserve"> largely </w:t>
      </w:r>
      <w:r w:rsidRPr="003D0443">
        <w:rPr>
          <w:sz w:val="24"/>
          <w:szCs w:val="24"/>
        </w:rPr>
        <w:t xml:space="preserve">flouted </w:t>
      </w:r>
      <w:r>
        <w:rPr>
          <w:sz w:val="24"/>
          <w:szCs w:val="24"/>
        </w:rPr>
        <w:t>u</w:t>
      </w:r>
      <w:r w:rsidRPr="003D0443">
        <w:rPr>
          <w:sz w:val="24"/>
          <w:szCs w:val="24"/>
        </w:rPr>
        <w:t xml:space="preserve">niversity </w:t>
      </w:r>
      <w:r>
        <w:rPr>
          <w:sz w:val="24"/>
          <w:szCs w:val="24"/>
        </w:rPr>
        <w:t xml:space="preserve">policies that, in principle, governed the department. Tutors were implicitly expected to adhere to a narrative of an </w:t>
      </w:r>
      <w:r w:rsidRPr="003D0443">
        <w:rPr>
          <w:sz w:val="24"/>
          <w:szCs w:val="24"/>
        </w:rPr>
        <w:t>invisible fabric of loyalty (Boszormenyi-</w:t>
      </w:r>
      <w:r>
        <w:rPr>
          <w:sz w:val="24"/>
          <w:szCs w:val="24"/>
        </w:rPr>
        <w:t>Nagi and Spark</w:t>
      </w:r>
      <w:r w:rsidRPr="003D0443">
        <w:rPr>
          <w:sz w:val="24"/>
          <w:szCs w:val="24"/>
        </w:rPr>
        <w:t>, 197</w:t>
      </w:r>
      <w:r>
        <w:rPr>
          <w:sz w:val="24"/>
          <w:szCs w:val="24"/>
        </w:rPr>
        <w:t>3</w:t>
      </w:r>
      <w:r w:rsidRPr="003D0443">
        <w:rPr>
          <w:sz w:val="24"/>
          <w:szCs w:val="24"/>
        </w:rPr>
        <w:t>)</w:t>
      </w:r>
      <w:r>
        <w:rPr>
          <w:sz w:val="24"/>
          <w:szCs w:val="24"/>
        </w:rPr>
        <w:t xml:space="preserve"> and be complicit in the flouting.</w:t>
      </w:r>
    </w:p>
    <w:p w14:paraId="6F71DDF7" w14:textId="3E57DF12" w:rsidR="00B16DAA" w:rsidRPr="0032283D" w:rsidRDefault="00B16DAA" w:rsidP="00FC5385">
      <w:pPr>
        <w:spacing w:line="360" w:lineRule="auto"/>
        <w:rPr>
          <w:sz w:val="24"/>
          <w:szCs w:val="24"/>
        </w:rPr>
      </w:pPr>
      <w:r>
        <w:rPr>
          <w:sz w:val="24"/>
          <w:szCs w:val="24"/>
        </w:rPr>
        <w:t>Ironically, in a discipline that focuses on personal change, teaching staff rigidly adhered to an exacting psychoanalytic tradition and any suggestion for change was met with hostility, Mirroring the findings of a systemic study conducted by Menzies-Lyth (1960) in an NHS hospital setting, ubiquitous anxiety was identified among the nursing staff within a system identified as resisting organisational change.</w:t>
      </w:r>
      <w:r w:rsidRPr="005974A4">
        <w:rPr>
          <w:color w:val="FF0000"/>
          <w:sz w:val="24"/>
          <w:szCs w:val="24"/>
        </w:rPr>
        <w:t xml:space="preserve"> </w:t>
      </w:r>
      <w:r w:rsidRPr="005B4F7D">
        <w:rPr>
          <w:sz w:val="24"/>
          <w:szCs w:val="24"/>
        </w:rPr>
        <w:t>One of the mechanisms of resistance within the system was bullying (</w:t>
      </w:r>
      <w:r w:rsidR="00AB1ADC">
        <w:rPr>
          <w:sz w:val="24"/>
          <w:szCs w:val="24"/>
        </w:rPr>
        <w:t>ibid.</w:t>
      </w:r>
      <w:r w:rsidRPr="005B4F7D">
        <w:rPr>
          <w:sz w:val="24"/>
          <w:szCs w:val="24"/>
        </w:rPr>
        <w:t xml:space="preserve">). </w:t>
      </w:r>
      <w:r w:rsidRPr="0032283D">
        <w:rPr>
          <w:sz w:val="24"/>
          <w:szCs w:val="24"/>
        </w:rPr>
        <w:t xml:space="preserve">A study dating back as far as 1960 is a stark reminder of the perennial nature of </w:t>
      </w:r>
      <w:r>
        <w:rPr>
          <w:sz w:val="24"/>
          <w:szCs w:val="24"/>
        </w:rPr>
        <w:t xml:space="preserve">a </w:t>
      </w:r>
      <w:r w:rsidRPr="0032283D">
        <w:rPr>
          <w:sz w:val="24"/>
          <w:szCs w:val="24"/>
        </w:rPr>
        <w:t xml:space="preserve">fear of change that </w:t>
      </w:r>
      <w:r>
        <w:rPr>
          <w:sz w:val="24"/>
          <w:szCs w:val="24"/>
        </w:rPr>
        <w:t xml:space="preserve">permeates systems, and of what Solnit (2019) </w:t>
      </w:r>
      <w:r>
        <w:rPr>
          <w:sz w:val="24"/>
          <w:szCs w:val="24"/>
        </w:rPr>
        <w:lastRenderedPageBreak/>
        <w:t>refers to as “regressive raging in the centres of power” (p.169)</w:t>
      </w:r>
      <w:r w:rsidR="00133CDB">
        <w:rPr>
          <w:sz w:val="24"/>
          <w:szCs w:val="24"/>
        </w:rPr>
        <w:t xml:space="preserve"> </w:t>
      </w:r>
      <w:r>
        <w:rPr>
          <w:sz w:val="24"/>
          <w:szCs w:val="24"/>
        </w:rPr>
        <w:t>which keeps the hierarchical power balance alive.</w:t>
      </w:r>
    </w:p>
    <w:p w14:paraId="7E5D480F" w14:textId="530D4DA6" w:rsidR="00B16DAA" w:rsidRPr="003D0443" w:rsidRDefault="00B16DAA" w:rsidP="00FC5385">
      <w:pPr>
        <w:spacing w:line="360" w:lineRule="auto"/>
        <w:rPr>
          <w:sz w:val="24"/>
          <w:szCs w:val="24"/>
        </w:rPr>
      </w:pPr>
      <w:r w:rsidRPr="003D0443">
        <w:rPr>
          <w:sz w:val="24"/>
          <w:szCs w:val="24"/>
        </w:rPr>
        <w:t xml:space="preserve">My struggle </w:t>
      </w:r>
      <w:r>
        <w:rPr>
          <w:sz w:val="24"/>
          <w:szCs w:val="24"/>
        </w:rPr>
        <w:t xml:space="preserve">in this clime </w:t>
      </w:r>
      <w:r w:rsidRPr="003D0443">
        <w:rPr>
          <w:sz w:val="24"/>
          <w:szCs w:val="24"/>
        </w:rPr>
        <w:t>was amplified when I was the first, and only</w:t>
      </w:r>
      <w:r>
        <w:rPr>
          <w:sz w:val="24"/>
          <w:szCs w:val="24"/>
        </w:rPr>
        <w:t xml:space="preserve"> VL in my department </w:t>
      </w:r>
      <w:r w:rsidRPr="003D0443">
        <w:rPr>
          <w:sz w:val="24"/>
          <w:szCs w:val="24"/>
        </w:rPr>
        <w:t xml:space="preserve">to answer a call from </w:t>
      </w:r>
      <w:r w:rsidR="00D912B1">
        <w:rPr>
          <w:sz w:val="24"/>
          <w:szCs w:val="24"/>
        </w:rPr>
        <w:t xml:space="preserve">the </w:t>
      </w:r>
      <w:r w:rsidRPr="003D0443">
        <w:rPr>
          <w:sz w:val="24"/>
          <w:szCs w:val="24"/>
        </w:rPr>
        <w:t>H</w:t>
      </w:r>
      <w:r w:rsidR="00D912B1">
        <w:rPr>
          <w:sz w:val="24"/>
          <w:szCs w:val="24"/>
        </w:rPr>
        <w:t xml:space="preserve">uman </w:t>
      </w:r>
      <w:r w:rsidRPr="003D0443">
        <w:rPr>
          <w:sz w:val="24"/>
          <w:szCs w:val="24"/>
        </w:rPr>
        <w:t>R</w:t>
      </w:r>
      <w:r w:rsidR="00D912B1">
        <w:rPr>
          <w:sz w:val="24"/>
          <w:szCs w:val="24"/>
        </w:rPr>
        <w:t xml:space="preserve">esources </w:t>
      </w:r>
      <w:r w:rsidR="00EB5B08">
        <w:rPr>
          <w:sz w:val="24"/>
          <w:szCs w:val="24"/>
        </w:rPr>
        <w:t>department</w:t>
      </w:r>
      <w:r w:rsidRPr="003D0443">
        <w:rPr>
          <w:sz w:val="24"/>
          <w:szCs w:val="24"/>
        </w:rPr>
        <w:t xml:space="preserve"> directing all lecturers to attend a</w:t>
      </w:r>
      <w:r>
        <w:rPr>
          <w:sz w:val="24"/>
          <w:szCs w:val="24"/>
        </w:rPr>
        <w:t>n in house</w:t>
      </w:r>
      <w:r w:rsidRPr="003D0443">
        <w:rPr>
          <w:sz w:val="24"/>
          <w:szCs w:val="24"/>
        </w:rPr>
        <w:t xml:space="preserve"> </w:t>
      </w:r>
      <w:r>
        <w:rPr>
          <w:sz w:val="24"/>
          <w:szCs w:val="24"/>
        </w:rPr>
        <w:t>Post Graduate Certificate in Higher Education (</w:t>
      </w:r>
      <w:r w:rsidRPr="003D0443">
        <w:rPr>
          <w:sz w:val="24"/>
          <w:szCs w:val="24"/>
        </w:rPr>
        <w:t>PGCHE</w:t>
      </w:r>
      <w:r>
        <w:rPr>
          <w:sz w:val="24"/>
          <w:szCs w:val="24"/>
        </w:rPr>
        <w:t>).</w:t>
      </w:r>
      <w:r w:rsidRPr="003D0443">
        <w:rPr>
          <w:sz w:val="24"/>
          <w:szCs w:val="24"/>
        </w:rPr>
        <w:t xml:space="preserve"> </w:t>
      </w:r>
      <w:r>
        <w:rPr>
          <w:sz w:val="24"/>
          <w:szCs w:val="24"/>
        </w:rPr>
        <w:t>By complying to a wider university policy, I believe I became a threat to the departmental political system: “Just as the poet is a menace to conformity, he is also a constant threat to political dictators. He is always on the verge of blowing up the assembly line of political power” (May, 1975, p. 73).</w:t>
      </w:r>
      <w:r w:rsidRPr="0006433F">
        <w:rPr>
          <w:sz w:val="24"/>
          <w:szCs w:val="24"/>
        </w:rPr>
        <w:t xml:space="preserve"> </w:t>
      </w:r>
      <w:r>
        <w:rPr>
          <w:sz w:val="24"/>
          <w:szCs w:val="24"/>
        </w:rPr>
        <w:t xml:space="preserve">I interpret the poet as one who creatively embraces change. By being creative in my development, there were consequences. Experientially, I suffered a moral injury (Hibbins, 2020) in </w:t>
      </w:r>
      <w:r w:rsidR="00A75777">
        <w:rPr>
          <w:sz w:val="24"/>
          <w:szCs w:val="24"/>
        </w:rPr>
        <w:t>a</w:t>
      </w:r>
      <w:r>
        <w:rPr>
          <w:sz w:val="24"/>
          <w:szCs w:val="24"/>
        </w:rPr>
        <w:t xml:space="preserve"> systemic culture based on coercion versus exclusion (Beale, 2021) </w:t>
      </w:r>
      <w:r w:rsidR="009C4788">
        <w:rPr>
          <w:sz w:val="24"/>
          <w:szCs w:val="24"/>
        </w:rPr>
        <w:t xml:space="preserve">which </w:t>
      </w:r>
      <w:r>
        <w:rPr>
          <w:sz w:val="24"/>
          <w:szCs w:val="24"/>
        </w:rPr>
        <w:t>bore witness to morally injurious behaviours (</w:t>
      </w:r>
      <w:r w:rsidR="00AB1ADC">
        <w:rPr>
          <w:sz w:val="24"/>
          <w:szCs w:val="24"/>
        </w:rPr>
        <w:t>ibid.</w:t>
      </w:r>
      <w:r>
        <w:rPr>
          <w:sz w:val="24"/>
          <w:szCs w:val="24"/>
        </w:rPr>
        <w:t>).</w:t>
      </w:r>
    </w:p>
    <w:p w14:paraId="5BA2670D" w14:textId="77777777" w:rsidR="00B16DAA" w:rsidRPr="00C5665C" w:rsidRDefault="00B16DAA" w:rsidP="00FC5385">
      <w:pPr>
        <w:spacing w:line="360" w:lineRule="auto"/>
        <w:rPr>
          <w:b/>
          <w:bCs/>
          <w:sz w:val="24"/>
          <w:szCs w:val="24"/>
        </w:rPr>
      </w:pPr>
      <w:r w:rsidRPr="00C5665C">
        <w:rPr>
          <w:b/>
          <w:bCs/>
          <w:sz w:val="24"/>
          <w:szCs w:val="24"/>
        </w:rPr>
        <w:t>A series of (un)fortunate events</w:t>
      </w:r>
    </w:p>
    <w:p w14:paraId="00584474" w14:textId="4068BAA3" w:rsidR="00B16DAA" w:rsidRDefault="00B16DAA" w:rsidP="00FC5385">
      <w:pPr>
        <w:spacing w:line="360" w:lineRule="auto"/>
        <w:rPr>
          <w:sz w:val="24"/>
          <w:szCs w:val="24"/>
        </w:rPr>
      </w:pPr>
      <w:r>
        <w:rPr>
          <w:sz w:val="24"/>
          <w:szCs w:val="24"/>
        </w:rPr>
        <w:t>In</w:t>
      </w:r>
      <w:r w:rsidRPr="007B31F1">
        <w:rPr>
          <w:sz w:val="24"/>
          <w:szCs w:val="24"/>
        </w:rPr>
        <w:t xml:space="preserve"> direct contrast to </w:t>
      </w:r>
      <w:r>
        <w:rPr>
          <w:sz w:val="24"/>
          <w:szCs w:val="24"/>
        </w:rPr>
        <w:t>these hostilities</w:t>
      </w:r>
      <w:r w:rsidRPr="007B31F1">
        <w:rPr>
          <w:sz w:val="24"/>
          <w:szCs w:val="24"/>
        </w:rPr>
        <w:t xml:space="preserve">, </w:t>
      </w:r>
      <w:r>
        <w:rPr>
          <w:sz w:val="24"/>
          <w:szCs w:val="24"/>
        </w:rPr>
        <w:t xml:space="preserve">whilst a PGCHE student </w:t>
      </w:r>
      <w:r w:rsidRPr="007B31F1">
        <w:rPr>
          <w:sz w:val="24"/>
          <w:szCs w:val="24"/>
        </w:rPr>
        <w:t xml:space="preserve">I experienced a strong sense of acceptance and positive regard (Rogers, 1957) </w:t>
      </w:r>
      <w:r>
        <w:rPr>
          <w:sz w:val="24"/>
          <w:szCs w:val="24"/>
        </w:rPr>
        <w:t>from</w:t>
      </w:r>
      <w:r w:rsidRPr="007B31F1">
        <w:rPr>
          <w:sz w:val="24"/>
          <w:szCs w:val="24"/>
        </w:rPr>
        <w:t xml:space="preserve"> teachers and students alike. The tutors fully embraced and embodied SEL principles and relational depth</w:t>
      </w:r>
      <w:r>
        <w:rPr>
          <w:sz w:val="24"/>
          <w:szCs w:val="24"/>
        </w:rPr>
        <w:t xml:space="preserve"> (Rogers, 1957)</w:t>
      </w:r>
      <w:r w:rsidRPr="007B31F1">
        <w:rPr>
          <w:sz w:val="24"/>
          <w:szCs w:val="24"/>
        </w:rPr>
        <w:t xml:space="preserve"> by modelling inclusivity, welcoming emotions and encouraging the independent thoughts and voices of their students.</w:t>
      </w:r>
      <w:r>
        <w:rPr>
          <w:sz w:val="24"/>
          <w:szCs w:val="24"/>
        </w:rPr>
        <w:t xml:space="preserve"> </w:t>
      </w:r>
      <w:r w:rsidRPr="003D0443">
        <w:rPr>
          <w:sz w:val="24"/>
          <w:szCs w:val="24"/>
        </w:rPr>
        <w:t>Comprising an eclectic mix of students from all departments across the university, in this facilitating environment</w:t>
      </w:r>
      <w:r>
        <w:rPr>
          <w:sz w:val="24"/>
          <w:szCs w:val="24"/>
        </w:rPr>
        <w:t xml:space="preserve"> </w:t>
      </w:r>
      <w:r w:rsidRPr="003D0443">
        <w:rPr>
          <w:sz w:val="24"/>
          <w:szCs w:val="24"/>
        </w:rPr>
        <w:t xml:space="preserve">I felt </w:t>
      </w:r>
      <w:r>
        <w:rPr>
          <w:sz w:val="24"/>
          <w:szCs w:val="24"/>
        </w:rPr>
        <w:t xml:space="preserve">at home, welcomed, </w:t>
      </w:r>
      <w:r w:rsidRPr="003D0443">
        <w:rPr>
          <w:sz w:val="24"/>
          <w:szCs w:val="24"/>
        </w:rPr>
        <w:t>creatively fed</w:t>
      </w:r>
      <w:r>
        <w:rPr>
          <w:sz w:val="24"/>
          <w:szCs w:val="24"/>
        </w:rPr>
        <w:t xml:space="preserve"> and </w:t>
      </w:r>
      <w:r w:rsidRPr="003D0443">
        <w:rPr>
          <w:sz w:val="24"/>
          <w:szCs w:val="24"/>
        </w:rPr>
        <w:t>challenged</w:t>
      </w:r>
      <w:bookmarkStart w:id="9" w:name="_Hlk213934773"/>
      <w:r>
        <w:rPr>
          <w:sz w:val="24"/>
          <w:szCs w:val="24"/>
        </w:rPr>
        <w:t>.</w:t>
      </w:r>
    </w:p>
    <w:bookmarkEnd w:id="9"/>
    <w:p w14:paraId="5546CABD" w14:textId="4468C4EB" w:rsidR="00B16DAA" w:rsidRPr="003D0443" w:rsidRDefault="00B16DAA" w:rsidP="00FC5385">
      <w:pPr>
        <w:spacing w:line="360" w:lineRule="auto"/>
        <w:rPr>
          <w:sz w:val="24"/>
          <w:szCs w:val="24"/>
        </w:rPr>
      </w:pPr>
      <w:r>
        <w:rPr>
          <w:sz w:val="24"/>
          <w:szCs w:val="24"/>
        </w:rPr>
        <w:t>Drawing heavily on Brookfield’s (1990) critically reflective theory and lenses, the course</w:t>
      </w:r>
      <w:r w:rsidRPr="003D0443">
        <w:rPr>
          <w:sz w:val="24"/>
          <w:szCs w:val="24"/>
        </w:rPr>
        <w:t xml:space="preserve"> </w:t>
      </w:r>
      <w:r>
        <w:rPr>
          <w:sz w:val="24"/>
          <w:szCs w:val="24"/>
        </w:rPr>
        <w:t xml:space="preserve">prompted students </w:t>
      </w:r>
      <w:r w:rsidRPr="003D0443">
        <w:rPr>
          <w:sz w:val="24"/>
          <w:szCs w:val="24"/>
        </w:rPr>
        <w:t xml:space="preserve">to think </w:t>
      </w:r>
      <w:r w:rsidR="00B00466" w:rsidRPr="003D0443">
        <w:rPr>
          <w:sz w:val="24"/>
          <w:szCs w:val="24"/>
        </w:rPr>
        <w:t>about</w:t>
      </w:r>
      <w:r w:rsidR="00B00466">
        <w:rPr>
          <w:sz w:val="24"/>
          <w:szCs w:val="24"/>
        </w:rPr>
        <w:t xml:space="preserve"> and</w:t>
      </w:r>
      <w:r w:rsidRPr="003D0443">
        <w:rPr>
          <w:sz w:val="24"/>
          <w:szCs w:val="24"/>
        </w:rPr>
        <w:t xml:space="preserve"> reflect deeply on teaching process</w:t>
      </w:r>
      <w:r>
        <w:rPr>
          <w:sz w:val="24"/>
          <w:szCs w:val="24"/>
        </w:rPr>
        <w:t xml:space="preserve">. This </w:t>
      </w:r>
      <w:r w:rsidRPr="003D0443">
        <w:rPr>
          <w:sz w:val="24"/>
          <w:szCs w:val="24"/>
        </w:rPr>
        <w:t xml:space="preserve">included examining </w:t>
      </w:r>
      <w:r>
        <w:rPr>
          <w:sz w:val="24"/>
          <w:szCs w:val="24"/>
        </w:rPr>
        <w:t xml:space="preserve">hidden </w:t>
      </w:r>
      <w:r w:rsidRPr="003D0443">
        <w:rPr>
          <w:sz w:val="24"/>
          <w:szCs w:val="24"/>
        </w:rPr>
        <w:t xml:space="preserve">drivers </w:t>
      </w:r>
      <w:r>
        <w:rPr>
          <w:sz w:val="24"/>
          <w:szCs w:val="24"/>
        </w:rPr>
        <w:t xml:space="preserve">in the self, </w:t>
      </w:r>
      <w:r w:rsidRPr="003D0443">
        <w:rPr>
          <w:sz w:val="24"/>
          <w:szCs w:val="24"/>
        </w:rPr>
        <w:t xml:space="preserve">the classroom and </w:t>
      </w:r>
      <w:r>
        <w:rPr>
          <w:sz w:val="24"/>
          <w:szCs w:val="24"/>
        </w:rPr>
        <w:t>educational policies. By shining a light on the unseen but felt political dynamics in teaching, the subject of power abuse in educational systems stepped to the fore.</w:t>
      </w:r>
      <w:r w:rsidRPr="003D0443">
        <w:rPr>
          <w:sz w:val="24"/>
          <w:szCs w:val="24"/>
        </w:rPr>
        <w:t xml:space="preserve"> I was unprepared for </w:t>
      </w:r>
      <w:r>
        <w:rPr>
          <w:sz w:val="24"/>
          <w:szCs w:val="24"/>
        </w:rPr>
        <w:t xml:space="preserve">this </w:t>
      </w:r>
      <w:r w:rsidRPr="003D0443">
        <w:rPr>
          <w:sz w:val="24"/>
          <w:szCs w:val="24"/>
        </w:rPr>
        <w:t xml:space="preserve">journey, and </w:t>
      </w:r>
      <w:r>
        <w:rPr>
          <w:sz w:val="24"/>
          <w:szCs w:val="24"/>
        </w:rPr>
        <w:t xml:space="preserve">the </w:t>
      </w:r>
      <w:r w:rsidRPr="003D0443">
        <w:rPr>
          <w:sz w:val="24"/>
          <w:szCs w:val="24"/>
        </w:rPr>
        <w:t>shadow side (Jung, 1953)</w:t>
      </w:r>
      <w:r>
        <w:rPr>
          <w:sz w:val="24"/>
          <w:szCs w:val="24"/>
        </w:rPr>
        <w:t xml:space="preserve"> of unearthing these “</w:t>
      </w:r>
      <w:r w:rsidRPr="00302252">
        <w:rPr>
          <w:sz w:val="24"/>
          <w:szCs w:val="24"/>
        </w:rPr>
        <w:t>poisonous pedagogy</w:t>
      </w:r>
      <w:r>
        <w:rPr>
          <w:sz w:val="24"/>
          <w:szCs w:val="24"/>
        </w:rPr>
        <w:t>”</w:t>
      </w:r>
      <w:r w:rsidRPr="00302252">
        <w:rPr>
          <w:sz w:val="24"/>
          <w:szCs w:val="24"/>
        </w:rPr>
        <w:t xml:space="preserve"> (Miller, 1987</w:t>
      </w:r>
      <w:r w:rsidR="00E23FD5">
        <w:rPr>
          <w:sz w:val="24"/>
          <w:szCs w:val="24"/>
        </w:rPr>
        <w:t>, p.59</w:t>
      </w:r>
      <w:r w:rsidRPr="00302252">
        <w:rPr>
          <w:sz w:val="24"/>
          <w:szCs w:val="24"/>
        </w:rPr>
        <w:t>)</w:t>
      </w:r>
      <w:r>
        <w:rPr>
          <w:sz w:val="24"/>
          <w:szCs w:val="24"/>
        </w:rPr>
        <w:t xml:space="preserve"> dynamics. Already feeling like a refugee in my department, I became aware that I had adopted a position of “wilful forgetting” (Solnit, 2006, p.47), a denial of my homeland of relationality and creativity, in order to accommodate the native prevailing trends of the dominant paradigm (Freire, 1970; Memmi, 1965). I felt </w:t>
      </w:r>
      <w:r w:rsidRPr="003D0443">
        <w:rPr>
          <w:sz w:val="24"/>
          <w:szCs w:val="24"/>
        </w:rPr>
        <w:t>vulnerab</w:t>
      </w:r>
      <w:r>
        <w:rPr>
          <w:sz w:val="24"/>
          <w:szCs w:val="24"/>
        </w:rPr>
        <w:t>le, and I was not alone.</w:t>
      </w:r>
    </w:p>
    <w:p w14:paraId="17DCA222" w14:textId="3E4767BC" w:rsidR="00B16DAA" w:rsidRPr="003D0443" w:rsidRDefault="00B16DAA" w:rsidP="00FC5385">
      <w:pPr>
        <w:spacing w:line="360" w:lineRule="auto"/>
        <w:rPr>
          <w:sz w:val="24"/>
          <w:szCs w:val="24"/>
        </w:rPr>
      </w:pPr>
      <w:r>
        <w:rPr>
          <w:sz w:val="24"/>
          <w:szCs w:val="24"/>
        </w:rPr>
        <w:lastRenderedPageBreak/>
        <w:t>T</w:t>
      </w:r>
      <w:r w:rsidRPr="003D0443">
        <w:rPr>
          <w:sz w:val="24"/>
          <w:szCs w:val="24"/>
        </w:rPr>
        <w:t xml:space="preserve">he entire PGCHE cohort </w:t>
      </w:r>
      <w:r>
        <w:rPr>
          <w:sz w:val="24"/>
          <w:szCs w:val="24"/>
        </w:rPr>
        <w:t xml:space="preserve">reported </w:t>
      </w:r>
      <w:r w:rsidRPr="003D0443">
        <w:rPr>
          <w:sz w:val="24"/>
          <w:szCs w:val="24"/>
        </w:rPr>
        <w:t>experienc</w:t>
      </w:r>
      <w:r>
        <w:rPr>
          <w:sz w:val="24"/>
          <w:szCs w:val="24"/>
        </w:rPr>
        <w:t>ing</w:t>
      </w:r>
      <w:r w:rsidRPr="003D0443">
        <w:rPr>
          <w:sz w:val="24"/>
          <w:szCs w:val="24"/>
        </w:rPr>
        <w:t xml:space="preserve"> anxiety </w:t>
      </w:r>
      <w:r>
        <w:rPr>
          <w:sz w:val="24"/>
          <w:szCs w:val="24"/>
        </w:rPr>
        <w:t xml:space="preserve">due to their teacher selves </w:t>
      </w:r>
      <w:r w:rsidRPr="003D0443">
        <w:rPr>
          <w:sz w:val="24"/>
          <w:szCs w:val="24"/>
        </w:rPr>
        <w:t>being expanded</w:t>
      </w:r>
      <w:r>
        <w:rPr>
          <w:sz w:val="24"/>
          <w:szCs w:val="24"/>
        </w:rPr>
        <w:t xml:space="preserve"> </w:t>
      </w:r>
      <w:r w:rsidRPr="003D0443">
        <w:rPr>
          <w:sz w:val="24"/>
          <w:szCs w:val="24"/>
        </w:rPr>
        <w:t>and deconstructed</w:t>
      </w:r>
      <w:r>
        <w:rPr>
          <w:sz w:val="24"/>
          <w:szCs w:val="24"/>
        </w:rPr>
        <w:t xml:space="preserve">, and most students reported not understanding how to reflect </w:t>
      </w:r>
      <w:r w:rsidR="00D12D1A">
        <w:rPr>
          <w:sz w:val="24"/>
          <w:szCs w:val="24"/>
        </w:rPr>
        <w:t>upon and</w:t>
      </w:r>
      <w:r>
        <w:rPr>
          <w:sz w:val="24"/>
          <w:szCs w:val="24"/>
        </w:rPr>
        <w:t xml:space="preserve"> integrate changes to their identities</w:t>
      </w:r>
      <w:r w:rsidRPr="003D0443">
        <w:rPr>
          <w:sz w:val="24"/>
          <w:szCs w:val="24"/>
        </w:rPr>
        <w:t xml:space="preserve">.  </w:t>
      </w:r>
      <w:r>
        <w:rPr>
          <w:sz w:val="24"/>
          <w:szCs w:val="24"/>
        </w:rPr>
        <w:t xml:space="preserve">From an initial cohort of 25 students only five of us passed the course first time. </w:t>
      </w:r>
      <w:r w:rsidRPr="003D0443">
        <w:rPr>
          <w:sz w:val="24"/>
          <w:szCs w:val="24"/>
        </w:rPr>
        <w:t>Post completion, the course lead affirmed that the course aimed to deconstruct the teacher self and establish a transformed teacher identity. Depth psychologist Romanyshyn (2021) considers deconstruction to be “a descent and a dismemberment” (p.52</w:t>
      </w:r>
      <w:r>
        <w:rPr>
          <w:sz w:val="24"/>
          <w:szCs w:val="24"/>
        </w:rPr>
        <w:t xml:space="preserve">) which is </w:t>
      </w:r>
      <w:r w:rsidRPr="003D0443">
        <w:rPr>
          <w:sz w:val="24"/>
          <w:szCs w:val="24"/>
        </w:rPr>
        <w:t xml:space="preserve">a natural consequence when a researcher is in service to the love of the work. Seen from </w:t>
      </w:r>
      <w:r>
        <w:rPr>
          <w:sz w:val="24"/>
          <w:szCs w:val="24"/>
        </w:rPr>
        <w:t>a</w:t>
      </w:r>
      <w:r w:rsidRPr="003D0443">
        <w:rPr>
          <w:sz w:val="24"/>
          <w:szCs w:val="24"/>
        </w:rPr>
        <w:t xml:space="preserve"> </w:t>
      </w:r>
      <w:r>
        <w:rPr>
          <w:sz w:val="24"/>
          <w:szCs w:val="24"/>
        </w:rPr>
        <w:t xml:space="preserve">teacher development </w:t>
      </w:r>
      <w:r w:rsidRPr="003D0443">
        <w:rPr>
          <w:sz w:val="24"/>
          <w:szCs w:val="24"/>
        </w:rPr>
        <w:t>standpoint, ironically</w:t>
      </w:r>
      <w:r>
        <w:rPr>
          <w:sz w:val="24"/>
          <w:szCs w:val="24"/>
        </w:rPr>
        <w:t>,</w:t>
      </w:r>
      <w:r w:rsidRPr="003D0443">
        <w:rPr>
          <w:sz w:val="24"/>
          <w:szCs w:val="24"/>
        </w:rPr>
        <w:t xml:space="preserve"> in our love for our work, and desire to</w:t>
      </w:r>
      <w:r>
        <w:rPr>
          <w:sz w:val="24"/>
          <w:szCs w:val="24"/>
        </w:rPr>
        <w:t xml:space="preserve"> </w:t>
      </w:r>
      <w:r w:rsidRPr="003D0443">
        <w:rPr>
          <w:sz w:val="24"/>
          <w:szCs w:val="24"/>
        </w:rPr>
        <w:t>improve</w:t>
      </w:r>
      <w:r>
        <w:rPr>
          <w:sz w:val="24"/>
          <w:szCs w:val="24"/>
        </w:rPr>
        <w:t xml:space="preserve"> </w:t>
      </w:r>
      <w:r w:rsidRPr="003D0443">
        <w:rPr>
          <w:sz w:val="24"/>
          <w:szCs w:val="24"/>
        </w:rPr>
        <w:t>our</w:t>
      </w:r>
      <w:r>
        <w:rPr>
          <w:sz w:val="24"/>
          <w:szCs w:val="24"/>
        </w:rPr>
        <w:t xml:space="preserve"> practice</w:t>
      </w:r>
      <w:r w:rsidRPr="003D0443">
        <w:rPr>
          <w:sz w:val="24"/>
          <w:szCs w:val="24"/>
        </w:rPr>
        <w:t xml:space="preserve"> and </w:t>
      </w:r>
      <w:r>
        <w:rPr>
          <w:sz w:val="24"/>
          <w:szCs w:val="24"/>
        </w:rPr>
        <w:t xml:space="preserve">experiences for </w:t>
      </w:r>
      <w:r w:rsidRPr="003D0443">
        <w:rPr>
          <w:sz w:val="24"/>
          <w:szCs w:val="24"/>
        </w:rPr>
        <w:t xml:space="preserve">our students, our </w:t>
      </w:r>
      <w:r>
        <w:rPr>
          <w:sz w:val="24"/>
          <w:szCs w:val="24"/>
        </w:rPr>
        <w:t xml:space="preserve">teacher identities were being dismembered, and our </w:t>
      </w:r>
      <w:r w:rsidRPr="003D0443">
        <w:rPr>
          <w:sz w:val="24"/>
          <w:szCs w:val="24"/>
        </w:rPr>
        <w:t>emotional well</w:t>
      </w:r>
      <w:r>
        <w:rPr>
          <w:sz w:val="24"/>
          <w:szCs w:val="24"/>
        </w:rPr>
        <w:t>-</w:t>
      </w:r>
      <w:r w:rsidRPr="003D0443">
        <w:rPr>
          <w:sz w:val="24"/>
          <w:szCs w:val="24"/>
        </w:rPr>
        <w:t>being was being compromised.</w:t>
      </w:r>
      <w:r>
        <w:rPr>
          <w:sz w:val="24"/>
          <w:szCs w:val="24"/>
        </w:rPr>
        <w:t xml:space="preserve"> We were all veritable </w:t>
      </w:r>
      <w:r w:rsidRPr="007E4B82">
        <w:rPr>
          <w:i/>
          <w:iCs/>
          <w:sz w:val="24"/>
          <w:szCs w:val="24"/>
        </w:rPr>
        <w:t>Snow Whites</w:t>
      </w:r>
      <w:r>
        <w:rPr>
          <w:i/>
          <w:iCs/>
          <w:sz w:val="24"/>
          <w:szCs w:val="24"/>
        </w:rPr>
        <w:t xml:space="preserve"> </w:t>
      </w:r>
      <w:r>
        <w:rPr>
          <w:sz w:val="24"/>
          <w:szCs w:val="24"/>
        </w:rPr>
        <w:t>(Grimm</w:t>
      </w:r>
      <w:r w:rsidR="0048501D">
        <w:rPr>
          <w:sz w:val="24"/>
          <w:szCs w:val="24"/>
        </w:rPr>
        <w:t xml:space="preserve"> and Grimm</w:t>
      </w:r>
      <w:r>
        <w:rPr>
          <w:sz w:val="24"/>
          <w:szCs w:val="24"/>
        </w:rPr>
        <w:t>, 1869) being bent out of our familiar shapes; we were being individuated and actualised to fulfil our potential.</w:t>
      </w:r>
    </w:p>
    <w:p w14:paraId="0644C2AE" w14:textId="7608CF12" w:rsidR="00B16DAA" w:rsidRPr="00BF4D69" w:rsidRDefault="00B16DAA" w:rsidP="00FC5385">
      <w:pPr>
        <w:spacing w:line="360" w:lineRule="auto"/>
        <w:rPr>
          <w:sz w:val="24"/>
          <w:szCs w:val="24"/>
          <w:lang w:val="en-US"/>
        </w:rPr>
      </w:pPr>
      <w:r w:rsidRPr="003D0443">
        <w:rPr>
          <w:sz w:val="24"/>
          <w:szCs w:val="24"/>
        </w:rPr>
        <w:t>A strong proponent of transformative learning, hooks (1994) states</w:t>
      </w:r>
      <w:r w:rsidR="004154D0">
        <w:rPr>
          <w:sz w:val="24"/>
          <w:szCs w:val="24"/>
        </w:rPr>
        <w:t>:</w:t>
      </w:r>
      <w:r w:rsidRPr="003D0443">
        <w:rPr>
          <w:sz w:val="24"/>
          <w:szCs w:val="24"/>
        </w:rPr>
        <w:t xml:space="preserve"> “</w:t>
      </w:r>
      <w:r w:rsidR="00A2649D">
        <w:rPr>
          <w:sz w:val="24"/>
          <w:szCs w:val="24"/>
        </w:rPr>
        <w:t>T</w:t>
      </w:r>
      <w:r w:rsidRPr="003D0443">
        <w:rPr>
          <w:sz w:val="24"/>
          <w:szCs w:val="24"/>
        </w:rPr>
        <w:t>eachers must be actively committed to a process of self-actuali</w:t>
      </w:r>
      <w:r>
        <w:rPr>
          <w:sz w:val="24"/>
          <w:szCs w:val="24"/>
        </w:rPr>
        <w:t>s</w:t>
      </w:r>
      <w:r w:rsidRPr="003D0443">
        <w:rPr>
          <w:sz w:val="24"/>
          <w:szCs w:val="24"/>
        </w:rPr>
        <w:t>ation that promotes their own well</w:t>
      </w:r>
      <w:r>
        <w:rPr>
          <w:sz w:val="24"/>
          <w:szCs w:val="24"/>
        </w:rPr>
        <w:t>-</w:t>
      </w:r>
      <w:r w:rsidRPr="003D0443">
        <w:rPr>
          <w:sz w:val="24"/>
          <w:szCs w:val="24"/>
        </w:rPr>
        <w:t>being if they are to teach in a manner that empowers students” (p.15)</w:t>
      </w:r>
      <w:r>
        <w:rPr>
          <w:sz w:val="24"/>
          <w:szCs w:val="24"/>
        </w:rPr>
        <w:t xml:space="preserve">. I read self-actualisation to be a critical self-examination process for personal growth, and it has consequences when the accepted givens of </w:t>
      </w:r>
      <w:r w:rsidRPr="00D96D4B">
        <w:rPr>
          <w:sz w:val="24"/>
          <w:szCs w:val="24"/>
        </w:rPr>
        <w:t xml:space="preserve">reality </w:t>
      </w:r>
      <w:r>
        <w:rPr>
          <w:sz w:val="24"/>
          <w:szCs w:val="24"/>
        </w:rPr>
        <w:t>are probed “</w:t>
      </w:r>
      <w:r w:rsidRPr="00D96D4B">
        <w:rPr>
          <w:sz w:val="24"/>
          <w:szCs w:val="24"/>
        </w:rPr>
        <w:t>to reveal the inequities and oppression that lurk underneath</w:t>
      </w:r>
      <w:r>
        <w:rPr>
          <w:sz w:val="24"/>
          <w:szCs w:val="24"/>
        </w:rPr>
        <w:t xml:space="preserve">” (Brookfield, 1995, p.87). Brookfield (1995) highlights that the act of learning is immersed in </w:t>
      </w:r>
      <w:r w:rsidRPr="00427000">
        <w:rPr>
          <w:sz w:val="24"/>
          <w:szCs w:val="24"/>
          <w:lang w:val="en-US"/>
        </w:rPr>
        <w:t>cultural, psychological and political complexities</w:t>
      </w:r>
      <w:r w:rsidR="00771EB7">
        <w:rPr>
          <w:sz w:val="24"/>
          <w:szCs w:val="24"/>
          <w:lang w:val="en-US"/>
        </w:rPr>
        <w:t xml:space="preserve"> </w:t>
      </w:r>
      <w:r>
        <w:rPr>
          <w:sz w:val="24"/>
          <w:szCs w:val="24"/>
          <w:lang w:val="en-US"/>
        </w:rPr>
        <w:t>which are complicated by relational dynamics of power meaning that “</w:t>
      </w:r>
      <w:r w:rsidRPr="00427000">
        <w:rPr>
          <w:sz w:val="24"/>
          <w:szCs w:val="24"/>
          <w:lang w:val="en-US"/>
        </w:rPr>
        <w:t>teaching can never be innocent</w:t>
      </w:r>
      <w:r>
        <w:rPr>
          <w:sz w:val="24"/>
          <w:szCs w:val="24"/>
          <w:lang w:val="en-US"/>
        </w:rPr>
        <w:t xml:space="preserve">” </w:t>
      </w:r>
      <w:r w:rsidRPr="00427000">
        <w:rPr>
          <w:sz w:val="24"/>
          <w:szCs w:val="24"/>
          <w:lang w:val="en-US"/>
        </w:rPr>
        <w:t>(p.1)</w:t>
      </w:r>
      <w:r>
        <w:rPr>
          <w:sz w:val="24"/>
          <w:szCs w:val="24"/>
          <w:lang w:val="en-US"/>
        </w:rPr>
        <w:t>. T</w:t>
      </w:r>
      <w:r w:rsidRPr="003D0443">
        <w:rPr>
          <w:sz w:val="24"/>
          <w:szCs w:val="24"/>
        </w:rPr>
        <w:t xml:space="preserve">he implication of </w:t>
      </w:r>
      <w:r>
        <w:rPr>
          <w:sz w:val="24"/>
          <w:szCs w:val="24"/>
        </w:rPr>
        <w:t xml:space="preserve">engaging in critiquing these dynamics carries with it a risk of committing “cultural suicide” (p.235), a dangerous position. </w:t>
      </w:r>
    </w:p>
    <w:p w14:paraId="73EBC4F3" w14:textId="0EE95C56" w:rsidR="000F5916" w:rsidRDefault="00B16DAA" w:rsidP="00FC5385">
      <w:pPr>
        <w:spacing w:line="360" w:lineRule="auto"/>
        <w:rPr>
          <w:sz w:val="24"/>
          <w:szCs w:val="24"/>
        </w:rPr>
      </w:pPr>
      <w:r>
        <w:rPr>
          <w:sz w:val="24"/>
          <w:szCs w:val="24"/>
        </w:rPr>
        <w:t>A forewarning of emotional consequences when being</w:t>
      </w:r>
      <w:r w:rsidRPr="00BD1CF0">
        <w:rPr>
          <w:sz w:val="24"/>
          <w:szCs w:val="24"/>
        </w:rPr>
        <w:t xml:space="preserve"> </w:t>
      </w:r>
      <w:r>
        <w:rPr>
          <w:sz w:val="24"/>
          <w:szCs w:val="24"/>
        </w:rPr>
        <w:t xml:space="preserve">awoken to </w:t>
      </w:r>
      <w:r w:rsidRPr="00BD1CF0">
        <w:rPr>
          <w:sz w:val="24"/>
          <w:szCs w:val="24"/>
        </w:rPr>
        <w:t>ideology critique</w:t>
      </w:r>
      <w:r>
        <w:rPr>
          <w:sz w:val="24"/>
          <w:szCs w:val="24"/>
        </w:rPr>
        <w:t xml:space="preserve"> was missing during the PGCHE training; this was a chasm that most of us fell into blind. According to d</w:t>
      </w:r>
      <w:r w:rsidRPr="003D0443">
        <w:rPr>
          <w:sz w:val="24"/>
          <w:szCs w:val="24"/>
        </w:rPr>
        <w:t>epth psychologist Mayes (2020) it is irresponsible neither to attend to the psychological consequences of the transformational classroom environ, nor to help teachers learn to teach “in a therapeutically wise manner” (p.124)</w:t>
      </w:r>
      <w:r>
        <w:rPr>
          <w:sz w:val="24"/>
          <w:szCs w:val="24"/>
        </w:rPr>
        <w:t xml:space="preserve">; therein lies a crack. Boyce-Tillman (2000) states: “It is from the cracks that the healing music comes, and unto which it goes” (p.282) and it was a “community of congruence” (Palmer, 1998, p.174), a self-selected learning support group that provided the healing music in the form of </w:t>
      </w:r>
      <w:r w:rsidR="00E1006E">
        <w:rPr>
          <w:sz w:val="24"/>
          <w:szCs w:val="24"/>
        </w:rPr>
        <w:t>“</w:t>
      </w:r>
      <w:r>
        <w:rPr>
          <w:sz w:val="24"/>
          <w:szCs w:val="24"/>
        </w:rPr>
        <w:t>holding</w:t>
      </w:r>
      <w:r w:rsidR="00E1006E">
        <w:rPr>
          <w:sz w:val="24"/>
          <w:szCs w:val="24"/>
        </w:rPr>
        <w:t>”</w:t>
      </w:r>
      <w:r>
        <w:rPr>
          <w:sz w:val="24"/>
          <w:szCs w:val="24"/>
        </w:rPr>
        <w:t xml:space="preserve"> </w:t>
      </w:r>
      <w:r w:rsidR="00704BD9">
        <w:rPr>
          <w:sz w:val="24"/>
          <w:szCs w:val="24"/>
        </w:rPr>
        <w:t xml:space="preserve">(Winnicott, 1965) </w:t>
      </w:r>
      <w:r>
        <w:rPr>
          <w:sz w:val="24"/>
          <w:szCs w:val="24"/>
        </w:rPr>
        <w:t xml:space="preserve">to mediate the emotional consequences of being a critically reflective learner. </w:t>
      </w:r>
      <w:bookmarkStart w:id="10" w:name="_Hlk148689745"/>
    </w:p>
    <w:p w14:paraId="2539843C" w14:textId="47CF39DE" w:rsidR="00B16DAA" w:rsidRPr="000F5916" w:rsidRDefault="00B16DAA" w:rsidP="00FC5385">
      <w:pPr>
        <w:spacing w:line="360" w:lineRule="auto"/>
        <w:rPr>
          <w:sz w:val="24"/>
          <w:szCs w:val="24"/>
        </w:rPr>
      </w:pPr>
      <w:r w:rsidRPr="001071BD">
        <w:rPr>
          <w:b/>
          <w:bCs/>
          <w:sz w:val="24"/>
          <w:szCs w:val="24"/>
        </w:rPr>
        <w:lastRenderedPageBreak/>
        <w:t>People</w:t>
      </w:r>
      <w:r>
        <w:rPr>
          <w:b/>
          <w:bCs/>
          <w:sz w:val="24"/>
          <w:szCs w:val="24"/>
        </w:rPr>
        <w:t xml:space="preserve">, </w:t>
      </w:r>
      <w:r w:rsidRPr="001071BD">
        <w:rPr>
          <w:b/>
          <w:bCs/>
          <w:sz w:val="24"/>
          <w:szCs w:val="24"/>
        </w:rPr>
        <w:t>people who need peopl</w:t>
      </w:r>
      <w:r>
        <w:rPr>
          <w:b/>
          <w:bCs/>
          <w:sz w:val="24"/>
          <w:szCs w:val="24"/>
        </w:rPr>
        <w:t>e</w:t>
      </w:r>
    </w:p>
    <w:bookmarkEnd w:id="10"/>
    <w:p w14:paraId="2A92B6CF" w14:textId="0D78C125" w:rsidR="00B16DAA" w:rsidRDefault="00B16DAA" w:rsidP="00FC5385">
      <w:pPr>
        <w:spacing w:line="360" w:lineRule="auto"/>
        <w:rPr>
          <w:sz w:val="24"/>
          <w:szCs w:val="24"/>
        </w:rPr>
      </w:pPr>
      <w:r w:rsidRPr="003D0443">
        <w:rPr>
          <w:sz w:val="24"/>
          <w:szCs w:val="24"/>
        </w:rPr>
        <w:t xml:space="preserve">A strong feature of </w:t>
      </w:r>
      <w:r>
        <w:rPr>
          <w:sz w:val="24"/>
          <w:szCs w:val="24"/>
        </w:rPr>
        <w:t>the</w:t>
      </w:r>
      <w:r w:rsidRPr="003D0443">
        <w:rPr>
          <w:sz w:val="24"/>
          <w:szCs w:val="24"/>
        </w:rPr>
        <w:t xml:space="preserve"> </w:t>
      </w:r>
      <w:r>
        <w:rPr>
          <w:sz w:val="24"/>
          <w:szCs w:val="24"/>
        </w:rPr>
        <w:t xml:space="preserve">learning support group </w:t>
      </w:r>
      <w:r w:rsidRPr="003D0443">
        <w:rPr>
          <w:sz w:val="24"/>
          <w:szCs w:val="24"/>
        </w:rPr>
        <w:t>was</w:t>
      </w:r>
      <w:r>
        <w:rPr>
          <w:sz w:val="24"/>
          <w:szCs w:val="24"/>
        </w:rPr>
        <w:t xml:space="preserve"> an implicit “</w:t>
      </w:r>
      <w:r w:rsidRPr="003D0443">
        <w:rPr>
          <w:sz w:val="24"/>
          <w:szCs w:val="24"/>
        </w:rPr>
        <w:t>capacity for concern” (Winnicott, 196</w:t>
      </w:r>
      <w:r w:rsidR="00337137">
        <w:rPr>
          <w:sz w:val="24"/>
          <w:szCs w:val="24"/>
        </w:rPr>
        <w:t>3</w:t>
      </w:r>
      <w:r w:rsidRPr="003D0443">
        <w:rPr>
          <w:sz w:val="24"/>
          <w:szCs w:val="24"/>
        </w:rPr>
        <w:t>, p.7</w:t>
      </w:r>
      <w:r w:rsidR="004A0197">
        <w:rPr>
          <w:sz w:val="24"/>
          <w:szCs w:val="24"/>
        </w:rPr>
        <w:t>4</w:t>
      </w:r>
      <w:r w:rsidRPr="003D0443">
        <w:rPr>
          <w:sz w:val="24"/>
          <w:szCs w:val="24"/>
        </w:rPr>
        <w:t>) for each other’s welfare</w:t>
      </w:r>
      <w:r>
        <w:rPr>
          <w:sz w:val="24"/>
          <w:szCs w:val="24"/>
        </w:rPr>
        <w:t>. The group was about people, and our philosophy was rooted in care.</w:t>
      </w:r>
      <w:r w:rsidRPr="00F032E0">
        <w:rPr>
          <w:sz w:val="24"/>
          <w:szCs w:val="24"/>
        </w:rPr>
        <w:t xml:space="preserve"> </w:t>
      </w:r>
      <w:r>
        <w:rPr>
          <w:sz w:val="24"/>
          <w:szCs w:val="24"/>
        </w:rPr>
        <w:t>According to Anderson (2007) philosophy involves continual analysis, enquiry and reflection with both the self and others: “</w:t>
      </w:r>
      <w:r w:rsidRPr="00813A5A">
        <w:rPr>
          <w:sz w:val="24"/>
          <w:szCs w:val="24"/>
        </w:rPr>
        <w:t>It is not about finding truth, scientific or otherwise, nor is it about objects or things: it is about people</w:t>
      </w:r>
      <w:r>
        <w:rPr>
          <w:sz w:val="24"/>
          <w:szCs w:val="24"/>
        </w:rPr>
        <w:t>” (p.44)</w:t>
      </w:r>
      <w:r w:rsidRPr="00813A5A">
        <w:rPr>
          <w:sz w:val="24"/>
          <w:szCs w:val="24"/>
        </w:rPr>
        <w:t xml:space="preserve">. </w:t>
      </w:r>
      <w:r>
        <w:rPr>
          <w:sz w:val="24"/>
          <w:szCs w:val="24"/>
        </w:rPr>
        <w:t xml:space="preserve">The group was deeply relational, caring and sensitive and provided a </w:t>
      </w:r>
      <w:r w:rsidRPr="00F032E0">
        <w:rPr>
          <w:sz w:val="24"/>
          <w:szCs w:val="24"/>
        </w:rPr>
        <w:t>secure base (Bowlby, 1988) during the self-actualisation process</w:t>
      </w:r>
      <w:r>
        <w:rPr>
          <w:sz w:val="24"/>
          <w:szCs w:val="24"/>
        </w:rPr>
        <w:t xml:space="preserve">. Support came from an open acknowledgement of our experiences which served to process and counteract obstacles encountered on our individuation journeys </w:t>
      </w:r>
      <w:r w:rsidR="00606844">
        <w:rPr>
          <w:sz w:val="24"/>
          <w:szCs w:val="24"/>
        </w:rPr>
        <w:t xml:space="preserve">and </w:t>
      </w:r>
      <w:r>
        <w:rPr>
          <w:sz w:val="24"/>
          <w:szCs w:val="24"/>
        </w:rPr>
        <w:t xml:space="preserve">enabled each member to move towards integration. Reflections with a </w:t>
      </w:r>
      <w:r w:rsidRPr="003D0443">
        <w:rPr>
          <w:sz w:val="24"/>
          <w:szCs w:val="24"/>
        </w:rPr>
        <w:t xml:space="preserve">teacher at the University of Sheffield </w:t>
      </w:r>
      <w:r>
        <w:rPr>
          <w:sz w:val="24"/>
          <w:szCs w:val="24"/>
        </w:rPr>
        <w:t>curious about</w:t>
      </w:r>
      <w:r w:rsidRPr="003D0443">
        <w:rPr>
          <w:sz w:val="24"/>
          <w:szCs w:val="24"/>
        </w:rPr>
        <w:t xml:space="preserve"> the features of this group</w:t>
      </w:r>
      <w:r>
        <w:rPr>
          <w:sz w:val="24"/>
          <w:szCs w:val="24"/>
        </w:rPr>
        <w:t xml:space="preserve"> </w:t>
      </w:r>
      <w:r w:rsidRPr="00207A52">
        <w:rPr>
          <w:sz w:val="24"/>
          <w:szCs w:val="24"/>
        </w:rPr>
        <w:t>(Schultz, 2021)</w:t>
      </w:r>
      <w:r w:rsidRPr="003D0443">
        <w:rPr>
          <w:sz w:val="24"/>
          <w:szCs w:val="24"/>
        </w:rPr>
        <w:t xml:space="preserve"> </w:t>
      </w:r>
      <w:r>
        <w:rPr>
          <w:sz w:val="24"/>
          <w:szCs w:val="24"/>
        </w:rPr>
        <w:t>left me considering its nature. The group was</w:t>
      </w:r>
      <w:r w:rsidRPr="003D0443">
        <w:rPr>
          <w:sz w:val="24"/>
          <w:szCs w:val="24"/>
        </w:rPr>
        <w:t xml:space="preserve"> deeply reflective, </w:t>
      </w:r>
      <w:r>
        <w:rPr>
          <w:sz w:val="24"/>
          <w:szCs w:val="24"/>
        </w:rPr>
        <w:t>relational,</w:t>
      </w:r>
      <w:r w:rsidRPr="003D0443">
        <w:rPr>
          <w:sz w:val="24"/>
          <w:szCs w:val="24"/>
        </w:rPr>
        <w:t xml:space="preserve"> </w:t>
      </w:r>
      <w:r>
        <w:rPr>
          <w:sz w:val="24"/>
          <w:szCs w:val="24"/>
        </w:rPr>
        <w:t xml:space="preserve">and </w:t>
      </w:r>
      <w:r w:rsidRPr="003D0443">
        <w:rPr>
          <w:sz w:val="24"/>
          <w:szCs w:val="24"/>
        </w:rPr>
        <w:t xml:space="preserve">“held” each </w:t>
      </w:r>
      <w:r>
        <w:rPr>
          <w:sz w:val="24"/>
          <w:szCs w:val="24"/>
        </w:rPr>
        <w:t xml:space="preserve">member. We were </w:t>
      </w:r>
      <w:r w:rsidRPr="003D0443">
        <w:rPr>
          <w:sz w:val="24"/>
          <w:szCs w:val="24"/>
        </w:rPr>
        <w:t>willing to listen to each other’s stories and embodied</w:t>
      </w:r>
      <w:r>
        <w:rPr>
          <w:sz w:val="24"/>
          <w:szCs w:val="24"/>
        </w:rPr>
        <w:t xml:space="preserve"> </w:t>
      </w:r>
      <w:r w:rsidRPr="003D0443">
        <w:rPr>
          <w:sz w:val="24"/>
          <w:szCs w:val="24"/>
        </w:rPr>
        <w:t>a</w:t>
      </w:r>
      <w:r>
        <w:rPr>
          <w:sz w:val="24"/>
          <w:szCs w:val="24"/>
        </w:rPr>
        <w:t>n</w:t>
      </w:r>
      <w:r w:rsidRPr="003D0443">
        <w:rPr>
          <w:sz w:val="24"/>
          <w:szCs w:val="24"/>
        </w:rPr>
        <w:t xml:space="preserve"> ethic of care </w:t>
      </w:r>
      <w:r>
        <w:rPr>
          <w:sz w:val="24"/>
          <w:szCs w:val="24"/>
        </w:rPr>
        <w:t xml:space="preserve">(Noddings, 2002) </w:t>
      </w:r>
      <w:r w:rsidRPr="003D0443">
        <w:rPr>
          <w:sz w:val="24"/>
          <w:szCs w:val="24"/>
        </w:rPr>
        <w:t>for each other and our teaching praxis</w:t>
      </w:r>
      <w:r>
        <w:rPr>
          <w:sz w:val="24"/>
          <w:szCs w:val="24"/>
        </w:rPr>
        <w:t xml:space="preserve">. </w:t>
      </w:r>
    </w:p>
    <w:p w14:paraId="62355C0C" w14:textId="1182C999" w:rsidR="00A35354" w:rsidRPr="00862364" w:rsidRDefault="00B16DAA" w:rsidP="00FC5385">
      <w:pPr>
        <w:spacing w:line="360" w:lineRule="auto"/>
        <w:rPr>
          <w:sz w:val="24"/>
          <w:szCs w:val="24"/>
        </w:rPr>
      </w:pPr>
      <w:r>
        <w:rPr>
          <w:sz w:val="24"/>
          <w:szCs w:val="24"/>
        </w:rPr>
        <w:t xml:space="preserve">The trust engendered by the group members and their willingness to share and “bestow boons” (Campbell, 1949, p.23) of their learning to benefit all members was nothing short of heroic. Mayes (2007) considers teachers heroic, and I believe the heroism of teachers can only </w:t>
      </w:r>
      <w:r w:rsidR="0058231E">
        <w:rPr>
          <w:sz w:val="24"/>
          <w:szCs w:val="24"/>
        </w:rPr>
        <w:t xml:space="preserve">fully </w:t>
      </w:r>
      <w:r>
        <w:rPr>
          <w:sz w:val="24"/>
          <w:szCs w:val="24"/>
        </w:rPr>
        <w:t>come to the fore when the environment is trustworthy, a</w:t>
      </w:r>
      <w:r w:rsidR="003D7D0A">
        <w:rPr>
          <w:sz w:val="24"/>
          <w:szCs w:val="24"/>
        </w:rPr>
        <w:t>uthentic</w:t>
      </w:r>
      <w:r>
        <w:rPr>
          <w:sz w:val="24"/>
          <w:szCs w:val="24"/>
        </w:rPr>
        <w:t xml:space="preserve"> and caring. Furthermore, where genuine care and a capacity for concern </w:t>
      </w:r>
      <w:r w:rsidR="00747D3B">
        <w:rPr>
          <w:sz w:val="24"/>
          <w:szCs w:val="24"/>
        </w:rPr>
        <w:t xml:space="preserve">(Winnicott, 1963) </w:t>
      </w:r>
      <w:r>
        <w:rPr>
          <w:sz w:val="24"/>
          <w:szCs w:val="24"/>
        </w:rPr>
        <w:t>are present, power struggles and politics have no anchoring point. R</w:t>
      </w:r>
      <w:r w:rsidRPr="003D0443">
        <w:rPr>
          <w:sz w:val="24"/>
          <w:szCs w:val="24"/>
        </w:rPr>
        <w:t>eflections led me to consider that</w:t>
      </w:r>
      <w:r>
        <w:rPr>
          <w:sz w:val="24"/>
          <w:szCs w:val="24"/>
        </w:rPr>
        <w:t>,</w:t>
      </w:r>
      <w:r w:rsidRPr="003D0443">
        <w:rPr>
          <w:sz w:val="24"/>
          <w:szCs w:val="24"/>
        </w:rPr>
        <w:t xml:space="preserve"> with differing ethnicities</w:t>
      </w:r>
      <w:r w:rsidR="00B86EA0">
        <w:rPr>
          <w:sz w:val="24"/>
          <w:szCs w:val="24"/>
        </w:rPr>
        <w:t xml:space="preserve"> </w:t>
      </w:r>
      <w:r w:rsidRPr="003D0443">
        <w:rPr>
          <w:sz w:val="24"/>
          <w:szCs w:val="24"/>
        </w:rPr>
        <w:t xml:space="preserve">and being in different departments, personal </w:t>
      </w:r>
      <w:r>
        <w:rPr>
          <w:sz w:val="24"/>
          <w:szCs w:val="24"/>
        </w:rPr>
        <w:t>and</w:t>
      </w:r>
      <w:r w:rsidR="00862364">
        <w:rPr>
          <w:sz w:val="24"/>
          <w:szCs w:val="24"/>
        </w:rPr>
        <w:t xml:space="preserve"> </w:t>
      </w:r>
      <w:r w:rsidRPr="003D0443">
        <w:rPr>
          <w:sz w:val="24"/>
          <w:szCs w:val="24"/>
        </w:rPr>
        <w:t>professional conflicts</w:t>
      </w:r>
      <w:r>
        <w:rPr>
          <w:sz w:val="24"/>
          <w:szCs w:val="24"/>
        </w:rPr>
        <w:t xml:space="preserve"> </w:t>
      </w:r>
      <w:r w:rsidRPr="003D0443">
        <w:rPr>
          <w:sz w:val="24"/>
          <w:szCs w:val="24"/>
        </w:rPr>
        <w:t xml:space="preserve">of interest </w:t>
      </w:r>
      <w:r>
        <w:rPr>
          <w:sz w:val="24"/>
          <w:szCs w:val="24"/>
        </w:rPr>
        <w:t xml:space="preserve">were minimised which </w:t>
      </w:r>
      <w:r w:rsidRPr="003D0443">
        <w:rPr>
          <w:sz w:val="24"/>
          <w:szCs w:val="24"/>
        </w:rPr>
        <w:t xml:space="preserve">contributed to the development of a culture of </w:t>
      </w:r>
      <w:r>
        <w:rPr>
          <w:sz w:val="24"/>
          <w:szCs w:val="24"/>
        </w:rPr>
        <w:t xml:space="preserve">inclusivity and acceptance. It was from this holding culture that </w:t>
      </w:r>
      <w:r w:rsidRPr="003D0443">
        <w:rPr>
          <w:sz w:val="24"/>
          <w:szCs w:val="24"/>
        </w:rPr>
        <w:t xml:space="preserve">the stirrings of an impending research pathway began to </w:t>
      </w:r>
      <w:r>
        <w:rPr>
          <w:sz w:val="24"/>
          <w:szCs w:val="24"/>
        </w:rPr>
        <w:t>emerge</w:t>
      </w:r>
      <w:r w:rsidRPr="003D0443">
        <w:rPr>
          <w:sz w:val="24"/>
          <w:szCs w:val="24"/>
        </w:rPr>
        <w:t xml:space="preserve">. </w:t>
      </w:r>
      <w:bookmarkStart w:id="11" w:name="_Hlk123386931"/>
    </w:p>
    <w:p w14:paraId="0093C941" w14:textId="7D813E06" w:rsidR="00B16DAA" w:rsidRPr="00687859" w:rsidRDefault="00B16DAA" w:rsidP="00FC5385">
      <w:pPr>
        <w:spacing w:line="360" w:lineRule="auto"/>
        <w:rPr>
          <w:b/>
          <w:bCs/>
          <w:sz w:val="24"/>
          <w:szCs w:val="24"/>
        </w:rPr>
      </w:pPr>
      <w:r w:rsidRPr="00687859">
        <w:rPr>
          <w:b/>
          <w:bCs/>
          <w:sz w:val="24"/>
          <w:szCs w:val="24"/>
        </w:rPr>
        <w:t>The awakening of the research trajectory</w:t>
      </w:r>
    </w:p>
    <w:p w14:paraId="409C756A" w14:textId="752AFA16" w:rsidR="00B16DAA" w:rsidRPr="003D0443" w:rsidRDefault="00B16DAA" w:rsidP="00FC5385">
      <w:pPr>
        <w:spacing w:line="360" w:lineRule="auto"/>
        <w:rPr>
          <w:sz w:val="24"/>
          <w:szCs w:val="24"/>
        </w:rPr>
      </w:pPr>
      <w:r w:rsidRPr="003D0443">
        <w:rPr>
          <w:sz w:val="24"/>
          <w:szCs w:val="24"/>
        </w:rPr>
        <w:t xml:space="preserve">My interest </w:t>
      </w:r>
      <w:r>
        <w:rPr>
          <w:sz w:val="24"/>
          <w:szCs w:val="24"/>
        </w:rPr>
        <w:t xml:space="preserve">in </w:t>
      </w:r>
      <w:r w:rsidRPr="003D0443">
        <w:rPr>
          <w:sz w:val="24"/>
          <w:szCs w:val="24"/>
        </w:rPr>
        <w:t xml:space="preserve">conducting research arose </w:t>
      </w:r>
      <w:r>
        <w:rPr>
          <w:sz w:val="24"/>
          <w:szCs w:val="24"/>
        </w:rPr>
        <w:t xml:space="preserve">from </w:t>
      </w:r>
      <w:r w:rsidRPr="003D0443">
        <w:rPr>
          <w:sz w:val="24"/>
          <w:szCs w:val="24"/>
        </w:rPr>
        <w:t>exposure to</w:t>
      </w:r>
      <w:r>
        <w:rPr>
          <w:sz w:val="24"/>
          <w:szCs w:val="24"/>
        </w:rPr>
        <w:t xml:space="preserve"> a </w:t>
      </w:r>
      <w:r w:rsidRPr="001C6970">
        <w:rPr>
          <w:sz w:val="24"/>
          <w:szCs w:val="24"/>
        </w:rPr>
        <w:t>university administration</w:t>
      </w:r>
      <w:r>
        <w:rPr>
          <w:sz w:val="24"/>
          <w:szCs w:val="24"/>
        </w:rPr>
        <w:t xml:space="preserve"> resistant to </w:t>
      </w:r>
      <w:r w:rsidRPr="001C6970">
        <w:rPr>
          <w:sz w:val="24"/>
          <w:szCs w:val="24"/>
        </w:rPr>
        <w:t>change</w:t>
      </w:r>
      <w:r>
        <w:rPr>
          <w:sz w:val="24"/>
          <w:szCs w:val="24"/>
        </w:rPr>
        <w:t xml:space="preserve"> which I liken to a fixed caste system</w:t>
      </w:r>
      <w:r w:rsidR="00DC5D18">
        <w:rPr>
          <w:sz w:val="24"/>
          <w:szCs w:val="24"/>
        </w:rPr>
        <w:t>:</w:t>
      </w:r>
      <w:r w:rsidR="004A667E">
        <w:rPr>
          <w:sz w:val="24"/>
          <w:szCs w:val="24"/>
        </w:rPr>
        <w:t xml:space="preserve"> </w:t>
      </w:r>
      <w:r>
        <w:rPr>
          <w:sz w:val="24"/>
          <w:szCs w:val="24"/>
        </w:rPr>
        <w:t xml:space="preserve">“The hierarchy of caste is not about feelings or morality”, writes Wilkerson (2020), “it is about power- which groups have it, and which do not” (p.17). Whilst processing these power dynamics with my </w:t>
      </w:r>
      <w:r w:rsidR="0005686D">
        <w:rPr>
          <w:sz w:val="24"/>
          <w:szCs w:val="24"/>
        </w:rPr>
        <w:t xml:space="preserve">psychotherapy teaching </w:t>
      </w:r>
      <w:r>
        <w:rPr>
          <w:sz w:val="24"/>
          <w:szCs w:val="24"/>
        </w:rPr>
        <w:t>supervisor,</w:t>
      </w:r>
      <w:r w:rsidRPr="003D0443">
        <w:rPr>
          <w:sz w:val="24"/>
          <w:szCs w:val="24"/>
        </w:rPr>
        <w:t xml:space="preserve"> he commented that I tended to help others find their gold</w:t>
      </w:r>
      <w:r>
        <w:rPr>
          <w:sz w:val="24"/>
          <w:szCs w:val="24"/>
        </w:rPr>
        <w:t xml:space="preserve">, and posed </w:t>
      </w:r>
      <w:r>
        <w:rPr>
          <w:sz w:val="24"/>
          <w:szCs w:val="24"/>
        </w:rPr>
        <w:lastRenderedPageBreak/>
        <w:t xml:space="preserve">the question: </w:t>
      </w:r>
      <w:r w:rsidRPr="003D0443">
        <w:rPr>
          <w:sz w:val="24"/>
          <w:szCs w:val="24"/>
        </w:rPr>
        <w:t>“When are you going to find your own gold?” (</w:t>
      </w:r>
      <w:r>
        <w:rPr>
          <w:sz w:val="24"/>
          <w:szCs w:val="24"/>
        </w:rPr>
        <w:t>Schultz</w:t>
      </w:r>
      <w:r w:rsidRPr="003D0443">
        <w:rPr>
          <w:sz w:val="24"/>
          <w:szCs w:val="24"/>
        </w:rPr>
        <w:t>, 2020)</w:t>
      </w:r>
      <w:r>
        <w:rPr>
          <w:sz w:val="24"/>
          <w:szCs w:val="24"/>
        </w:rPr>
        <w:t xml:space="preserve">. This comment </w:t>
      </w:r>
      <w:r w:rsidRPr="003D0443">
        <w:rPr>
          <w:sz w:val="24"/>
          <w:szCs w:val="24"/>
        </w:rPr>
        <w:t xml:space="preserve">sparked </w:t>
      </w:r>
      <w:r>
        <w:rPr>
          <w:sz w:val="24"/>
          <w:szCs w:val="24"/>
        </w:rPr>
        <w:t xml:space="preserve">a </w:t>
      </w:r>
      <w:r w:rsidRPr="003D0443">
        <w:rPr>
          <w:sz w:val="24"/>
          <w:szCs w:val="24"/>
        </w:rPr>
        <w:t>quest to find my own gold</w:t>
      </w:r>
      <w:r>
        <w:rPr>
          <w:sz w:val="24"/>
          <w:szCs w:val="24"/>
        </w:rPr>
        <w:t xml:space="preserve">. Some three weeks later I applied to be an EdD student at the University of Sheffield to </w:t>
      </w:r>
      <w:r w:rsidRPr="003D0443">
        <w:rPr>
          <w:sz w:val="24"/>
          <w:szCs w:val="24"/>
        </w:rPr>
        <w:t>research</w:t>
      </w:r>
      <w:r>
        <w:rPr>
          <w:sz w:val="24"/>
          <w:szCs w:val="24"/>
        </w:rPr>
        <w:t xml:space="preserve"> teacher support in HE as a line of enquiry.</w:t>
      </w:r>
      <w:r w:rsidRPr="003D0443">
        <w:rPr>
          <w:sz w:val="24"/>
          <w:szCs w:val="24"/>
        </w:rPr>
        <w:t xml:space="preserve"> </w:t>
      </w:r>
    </w:p>
    <w:p w14:paraId="4D514331" w14:textId="08A75427" w:rsidR="00B16DAA" w:rsidRPr="003D0443" w:rsidRDefault="00B16DAA" w:rsidP="00FC5385">
      <w:pPr>
        <w:spacing w:line="360" w:lineRule="auto"/>
        <w:rPr>
          <w:sz w:val="24"/>
          <w:szCs w:val="24"/>
        </w:rPr>
      </w:pPr>
      <w:r>
        <w:rPr>
          <w:sz w:val="24"/>
          <w:szCs w:val="24"/>
        </w:rPr>
        <w:t>D</w:t>
      </w:r>
      <w:r w:rsidRPr="003D0443">
        <w:rPr>
          <w:sz w:val="24"/>
          <w:szCs w:val="24"/>
        </w:rPr>
        <w:t xml:space="preserve">uring </w:t>
      </w:r>
      <w:r>
        <w:rPr>
          <w:sz w:val="24"/>
          <w:szCs w:val="24"/>
        </w:rPr>
        <w:t>the</w:t>
      </w:r>
      <w:r w:rsidRPr="003D0443">
        <w:rPr>
          <w:sz w:val="24"/>
          <w:szCs w:val="24"/>
        </w:rPr>
        <w:t xml:space="preserve"> EdD journey I encountered critical scholars such as </w:t>
      </w:r>
      <w:r>
        <w:rPr>
          <w:sz w:val="24"/>
          <w:szCs w:val="24"/>
        </w:rPr>
        <w:t xml:space="preserve">Horkheimer (1875-1973), Adorno (1903-1969, Habermas (1929-1923) and Fromm (1900-1980), </w:t>
      </w:r>
      <w:r w:rsidRPr="003D0443">
        <w:rPr>
          <w:sz w:val="24"/>
          <w:szCs w:val="24"/>
        </w:rPr>
        <w:t xml:space="preserve">members of the Frankfurt School, </w:t>
      </w:r>
      <w:r>
        <w:rPr>
          <w:sz w:val="24"/>
          <w:szCs w:val="24"/>
        </w:rPr>
        <w:t xml:space="preserve">and further activist scholars such </w:t>
      </w:r>
      <w:r w:rsidRPr="003D0443">
        <w:rPr>
          <w:sz w:val="24"/>
          <w:szCs w:val="24"/>
        </w:rPr>
        <w:t>Freire (19</w:t>
      </w:r>
      <w:r w:rsidR="00FB1A61">
        <w:rPr>
          <w:sz w:val="24"/>
          <w:szCs w:val="24"/>
        </w:rPr>
        <w:t>21-</w:t>
      </w:r>
      <w:r w:rsidR="004359CA">
        <w:rPr>
          <w:sz w:val="24"/>
          <w:szCs w:val="24"/>
        </w:rPr>
        <w:t>1997</w:t>
      </w:r>
      <w:r w:rsidRPr="003D0443">
        <w:rPr>
          <w:sz w:val="24"/>
          <w:szCs w:val="24"/>
        </w:rPr>
        <w:t>), hooks (19</w:t>
      </w:r>
      <w:r w:rsidR="00FD19FC">
        <w:rPr>
          <w:sz w:val="24"/>
          <w:szCs w:val="24"/>
        </w:rPr>
        <w:t>52-2021</w:t>
      </w:r>
      <w:r w:rsidRPr="003D0443">
        <w:rPr>
          <w:sz w:val="24"/>
          <w:szCs w:val="24"/>
        </w:rPr>
        <w:t xml:space="preserve">) and Samuels (1993) who were forging new pathways amid power inequities. </w:t>
      </w:r>
      <w:r>
        <w:rPr>
          <w:sz w:val="24"/>
          <w:szCs w:val="24"/>
        </w:rPr>
        <w:t>Mirroring</w:t>
      </w:r>
      <w:r w:rsidRPr="003D0443">
        <w:rPr>
          <w:sz w:val="24"/>
          <w:szCs w:val="24"/>
        </w:rPr>
        <w:t xml:space="preserve"> my epistemological beliefs of equity and inclusivity, these </w:t>
      </w:r>
      <w:r>
        <w:rPr>
          <w:sz w:val="24"/>
          <w:szCs w:val="24"/>
        </w:rPr>
        <w:t xml:space="preserve">menaces to conformity (May, 1975) encountered </w:t>
      </w:r>
      <w:r w:rsidRPr="003D0443">
        <w:rPr>
          <w:sz w:val="24"/>
          <w:szCs w:val="24"/>
        </w:rPr>
        <w:t xml:space="preserve">attempts to silence their narrative of transformation.  </w:t>
      </w:r>
      <w:r>
        <w:rPr>
          <w:sz w:val="24"/>
          <w:szCs w:val="24"/>
        </w:rPr>
        <w:t xml:space="preserve">Reflecting on these agents of change </w:t>
      </w:r>
      <w:r w:rsidRPr="003D0443">
        <w:rPr>
          <w:sz w:val="24"/>
          <w:szCs w:val="24"/>
        </w:rPr>
        <w:t xml:space="preserve">made </w:t>
      </w:r>
      <w:r>
        <w:rPr>
          <w:sz w:val="24"/>
          <w:szCs w:val="24"/>
        </w:rPr>
        <w:t xml:space="preserve">me </w:t>
      </w:r>
      <w:r w:rsidRPr="003D0443">
        <w:rPr>
          <w:sz w:val="24"/>
          <w:szCs w:val="24"/>
        </w:rPr>
        <w:t xml:space="preserve">more aware of my psychosocial responsibility as a teacher. </w:t>
      </w:r>
      <w:r>
        <w:rPr>
          <w:sz w:val="24"/>
          <w:szCs w:val="24"/>
        </w:rPr>
        <w:t xml:space="preserve">My recent lived experience of the lack of preparation for the emotional </w:t>
      </w:r>
      <w:r w:rsidR="00980268">
        <w:rPr>
          <w:sz w:val="24"/>
          <w:szCs w:val="24"/>
        </w:rPr>
        <w:t xml:space="preserve">and political </w:t>
      </w:r>
      <w:r>
        <w:rPr>
          <w:sz w:val="24"/>
          <w:szCs w:val="24"/>
        </w:rPr>
        <w:t xml:space="preserve">realms of </w:t>
      </w:r>
      <w:r w:rsidR="009269EC">
        <w:rPr>
          <w:sz w:val="24"/>
          <w:szCs w:val="24"/>
        </w:rPr>
        <w:t xml:space="preserve">teaching and </w:t>
      </w:r>
      <w:r>
        <w:rPr>
          <w:sz w:val="24"/>
          <w:szCs w:val="24"/>
        </w:rPr>
        <w:t xml:space="preserve">learning </w:t>
      </w:r>
      <w:r w:rsidRPr="003D0443">
        <w:rPr>
          <w:sz w:val="24"/>
          <w:szCs w:val="24"/>
        </w:rPr>
        <w:t>alerted me to</w:t>
      </w:r>
      <w:r>
        <w:rPr>
          <w:sz w:val="24"/>
          <w:szCs w:val="24"/>
        </w:rPr>
        <w:t xml:space="preserve"> a search for </w:t>
      </w:r>
      <w:r w:rsidRPr="003D0443">
        <w:rPr>
          <w:sz w:val="24"/>
          <w:szCs w:val="24"/>
        </w:rPr>
        <w:t>teachers</w:t>
      </w:r>
      <w:r>
        <w:rPr>
          <w:sz w:val="24"/>
          <w:szCs w:val="24"/>
        </w:rPr>
        <w:t>’ well-being</w:t>
      </w:r>
      <w:r w:rsidRPr="003D0443">
        <w:rPr>
          <w:sz w:val="24"/>
          <w:szCs w:val="24"/>
        </w:rPr>
        <w:t xml:space="preserve"> in the literature and scholarship</w:t>
      </w:r>
      <w:bookmarkStart w:id="12" w:name="_Hlk123993072"/>
      <w:r>
        <w:rPr>
          <w:sz w:val="24"/>
          <w:szCs w:val="24"/>
        </w:rPr>
        <w:t xml:space="preserve">. This </w:t>
      </w:r>
      <w:r w:rsidRPr="00D57D3D">
        <w:rPr>
          <w:sz w:val="24"/>
          <w:szCs w:val="24"/>
        </w:rPr>
        <w:t xml:space="preserve">search </w:t>
      </w:r>
      <w:r>
        <w:rPr>
          <w:sz w:val="24"/>
          <w:szCs w:val="24"/>
        </w:rPr>
        <w:t xml:space="preserve">unearthed </w:t>
      </w:r>
      <w:r w:rsidRPr="00D57D3D">
        <w:rPr>
          <w:sz w:val="24"/>
          <w:szCs w:val="24"/>
        </w:rPr>
        <w:t>the lack of a mediating mechanism</w:t>
      </w:r>
      <w:r>
        <w:rPr>
          <w:sz w:val="24"/>
          <w:szCs w:val="24"/>
        </w:rPr>
        <w:t xml:space="preserve"> </w:t>
      </w:r>
      <w:r w:rsidRPr="00D57D3D">
        <w:rPr>
          <w:sz w:val="24"/>
          <w:szCs w:val="24"/>
        </w:rPr>
        <w:t>to mitigate encounters and dangers in learning</w:t>
      </w:r>
      <w:r>
        <w:rPr>
          <w:sz w:val="24"/>
          <w:szCs w:val="24"/>
        </w:rPr>
        <w:t xml:space="preserve"> and teaching</w:t>
      </w:r>
      <w:r w:rsidRPr="00D57D3D">
        <w:rPr>
          <w:sz w:val="24"/>
          <w:szCs w:val="24"/>
        </w:rPr>
        <w:t xml:space="preserve"> in a HE system.</w:t>
      </w:r>
      <w:r>
        <w:rPr>
          <w:sz w:val="24"/>
          <w:szCs w:val="24"/>
        </w:rPr>
        <w:t xml:space="preserve"> The search also highlighted the potentially mediating function and role of reflective practice. </w:t>
      </w:r>
    </w:p>
    <w:bookmarkEnd w:id="12"/>
    <w:p w14:paraId="418B9261" w14:textId="6826FBAE" w:rsidR="00B16DAA" w:rsidRPr="00794DAB" w:rsidRDefault="00B16DAA" w:rsidP="00FC5385">
      <w:pPr>
        <w:spacing w:line="360" w:lineRule="auto"/>
        <w:rPr>
          <w:sz w:val="24"/>
          <w:szCs w:val="24"/>
        </w:rPr>
      </w:pPr>
      <w:r>
        <w:rPr>
          <w:sz w:val="24"/>
          <w:szCs w:val="24"/>
        </w:rPr>
        <w:t xml:space="preserve">Reflections led me to consider </w:t>
      </w:r>
      <w:r w:rsidRPr="003D0443">
        <w:rPr>
          <w:sz w:val="24"/>
          <w:szCs w:val="24"/>
        </w:rPr>
        <w:t>direct correlations between my latter experiences as a teacher</w:t>
      </w:r>
      <w:r>
        <w:rPr>
          <w:sz w:val="24"/>
          <w:szCs w:val="24"/>
        </w:rPr>
        <w:t xml:space="preserve"> and</w:t>
      </w:r>
      <w:r w:rsidRPr="003D0443">
        <w:rPr>
          <w:sz w:val="24"/>
          <w:szCs w:val="24"/>
        </w:rPr>
        <w:t xml:space="preserve"> student, and </w:t>
      </w:r>
      <w:r>
        <w:rPr>
          <w:sz w:val="24"/>
          <w:szCs w:val="24"/>
        </w:rPr>
        <w:t xml:space="preserve">my positionality as </w:t>
      </w:r>
      <w:r w:rsidRPr="003D0443">
        <w:rPr>
          <w:sz w:val="24"/>
          <w:szCs w:val="24"/>
        </w:rPr>
        <w:t>a psychotherapist</w:t>
      </w:r>
      <w:r>
        <w:rPr>
          <w:sz w:val="24"/>
          <w:szCs w:val="24"/>
        </w:rPr>
        <w:t xml:space="preserve">. Professionally I am well versed in reflecting and </w:t>
      </w:r>
      <w:r w:rsidRPr="003D0443">
        <w:rPr>
          <w:sz w:val="24"/>
          <w:szCs w:val="24"/>
        </w:rPr>
        <w:t>garner</w:t>
      </w:r>
      <w:r>
        <w:rPr>
          <w:sz w:val="24"/>
          <w:szCs w:val="24"/>
        </w:rPr>
        <w:t>ing</w:t>
      </w:r>
      <w:r w:rsidRPr="003D0443">
        <w:rPr>
          <w:sz w:val="24"/>
          <w:szCs w:val="24"/>
        </w:rPr>
        <w:t xml:space="preserve"> emotional support</w:t>
      </w:r>
      <w:r>
        <w:rPr>
          <w:sz w:val="24"/>
          <w:szCs w:val="24"/>
        </w:rPr>
        <w:t xml:space="preserve"> from </w:t>
      </w:r>
      <w:r w:rsidRPr="000B1CB7">
        <w:rPr>
          <w:sz w:val="24"/>
          <w:szCs w:val="24"/>
        </w:rPr>
        <w:t xml:space="preserve">emotionally aware individuals </w:t>
      </w:r>
      <w:r>
        <w:rPr>
          <w:sz w:val="24"/>
          <w:szCs w:val="24"/>
        </w:rPr>
        <w:t xml:space="preserve">to mediate any emotional challenges I </w:t>
      </w:r>
      <w:bookmarkStart w:id="13" w:name="_Hlk151567284"/>
      <w:r>
        <w:rPr>
          <w:sz w:val="24"/>
          <w:szCs w:val="24"/>
        </w:rPr>
        <w:t xml:space="preserve">experience. </w:t>
      </w:r>
      <w:r w:rsidRPr="002753D2">
        <w:rPr>
          <w:sz w:val="24"/>
          <w:szCs w:val="24"/>
        </w:rPr>
        <w:t xml:space="preserve">Another correlation is </w:t>
      </w:r>
      <w:bookmarkEnd w:id="13"/>
      <w:r w:rsidRPr="002753D2">
        <w:rPr>
          <w:sz w:val="24"/>
          <w:szCs w:val="24"/>
        </w:rPr>
        <w:t>the hero’s journey of individuation</w:t>
      </w:r>
      <w:r w:rsidRPr="005D4F08">
        <w:rPr>
          <w:color w:val="C00000"/>
          <w:sz w:val="24"/>
          <w:szCs w:val="24"/>
        </w:rPr>
        <w:t xml:space="preserve">. </w:t>
      </w:r>
      <w:r>
        <w:rPr>
          <w:sz w:val="24"/>
          <w:szCs w:val="24"/>
        </w:rPr>
        <w:t>To journey is to set off, construct, change and arrive (Beard and Wilson, 2002) and is a process that contains “</w:t>
      </w:r>
      <w:r w:rsidRPr="00262038">
        <w:rPr>
          <w:sz w:val="24"/>
          <w:szCs w:val="24"/>
        </w:rPr>
        <w:t>all the important conceptual ingredients to generate powerful experiential learning</w:t>
      </w:r>
      <w:r>
        <w:rPr>
          <w:sz w:val="24"/>
          <w:szCs w:val="24"/>
        </w:rPr>
        <w:t>” (p.7)</w:t>
      </w:r>
      <w:r w:rsidRPr="00262038">
        <w:rPr>
          <w:sz w:val="24"/>
          <w:szCs w:val="24"/>
        </w:rPr>
        <w:t>.</w:t>
      </w:r>
      <w:r>
        <w:rPr>
          <w:sz w:val="24"/>
          <w:szCs w:val="24"/>
        </w:rPr>
        <w:t xml:space="preserve"> The hero’s journey can benefit the researcher, the student of pedagogy and stakeholders to bestow well-being boons on their fellow man (Campbell, 1949). </w:t>
      </w:r>
    </w:p>
    <w:p w14:paraId="227B7C71" w14:textId="77777777" w:rsidR="00B16DAA" w:rsidRDefault="00B16DAA" w:rsidP="00FC5385">
      <w:pPr>
        <w:spacing w:line="360" w:lineRule="auto"/>
        <w:rPr>
          <w:b/>
          <w:bCs/>
          <w:sz w:val="24"/>
          <w:szCs w:val="24"/>
        </w:rPr>
      </w:pPr>
      <w:r>
        <w:rPr>
          <w:b/>
          <w:bCs/>
          <w:sz w:val="24"/>
          <w:szCs w:val="24"/>
        </w:rPr>
        <w:t>The structure of the thesis</w:t>
      </w:r>
    </w:p>
    <w:p w14:paraId="7661AF6C" w14:textId="452BF9D3" w:rsidR="00B16DAA" w:rsidRDefault="00B16DAA" w:rsidP="00FC5385">
      <w:pPr>
        <w:spacing w:line="360" w:lineRule="auto"/>
        <w:rPr>
          <w:color w:val="EE0000"/>
          <w:sz w:val="24"/>
          <w:szCs w:val="24"/>
        </w:rPr>
      </w:pPr>
      <w:r>
        <w:rPr>
          <w:sz w:val="24"/>
          <w:szCs w:val="24"/>
        </w:rPr>
        <w:t xml:space="preserve">The waystations of </w:t>
      </w:r>
      <w:r w:rsidRPr="005D66D4">
        <w:rPr>
          <w:i/>
          <w:iCs/>
          <w:sz w:val="24"/>
          <w:szCs w:val="24"/>
        </w:rPr>
        <w:t xml:space="preserve">The </w:t>
      </w:r>
      <w:r w:rsidRPr="003663A0">
        <w:rPr>
          <w:i/>
          <w:iCs/>
          <w:sz w:val="24"/>
          <w:szCs w:val="24"/>
        </w:rPr>
        <w:t>Crossing</w:t>
      </w:r>
      <w:r w:rsidRPr="003663A0">
        <w:rPr>
          <w:sz w:val="24"/>
          <w:szCs w:val="24"/>
        </w:rPr>
        <w:t xml:space="preserve">, </w:t>
      </w:r>
      <w:r w:rsidRPr="003663A0">
        <w:rPr>
          <w:i/>
          <w:iCs/>
          <w:sz w:val="24"/>
          <w:szCs w:val="24"/>
        </w:rPr>
        <w:t>The Encounter</w:t>
      </w:r>
      <w:r w:rsidRPr="003663A0">
        <w:rPr>
          <w:sz w:val="24"/>
          <w:szCs w:val="24"/>
        </w:rPr>
        <w:t xml:space="preserve">, </w:t>
      </w:r>
      <w:r w:rsidRPr="003663A0">
        <w:rPr>
          <w:i/>
          <w:iCs/>
          <w:sz w:val="24"/>
          <w:szCs w:val="24"/>
        </w:rPr>
        <w:t>The Conquest,</w:t>
      </w:r>
      <w:r w:rsidRPr="003663A0">
        <w:rPr>
          <w:sz w:val="24"/>
          <w:szCs w:val="24"/>
        </w:rPr>
        <w:t xml:space="preserve"> and </w:t>
      </w:r>
      <w:r w:rsidRPr="003663A0">
        <w:rPr>
          <w:i/>
          <w:iCs/>
          <w:sz w:val="24"/>
          <w:szCs w:val="24"/>
        </w:rPr>
        <w:t>The Celebration</w:t>
      </w:r>
      <w:r w:rsidRPr="003663A0">
        <w:rPr>
          <w:sz w:val="24"/>
          <w:szCs w:val="24"/>
        </w:rPr>
        <w:t xml:space="preserve"> (Cashdan, 1999) </w:t>
      </w:r>
      <w:r w:rsidRPr="00315AFA">
        <w:rPr>
          <w:sz w:val="24"/>
          <w:szCs w:val="24"/>
        </w:rPr>
        <w:t>headline the chapters</w:t>
      </w:r>
      <w:r>
        <w:rPr>
          <w:sz w:val="24"/>
          <w:szCs w:val="24"/>
        </w:rPr>
        <w:t xml:space="preserve">. Chapter </w:t>
      </w:r>
      <w:r w:rsidR="006A186B">
        <w:rPr>
          <w:sz w:val="24"/>
          <w:szCs w:val="24"/>
        </w:rPr>
        <w:t>Four</w:t>
      </w:r>
      <w:r>
        <w:rPr>
          <w:sz w:val="24"/>
          <w:szCs w:val="24"/>
        </w:rPr>
        <w:t xml:space="preserve">, </w:t>
      </w:r>
      <w:r w:rsidRPr="00ED66B6">
        <w:rPr>
          <w:i/>
          <w:iCs/>
          <w:sz w:val="24"/>
          <w:szCs w:val="24"/>
        </w:rPr>
        <w:t>The Magical Tool</w:t>
      </w:r>
      <w:r>
        <w:rPr>
          <w:sz w:val="24"/>
          <w:szCs w:val="24"/>
        </w:rPr>
        <w:t>, breaks from this sequence slightly by providing a description of the methodology utilised in the study. Table</w:t>
      </w:r>
      <w:r w:rsidR="00185DF5">
        <w:rPr>
          <w:sz w:val="24"/>
          <w:szCs w:val="24"/>
        </w:rPr>
        <w:t xml:space="preserve"> 2 </w:t>
      </w:r>
      <w:r>
        <w:rPr>
          <w:sz w:val="24"/>
          <w:szCs w:val="24"/>
        </w:rPr>
        <w:t xml:space="preserve">sets out the chapters and a description of their contents: </w:t>
      </w:r>
    </w:p>
    <w:p w14:paraId="1C93C12A" w14:textId="0C67BFAC" w:rsidR="00B16DAA" w:rsidRPr="00185DF5" w:rsidRDefault="00B16DAA" w:rsidP="00396933">
      <w:pPr>
        <w:ind w:left="1440" w:firstLine="720"/>
        <w:rPr>
          <w:i/>
          <w:iCs/>
          <w:sz w:val="24"/>
          <w:szCs w:val="24"/>
        </w:rPr>
      </w:pPr>
      <w:r w:rsidRPr="00185DF5">
        <w:rPr>
          <w:i/>
          <w:iCs/>
          <w:sz w:val="24"/>
          <w:szCs w:val="24"/>
        </w:rPr>
        <w:lastRenderedPageBreak/>
        <w:t xml:space="preserve">Table </w:t>
      </w:r>
      <w:r w:rsidR="009D5CD2" w:rsidRPr="00185DF5">
        <w:rPr>
          <w:i/>
          <w:iCs/>
          <w:sz w:val="24"/>
          <w:szCs w:val="24"/>
        </w:rPr>
        <w:t>2</w:t>
      </w:r>
      <w:r w:rsidRPr="00185DF5">
        <w:rPr>
          <w:i/>
          <w:iCs/>
          <w:sz w:val="24"/>
          <w:szCs w:val="24"/>
        </w:rPr>
        <w:t>: Description of chapters and content</w:t>
      </w:r>
    </w:p>
    <w:tbl>
      <w:tblPr>
        <w:tblStyle w:val="TableGrid"/>
        <w:tblW w:w="0" w:type="auto"/>
        <w:tblLook w:val="04A0" w:firstRow="1" w:lastRow="0" w:firstColumn="1" w:lastColumn="0" w:noHBand="0" w:noVBand="1"/>
      </w:tblPr>
      <w:tblGrid>
        <w:gridCol w:w="4508"/>
        <w:gridCol w:w="4508"/>
      </w:tblGrid>
      <w:tr w:rsidR="00B16DAA" w14:paraId="7BC30845" w14:textId="77777777" w:rsidTr="00D540EB">
        <w:tc>
          <w:tcPr>
            <w:tcW w:w="4508" w:type="dxa"/>
          </w:tcPr>
          <w:p w14:paraId="6B6636B5" w14:textId="77777777" w:rsidR="00B16DAA" w:rsidRPr="00D649CF" w:rsidRDefault="00B16DAA" w:rsidP="00A166E5">
            <w:pPr>
              <w:rPr>
                <w:b/>
                <w:bCs/>
                <w:sz w:val="24"/>
                <w:szCs w:val="24"/>
              </w:rPr>
            </w:pPr>
            <w:r w:rsidRPr="00D649CF">
              <w:rPr>
                <w:b/>
                <w:bCs/>
                <w:sz w:val="24"/>
                <w:szCs w:val="24"/>
              </w:rPr>
              <w:t>Chapter headings</w:t>
            </w:r>
          </w:p>
        </w:tc>
        <w:tc>
          <w:tcPr>
            <w:tcW w:w="4508" w:type="dxa"/>
          </w:tcPr>
          <w:p w14:paraId="4B4D9E69" w14:textId="77777777" w:rsidR="00B16DAA" w:rsidRPr="00D649CF" w:rsidRDefault="00B16DAA" w:rsidP="00A166E5">
            <w:pPr>
              <w:rPr>
                <w:b/>
                <w:bCs/>
                <w:sz w:val="24"/>
                <w:szCs w:val="24"/>
              </w:rPr>
            </w:pPr>
            <w:r w:rsidRPr="00D649CF">
              <w:rPr>
                <w:b/>
                <w:bCs/>
                <w:sz w:val="24"/>
                <w:szCs w:val="24"/>
              </w:rPr>
              <w:t>Content description</w:t>
            </w:r>
          </w:p>
        </w:tc>
      </w:tr>
      <w:tr w:rsidR="00B16DAA" w14:paraId="33762885" w14:textId="77777777" w:rsidTr="00D540EB">
        <w:tc>
          <w:tcPr>
            <w:tcW w:w="4508" w:type="dxa"/>
          </w:tcPr>
          <w:p w14:paraId="04212F03" w14:textId="07BF93F8" w:rsidR="00B16DAA" w:rsidRPr="00556008" w:rsidRDefault="00B16DAA" w:rsidP="00A166E5">
            <w:r w:rsidRPr="00556008">
              <w:t xml:space="preserve">Chapter </w:t>
            </w:r>
            <w:r w:rsidR="00F933C9">
              <w:t>Two</w:t>
            </w:r>
            <w:r>
              <w:t>:</w:t>
            </w:r>
            <w:r w:rsidRPr="00556008">
              <w:t xml:space="preserve"> </w:t>
            </w:r>
            <w:r w:rsidRPr="00556008">
              <w:rPr>
                <w:i/>
                <w:iCs/>
              </w:rPr>
              <w:t xml:space="preserve">The </w:t>
            </w:r>
            <w:r>
              <w:rPr>
                <w:i/>
                <w:iCs/>
              </w:rPr>
              <w:t>Crossing</w:t>
            </w:r>
          </w:p>
        </w:tc>
        <w:tc>
          <w:tcPr>
            <w:tcW w:w="4508" w:type="dxa"/>
          </w:tcPr>
          <w:p w14:paraId="081547F5" w14:textId="784F3B62" w:rsidR="00B16DAA" w:rsidRPr="00556008" w:rsidRDefault="00B16DAA" w:rsidP="00A166E5">
            <w:r w:rsidRPr="00556008">
              <w:t xml:space="preserve">This chapter explores in more detail the situated context of teaching in HE and incorporates the political history </w:t>
            </w:r>
            <w:r w:rsidR="00EB766E">
              <w:t>of HE</w:t>
            </w:r>
            <w:r w:rsidR="00173434">
              <w:t>,</w:t>
            </w:r>
            <w:r w:rsidR="00A45D78">
              <w:t xml:space="preserve"> </w:t>
            </w:r>
            <w:r w:rsidRPr="00556008">
              <w:t xml:space="preserve">and procedural changes in its function. Examining the marketisation paradigm in universities, </w:t>
            </w:r>
            <w:r w:rsidR="00A45D78">
              <w:t>this chapter</w:t>
            </w:r>
            <w:r>
              <w:t xml:space="preserve"> </w:t>
            </w:r>
            <w:r w:rsidRPr="00556008">
              <w:t xml:space="preserve">forefronts a critique of </w:t>
            </w:r>
            <w:r>
              <w:t xml:space="preserve">contemporary </w:t>
            </w:r>
            <w:r w:rsidRPr="00556008">
              <w:t>changes to the operational function of the university and how the</w:t>
            </w:r>
            <w:r>
              <w:t>se</w:t>
            </w:r>
            <w:r w:rsidRPr="00556008">
              <w:t xml:space="preserve"> impact teachers, teaching and learning. Psychosocial and emotional factors that affect</w:t>
            </w:r>
            <w:r w:rsidR="005175E3">
              <w:t>/effect</w:t>
            </w:r>
            <w:r w:rsidRPr="00556008">
              <w:t xml:space="preserve"> the student-customer and the institution are explored in detail, and how and if the university system is prepared</w:t>
            </w:r>
            <w:r>
              <w:t xml:space="preserve"> for these factors</w:t>
            </w:r>
          </w:p>
        </w:tc>
      </w:tr>
      <w:tr w:rsidR="00B16DAA" w14:paraId="2D88EA48" w14:textId="77777777" w:rsidTr="00D540EB">
        <w:tc>
          <w:tcPr>
            <w:tcW w:w="4508" w:type="dxa"/>
          </w:tcPr>
          <w:p w14:paraId="56FD37BA" w14:textId="631905A4" w:rsidR="00B16DAA" w:rsidRPr="007748CB" w:rsidRDefault="00B16DAA" w:rsidP="00A166E5">
            <w:r w:rsidRPr="007748CB">
              <w:t xml:space="preserve">Chapter </w:t>
            </w:r>
            <w:r w:rsidR="00F933C9">
              <w:t>Three</w:t>
            </w:r>
            <w:r>
              <w:t>:</w:t>
            </w:r>
            <w:r w:rsidRPr="007748CB">
              <w:t xml:space="preserve"> </w:t>
            </w:r>
            <w:r w:rsidRPr="007748CB">
              <w:rPr>
                <w:i/>
                <w:iCs/>
              </w:rPr>
              <w:t>The Encounter</w:t>
            </w:r>
          </w:p>
        </w:tc>
        <w:tc>
          <w:tcPr>
            <w:tcW w:w="4508" w:type="dxa"/>
          </w:tcPr>
          <w:p w14:paraId="4B4FCA5D" w14:textId="03B92020" w:rsidR="00B16DAA" w:rsidRPr="007748CB" w:rsidRDefault="00B16DAA" w:rsidP="007748CB">
            <w:r w:rsidRPr="007748CB">
              <w:t>This chapter provides a review of literature on emotions in teaching and learning, how and where psychoanalysis features in teaching, and the history and current positionality of reflective practice in teaching and learning to teach</w:t>
            </w:r>
            <w:r>
              <w:t>.</w:t>
            </w:r>
            <w:r w:rsidRPr="007748CB">
              <w:t xml:space="preserve"> </w:t>
            </w:r>
            <w:r>
              <w:t>A</w:t>
            </w:r>
            <w:r w:rsidRPr="007748CB">
              <w:t xml:space="preserve">ny gaps in </w:t>
            </w:r>
            <w:r>
              <w:t xml:space="preserve">the </w:t>
            </w:r>
            <w:r w:rsidRPr="007748CB">
              <w:t>scholarship</w:t>
            </w:r>
            <w:r>
              <w:t xml:space="preserve"> will be identified</w:t>
            </w:r>
            <w:r w:rsidRPr="007748CB">
              <w:t xml:space="preserve">. Towards the end of the literature review these gaps then frame a proposed conceptual framework of depth pedagogy to shine a light on teacher affect and management </w:t>
            </w:r>
          </w:p>
          <w:p w14:paraId="4F132BEC" w14:textId="77777777" w:rsidR="00B16DAA" w:rsidRPr="00456124" w:rsidRDefault="00B16DAA" w:rsidP="00A166E5"/>
        </w:tc>
      </w:tr>
      <w:tr w:rsidR="00B16DAA" w14:paraId="440BA9CD" w14:textId="77777777" w:rsidTr="00D540EB">
        <w:tc>
          <w:tcPr>
            <w:tcW w:w="4508" w:type="dxa"/>
          </w:tcPr>
          <w:p w14:paraId="7890950F" w14:textId="4C9FEFD6" w:rsidR="00B16DAA" w:rsidRPr="0068258D" w:rsidRDefault="00B16DAA" w:rsidP="00A166E5">
            <w:r w:rsidRPr="0068258D">
              <w:t xml:space="preserve">Chapter </w:t>
            </w:r>
            <w:r w:rsidR="00F933C9">
              <w:t>Four</w:t>
            </w:r>
            <w:r>
              <w:t xml:space="preserve">: </w:t>
            </w:r>
            <w:r w:rsidRPr="0068258D">
              <w:rPr>
                <w:i/>
                <w:iCs/>
              </w:rPr>
              <w:t>The Magical Tool</w:t>
            </w:r>
          </w:p>
        </w:tc>
        <w:tc>
          <w:tcPr>
            <w:tcW w:w="4508" w:type="dxa"/>
          </w:tcPr>
          <w:p w14:paraId="5DB35689" w14:textId="70122A1D" w:rsidR="00B16DAA" w:rsidRPr="00DB1BF4" w:rsidRDefault="00B16DAA" w:rsidP="00A166E5">
            <w:r w:rsidRPr="00DB1BF4">
              <w:t xml:space="preserve">This chapter comprises a justification of the qualitative methodology utilised in this study, the methods used for participant recruitment, </w:t>
            </w:r>
            <w:r>
              <w:t xml:space="preserve">and </w:t>
            </w:r>
            <w:r w:rsidRPr="00DB1BF4">
              <w:t>the research instrument of semi-structured interviews with a narrative focus</w:t>
            </w:r>
            <w:r>
              <w:t>.</w:t>
            </w:r>
            <w:r w:rsidRPr="00DB1BF4">
              <w:t xml:space="preserve"> </w:t>
            </w:r>
            <w:r>
              <w:t xml:space="preserve">A </w:t>
            </w:r>
            <w:r w:rsidRPr="00DB1BF4">
              <w:t xml:space="preserve">Braun and Clark (2006) thematic analysis framework </w:t>
            </w:r>
            <w:r>
              <w:t xml:space="preserve">is </w:t>
            </w:r>
            <w:r w:rsidRPr="00DB1BF4">
              <w:t>applied to the analysis of data collected</w:t>
            </w:r>
          </w:p>
        </w:tc>
      </w:tr>
      <w:tr w:rsidR="00B16DAA" w14:paraId="41FBCB3E" w14:textId="77777777" w:rsidTr="00D540EB">
        <w:tc>
          <w:tcPr>
            <w:tcW w:w="4508" w:type="dxa"/>
          </w:tcPr>
          <w:p w14:paraId="0E7DE3C2" w14:textId="7C834D51" w:rsidR="00B16DAA" w:rsidRPr="002A2EE0" w:rsidRDefault="00B16DAA" w:rsidP="00A166E5">
            <w:r w:rsidRPr="002A2EE0">
              <w:t xml:space="preserve">Chapters </w:t>
            </w:r>
            <w:r w:rsidR="00F933C9">
              <w:t>Five</w:t>
            </w:r>
            <w:r w:rsidR="00763C8B">
              <w:t xml:space="preserve"> - Eight</w:t>
            </w:r>
            <w:r>
              <w:t>:</w:t>
            </w:r>
            <w:r w:rsidRPr="002A2EE0">
              <w:t xml:space="preserve"> </w:t>
            </w:r>
            <w:r w:rsidRPr="002A2EE0">
              <w:rPr>
                <w:i/>
                <w:iCs/>
              </w:rPr>
              <w:t>The Conquest</w:t>
            </w:r>
          </w:p>
        </w:tc>
        <w:tc>
          <w:tcPr>
            <w:tcW w:w="4508" w:type="dxa"/>
          </w:tcPr>
          <w:p w14:paraId="0E974B7E" w14:textId="01A3760F" w:rsidR="00B16DAA" w:rsidRPr="00286BF4" w:rsidRDefault="00B16DAA" w:rsidP="00286BF4">
            <w:r w:rsidRPr="006B4BB8">
              <w:t xml:space="preserve">This chapter </w:t>
            </w:r>
            <w:r w:rsidRPr="00286BF4">
              <w:t xml:space="preserve">explores and discusses the findings and analysis of the participants’ interviews with reference to the literature and introduces further literature arising from the findings. </w:t>
            </w:r>
            <w:r>
              <w:t xml:space="preserve">Chapter </w:t>
            </w:r>
            <w:r w:rsidR="00C567A1">
              <w:t xml:space="preserve">Eight </w:t>
            </w:r>
            <w:r>
              <w:t xml:space="preserve">focusses on the wider landscape beyond the individual findings in chapters </w:t>
            </w:r>
            <w:r w:rsidR="00863FC4">
              <w:t xml:space="preserve">five </w:t>
            </w:r>
            <w:r>
              <w:t>-</w:t>
            </w:r>
            <w:r w:rsidR="00863FC4">
              <w:t>seven</w:t>
            </w:r>
          </w:p>
          <w:p w14:paraId="5D37D539" w14:textId="77777777" w:rsidR="00B16DAA" w:rsidRDefault="00B16DAA" w:rsidP="00A166E5">
            <w:pPr>
              <w:rPr>
                <w:sz w:val="24"/>
                <w:szCs w:val="24"/>
              </w:rPr>
            </w:pPr>
          </w:p>
        </w:tc>
      </w:tr>
      <w:tr w:rsidR="00B16DAA" w:rsidRPr="00D54843" w14:paraId="5A9EB9E8" w14:textId="77777777" w:rsidTr="00D540EB">
        <w:tc>
          <w:tcPr>
            <w:tcW w:w="4508" w:type="dxa"/>
          </w:tcPr>
          <w:p w14:paraId="73B0D3B3" w14:textId="768E43B7" w:rsidR="00B16DAA" w:rsidRPr="00D54843" w:rsidRDefault="00B16DAA" w:rsidP="00A166E5">
            <w:r w:rsidRPr="00D54843">
              <w:t xml:space="preserve">Chapter </w:t>
            </w:r>
            <w:r w:rsidR="00763C8B">
              <w:t>Nine</w:t>
            </w:r>
            <w:r>
              <w:t xml:space="preserve">: </w:t>
            </w:r>
            <w:r w:rsidRPr="00D54843">
              <w:rPr>
                <w:i/>
                <w:iCs/>
              </w:rPr>
              <w:t>The Celebration</w:t>
            </w:r>
          </w:p>
        </w:tc>
        <w:tc>
          <w:tcPr>
            <w:tcW w:w="4508" w:type="dxa"/>
          </w:tcPr>
          <w:p w14:paraId="61B6737C" w14:textId="6E1714C8" w:rsidR="00B16DAA" w:rsidRPr="00D54843" w:rsidRDefault="00B16DAA" w:rsidP="00D54843">
            <w:r>
              <w:t xml:space="preserve">This chapter </w:t>
            </w:r>
            <w:r w:rsidRPr="00D54843">
              <w:t xml:space="preserve">draws together the overall findings to see if the research questions were answered and the aims of the research achieved. </w:t>
            </w:r>
            <w:r>
              <w:t xml:space="preserve">Furthermore, it </w:t>
            </w:r>
            <w:r w:rsidRPr="00D54843">
              <w:t>comprises critical reflections arising from the research, identifies limitations to the study and provides recommendations for future research and practice</w:t>
            </w:r>
          </w:p>
          <w:p w14:paraId="2F7946D2" w14:textId="77777777" w:rsidR="00B16DAA" w:rsidRPr="00D54843" w:rsidRDefault="00B16DAA" w:rsidP="00A166E5"/>
        </w:tc>
      </w:tr>
    </w:tbl>
    <w:p w14:paraId="164EEE66" w14:textId="77777777" w:rsidR="00B16DAA" w:rsidRDefault="00B16DAA" w:rsidP="00A166E5">
      <w:pPr>
        <w:rPr>
          <w:sz w:val="20"/>
          <w:szCs w:val="20"/>
        </w:rPr>
      </w:pPr>
    </w:p>
    <w:p w14:paraId="6D1C6EDB" w14:textId="6011102B" w:rsidR="00B16DAA" w:rsidRDefault="00B16DAA" w:rsidP="00D30576">
      <w:pPr>
        <w:spacing w:line="360" w:lineRule="auto"/>
        <w:rPr>
          <w:sz w:val="24"/>
          <w:szCs w:val="24"/>
        </w:rPr>
      </w:pPr>
      <w:r w:rsidRPr="00774FBB">
        <w:rPr>
          <w:sz w:val="24"/>
          <w:szCs w:val="24"/>
        </w:rPr>
        <w:lastRenderedPageBreak/>
        <w:t xml:space="preserve">Finding adherence to scholarly </w:t>
      </w:r>
      <w:r>
        <w:rPr>
          <w:sz w:val="24"/>
          <w:szCs w:val="24"/>
        </w:rPr>
        <w:t>writing</w:t>
      </w:r>
      <w:r w:rsidRPr="00774FBB">
        <w:rPr>
          <w:sz w:val="24"/>
          <w:szCs w:val="24"/>
        </w:rPr>
        <w:t xml:space="preserve"> somewhat dry, personal reflections will follow each chapter</w:t>
      </w:r>
      <w:r>
        <w:rPr>
          <w:sz w:val="24"/>
          <w:szCs w:val="24"/>
        </w:rPr>
        <w:t xml:space="preserve"> to bring </w:t>
      </w:r>
      <w:r w:rsidRPr="00774FBB">
        <w:rPr>
          <w:sz w:val="24"/>
          <w:szCs w:val="24"/>
        </w:rPr>
        <w:t>some creative moisture to the mix</w:t>
      </w:r>
      <w:r>
        <w:rPr>
          <w:sz w:val="24"/>
          <w:szCs w:val="24"/>
        </w:rPr>
        <w:t xml:space="preserve">, </w:t>
      </w:r>
      <w:r w:rsidRPr="00101FC4">
        <w:rPr>
          <w:sz w:val="24"/>
          <w:szCs w:val="24"/>
        </w:rPr>
        <w:t>add meaning to the research</w:t>
      </w:r>
      <w:r>
        <w:rPr>
          <w:sz w:val="24"/>
          <w:szCs w:val="24"/>
        </w:rPr>
        <w:t xml:space="preserve"> </w:t>
      </w:r>
      <w:r w:rsidRPr="00101FC4">
        <w:rPr>
          <w:sz w:val="24"/>
          <w:szCs w:val="24"/>
        </w:rPr>
        <w:t>and allow the researcher and reader to pause and reflect on the journey thus far. These pauses allow the researcher</w:t>
      </w:r>
      <w:r>
        <w:rPr>
          <w:sz w:val="24"/>
          <w:szCs w:val="24"/>
        </w:rPr>
        <w:t>’</w:t>
      </w:r>
      <w:r w:rsidRPr="00101FC4">
        <w:rPr>
          <w:sz w:val="24"/>
          <w:szCs w:val="24"/>
        </w:rPr>
        <w:t>s lived experience stories to breathe and</w:t>
      </w:r>
      <w:r>
        <w:rPr>
          <w:sz w:val="24"/>
          <w:szCs w:val="24"/>
        </w:rPr>
        <w:t xml:space="preserve"> </w:t>
      </w:r>
      <w:r w:rsidRPr="00101FC4">
        <w:rPr>
          <w:sz w:val="24"/>
          <w:szCs w:val="24"/>
        </w:rPr>
        <w:t>provide a space to process the</w:t>
      </w:r>
      <w:r>
        <w:rPr>
          <w:sz w:val="24"/>
          <w:szCs w:val="24"/>
        </w:rPr>
        <w:t>ir</w:t>
      </w:r>
      <w:r w:rsidRPr="00101FC4">
        <w:rPr>
          <w:sz w:val="24"/>
          <w:szCs w:val="24"/>
        </w:rPr>
        <w:t xml:space="preserve"> tasks. One such task is to develop “binocular vision</w:t>
      </w:r>
      <w:r w:rsidR="00F637B3">
        <w:rPr>
          <w:sz w:val="24"/>
          <w:szCs w:val="24"/>
        </w:rPr>
        <w:t>”</w:t>
      </w:r>
      <w:r w:rsidRPr="00101FC4">
        <w:rPr>
          <w:sz w:val="24"/>
          <w:szCs w:val="24"/>
        </w:rPr>
        <w:t xml:space="preserve"> (Bion, 1975, p.82), that is to be able to view multiple stories and reality from multiple standpoints, or “vertices” (Bion, 1970, p.83) and I believe reflective stories </w:t>
      </w:r>
      <w:r w:rsidR="009E6710">
        <w:rPr>
          <w:sz w:val="24"/>
          <w:szCs w:val="24"/>
        </w:rPr>
        <w:t>aid in</w:t>
      </w:r>
      <w:r>
        <w:rPr>
          <w:sz w:val="24"/>
          <w:szCs w:val="24"/>
        </w:rPr>
        <w:t xml:space="preserve"> </w:t>
      </w:r>
      <w:r w:rsidRPr="00101FC4">
        <w:rPr>
          <w:sz w:val="24"/>
          <w:szCs w:val="24"/>
        </w:rPr>
        <w:t xml:space="preserve">this process. </w:t>
      </w:r>
      <w:r>
        <w:rPr>
          <w:sz w:val="24"/>
          <w:szCs w:val="24"/>
        </w:rPr>
        <w:t>T</w:t>
      </w:r>
      <w:r w:rsidRPr="00101FC4">
        <w:rPr>
          <w:sz w:val="24"/>
          <w:szCs w:val="24"/>
        </w:rPr>
        <w:t>he</w:t>
      </w:r>
      <w:r>
        <w:rPr>
          <w:sz w:val="24"/>
          <w:szCs w:val="24"/>
        </w:rPr>
        <w:t xml:space="preserve">se </w:t>
      </w:r>
      <w:r w:rsidRPr="00101FC4">
        <w:rPr>
          <w:sz w:val="24"/>
          <w:szCs w:val="24"/>
        </w:rPr>
        <w:t xml:space="preserve">stories are not prescriptively written, and </w:t>
      </w:r>
      <w:r>
        <w:rPr>
          <w:sz w:val="24"/>
          <w:szCs w:val="24"/>
        </w:rPr>
        <w:t xml:space="preserve">I </w:t>
      </w:r>
      <w:r w:rsidRPr="00101FC4">
        <w:rPr>
          <w:sz w:val="24"/>
          <w:szCs w:val="24"/>
        </w:rPr>
        <w:t>exercise poetic licence by using theory, children’s literature and fairy tales, and anecdotal stories</w:t>
      </w:r>
      <w:r w:rsidR="004568A6" w:rsidRPr="004568A6">
        <w:rPr>
          <w:sz w:val="24"/>
          <w:szCs w:val="24"/>
        </w:rPr>
        <w:t xml:space="preserve"> as a springboard for reflection</w:t>
      </w:r>
      <w:r w:rsidRPr="00101FC4">
        <w:rPr>
          <w:sz w:val="24"/>
          <w:szCs w:val="24"/>
        </w:rPr>
        <w:t>.</w:t>
      </w:r>
    </w:p>
    <w:p w14:paraId="76D5C369" w14:textId="341896DE" w:rsidR="00B16DAA" w:rsidRDefault="00B16DAA" w:rsidP="00D30576">
      <w:pPr>
        <w:spacing w:line="360" w:lineRule="auto"/>
        <w:rPr>
          <w:sz w:val="24"/>
          <w:szCs w:val="24"/>
        </w:rPr>
      </w:pPr>
      <w:r w:rsidRPr="008A354F">
        <w:rPr>
          <w:b/>
          <w:bCs/>
          <w:sz w:val="24"/>
          <w:szCs w:val="24"/>
        </w:rPr>
        <w:t>Rational</w:t>
      </w:r>
      <w:r>
        <w:rPr>
          <w:b/>
          <w:bCs/>
          <w:sz w:val="24"/>
          <w:szCs w:val="24"/>
        </w:rPr>
        <w:t xml:space="preserve">e </w:t>
      </w:r>
    </w:p>
    <w:p w14:paraId="01B69D17" w14:textId="69253CF1" w:rsidR="00B16DAA" w:rsidRDefault="00B16DAA" w:rsidP="00D30576">
      <w:pPr>
        <w:spacing w:line="360" w:lineRule="auto"/>
        <w:rPr>
          <w:sz w:val="24"/>
          <w:szCs w:val="24"/>
        </w:rPr>
      </w:pPr>
      <w:r>
        <w:rPr>
          <w:sz w:val="24"/>
          <w:szCs w:val="24"/>
        </w:rPr>
        <w:t xml:space="preserve">This research is not a myopic and reductive </w:t>
      </w:r>
      <w:r w:rsidR="003218E3">
        <w:rPr>
          <w:sz w:val="24"/>
          <w:szCs w:val="24"/>
        </w:rPr>
        <w:t>tale-telling exercise</w:t>
      </w:r>
      <w:r>
        <w:rPr>
          <w:sz w:val="24"/>
          <w:szCs w:val="24"/>
        </w:rPr>
        <w:t xml:space="preserve"> (Reid and West, 2011)  intended to apportion blame to the HE system. It is a telling of participant-protagonists</w:t>
      </w:r>
      <w:r w:rsidR="00794120">
        <w:rPr>
          <w:sz w:val="24"/>
          <w:szCs w:val="24"/>
        </w:rPr>
        <w:t>’ tales</w:t>
      </w:r>
      <w:r>
        <w:rPr>
          <w:sz w:val="24"/>
          <w:szCs w:val="24"/>
        </w:rPr>
        <w:t xml:space="preserve"> </w:t>
      </w:r>
      <w:r w:rsidR="005D2B14">
        <w:rPr>
          <w:sz w:val="24"/>
          <w:szCs w:val="24"/>
        </w:rPr>
        <w:t>about their</w:t>
      </w:r>
      <w:r>
        <w:rPr>
          <w:sz w:val="24"/>
          <w:szCs w:val="24"/>
        </w:rPr>
        <w:t xml:space="preserve"> positive and negative lived experiences of the HE system</w:t>
      </w:r>
      <w:r w:rsidR="005D2B14">
        <w:rPr>
          <w:sz w:val="24"/>
          <w:szCs w:val="24"/>
        </w:rPr>
        <w:t>,</w:t>
      </w:r>
      <w:r>
        <w:rPr>
          <w:sz w:val="24"/>
          <w:szCs w:val="24"/>
        </w:rPr>
        <w:t xml:space="preserve"> and the amulets and donors that supported them. As such this is a “springboard story” (Denning, 2004, p.5), one that realistically envisages a change that might be successfully implemented, and which might also encounter resistance. </w:t>
      </w:r>
      <w:r w:rsidRPr="00EE4E66">
        <w:rPr>
          <w:sz w:val="24"/>
          <w:szCs w:val="24"/>
        </w:rPr>
        <w:t xml:space="preserve">The </w:t>
      </w:r>
      <w:r>
        <w:rPr>
          <w:sz w:val="24"/>
          <w:szCs w:val="24"/>
        </w:rPr>
        <w:t xml:space="preserve">research </w:t>
      </w:r>
      <w:r w:rsidRPr="00EE4E66">
        <w:rPr>
          <w:sz w:val="24"/>
          <w:szCs w:val="24"/>
        </w:rPr>
        <w:t>journey did not shy away from potential obstacles encountered</w:t>
      </w:r>
      <w:r>
        <w:rPr>
          <w:sz w:val="24"/>
          <w:szCs w:val="24"/>
        </w:rPr>
        <w:t xml:space="preserve"> which </w:t>
      </w:r>
      <w:r w:rsidRPr="00EE4E66">
        <w:rPr>
          <w:sz w:val="24"/>
          <w:szCs w:val="24"/>
        </w:rPr>
        <w:t xml:space="preserve">were reflected upon and viewed as </w:t>
      </w:r>
      <w:r>
        <w:rPr>
          <w:sz w:val="24"/>
          <w:szCs w:val="24"/>
        </w:rPr>
        <w:t xml:space="preserve">an </w:t>
      </w:r>
      <w:r w:rsidRPr="00EE4E66">
        <w:rPr>
          <w:sz w:val="24"/>
          <w:szCs w:val="24"/>
        </w:rPr>
        <w:t>essential</w:t>
      </w:r>
      <w:r>
        <w:rPr>
          <w:sz w:val="24"/>
          <w:szCs w:val="24"/>
        </w:rPr>
        <w:t xml:space="preserve"> part of the individuation of the research</w:t>
      </w:r>
      <w:r w:rsidRPr="00EE4E66">
        <w:rPr>
          <w:sz w:val="24"/>
          <w:szCs w:val="24"/>
        </w:rPr>
        <w:t xml:space="preserve">. </w:t>
      </w:r>
    </w:p>
    <w:p w14:paraId="55B53E44" w14:textId="61F7D6C4" w:rsidR="00B16DAA" w:rsidRPr="003D0443" w:rsidRDefault="00B16DAA" w:rsidP="00D30576">
      <w:pPr>
        <w:spacing w:line="360" w:lineRule="auto"/>
        <w:rPr>
          <w:sz w:val="24"/>
          <w:szCs w:val="24"/>
        </w:rPr>
      </w:pPr>
      <w:r>
        <w:rPr>
          <w:sz w:val="24"/>
          <w:szCs w:val="24"/>
        </w:rPr>
        <w:t xml:space="preserve">As a foreshadowing of the research findings, </w:t>
      </w:r>
      <w:r w:rsidRPr="003D0443">
        <w:rPr>
          <w:sz w:val="24"/>
          <w:szCs w:val="24"/>
        </w:rPr>
        <w:t xml:space="preserve">I would like to enable future educators to safeguard themselves against </w:t>
      </w:r>
      <w:r>
        <w:rPr>
          <w:sz w:val="24"/>
          <w:szCs w:val="24"/>
        </w:rPr>
        <w:t>any</w:t>
      </w:r>
      <w:r w:rsidRPr="003D0443">
        <w:rPr>
          <w:sz w:val="24"/>
          <w:szCs w:val="24"/>
        </w:rPr>
        <w:t xml:space="preserve"> </w:t>
      </w:r>
      <w:r w:rsidR="004F4AFC">
        <w:rPr>
          <w:sz w:val="24"/>
          <w:szCs w:val="24"/>
        </w:rPr>
        <w:t>“</w:t>
      </w:r>
      <w:r>
        <w:rPr>
          <w:sz w:val="24"/>
          <w:szCs w:val="24"/>
        </w:rPr>
        <w:t>darkocrac</w:t>
      </w:r>
      <w:r w:rsidR="00663E3E">
        <w:rPr>
          <w:sz w:val="24"/>
          <w:szCs w:val="24"/>
        </w:rPr>
        <w:t>y</w:t>
      </w:r>
      <w:r w:rsidR="004F4AFC">
        <w:rPr>
          <w:sz w:val="24"/>
          <w:szCs w:val="24"/>
        </w:rPr>
        <w:t>”</w:t>
      </w:r>
      <w:r>
        <w:rPr>
          <w:sz w:val="24"/>
          <w:szCs w:val="24"/>
        </w:rPr>
        <w:t xml:space="preserve"> (Fleming, 2021</w:t>
      </w:r>
      <w:r w:rsidR="00663E3E">
        <w:rPr>
          <w:sz w:val="24"/>
          <w:szCs w:val="24"/>
        </w:rPr>
        <w:t>, p.51</w:t>
      </w:r>
      <w:r>
        <w:rPr>
          <w:sz w:val="24"/>
          <w:szCs w:val="24"/>
        </w:rPr>
        <w:t>)</w:t>
      </w:r>
      <w:r w:rsidR="00C606C1">
        <w:rPr>
          <w:sz w:val="24"/>
          <w:szCs w:val="24"/>
        </w:rPr>
        <w:t xml:space="preserve"> which I read as difficult</w:t>
      </w:r>
      <w:r w:rsidR="004F4AFC">
        <w:rPr>
          <w:sz w:val="24"/>
          <w:szCs w:val="24"/>
        </w:rPr>
        <w:t xml:space="preserve"> dynamics</w:t>
      </w:r>
      <w:r>
        <w:rPr>
          <w:sz w:val="24"/>
          <w:szCs w:val="24"/>
        </w:rPr>
        <w:t xml:space="preserve"> </w:t>
      </w:r>
      <w:r w:rsidRPr="003D0443">
        <w:rPr>
          <w:sz w:val="24"/>
          <w:szCs w:val="24"/>
        </w:rPr>
        <w:t xml:space="preserve">that cause anxiety in pedagogic discourse and practice. As an ethic of care </w:t>
      </w:r>
      <w:r w:rsidR="00863B90">
        <w:rPr>
          <w:sz w:val="24"/>
          <w:szCs w:val="24"/>
        </w:rPr>
        <w:t>(Noddings, 2002)</w:t>
      </w:r>
      <w:r w:rsidR="001D2BBB">
        <w:rPr>
          <w:sz w:val="24"/>
          <w:szCs w:val="24"/>
        </w:rPr>
        <w:t xml:space="preserve">, </w:t>
      </w:r>
      <w:r w:rsidRPr="003D0443">
        <w:rPr>
          <w:sz w:val="24"/>
          <w:szCs w:val="24"/>
        </w:rPr>
        <w:t xml:space="preserve">the hope is that knowledge and understanding of </w:t>
      </w:r>
      <w:r>
        <w:rPr>
          <w:sz w:val="24"/>
          <w:szCs w:val="24"/>
        </w:rPr>
        <w:t xml:space="preserve">emotions </w:t>
      </w:r>
      <w:r w:rsidRPr="003D0443">
        <w:rPr>
          <w:sz w:val="24"/>
          <w:szCs w:val="24"/>
        </w:rPr>
        <w:t xml:space="preserve">and </w:t>
      </w:r>
      <w:r>
        <w:rPr>
          <w:sz w:val="24"/>
          <w:szCs w:val="24"/>
        </w:rPr>
        <w:t>their</w:t>
      </w:r>
      <w:r w:rsidRPr="003D0443">
        <w:rPr>
          <w:sz w:val="24"/>
          <w:szCs w:val="24"/>
        </w:rPr>
        <w:t xml:space="preserve"> role in the teaching and learning process might enlighten teachers, policy makers and stakeholders to improve teaching practices</w:t>
      </w:r>
      <w:r>
        <w:rPr>
          <w:sz w:val="24"/>
          <w:szCs w:val="24"/>
        </w:rPr>
        <w:t xml:space="preserve"> and support mechanisms for HE teachers. </w:t>
      </w:r>
      <w:r w:rsidRPr="00622611">
        <w:rPr>
          <w:sz w:val="24"/>
          <w:szCs w:val="24"/>
        </w:rPr>
        <w:t>My argument is not for therapeutic practices to dominate pedagogic discourse, but for</w:t>
      </w:r>
      <w:r>
        <w:rPr>
          <w:sz w:val="24"/>
          <w:szCs w:val="24"/>
        </w:rPr>
        <w:t xml:space="preserve"> the </w:t>
      </w:r>
      <w:r w:rsidR="005214A1">
        <w:rPr>
          <w:sz w:val="24"/>
          <w:szCs w:val="24"/>
        </w:rPr>
        <w:t xml:space="preserve">Winnicottian </w:t>
      </w:r>
      <w:r>
        <w:rPr>
          <w:sz w:val="24"/>
          <w:szCs w:val="24"/>
        </w:rPr>
        <w:t>concept and practice of</w:t>
      </w:r>
      <w:r w:rsidRPr="00622611">
        <w:rPr>
          <w:sz w:val="24"/>
          <w:szCs w:val="24"/>
        </w:rPr>
        <w:t xml:space="preserve"> holding </w:t>
      </w:r>
      <w:r w:rsidR="00704BD9">
        <w:rPr>
          <w:sz w:val="24"/>
          <w:szCs w:val="24"/>
        </w:rPr>
        <w:t xml:space="preserve">(Winnicott, 1965) </w:t>
      </w:r>
      <w:r>
        <w:rPr>
          <w:sz w:val="24"/>
          <w:szCs w:val="24"/>
        </w:rPr>
        <w:t>t</w:t>
      </w:r>
      <w:r w:rsidRPr="00622611">
        <w:rPr>
          <w:sz w:val="24"/>
          <w:szCs w:val="24"/>
        </w:rPr>
        <w:t>o be considered in the future.</w:t>
      </w:r>
      <w:r>
        <w:rPr>
          <w:sz w:val="24"/>
          <w:szCs w:val="24"/>
        </w:rPr>
        <w:t xml:space="preserve"> </w:t>
      </w:r>
    </w:p>
    <w:p w14:paraId="2522986A" w14:textId="34F17EBA" w:rsidR="00B16DAA" w:rsidRDefault="00B16DAA" w:rsidP="00D30576">
      <w:pPr>
        <w:spacing w:line="360" w:lineRule="auto"/>
        <w:rPr>
          <w:sz w:val="24"/>
          <w:szCs w:val="24"/>
        </w:rPr>
      </w:pPr>
      <w:r>
        <w:rPr>
          <w:sz w:val="24"/>
          <w:szCs w:val="24"/>
        </w:rPr>
        <w:t>The researcher embarks on a journey which can be likened to that of a rite of passage. In the Anglicised version of the term “</w:t>
      </w:r>
      <w:r w:rsidRPr="002E1253">
        <w:rPr>
          <w:sz w:val="24"/>
          <w:szCs w:val="24"/>
        </w:rPr>
        <w:t>rite de passage</w:t>
      </w:r>
      <w:r>
        <w:rPr>
          <w:sz w:val="24"/>
          <w:szCs w:val="24"/>
        </w:rPr>
        <w:t>” popularised by ethnographer van Gennep (1909)</w:t>
      </w:r>
      <w:r w:rsidR="004118AB">
        <w:rPr>
          <w:sz w:val="24"/>
          <w:szCs w:val="24"/>
        </w:rPr>
        <w:t>,</w:t>
      </w:r>
      <w:r>
        <w:rPr>
          <w:sz w:val="24"/>
          <w:szCs w:val="24"/>
        </w:rPr>
        <w:t xml:space="preserve"> an individual leaves one group in society and enters another</w:t>
      </w:r>
      <w:r w:rsidR="00596AF4">
        <w:rPr>
          <w:sz w:val="24"/>
          <w:szCs w:val="24"/>
        </w:rPr>
        <w:t>,</w:t>
      </w:r>
      <w:r>
        <w:rPr>
          <w:sz w:val="24"/>
          <w:szCs w:val="24"/>
        </w:rPr>
        <w:t xml:space="preserve"> and their </w:t>
      </w:r>
      <w:r>
        <w:rPr>
          <w:sz w:val="24"/>
          <w:szCs w:val="24"/>
        </w:rPr>
        <w:lastRenderedPageBreak/>
        <w:t xml:space="preserve">positionality and status thus changes. Rites of passage traditionally require rituals, and the writing and telling of this story </w:t>
      </w:r>
      <w:r w:rsidRPr="006650D4">
        <w:rPr>
          <w:sz w:val="24"/>
          <w:szCs w:val="24"/>
        </w:rPr>
        <w:t>is</w:t>
      </w:r>
      <w:r>
        <w:rPr>
          <w:sz w:val="24"/>
          <w:szCs w:val="24"/>
        </w:rPr>
        <w:t xml:space="preserve"> the ritual </w:t>
      </w:r>
      <w:r w:rsidR="002D3AEC">
        <w:rPr>
          <w:sz w:val="24"/>
          <w:szCs w:val="24"/>
        </w:rPr>
        <w:t>of</w:t>
      </w:r>
      <w:r>
        <w:rPr>
          <w:sz w:val="24"/>
          <w:szCs w:val="24"/>
        </w:rPr>
        <w:t xml:space="preserve"> wilful</w:t>
      </w:r>
      <w:r w:rsidR="002B5239">
        <w:rPr>
          <w:sz w:val="24"/>
          <w:szCs w:val="24"/>
        </w:rPr>
        <w:t>ly</w:t>
      </w:r>
      <w:r>
        <w:rPr>
          <w:sz w:val="24"/>
          <w:szCs w:val="24"/>
        </w:rPr>
        <w:t xml:space="preserve"> remembering occluded, unheard lived experience stories of teachers’ emotional homelands. </w:t>
      </w:r>
      <w:r w:rsidRPr="00225CFA">
        <w:rPr>
          <w:sz w:val="24"/>
          <w:szCs w:val="24"/>
        </w:rPr>
        <w:t xml:space="preserve">The story yet to be told is not without fears or conflicts, and I feel it prudent to highlight there were systems in place to safeguard the researcher and the research (see Chapters </w:t>
      </w:r>
      <w:r w:rsidR="00E14348">
        <w:rPr>
          <w:sz w:val="24"/>
          <w:szCs w:val="24"/>
        </w:rPr>
        <w:t>Three</w:t>
      </w:r>
      <w:r w:rsidRPr="00225CFA">
        <w:rPr>
          <w:sz w:val="24"/>
          <w:szCs w:val="24"/>
        </w:rPr>
        <w:t xml:space="preserve"> and </w:t>
      </w:r>
      <w:r w:rsidR="00E14348">
        <w:rPr>
          <w:sz w:val="24"/>
          <w:szCs w:val="24"/>
        </w:rPr>
        <w:t>Four</w:t>
      </w:r>
      <w:r w:rsidRPr="00225CFA">
        <w:rPr>
          <w:sz w:val="24"/>
          <w:szCs w:val="24"/>
        </w:rPr>
        <w:t>).</w:t>
      </w:r>
    </w:p>
    <w:p w14:paraId="3B3DDF98" w14:textId="77777777" w:rsidR="00B16DAA" w:rsidRDefault="00B16DAA" w:rsidP="00D30576">
      <w:pPr>
        <w:spacing w:line="360" w:lineRule="auto"/>
        <w:rPr>
          <w:sz w:val="24"/>
          <w:szCs w:val="24"/>
        </w:rPr>
      </w:pPr>
      <w:r>
        <w:rPr>
          <w:sz w:val="24"/>
          <w:szCs w:val="24"/>
        </w:rPr>
        <w:t xml:space="preserve">Having shone a preliminary light on the nature of this research, </w:t>
      </w:r>
      <w:r w:rsidRPr="003D0443">
        <w:rPr>
          <w:sz w:val="24"/>
          <w:szCs w:val="24"/>
        </w:rPr>
        <w:t>I shall leave the reader with the words of</w:t>
      </w:r>
      <w:r>
        <w:rPr>
          <w:sz w:val="24"/>
          <w:szCs w:val="24"/>
        </w:rPr>
        <w:t xml:space="preserve"> scholar, storyteller</w:t>
      </w:r>
      <w:r w:rsidRPr="003D0443">
        <w:rPr>
          <w:sz w:val="24"/>
          <w:szCs w:val="24"/>
        </w:rPr>
        <w:t xml:space="preserve"> and </w:t>
      </w:r>
      <w:r>
        <w:rPr>
          <w:sz w:val="24"/>
          <w:szCs w:val="24"/>
        </w:rPr>
        <w:t xml:space="preserve">Jungian </w:t>
      </w:r>
      <w:r w:rsidRPr="003D0443">
        <w:rPr>
          <w:sz w:val="24"/>
          <w:szCs w:val="24"/>
        </w:rPr>
        <w:t>psychoanalyst</w:t>
      </w:r>
      <w:r>
        <w:rPr>
          <w:sz w:val="24"/>
          <w:szCs w:val="24"/>
        </w:rPr>
        <w:t>, Pinkola-Estes (1992), who believes in the didactic and healing ability of stories and storytelling in the face of encountering dragons:</w:t>
      </w:r>
    </w:p>
    <w:p w14:paraId="4FB78FD4" w14:textId="77777777" w:rsidR="00B16DAA" w:rsidRDefault="00B16DAA" w:rsidP="00877BFD">
      <w:pPr>
        <w:ind w:left="720"/>
      </w:pPr>
      <w:r w:rsidRPr="001B64F1">
        <w:t>both within and without, there is a force that will act in opposition to the instincts of the natural Self, and that malignant force is what it is. Though we might have mercy upon it, our first actions must be to recognise it, to protect ourselves from its devastations, and ultimately to deprive it of its murderous energy</w:t>
      </w:r>
      <w:r>
        <w:t>.</w:t>
      </w:r>
      <w:bookmarkEnd w:id="11"/>
      <w:r w:rsidRPr="001B64F1">
        <w:t xml:space="preserve"> </w:t>
      </w:r>
    </w:p>
    <w:p w14:paraId="5015880A" w14:textId="77777777" w:rsidR="00B16DAA" w:rsidRDefault="00B16DAA" w:rsidP="00487B03">
      <w:pPr>
        <w:ind w:left="5760" w:firstLine="720"/>
        <w:rPr>
          <w:sz w:val="20"/>
          <w:szCs w:val="20"/>
        </w:rPr>
      </w:pPr>
      <w:r w:rsidRPr="001B64F1">
        <w:rPr>
          <w:sz w:val="20"/>
          <w:szCs w:val="20"/>
        </w:rPr>
        <w:t>(Pinkola-Estes, 1992, p.46)</w:t>
      </w:r>
    </w:p>
    <w:p w14:paraId="6510C12C" w14:textId="77777777" w:rsidR="00B16DAA" w:rsidRDefault="00B16DAA" w:rsidP="007377F5">
      <w:pPr>
        <w:rPr>
          <w:sz w:val="24"/>
          <w:szCs w:val="24"/>
        </w:rPr>
      </w:pPr>
    </w:p>
    <w:p w14:paraId="63CB1B6B" w14:textId="77777777" w:rsidR="00795D34" w:rsidRDefault="00795D34" w:rsidP="007377F5">
      <w:pPr>
        <w:rPr>
          <w:sz w:val="24"/>
          <w:szCs w:val="24"/>
        </w:rPr>
      </w:pPr>
    </w:p>
    <w:p w14:paraId="32D56B0E" w14:textId="77777777" w:rsidR="00795D34" w:rsidRDefault="00795D34" w:rsidP="007377F5">
      <w:pPr>
        <w:rPr>
          <w:sz w:val="24"/>
          <w:szCs w:val="24"/>
        </w:rPr>
      </w:pPr>
    </w:p>
    <w:p w14:paraId="73DE5381" w14:textId="77777777" w:rsidR="00795D34" w:rsidRDefault="00795D34" w:rsidP="007377F5">
      <w:pPr>
        <w:rPr>
          <w:sz w:val="24"/>
          <w:szCs w:val="24"/>
        </w:rPr>
      </w:pPr>
    </w:p>
    <w:p w14:paraId="4D002163" w14:textId="77777777" w:rsidR="00795D34" w:rsidRDefault="00795D34" w:rsidP="007377F5">
      <w:pPr>
        <w:rPr>
          <w:sz w:val="24"/>
          <w:szCs w:val="24"/>
        </w:rPr>
      </w:pPr>
    </w:p>
    <w:p w14:paraId="3D210735" w14:textId="77777777" w:rsidR="00795D34" w:rsidRDefault="00795D34" w:rsidP="007377F5">
      <w:pPr>
        <w:rPr>
          <w:sz w:val="24"/>
          <w:szCs w:val="24"/>
        </w:rPr>
      </w:pPr>
    </w:p>
    <w:p w14:paraId="1F7563F0" w14:textId="77777777" w:rsidR="00795D34" w:rsidRDefault="00795D34" w:rsidP="007377F5">
      <w:pPr>
        <w:rPr>
          <w:sz w:val="24"/>
          <w:szCs w:val="24"/>
        </w:rPr>
      </w:pPr>
    </w:p>
    <w:p w14:paraId="7450EEE0" w14:textId="77777777" w:rsidR="00795D34" w:rsidRDefault="00795D34" w:rsidP="007377F5">
      <w:pPr>
        <w:rPr>
          <w:sz w:val="24"/>
          <w:szCs w:val="24"/>
        </w:rPr>
      </w:pPr>
    </w:p>
    <w:p w14:paraId="08B1C19C" w14:textId="77777777" w:rsidR="002B5239" w:rsidRDefault="002B5239" w:rsidP="007377F5">
      <w:pPr>
        <w:rPr>
          <w:sz w:val="24"/>
          <w:szCs w:val="24"/>
        </w:rPr>
      </w:pPr>
    </w:p>
    <w:p w14:paraId="6277F65A" w14:textId="77777777" w:rsidR="002B5239" w:rsidRDefault="002B5239" w:rsidP="007377F5">
      <w:pPr>
        <w:rPr>
          <w:sz w:val="24"/>
          <w:szCs w:val="24"/>
        </w:rPr>
      </w:pPr>
    </w:p>
    <w:p w14:paraId="48EE2A4D" w14:textId="77777777" w:rsidR="002B5239" w:rsidRDefault="002B5239" w:rsidP="007377F5">
      <w:pPr>
        <w:rPr>
          <w:sz w:val="24"/>
          <w:szCs w:val="24"/>
        </w:rPr>
      </w:pPr>
    </w:p>
    <w:p w14:paraId="003F284A" w14:textId="77777777" w:rsidR="002B5239" w:rsidRDefault="002B5239" w:rsidP="007377F5">
      <w:pPr>
        <w:rPr>
          <w:sz w:val="24"/>
          <w:szCs w:val="24"/>
        </w:rPr>
      </w:pPr>
    </w:p>
    <w:p w14:paraId="251E61FE" w14:textId="77777777" w:rsidR="002B5239" w:rsidRDefault="002B5239" w:rsidP="007377F5">
      <w:pPr>
        <w:rPr>
          <w:sz w:val="24"/>
          <w:szCs w:val="24"/>
        </w:rPr>
      </w:pPr>
    </w:p>
    <w:p w14:paraId="7B866B7B" w14:textId="77777777" w:rsidR="002B5239" w:rsidRDefault="002B5239" w:rsidP="007377F5">
      <w:pPr>
        <w:rPr>
          <w:sz w:val="24"/>
          <w:szCs w:val="24"/>
        </w:rPr>
      </w:pPr>
    </w:p>
    <w:p w14:paraId="0AE87E1A" w14:textId="77777777" w:rsidR="00795D34" w:rsidRDefault="00795D34" w:rsidP="007377F5">
      <w:pPr>
        <w:rPr>
          <w:sz w:val="24"/>
          <w:szCs w:val="24"/>
        </w:rPr>
      </w:pPr>
    </w:p>
    <w:p w14:paraId="1D867ED9" w14:textId="77777777" w:rsidR="00795D34" w:rsidRDefault="00795D34" w:rsidP="007377F5">
      <w:pPr>
        <w:rPr>
          <w:sz w:val="24"/>
          <w:szCs w:val="24"/>
        </w:rPr>
      </w:pPr>
    </w:p>
    <w:p w14:paraId="49A68960" w14:textId="7A8E6153" w:rsidR="00A01E1F" w:rsidRPr="003630BF" w:rsidRDefault="00A01E1F" w:rsidP="005B6258">
      <w:pPr>
        <w:pStyle w:val="Title"/>
        <w:ind w:left="3600" w:right="237"/>
        <w:rPr>
          <w:rFonts w:ascii="Calibri" w:hAnsi="Calibri" w:cs="Calibri"/>
          <w:b/>
          <w:bCs/>
          <w:sz w:val="28"/>
          <w:szCs w:val="28"/>
        </w:rPr>
      </w:pPr>
      <w:r w:rsidRPr="003630BF">
        <w:rPr>
          <w:rFonts w:ascii="Calibri" w:hAnsi="Calibri" w:cs="Calibri"/>
          <w:b/>
          <w:bCs/>
          <w:sz w:val="28"/>
          <w:szCs w:val="28"/>
        </w:rPr>
        <w:lastRenderedPageBreak/>
        <w:t xml:space="preserve">Reflections </w:t>
      </w:r>
    </w:p>
    <w:p w14:paraId="14F0F2E2" w14:textId="77777777" w:rsidR="00A01E1F" w:rsidRDefault="00A01E1F" w:rsidP="00220CF6">
      <w:pPr>
        <w:spacing w:line="360" w:lineRule="auto"/>
        <w:rPr>
          <w:rFonts w:ascii="Calibri" w:hAnsi="Calibri" w:cs="Calibri"/>
          <w:sz w:val="24"/>
          <w:szCs w:val="24"/>
        </w:rPr>
      </w:pPr>
    </w:p>
    <w:p w14:paraId="7AA274C1" w14:textId="451AF0CC" w:rsidR="00A01E1F" w:rsidRPr="00220CF6" w:rsidRDefault="00A01E1F" w:rsidP="00220CF6">
      <w:pPr>
        <w:spacing w:line="360" w:lineRule="auto"/>
        <w:rPr>
          <w:rFonts w:ascii="Calibri" w:hAnsi="Calibri" w:cs="Calibri"/>
          <w:sz w:val="24"/>
          <w:szCs w:val="24"/>
        </w:rPr>
      </w:pPr>
      <w:r>
        <w:rPr>
          <w:rFonts w:ascii="Calibri" w:hAnsi="Calibri" w:cs="Calibri"/>
          <w:sz w:val="24"/>
          <w:szCs w:val="24"/>
        </w:rPr>
        <w:t>According to Frosh (2010) people are “</w:t>
      </w:r>
      <w:r w:rsidRPr="00220CF6">
        <w:rPr>
          <w:rFonts w:ascii="Calibri" w:hAnsi="Calibri" w:cs="Calibri"/>
          <w:sz w:val="24"/>
          <w:szCs w:val="24"/>
        </w:rPr>
        <w:t>meaning making machines</w:t>
      </w:r>
      <w:r>
        <w:rPr>
          <w:rFonts w:ascii="Calibri" w:hAnsi="Calibri" w:cs="Calibri"/>
          <w:sz w:val="24"/>
          <w:szCs w:val="24"/>
        </w:rPr>
        <w:t>”</w:t>
      </w:r>
      <w:r w:rsidRPr="00220CF6">
        <w:rPr>
          <w:rFonts w:ascii="Calibri" w:hAnsi="Calibri" w:cs="Calibri"/>
          <w:sz w:val="24"/>
          <w:szCs w:val="24"/>
        </w:rPr>
        <w:t xml:space="preserve"> (p.209)</w:t>
      </w:r>
      <w:r>
        <w:rPr>
          <w:rFonts w:ascii="Calibri" w:hAnsi="Calibri" w:cs="Calibri"/>
          <w:sz w:val="24"/>
          <w:szCs w:val="24"/>
        </w:rPr>
        <w:t xml:space="preserve"> who use ideas to create themselves and bring meaning to their lives</w:t>
      </w:r>
      <w:r w:rsidRPr="00220CF6">
        <w:rPr>
          <w:rFonts w:ascii="Calibri" w:hAnsi="Calibri" w:cs="Calibri"/>
          <w:sz w:val="24"/>
          <w:szCs w:val="24"/>
        </w:rPr>
        <w:t>. This notion is vividly illustrated in the context of traditional fairy tales</w:t>
      </w:r>
      <w:r w:rsidR="00CB700E">
        <w:rPr>
          <w:rFonts w:ascii="Calibri" w:hAnsi="Calibri" w:cs="Calibri"/>
          <w:sz w:val="24"/>
          <w:szCs w:val="24"/>
        </w:rPr>
        <w:t xml:space="preserve"> </w:t>
      </w:r>
      <w:r w:rsidRPr="00220CF6">
        <w:rPr>
          <w:rFonts w:ascii="Calibri" w:hAnsi="Calibri" w:cs="Calibri"/>
          <w:sz w:val="24"/>
          <w:szCs w:val="24"/>
        </w:rPr>
        <w:t>where the hero embarks on an essential journey of meaning making</w:t>
      </w:r>
      <w:r>
        <w:rPr>
          <w:rFonts w:ascii="Calibri" w:hAnsi="Calibri" w:cs="Calibri"/>
          <w:sz w:val="24"/>
          <w:szCs w:val="24"/>
        </w:rPr>
        <w:t xml:space="preserve"> </w:t>
      </w:r>
      <w:r w:rsidRPr="00220CF6">
        <w:rPr>
          <w:rFonts w:ascii="Calibri" w:hAnsi="Calibri" w:cs="Calibri"/>
          <w:sz w:val="24"/>
          <w:szCs w:val="24"/>
        </w:rPr>
        <w:t>to transcend their initial naivety. Often, a serendipitous tour guide appears to support this process and aid the hero’s transformation.</w:t>
      </w:r>
    </w:p>
    <w:p w14:paraId="45661A35" w14:textId="1A975F3A" w:rsidR="00A01E1F" w:rsidRPr="00220CF6" w:rsidRDefault="00A01E1F" w:rsidP="00220CF6">
      <w:pPr>
        <w:spacing w:line="360" w:lineRule="auto"/>
        <w:rPr>
          <w:rFonts w:ascii="Calibri" w:hAnsi="Calibri" w:cs="Calibri"/>
          <w:sz w:val="24"/>
          <w:szCs w:val="24"/>
        </w:rPr>
      </w:pPr>
      <w:r w:rsidRPr="00220CF6">
        <w:rPr>
          <w:rFonts w:ascii="Calibri" w:hAnsi="Calibri" w:cs="Calibri"/>
          <w:sz w:val="24"/>
          <w:szCs w:val="24"/>
        </w:rPr>
        <w:t>During an online Life Academic Conversation event (Women’s Professionals Network, 2021), Amaka C. Offiah shared her experience of entering academia. She recounted facing racist comments, daily micro aggressions, and unspoken social codes</w:t>
      </w:r>
      <w:r w:rsidR="008D1B85">
        <w:rPr>
          <w:rFonts w:ascii="Calibri" w:hAnsi="Calibri" w:cs="Calibri"/>
          <w:sz w:val="24"/>
          <w:szCs w:val="24"/>
        </w:rPr>
        <w:t xml:space="preserve"> </w:t>
      </w:r>
      <w:r w:rsidRPr="00220CF6">
        <w:rPr>
          <w:rFonts w:ascii="Calibri" w:hAnsi="Calibri" w:cs="Calibri"/>
          <w:sz w:val="24"/>
          <w:szCs w:val="24"/>
        </w:rPr>
        <w:t>which made the path to becoming an academic torturous. Offiah emphasised the importance of mentorship stating</w:t>
      </w:r>
      <w:r>
        <w:rPr>
          <w:rFonts w:ascii="Calibri" w:hAnsi="Calibri" w:cs="Calibri"/>
          <w:sz w:val="24"/>
          <w:szCs w:val="24"/>
        </w:rPr>
        <w:t xml:space="preserve">: </w:t>
      </w:r>
      <w:r w:rsidRPr="00220CF6">
        <w:rPr>
          <w:rFonts w:ascii="Calibri" w:hAnsi="Calibri" w:cs="Calibri"/>
          <w:sz w:val="24"/>
          <w:szCs w:val="24"/>
        </w:rPr>
        <w:t>“We all need mentors, even at this level. It really matters</w:t>
      </w:r>
      <w:r w:rsidR="00F4478B">
        <w:rPr>
          <w:rFonts w:ascii="Calibri" w:hAnsi="Calibri" w:cs="Calibri"/>
          <w:sz w:val="24"/>
          <w:szCs w:val="24"/>
        </w:rPr>
        <w:t xml:space="preserve"> - </w:t>
      </w:r>
      <w:r w:rsidRPr="00220CF6">
        <w:rPr>
          <w:rFonts w:ascii="Calibri" w:hAnsi="Calibri" w:cs="Calibri"/>
          <w:sz w:val="24"/>
          <w:szCs w:val="24"/>
        </w:rPr>
        <w:t xml:space="preserve">who you know and who is backing you” </w:t>
      </w:r>
      <w:r>
        <w:rPr>
          <w:rFonts w:ascii="Calibri" w:hAnsi="Calibri" w:cs="Calibri"/>
          <w:sz w:val="24"/>
          <w:szCs w:val="24"/>
        </w:rPr>
        <w:t>(</w:t>
      </w:r>
      <w:r w:rsidR="00AB1ADC">
        <w:rPr>
          <w:rFonts w:ascii="Calibri" w:hAnsi="Calibri" w:cs="Calibri"/>
          <w:sz w:val="24"/>
          <w:szCs w:val="24"/>
        </w:rPr>
        <w:t>ibid.</w:t>
      </w:r>
      <w:r w:rsidRPr="00220CF6">
        <w:rPr>
          <w:rFonts w:ascii="Calibri" w:hAnsi="Calibri" w:cs="Calibri"/>
          <w:sz w:val="24"/>
          <w:szCs w:val="24"/>
        </w:rPr>
        <w:t xml:space="preserve">). She recommended exercising discernment when choosing a mentor, ideally someone in a similar academic field but </w:t>
      </w:r>
      <w:r w:rsidR="00037C6D">
        <w:rPr>
          <w:rFonts w:ascii="Calibri" w:hAnsi="Calibri" w:cs="Calibri"/>
          <w:sz w:val="24"/>
          <w:szCs w:val="24"/>
        </w:rPr>
        <w:t xml:space="preserve">in </w:t>
      </w:r>
      <w:r w:rsidRPr="00220CF6">
        <w:rPr>
          <w:rFonts w:ascii="Calibri" w:hAnsi="Calibri" w:cs="Calibri"/>
          <w:sz w:val="24"/>
          <w:szCs w:val="24"/>
        </w:rPr>
        <w:t>a different discipline.</w:t>
      </w:r>
    </w:p>
    <w:p w14:paraId="79083419" w14:textId="3AABEC26" w:rsidR="00A01E1F" w:rsidRPr="00220CF6" w:rsidRDefault="00A01E1F" w:rsidP="00220CF6">
      <w:pPr>
        <w:spacing w:line="360" w:lineRule="auto"/>
        <w:rPr>
          <w:rFonts w:ascii="Calibri" w:hAnsi="Calibri" w:cs="Calibri"/>
          <w:sz w:val="24"/>
          <w:szCs w:val="24"/>
        </w:rPr>
      </w:pPr>
      <w:r w:rsidRPr="00220CF6">
        <w:rPr>
          <w:rFonts w:ascii="Calibri" w:hAnsi="Calibri" w:cs="Calibri"/>
          <w:sz w:val="24"/>
          <w:szCs w:val="24"/>
        </w:rPr>
        <w:t xml:space="preserve">Throughout my time as an EdD student, I actively sought support from various tour guides. </w:t>
      </w:r>
      <w:r>
        <w:rPr>
          <w:rFonts w:ascii="Calibri" w:hAnsi="Calibri" w:cs="Calibri"/>
          <w:sz w:val="24"/>
          <w:szCs w:val="24"/>
        </w:rPr>
        <w:t>T</w:t>
      </w:r>
      <w:r w:rsidRPr="00220CF6">
        <w:rPr>
          <w:rFonts w:ascii="Calibri" w:hAnsi="Calibri" w:cs="Calibri"/>
          <w:sz w:val="24"/>
          <w:szCs w:val="24"/>
        </w:rPr>
        <w:t xml:space="preserve">he final support group </w:t>
      </w:r>
      <w:r>
        <w:rPr>
          <w:rFonts w:ascii="Calibri" w:hAnsi="Calibri" w:cs="Calibri"/>
          <w:sz w:val="24"/>
          <w:szCs w:val="24"/>
        </w:rPr>
        <w:t xml:space="preserve">standing </w:t>
      </w:r>
      <w:r w:rsidRPr="00220CF6">
        <w:rPr>
          <w:rFonts w:ascii="Calibri" w:hAnsi="Calibri" w:cs="Calibri"/>
          <w:sz w:val="24"/>
          <w:szCs w:val="24"/>
        </w:rPr>
        <w:t xml:space="preserve">was a WhatsApp group. Recently, a deeply creative member of this group shared an advisory warning. </w:t>
      </w:r>
      <w:r>
        <w:rPr>
          <w:rFonts w:ascii="Calibri" w:hAnsi="Calibri" w:cs="Calibri"/>
          <w:sz w:val="24"/>
          <w:szCs w:val="24"/>
        </w:rPr>
        <w:t>C</w:t>
      </w:r>
      <w:r w:rsidRPr="00220CF6">
        <w:rPr>
          <w:rFonts w:ascii="Calibri" w:hAnsi="Calibri" w:cs="Calibri"/>
          <w:sz w:val="24"/>
          <w:szCs w:val="24"/>
        </w:rPr>
        <w:t xml:space="preserve">lose to </w:t>
      </w:r>
      <w:r>
        <w:rPr>
          <w:rFonts w:ascii="Calibri" w:hAnsi="Calibri" w:cs="Calibri"/>
          <w:sz w:val="24"/>
          <w:szCs w:val="24"/>
        </w:rPr>
        <w:t>submission</w:t>
      </w:r>
      <w:r w:rsidRPr="00220CF6">
        <w:rPr>
          <w:rFonts w:ascii="Calibri" w:hAnsi="Calibri" w:cs="Calibri"/>
          <w:sz w:val="24"/>
          <w:szCs w:val="24"/>
        </w:rPr>
        <w:t xml:space="preserve">, they admitted to loving their work but hating the thesis. </w:t>
      </w:r>
      <w:r>
        <w:rPr>
          <w:rFonts w:ascii="Calibri" w:hAnsi="Calibri" w:cs="Calibri"/>
          <w:sz w:val="24"/>
          <w:szCs w:val="24"/>
        </w:rPr>
        <w:t>Deeply impacted by my colleague’s story, I took it to research supervision to process</w:t>
      </w:r>
      <w:r w:rsidR="00D37290">
        <w:rPr>
          <w:rFonts w:ascii="Calibri" w:hAnsi="Calibri" w:cs="Calibri"/>
          <w:sz w:val="24"/>
          <w:szCs w:val="24"/>
        </w:rPr>
        <w:t xml:space="preserve"> (Schultz, 2025)</w:t>
      </w:r>
      <w:r>
        <w:rPr>
          <w:rFonts w:ascii="Calibri" w:hAnsi="Calibri" w:cs="Calibri"/>
          <w:sz w:val="24"/>
          <w:szCs w:val="24"/>
        </w:rPr>
        <w:t xml:space="preserve">. </w:t>
      </w:r>
      <w:r w:rsidRPr="00220CF6">
        <w:rPr>
          <w:rFonts w:ascii="Calibri" w:hAnsi="Calibri" w:cs="Calibri"/>
          <w:sz w:val="24"/>
          <w:szCs w:val="24"/>
        </w:rPr>
        <w:t xml:space="preserve">I speculated that my colleague’s comment was a reaction to the </w:t>
      </w:r>
      <w:r w:rsidR="00FB577D">
        <w:rPr>
          <w:rFonts w:ascii="Calibri" w:hAnsi="Calibri" w:cs="Calibri"/>
          <w:sz w:val="24"/>
          <w:szCs w:val="24"/>
        </w:rPr>
        <w:t xml:space="preserve">rigid </w:t>
      </w:r>
      <w:r w:rsidRPr="00220CF6">
        <w:rPr>
          <w:rFonts w:ascii="Calibri" w:hAnsi="Calibri" w:cs="Calibri"/>
          <w:sz w:val="24"/>
          <w:szCs w:val="24"/>
        </w:rPr>
        <w:t>nature of the doctoral journey</w:t>
      </w:r>
      <w:r>
        <w:rPr>
          <w:rFonts w:ascii="Calibri" w:hAnsi="Calibri" w:cs="Calibri"/>
          <w:sz w:val="24"/>
          <w:szCs w:val="24"/>
        </w:rPr>
        <w:t xml:space="preserve"> </w:t>
      </w:r>
      <w:r w:rsidRPr="00220CF6">
        <w:rPr>
          <w:rFonts w:ascii="Calibri" w:hAnsi="Calibri" w:cs="Calibri"/>
          <w:sz w:val="24"/>
          <w:szCs w:val="24"/>
        </w:rPr>
        <w:t xml:space="preserve">that </w:t>
      </w:r>
      <w:r>
        <w:rPr>
          <w:rFonts w:ascii="Calibri" w:hAnsi="Calibri" w:cs="Calibri"/>
          <w:sz w:val="24"/>
          <w:szCs w:val="24"/>
        </w:rPr>
        <w:t xml:space="preserve">can </w:t>
      </w:r>
      <w:r w:rsidRPr="00220CF6">
        <w:rPr>
          <w:rFonts w:ascii="Calibri" w:hAnsi="Calibri" w:cs="Calibri"/>
          <w:sz w:val="24"/>
          <w:szCs w:val="24"/>
        </w:rPr>
        <w:t>stifle creativity. I empathised, recognising how adhering to strict scholarly conventions distort</w:t>
      </w:r>
      <w:r>
        <w:rPr>
          <w:rFonts w:ascii="Calibri" w:hAnsi="Calibri" w:cs="Calibri"/>
          <w:sz w:val="24"/>
          <w:szCs w:val="24"/>
        </w:rPr>
        <w:t>ed</w:t>
      </w:r>
      <w:r w:rsidRPr="00220CF6">
        <w:rPr>
          <w:rFonts w:ascii="Calibri" w:hAnsi="Calibri" w:cs="Calibri"/>
          <w:sz w:val="24"/>
          <w:szCs w:val="24"/>
        </w:rPr>
        <w:t xml:space="preserve"> the original ideas and stories I wished to tell, leaving them devoid of passion, eros</w:t>
      </w:r>
      <w:r w:rsidR="007676E7">
        <w:rPr>
          <w:rFonts w:ascii="Calibri" w:hAnsi="Calibri" w:cs="Calibri"/>
          <w:sz w:val="24"/>
          <w:szCs w:val="24"/>
        </w:rPr>
        <w:t xml:space="preserve"> </w:t>
      </w:r>
      <w:r w:rsidRPr="00220CF6">
        <w:rPr>
          <w:rFonts w:ascii="Calibri" w:hAnsi="Calibri" w:cs="Calibri"/>
          <w:sz w:val="24"/>
          <w:szCs w:val="24"/>
        </w:rPr>
        <w:t xml:space="preserve">and agency </w:t>
      </w:r>
      <w:r>
        <w:rPr>
          <w:rFonts w:ascii="Calibri" w:hAnsi="Calibri" w:cs="Calibri"/>
          <w:sz w:val="24"/>
          <w:szCs w:val="24"/>
        </w:rPr>
        <w:t xml:space="preserve">which </w:t>
      </w:r>
      <w:r w:rsidRPr="00220CF6">
        <w:rPr>
          <w:rFonts w:ascii="Calibri" w:hAnsi="Calibri" w:cs="Calibri"/>
          <w:sz w:val="24"/>
          <w:szCs w:val="24"/>
        </w:rPr>
        <w:t xml:space="preserve">left me feeling </w:t>
      </w:r>
      <w:r>
        <w:rPr>
          <w:rFonts w:ascii="Calibri" w:hAnsi="Calibri" w:cs="Calibri"/>
          <w:sz w:val="24"/>
          <w:szCs w:val="24"/>
        </w:rPr>
        <w:t>bent out of shape</w:t>
      </w:r>
      <w:r w:rsidRPr="00220CF6">
        <w:rPr>
          <w:rFonts w:ascii="Calibri" w:hAnsi="Calibri" w:cs="Calibri"/>
          <w:sz w:val="24"/>
          <w:szCs w:val="24"/>
        </w:rPr>
        <w:t xml:space="preserve"> at times. In response, my supervisors suggested incorporating a reflective piece between the chapters to maintain my love, passion, and creativity throughout the process.</w:t>
      </w:r>
    </w:p>
    <w:p w14:paraId="4AC3A2E9" w14:textId="3C7077D6" w:rsidR="00A01E1F" w:rsidRPr="00220CF6" w:rsidRDefault="00A01E1F" w:rsidP="00220CF6">
      <w:pPr>
        <w:spacing w:line="360" w:lineRule="auto"/>
        <w:rPr>
          <w:rFonts w:ascii="Calibri" w:hAnsi="Calibri" w:cs="Calibri"/>
          <w:sz w:val="24"/>
          <w:szCs w:val="24"/>
        </w:rPr>
      </w:pPr>
      <w:r w:rsidRPr="00220CF6">
        <w:rPr>
          <w:rFonts w:ascii="Calibri" w:hAnsi="Calibri" w:cs="Calibri"/>
          <w:sz w:val="24"/>
          <w:szCs w:val="24"/>
        </w:rPr>
        <w:t>Reflective stories offer a way to let both the research and the researcher breathe between the formal conventions of academic writing. For me, researcher reflexivity serves as a means of embracing creativity, challenging the myth of researcher neutrality, mediating power dynamics</w:t>
      </w:r>
      <w:r w:rsidR="00544625">
        <w:rPr>
          <w:rFonts w:ascii="Calibri" w:hAnsi="Calibri" w:cs="Calibri"/>
          <w:sz w:val="24"/>
          <w:szCs w:val="24"/>
        </w:rPr>
        <w:t xml:space="preserve"> </w:t>
      </w:r>
      <w:r w:rsidRPr="00220CF6">
        <w:rPr>
          <w:rFonts w:ascii="Calibri" w:hAnsi="Calibri" w:cs="Calibri"/>
          <w:sz w:val="24"/>
          <w:szCs w:val="24"/>
        </w:rPr>
        <w:t xml:space="preserve">and protecting both the researcher and the research from </w:t>
      </w:r>
      <w:r w:rsidR="005712B2">
        <w:rPr>
          <w:rFonts w:ascii="Calibri" w:hAnsi="Calibri" w:cs="Calibri"/>
          <w:sz w:val="24"/>
          <w:szCs w:val="24"/>
        </w:rPr>
        <w:t>bent-out-of-shapeness</w:t>
      </w:r>
      <w:r w:rsidRPr="00220CF6">
        <w:rPr>
          <w:rFonts w:ascii="Calibri" w:hAnsi="Calibri" w:cs="Calibri"/>
          <w:sz w:val="24"/>
          <w:szCs w:val="24"/>
        </w:rPr>
        <w:t>. In this sense, reflexivity acts as “fairy godmothering” within the research process.</w:t>
      </w:r>
    </w:p>
    <w:p w14:paraId="4E4D99FD" w14:textId="35B030A1" w:rsidR="00A01E1F" w:rsidRPr="00220CF6" w:rsidRDefault="00A01E1F" w:rsidP="00220CF6">
      <w:pPr>
        <w:spacing w:line="360" w:lineRule="auto"/>
        <w:rPr>
          <w:rFonts w:ascii="Calibri" w:hAnsi="Calibri" w:cs="Calibri"/>
          <w:sz w:val="24"/>
          <w:szCs w:val="24"/>
        </w:rPr>
      </w:pPr>
      <w:r w:rsidRPr="00220CF6">
        <w:rPr>
          <w:rFonts w:ascii="Calibri" w:hAnsi="Calibri" w:cs="Calibri"/>
          <w:sz w:val="24"/>
          <w:szCs w:val="24"/>
        </w:rPr>
        <w:lastRenderedPageBreak/>
        <w:t>Whil</w:t>
      </w:r>
      <w:r w:rsidR="00745AD8">
        <w:rPr>
          <w:rFonts w:ascii="Calibri" w:hAnsi="Calibri" w:cs="Calibri"/>
          <w:sz w:val="24"/>
          <w:szCs w:val="24"/>
        </w:rPr>
        <w:t>st</w:t>
      </w:r>
      <w:r w:rsidRPr="00220CF6">
        <w:rPr>
          <w:rFonts w:ascii="Calibri" w:hAnsi="Calibri" w:cs="Calibri"/>
          <w:sz w:val="24"/>
          <w:szCs w:val="24"/>
        </w:rPr>
        <w:t xml:space="preserve"> contemplating the role of stories in my professional, research, and personal life, </w:t>
      </w:r>
      <w:r>
        <w:rPr>
          <w:rFonts w:ascii="Calibri" w:hAnsi="Calibri" w:cs="Calibri"/>
          <w:sz w:val="24"/>
          <w:szCs w:val="24"/>
        </w:rPr>
        <w:t xml:space="preserve">out of nowhere, yet out of somewhere, </w:t>
      </w:r>
      <w:r w:rsidRPr="00220CF6">
        <w:rPr>
          <w:rFonts w:ascii="Calibri" w:hAnsi="Calibri" w:cs="Calibri"/>
          <w:sz w:val="24"/>
          <w:szCs w:val="24"/>
        </w:rPr>
        <w:t xml:space="preserve">the tale of </w:t>
      </w:r>
      <w:r w:rsidR="00506CFE">
        <w:rPr>
          <w:rFonts w:ascii="Calibri" w:hAnsi="Calibri" w:cs="Calibri"/>
          <w:sz w:val="24"/>
          <w:szCs w:val="24"/>
        </w:rPr>
        <w:t>“</w:t>
      </w:r>
      <w:r w:rsidRPr="00220CF6">
        <w:rPr>
          <w:rFonts w:ascii="Calibri" w:hAnsi="Calibri" w:cs="Calibri"/>
          <w:sz w:val="24"/>
          <w:szCs w:val="24"/>
        </w:rPr>
        <w:t>Goldilocks and the Three Bears</w:t>
      </w:r>
      <w:r w:rsidR="00506CFE">
        <w:rPr>
          <w:rFonts w:ascii="Calibri" w:hAnsi="Calibri" w:cs="Calibri"/>
          <w:sz w:val="24"/>
          <w:szCs w:val="24"/>
        </w:rPr>
        <w:t xml:space="preserve">” </w:t>
      </w:r>
      <w:r w:rsidRPr="00220CF6">
        <w:rPr>
          <w:rFonts w:ascii="Calibri" w:hAnsi="Calibri" w:cs="Calibri"/>
          <w:sz w:val="24"/>
          <w:szCs w:val="24"/>
        </w:rPr>
        <w:t>came to mind. In Southey’s original version (1837)</w:t>
      </w:r>
      <w:r w:rsidR="0022679E">
        <w:rPr>
          <w:rFonts w:ascii="Calibri" w:hAnsi="Calibri" w:cs="Calibri"/>
          <w:sz w:val="24"/>
          <w:szCs w:val="24"/>
        </w:rPr>
        <w:t xml:space="preserve"> </w:t>
      </w:r>
      <w:r w:rsidRPr="00220CF6">
        <w:rPr>
          <w:rFonts w:ascii="Calibri" w:hAnsi="Calibri" w:cs="Calibri"/>
          <w:sz w:val="24"/>
          <w:szCs w:val="24"/>
        </w:rPr>
        <w:t xml:space="preserve">an old woman invades the home of three bears and </w:t>
      </w:r>
      <w:r>
        <w:rPr>
          <w:rFonts w:ascii="Calibri" w:hAnsi="Calibri" w:cs="Calibri"/>
          <w:sz w:val="24"/>
          <w:szCs w:val="24"/>
        </w:rPr>
        <w:t>finds</w:t>
      </w:r>
      <w:r w:rsidRPr="00220CF6">
        <w:rPr>
          <w:rFonts w:ascii="Calibri" w:hAnsi="Calibri" w:cs="Calibri"/>
          <w:sz w:val="24"/>
          <w:szCs w:val="24"/>
        </w:rPr>
        <w:t xml:space="preserve"> three bowls of porridge</w:t>
      </w:r>
      <w:r w:rsidR="00BB060E">
        <w:rPr>
          <w:rFonts w:ascii="Calibri" w:hAnsi="Calibri" w:cs="Calibri"/>
          <w:sz w:val="24"/>
          <w:szCs w:val="24"/>
        </w:rPr>
        <w:t xml:space="preserve"> - </w:t>
      </w:r>
      <w:r w:rsidR="0022679E">
        <w:rPr>
          <w:rFonts w:ascii="Calibri" w:hAnsi="Calibri" w:cs="Calibri"/>
          <w:sz w:val="24"/>
          <w:szCs w:val="24"/>
        </w:rPr>
        <w:t xml:space="preserve"> </w:t>
      </w:r>
      <w:r w:rsidRPr="00220CF6">
        <w:rPr>
          <w:rFonts w:ascii="Calibri" w:hAnsi="Calibri" w:cs="Calibri"/>
          <w:sz w:val="24"/>
          <w:szCs w:val="24"/>
        </w:rPr>
        <w:t xml:space="preserve">one too hot, one too cold, and one just right. </w:t>
      </w:r>
      <w:r>
        <w:rPr>
          <w:rFonts w:ascii="Calibri" w:hAnsi="Calibri" w:cs="Calibri"/>
          <w:sz w:val="24"/>
          <w:szCs w:val="24"/>
        </w:rPr>
        <w:t xml:space="preserve">In </w:t>
      </w:r>
      <w:r w:rsidRPr="00220CF6">
        <w:rPr>
          <w:rFonts w:ascii="Calibri" w:hAnsi="Calibri" w:cs="Calibri"/>
          <w:sz w:val="24"/>
          <w:szCs w:val="24"/>
        </w:rPr>
        <w:t xml:space="preserve">the “dialectical three” </w:t>
      </w:r>
      <w:r>
        <w:rPr>
          <w:rFonts w:ascii="Calibri" w:hAnsi="Calibri" w:cs="Calibri"/>
          <w:sz w:val="24"/>
          <w:szCs w:val="24"/>
        </w:rPr>
        <w:t xml:space="preserve">(Booker, 2004, p.229) </w:t>
      </w:r>
      <w:r w:rsidRPr="00220CF6">
        <w:rPr>
          <w:rFonts w:ascii="Calibri" w:hAnsi="Calibri" w:cs="Calibri"/>
          <w:sz w:val="24"/>
          <w:szCs w:val="24"/>
        </w:rPr>
        <w:t>sequence in storytelli</w:t>
      </w:r>
      <w:r>
        <w:rPr>
          <w:rFonts w:ascii="Calibri" w:hAnsi="Calibri" w:cs="Calibri"/>
          <w:sz w:val="24"/>
          <w:szCs w:val="24"/>
        </w:rPr>
        <w:t>ng</w:t>
      </w:r>
      <w:r w:rsidRPr="00220CF6">
        <w:rPr>
          <w:rFonts w:ascii="Calibri" w:hAnsi="Calibri" w:cs="Calibri"/>
          <w:sz w:val="24"/>
          <w:szCs w:val="24"/>
        </w:rPr>
        <w:t xml:space="preserve">, the first option is wrong in one way, the second is the opposite and the third, the middle path, is the way forward </w:t>
      </w:r>
      <w:r>
        <w:rPr>
          <w:rFonts w:ascii="Calibri" w:hAnsi="Calibri" w:cs="Calibri"/>
          <w:sz w:val="24"/>
          <w:szCs w:val="24"/>
        </w:rPr>
        <w:t xml:space="preserve">and “is of extraordinary importance in storytelling” </w:t>
      </w:r>
      <w:r w:rsidRPr="00220CF6">
        <w:rPr>
          <w:rFonts w:ascii="Calibri" w:hAnsi="Calibri" w:cs="Calibri"/>
          <w:sz w:val="24"/>
          <w:szCs w:val="24"/>
        </w:rPr>
        <w:t>(</w:t>
      </w:r>
      <w:r w:rsidR="00AB1ADC">
        <w:rPr>
          <w:rFonts w:ascii="Calibri" w:hAnsi="Calibri" w:cs="Calibri"/>
          <w:sz w:val="24"/>
          <w:szCs w:val="24"/>
        </w:rPr>
        <w:t>ibid.</w:t>
      </w:r>
      <w:r w:rsidRPr="00220CF6">
        <w:rPr>
          <w:rFonts w:ascii="Calibri" w:hAnsi="Calibri" w:cs="Calibri"/>
          <w:sz w:val="24"/>
          <w:szCs w:val="24"/>
        </w:rPr>
        <w:t>, p.233). Achieving a story that is “just right” involves balancing the tension between what is known and unknown</w:t>
      </w:r>
      <w:r w:rsidR="00B4544A">
        <w:rPr>
          <w:rFonts w:ascii="Calibri" w:hAnsi="Calibri" w:cs="Calibri"/>
          <w:sz w:val="24"/>
          <w:szCs w:val="24"/>
        </w:rPr>
        <w:t xml:space="preserve"> and </w:t>
      </w:r>
      <w:r w:rsidRPr="00220CF6">
        <w:rPr>
          <w:rFonts w:ascii="Calibri" w:hAnsi="Calibri" w:cs="Calibri"/>
          <w:sz w:val="24"/>
          <w:szCs w:val="24"/>
        </w:rPr>
        <w:t>forging a path</w:t>
      </w:r>
      <w:r w:rsidR="00DC2E8A">
        <w:rPr>
          <w:rFonts w:ascii="Calibri" w:hAnsi="Calibri" w:cs="Calibri"/>
          <w:sz w:val="24"/>
          <w:szCs w:val="24"/>
        </w:rPr>
        <w:t>way</w:t>
      </w:r>
      <w:r w:rsidRPr="00220CF6">
        <w:rPr>
          <w:rFonts w:ascii="Calibri" w:hAnsi="Calibri" w:cs="Calibri"/>
          <w:sz w:val="24"/>
          <w:szCs w:val="24"/>
        </w:rPr>
        <w:t xml:space="preserve"> between opposites. This thesis aims to discover </w:t>
      </w:r>
      <w:r w:rsidR="00976D1F">
        <w:rPr>
          <w:rFonts w:ascii="Calibri" w:hAnsi="Calibri" w:cs="Calibri"/>
          <w:sz w:val="24"/>
          <w:szCs w:val="24"/>
        </w:rPr>
        <w:t>an</w:t>
      </w:r>
      <w:r w:rsidRPr="00220CF6">
        <w:rPr>
          <w:rFonts w:ascii="Calibri" w:hAnsi="Calibri" w:cs="Calibri"/>
          <w:sz w:val="24"/>
          <w:szCs w:val="24"/>
        </w:rPr>
        <w:t xml:space="preserve"> untrodden middle path using reflection as both a guide and a facilitator.</w:t>
      </w:r>
    </w:p>
    <w:p w14:paraId="1219547B" w14:textId="4D430325" w:rsidR="00A01E1F" w:rsidRPr="00220CF6" w:rsidRDefault="00A01E1F" w:rsidP="00220CF6">
      <w:pPr>
        <w:spacing w:line="360" w:lineRule="auto"/>
        <w:rPr>
          <w:rFonts w:ascii="Calibri" w:hAnsi="Calibri" w:cs="Calibri"/>
          <w:sz w:val="24"/>
          <w:szCs w:val="24"/>
        </w:rPr>
      </w:pPr>
      <w:r w:rsidRPr="00220CF6">
        <w:rPr>
          <w:rFonts w:ascii="Calibri" w:hAnsi="Calibri" w:cs="Calibri"/>
          <w:sz w:val="24"/>
          <w:szCs w:val="24"/>
        </w:rPr>
        <w:t xml:space="preserve">In Southey’s version, the bears are portrayed as benign and </w:t>
      </w:r>
      <w:r>
        <w:rPr>
          <w:rFonts w:ascii="Calibri" w:hAnsi="Calibri" w:cs="Calibri"/>
          <w:sz w:val="24"/>
          <w:szCs w:val="24"/>
        </w:rPr>
        <w:t>kind</w:t>
      </w:r>
      <w:r w:rsidRPr="00220CF6">
        <w:rPr>
          <w:rFonts w:ascii="Calibri" w:hAnsi="Calibri" w:cs="Calibri"/>
          <w:sz w:val="24"/>
          <w:szCs w:val="24"/>
        </w:rPr>
        <w:t xml:space="preserve">, while the </w:t>
      </w:r>
      <w:r>
        <w:rPr>
          <w:rFonts w:ascii="Calibri" w:hAnsi="Calibri" w:cs="Calibri"/>
          <w:sz w:val="24"/>
          <w:szCs w:val="24"/>
        </w:rPr>
        <w:t xml:space="preserve">old woman </w:t>
      </w:r>
      <w:r w:rsidRPr="00220CF6">
        <w:rPr>
          <w:rFonts w:ascii="Calibri" w:hAnsi="Calibri" w:cs="Calibri"/>
          <w:sz w:val="24"/>
          <w:szCs w:val="24"/>
        </w:rPr>
        <w:t>is depicted as invasive and mean. After her misdeeds are discovered, she escapes through an open window leaving the reader to wonder about her fate</w:t>
      </w:r>
      <w:r w:rsidR="00813219">
        <w:rPr>
          <w:rFonts w:ascii="Calibri" w:hAnsi="Calibri" w:cs="Calibri"/>
          <w:sz w:val="24"/>
          <w:szCs w:val="24"/>
        </w:rPr>
        <w:t xml:space="preserve"> - </w:t>
      </w:r>
      <w:r w:rsidRPr="00220CF6">
        <w:rPr>
          <w:rFonts w:ascii="Calibri" w:hAnsi="Calibri" w:cs="Calibri"/>
          <w:sz w:val="24"/>
          <w:szCs w:val="24"/>
        </w:rPr>
        <w:t xml:space="preserve">whether imprisonment or a fatal fall (Southey, 1837). An earlier handwritten version by Mure (1831) </w:t>
      </w:r>
      <w:r w:rsidR="008223CE">
        <w:rPr>
          <w:rFonts w:ascii="Calibri" w:hAnsi="Calibri" w:cs="Calibri"/>
          <w:sz w:val="24"/>
          <w:szCs w:val="24"/>
        </w:rPr>
        <w:t>depicts</w:t>
      </w:r>
      <w:r w:rsidRPr="00220CF6">
        <w:rPr>
          <w:rFonts w:ascii="Calibri" w:hAnsi="Calibri" w:cs="Calibri"/>
          <w:sz w:val="24"/>
          <w:szCs w:val="24"/>
        </w:rPr>
        <w:t xml:space="preserve"> an even harsher outcome</w:t>
      </w:r>
      <w:r>
        <w:rPr>
          <w:rFonts w:ascii="Calibri" w:hAnsi="Calibri" w:cs="Calibri"/>
          <w:sz w:val="24"/>
          <w:szCs w:val="24"/>
        </w:rPr>
        <w:t>:</w:t>
      </w:r>
      <w:r w:rsidRPr="00220CF6">
        <w:rPr>
          <w:rFonts w:ascii="Calibri" w:hAnsi="Calibri" w:cs="Calibri"/>
          <w:sz w:val="24"/>
          <w:szCs w:val="24"/>
        </w:rPr>
        <w:t xml:space="preserve"> the bears punish the old woman by attempting to burn and drown her and ultimately throw her off the steeple of St Paul’s Cathedral</w:t>
      </w:r>
      <w:r>
        <w:rPr>
          <w:rFonts w:ascii="Calibri" w:hAnsi="Calibri" w:cs="Calibri"/>
          <w:sz w:val="24"/>
          <w:szCs w:val="24"/>
        </w:rPr>
        <w:t xml:space="preserve"> (</w:t>
      </w:r>
      <w:r w:rsidR="00AB1ADC">
        <w:rPr>
          <w:rFonts w:ascii="Calibri" w:hAnsi="Calibri" w:cs="Calibri"/>
          <w:sz w:val="24"/>
          <w:szCs w:val="24"/>
        </w:rPr>
        <w:t>ibid.</w:t>
      </w:r>
      <w:r>
        <w:rPr>
          <w:rFonts w:ascii="Calibri" w:hAnsi="Calibri" w:cs="Calibri"/>
          <w:sz w:val="24"/>
          <w:szCs w:val="24"/>
        </w:rPr>
        <w:t>)</w:t>
      </w:r>
      <w:r w:rsidRPr="00220CF6">
        <w:rPr>
          <w:rFonts w:ascii="Calibri" w:hAnsi="Calibri" w:cs="Calibri"/>
          <w:sz w:val="24"/>
          <w:szCs w:val="24"/>
        </w:rPr>
        <w:t>.</w:t>
      </w:r>
      <w:r>
        <w:rPr>
          <w:rFonts w:ascii="Calibri" w:hAnsi="Calibri" w:cs="Calibri"/>
          <w:sz w:val="24"/>
          <w:szCs w:val="24"/>
        </w:rPr>
        <w:t xml:space="preserve"> </w:t>
      </w:r>
      <w:r w:rsidRPr="00220CF6">
        <w:rPr>
          <w:rFonts w:ascii="Calibri" w:hAnsi="Calibri" w:cs="Calibri"/>
          <w:sz w:val="24"/>
          <w:szCs w:val="24"/>
        </w:rPr>
        <w:t>Whenever an untrodden path beckons, whether in a fairy tale or a research tale,</w:t>
      </w:r>
      <w:r w:rsidRPr="001D557D">
        <w:rPr>
          <w:rFonts w:ascii="Calibri" w:hAnsi="Calibri" w:cs="Calibri"/>
          <w:sz w:val="24"/>
          <w:szCs w:val="24"/>
        </w:rPr>
        <w:t xml:space="preserve"> there exists the potential for creativity and growth, as well </w:t>
      </w:r>
      <w:r>
        <w:rPr>
          <w:rFonts w:ascii="Calibri" w:hAnsi="Calibri" w:cs="Calibri"/>
          <w:sz w:val="24"/>
          <w:szCs w:val="24"/>
        </w:rPr>
        <w:t xml:space="preserve">as hidden dangers for the hero such </w:t>
      </w:r>
      <w:r w:rsidRPr="001D557D">
        <w:rPr>
          <w:rFonts w:ascii="Calibri" w:hAnsi="Calibri" w:cs="Calibri"/>
          <w:sz w:val="24"/>
          <w:szCs w:val="24"/>
        </w:rPr>
        <w:t xml:space="preserve">as the risk of being scalded by someone else’s carefully guarded porridge. </w:t>
      </w:r>
      <w:r>
        <w:rPr>
          <w:rFonts w:ascii="Calibri" w:hAnsi="Calibri" w:cs="Calibri"/>
          <w:sz w:val="24"/>
          <w:szCs w:val="24"/>
        </w:rPr>
        <w:t xml:space="preserve">When reflecting on my position as a neophyte researcher (Schultz, 2025a) I realise that whether the bowl of porridge is “just right” is a matter of taste. A reflective researcher </w:t>
      </w:r>
      <w:r w:rsidR="00152607">
        <w:rPr>
          <w:rFonts w:ascii="Calibri" w:hAnsi="Calibri" w:cs="Calibri"/>
          <w:sz w:val="24"/>
          <w:szCs w:val="24"/>
        </w:rPr>
        <w:t xml:space="preserve">introduces </w:t>
      </w:r>
      <w:r w:rsidR="00653F29">
        <w:rPr>
          <w:rFonts w:ascii="Calibri" w:hAnsi="Calibri" w:cs="Calibri"/>
          <w:sz w:val="24"/>
          <w:szCs w:val="24"/>
        </w:rPr>
        <w:t>new</w:t>
      </w:r>
      <w:r>
        <w:rPr>
          <w:rFonts w:ascii="Calibri" w:hAnsi="Calibri" w:cs="Calibri"/>
          <w:sz w:val="24"/>
          <w:szCs w:val="24"/>
        </w:rPr>
        <w:t xml:space="preserve"> flavour</w:t>
      </w:r>
      <w:r w:rsidR="00653F29">
        <w:rPr>
          <w:rFonts w:ascii="Calibri" w:hAnsi="Calibri" w:cs="Calibri"/>
          <w:sz w:val="24"/>
          <w:szCs w:val="24"/>
        </w:rPr>
        <w:t>s</w:t>
      </w:r>
      <w:r>
        <w:rPr>
          <w:rFonts w:ascii="Calibri" w:hAnsi="Calibri" w:cs="Calibri"/>
          <w:sz w:val="24"/>
          <w:szCs w:val="24"/>
        </w:rPr>
        <w:t xml:space="preserve"> and taste</w:t>
      </w:r>
      <w:r w:rsidR="00653F29">
        <w:rPr>
          <w:rFonts w:ascii="Calibri" w:hAnsi="Calibri" w:cs="Calibri"/>
          <w:sz w:val="24"/>
          <w:szCs w:val="24"/>
        </w:rPr>
        <w:t>s</w:t>
      </w:r>
      <w:r>
        <w:rPr>
          <w:rFonts w:ascii="Calibri" w:hAnsi="Calibri" w:cs="Calibri"/>
          <w:sz w:val="24"/>
          <w:szCs w:val="24"/>
        </w:rPr>
        <w:t xml:space="preserve"> </w:t>
      </w:r>
      <w:r w:rsidR="00E80BC9">
        <w:rPr>
          <w:rFonts w:ascii="Calibri" w:hAnsi="Calibri" w:cs="Calibri"/>
          <w:sz w:val="24"/>
          <w:szCs w:val="24"/>
        </w:rPr>
        <w:t xml:space="preserve">to </w:t>
      </w:r>
      <w:r>
        <w:rPr>
          <w:rFonts w:ascii="Calibri" w:hAnsi="Calibri" w:cs="Calibri"/>
          <w:sz w:val="24"/>
          <w:szCs w:val="24"/>
        </w:rPr>
        <w:t>the research rendering them an invader of the known territory, and there may be consequences.</w:t>
      </w:r>
    </w:p>
    <w:p w14:paraId="1087F5B0" w14:textId="644A6689" w:rsidR="008E1826" w:rsidRDefault="00A01E1F" w:rsidP="00DC2E05">
      <w:pPr>
        <w:spacing w:line="360" w:lineRule="auto"/>
        <w:rPr>
          <w:rFonts w:ascii="Calibri" w:hAnsi="Calibri" w:cs="Calibri"/>
          <w:sz w:val="24"/>
          <w:szCs w:val="24"/>
        </w:rPr>
      </w:pPr>
      <w:r w:rsidRPr="00220CF6">
        <w:rPr>
          <w:rFonts w:ascii="Calibri" w:hAnsi="Calibri" w:cs="Calibri"/>
          <w:sz w:val="24"/>
          <w:szCs w:val="24"/>
        </w:rPr>
        <w:t>The next chapter explor</w:t>
      </w:r>
      <w:r>
        <w:rPr>
          <w:rFonts w:ascii="Calibri" w:hAnsi="Calibri" w:cs="Calibri"/>
          <w:sz w:val="24"/>
          <w:szCs w:val="24"/>
        </w:rPr>
        <w:t>es</w:t>
      </w:r>
      <w:r w:rsidRPr="00220CF6">
        <w:rPr>
          <w:rFonts w:ascii="Calibri" w:hAnsi="Calibri" w:cs="Calibri"/>
          <w:sz w:val="24"/>
          <w:szCs w:val="24"/>
        </w:rPr>
        <w:t xml:space="preserve"> whether cognition, emotions, reflective practice</w:t>
      </w:r>
      <w:r w:rsidR="001329B1">
        <w:rPr>
          <w:rFonts w:ascii="Calibri" w:hAnsi="Calibri" w:cs="Calibri"/>
          <w:sz w:val="24"/>
          <w:szCs w:val="24"/>
        </w:rPr>
        <w:t xml:space="preserve"> </w:t>
      </w:r>
      <w:r w:rsidRPr="00220CF6">
        <w:rPr>
          <w:rFonts w:ascii="Calibri" w:hAnsi="Calibri" w:cs="Calibri"/>
          <w:sz w:val="24"/>
          <w:szCs w:val="24"/>
        </w:rPr>
        <w:t xml:space="preserve">and the </w:t>
      </w:r>
      <w:r>
        <w:rPr>
          <w:rFonts w:ascii="Calibri" w:hAnsi="Calibri" w:cs="Calibri"/>
          <w:sz w:val="24"/>
          <w:szCs w:val="24"/>
        </w:rPr>
        <w:t xml:space="preserve">university </w:t>
      </w:r>
      <w:r w:rsidRPr="00220CF6">
        <w:rPr>
          <w:rFonts w:ascii="Calibri" w:hAnsi="Calibri" w:cs="Calibri"/>
          <w:sz w:val="24"/>
          <w:szCs w:val="24"/>
        </w:rPr>
        <w:t xml:space="preserve">can work collaboratively, or if they might instead clash, leading to adversarial battles where one or the other is metaphorically </w:t>
      </w:r>
      <w:r w:rsidR="0032708C">
        <w:rPr>
          <w:rFonts w:ascii="Calibri" w:hAnsi="Calibri" w:cs="Calibri"/>
          <w:sz w:val="24"/>
          <w:szCs w:val="24"/>
        </w:rPr>
        <w:t>“</w:t>
      </w:r>
      <w:r w:rsidRPr="00220CF6">
        <w:rPr>
          <w:rFonts w:ascii="Calibri" w:hAnsi="Calibri" w:cs="Calibri"/>
          <w:sz w:val="24"/>
          <w:szCs w:val="24"/>
        </w:rPr>
        <w:t>cast aloft from St Paul’s churchyard steeple” (Mure, 1831/2010, p.30). Thus, the hero’s journey begins…</w:t>
      </w:r>
    </w:p>
    <w:p w14:paraId="6E6CEDE3" w14:textId="77777777" w:rsidR="008E1826" w:rsidRDefault="008E1826" w:rsidP="007F5525">
      <w:pPr>
        <w:rPr>
          <w:rFonts w:ascii="Calibri" w:hAnsi="Calibri" w:cs="Calibri"/>
          <w:sz w:val="24"/>
          <w:szCs w:val="24"/>
        </w:rPr>
      </w:pPr>
    </w:p>
    <w:p w14:paraId="1AF2E05C" w14:textId="77777777" w:rsidR="00B86D7F" w:rsidRDefault="00B86D7F" w:rsidP="00B86D7F">
      <w:pPr>
        <w:rPr>
          <w:rFonts w:ascii="Calibri" w:eastAsia="Calibri" w:hAnsi="Calibri" w:cs="Times New Roman"/>
          <w:sz w:val="72"/>
          <w:szCs w:val="72"/>
        </w:rPr>
      </w:pPr>
    </w:p>
    <w:p w14:paraId="7D6576F9" w14:textId="77777777" w:rsidR="00EE2372" w:rsidRDefault="00EE2372" w:rsidP="00B86D7F">
      <w:pPr>
        <w:rPr>
          <w:rFonts w:ascii="Calibri" w:eastAsia="Calibri" w:hAnsi="Calibri" w:cs="Times New Roman"/>
          <w:sz w:val="72"/>
          <w:szCs w:val="72"/>
        </w:rPr>
      </w:pPr>
    </w:p>
    <w:p w14:paraId="5976EDC3" w14:textId="77777777" w:rsidR="00EE2372" w:rsidRDefault="00EE2372" w:rsidP="00B86D7F">
      <w:pPr>
        <w:rPr>
          <w:rFonts w:ascii="Calibri" w:eastAsia="Calibri" w:hAnsi="Calibri" w:cs="Times New Roman"/>
          <w:sz w:val="72"/>
          <w:szCs w:val="72"/>
        </w:rPr>
      </w:pPr>
    </w:p>
    <w:p w14:paraId="1A207999" w14:textId="77777777" w:rsidR="00EE2372" w:rsidRDefault="00EE2372" w:rsidP="00B86D7F">
      <w:pPr>
        <w:rPr>
          <w:rFonts w:ascii="Calibri" w:eastAsia="Calibri" w:hAnsi="Calibri" w:cs="Times New Roman"/>
          <w:sz w:val="72"/>
          <w:szCs w:val="72"/>
        </w:rPr>
      </w:pPr>
    </w:p>
    <w:p w14:paraId="03EE784F" w14:textId="77777777" w:rsidR="00EE2372" w:rsidRDefault="00EE2372" w:rsidP="00B86D7F">
      <w:pPr>
        <w:rPr>
          <w:rFonts w:ascii="Calibri" w:eastAsia="Calibri" w:hAnsi="Calibri" w:cs="Times New Roman"/>
          <w:sz w:val="72"/>
          <w:szCs w:val="72"/>
        </w:rPr>
      </w:pPr>
    </w:p>
    <w:p w14:paraId="421A835E" w14:textId="77777777" w:rsidR="00EE2372" w:rsidRDefault="00EE2372" w:rsidP="00B86D7F">
      <w:pPr>
        <w:rPr>
          <w:rFonts w:ascii="Calibri" w:eastAsia="Calibri" w:hAnsi="Calibri" w:cs="Times New Roman"/>
          <w:sz w:val="72"/>
          <w:szCs w:val="72"/>
        </w:rPr>
      </w:pPr>
    </w:p>
    <w:p w14:paraId="2A42667B" w14:textId="77777777" w:rsidR="00EE2372" w:rsidRDefault="00EE2372" w:rsidP="00B86D7F">
      <w:pPr>
        <w:rPr>
          <w:rFonts w:ascii="Calibri" w:eastAsia="Calibri" w:hAnsi="Calibri" w:cs="Times New Roman"/>
          <w:sz w:val="56"/>
          <w:szCs w:val="56"/>
        </w:rPr>
      </w:pPr>
    </w:p>
    <w:p w14:paraId="1BCF1D22" w14:textId="794659E0" w:rsidR="00EB7F5B" w:rsidRPr="00B86D7F" w:rsidRDefault="00B86D7F" w:rsidP="000057D3">
      <w:pPr>
        <w:ind w:left="720" w:firstLine="720"/>
        <w:rPr>
          <w:rFonts w:ascii="Calibri" w:eastAsia="Calibri" w:hAnsi="Calibri" w:cs="Times New Roman"/>
          <w:sz w:val="56"/>
          <w:szCs w:val="56"/>
        </w:rPr>
      </w:pPr>
      <w:r w:rsidRPr="00B86D7F">
        <w:rPr>
          <w:rFonts w:ascii="Calibri" w:eastAsia="Calibri" w:hAnsi="Calibri" w:cs="Times New Roman"/>
          <w:sz w:val="56"/>
          <w:szCs w:val="56"/>
        </w:rPr>
        <w:t>Chapter Two: The</w:t>
      </w:r>
      <w:r w:rsidR="007F5525" w:rsidRPr="00B86D7F">
        <w:rPr>
          <w:rFonts w:ascii="Calibri" w:eastAsia="Calibri" w:hAnsi="Calibri" w:cs="Times New Roman"/>
          <w:sz w:val="56"/>
          <w:szCs w:val="56"/>
        </w:rPr>
        <w:t xml:space="preserve"> Crossing</w:t>
      </w:r>
    </w:p>
    <w:p w14:paraId="739D714C" w14:textId="77777777" w:rsidR="00EB7F5B" w:rsidRDefault="00EB7F5B" w:rsidP="00944FC6">
      <w:pPr>
        <w:jc w:val="center"/>
        <w:rPr>
          <w:rFonts w:ascii="Calibri" w:eastAsia="Calibri" w:hAnsi="Calibri" w:cs="Times New Roman"/>
          <w:sz w:val="32"/>
          <w:szCs w:val="32"/>
        </w:rPr>
      </w:pPr>
    </w:p>
    <w:p w14:paraId="7A10698A" w14:textId="77777777" w:rsidR="00EB7F5B" w:rsidRDefault="00EB7F5B" w:rsidP="00944FC6">
      <w:pPr>
        <w:jc w:val="center"/>
        <w:rPr>
          <w:rFonts w:ascii="Calibri" w:eastAsia="Calibri" w:hAnsi="Calibri" w:cs="Times New Roman"/>
          <w:sz w:val="32"/>
          <w:szCs w:val="32"/>
        </w:rPr>
      </w:pPr>
    </w:p>
    <w:p w14:paraId="62ADD9ED" w14:textId="77777777" w:rsidR="00EB7F5B" w:rsidRDefault="00EB7F5B" w:rsidP="00944FC6">
      <w:pPr>
        <w:jc w:val="center"/>
        <w:rPr>
          <w:rFonts w:ascii="Calibri" w:eastAsia="Calibri" w:hAnsi="Calibri" w:cs="Times New Roman"/>
          <w:sz w:val="32"/>
          <w:szCs w:val="32"/>
        </w:rPr>
      </w:pPr>
    </w:p>
    <w:p w14:paraId="428E509C" w14:textId="77777777" w:rsidR="00EB7F5B" w:rsidRDefault="00EB7F5B" w:rsidP="00944FC6">
      <w:pPr>
        <w:jc w:val="center"/>
        <w:rPr>
          <w:rFonts w:ascii="Calibri" w:eastAsia="Calibri" w:hAnsi="Calibri" w:cs="Times New Roman"/>
          <w:sz w:val="32"/>
          <w:szCs w:val="32"/>
        </w:rPr>
      </w:pPr>
    </w:p>
    <w:p w14:paraId="5D026136" w14:textId="77777777" w:rsidR="00DC2E05" w:rsidRDefault="00DC2E05" w:rsidP="00944FC6">
      <w:pPr>
        <w:jc w:val="center"/>
        <w:rPr>
          <w:rFonts w:ascii="Calibri" w:eastAsia="Calibri" w:hAnsi="Calibri" w:cs="Times New Roman"/>
          <w:sz w:val="32"/>
          <w:szCs w:val="32"/>
        </w:rPr>
      </w:pPr>
    </w:p>
    <w:p w14:paraId="38312B30" w14:textId="77777777" w:rsidR="00DC2E05" w:rsidRDefault="00DC2E05" w:rsidP="00944FC6">
      <w:pPr>
        <w:jc w:val="center"/>
        <w:rPr>
          <w:rFonts w:ascii="Calibri" w:eastAsia="Calibri" w:hAnsi="Calibri" w:cs="Times New Roman"/>
          <w:sz w:val="32"/>
          <w:szCs w:val="32"/>
        </w:rPr>
      </w:pPr>
    </w:p>
    <w:p w14:paraId="6CE225E0" w14:textId="77777777" w:rsidR="00DC2E05" w:rsidRDefault="00DC2E05" w:rsidP="00944FC6">
      <w:pPr>
        <w:jc w:val="center"/>
        <w:rPr>
          <w:rFonts w:ascii="Calibri" w:eastAsia="Calibri" w:hAnsi="Calibri" w:cs="Times New Roman"/>
          <w:sz w:val="32"/>
          <w:szCs w:val="32"/>
        </w:rPr>
      </w:pPr>
    </w:p>
    <w:p w14:paraId="6EE1A2A3" w14:textId="77777777" w:rsidR="00DC2E05" w:rsidRDefault="00DC2E05" w:rsidP="00944FC6">
      <w:pPr>
        <w:jc w:val="center"/>
        <w:rPr>
          <w:rFonts w:ascii="Calibri" w:eastAsia="Calibri" w:hAnsi="Calibri" w:cs="Times New Roman"/>
          <w:sz w:val="32"/>
          <w:szCs w:val="32"/>
        </w:rPr>
      </w:pPr>
    </w:p>
    <w:p w14:paraId="03CBB1E8" w14:textId="77777777" w:rsidR="00DC2E05" w:rsidRDefault="00DC2E05" w:rsidP="00944FC6">
      <w:pPr>
        <w:jc w:val="center"/>
        <w:rPr>
          <w:rFonts w:ascii="Calibri" w:eastAsia="Calibri" w:hAnsi="Calibri" w:cs="Times New Roman"/>
          <w:sz w:val="32"/>
          <w:szCs w:val="32"/>
        </w:rPr>
      </w:pPr>
    </w:p>
    <w:p w14:paraId="3EF74A23" w14:textId="77777777" w:rsidR="00341D6C" w:rsidRDefault="00341D6C" w:rsidP="00944FC6">
      <w:pPr>
        <w:jc w:val="center"/>
        <w:rPr>
          <w:rFonts w:ascii="Calibri" w:eastAsia="Calibri" w:hAnsi="Calibri" w:cs="Times New Roman"/>
          <w:sz w:val="32"/>
          <w:szCs w:val="32"/>
        </w:rPr>
      </w:pPr>
    </w:p>
    <w:p w14:paraId="35C4EB6D" w14:textId="77777777" w:rsidR="00831A84" w:rsidRDefault="00831A84" w:rsidP="00E15B6E">
      <w:pPr>
        <w:rPr>
          <w:rFonts w:ascii="Calibri" w:eastAsia="Calibri" w:hAnsi="Calibri" w:cs="Times New Roman"/>
          <w:sz w:val="32"/>
          <w:szCs w:val="32"/>
        </w:rPr>
      </w:pPr>
    </w:p>
    <w:p w14:paraId="0AD9919B" w14:textId="77777777" w:rsidR="007F165D" w:rsidRPr="007F165D" w:rsidRDefault="007F165D" w:rsidP="007F165D">
      <w:pPr>
        <w:ind w:left="2160" w:firstLine="720"/>
        <w:rPr>
          <w:rFonts w:ascii="Calibri" w:eastAsia="Calibri" w:hAnsi="Calibri" w:cs="Times New Roman"/>
          <w:b/>
          <w:bCs/>
          <w:sz w:val="28"/>
          <w:szCs w:val="28"/>
        </w:rPr>
      </w:pPr>
      <w:r w:rsidRPr="007F165D">
        <w:rPr>
          <w:rFonts w:ascii="Calibri" w:eastAsia="Calibri" w:hAnsi="Calibri" w:cs="Times New Roman"/>
          <w:b/>
          <w:bCs/>
          <w:sz w:val="28"/>
          <w:szCs w:val="28"/>
        </w:rPr>
        <w:lastRenderedPageBreak/>
        <w:t>Chapter Two: The Crossing</w:t>
      </w:r>
    </w:p>
    <w:p w14:paraId="7D1CA3C5" w14:textId="77777777" w:rsidR="00EE2372" w:rsidRPr="007F165D" w:rsidRDefault="00EE2372" w:rsidP="00E15B6E">
      <w:pPr>
        <w:rPr>
          <w:rFonts w:ascii="Calibri" w:eastAsia="Calibri" w:hAnsi="Calibri" w:cs="Times New Roman"/>
          <w:sz w:val="28"/>
          <w:szCs w:val="28"/>
        </w:rPr>
      </w:pPr>
    </w:p>
    <w:p w14:paraId="7DFFD72A" w14:textId="376B8A7E" w:rsidR="003B5D2C" w:rsidRPr="003B5D2C" w:rsidRDefault="003B5D2C" w:rsidP="00E9165C">
      <w:pPr>
        <w:spacing w:line="360" w:lineRule="auto"/>
        <w:rPr>
          <w:rFonts w:ascii="Calibri" w:eastAsia="Calibri" w:hAnsi="Calibri" w:cs="Times New Roman"/>
          <w:b/>
          <w:bCs/>
          <w:sz w:val="24"/>
          <w:szCs w:val="24"/>
        </w:rPr>
      </w:pPr>
      <w:r w:rsidRPr="003B5D2C">
        <w:rPr>
          <w:rFonts w:ascii="Calibri" w:eastAsia="Calibri" w:hAnsi="Calibri" w:cs="Times New Roman"/>
          <w:b/>
          <w:bCs/>
          <w:sz w:val="24"/>
          <w:szCs w:val="24"/>
        </w:rPr>
        <w:t>Introduction</w:t>
      </w:r>
    </w:p>
    <w:p w14:paraId="77D5152F" w14:textId="0F0CAD95" w:rsidR="00EB7F5B" w:rsidRPr="00D363A1" w:rsidRDefault="00EB7F5B" w:rsidP="00E9165C">
      <w:pPr>
        <w:spacing w:line="360" w:lineRule="auto"/>
        <w:rPr>
          <w:rFonts w:ascii="Calibri" w:eastAsia="Calibri" w:hAnsi="Calibri" w:cs="Times New Roman"/>
          <w:sz w:val="24"/>
          <w:szCs w:val="24"/>
        </w:rPr>
      </w:pPr>
      <w:r w:rsidRPr="00F1420A">
        <w:rPr>
          <w:rFonts w:ascii="Calibri" w:eastAsia="Calibri" w:hAnsi="Calibri" w:cs="Times New Roman"/>
          <w:sz w:val="24"/>
          <w:szCs w:val="24"/>
        </w:rPr>
        <w:t>Th</w:t>
      </w:r>
      <w:r>
        <w:rPr>
          <w:rFonts w:ascii="Calibri" w:eastAsia="Calibri" w:hAnsi="Calibri" w:cs="Times New Roman"/>
          <w:sz w:val="24"/>
          <w:szCs w:val="24"/>
        </w:rPr>
        <w:t xml:space="preserve">is </w:t>
      </w:r>
      <w:r w:rsidRPr="00F1420A">
        <w:rPr>
          <w:rFonts w:ascii="Calibri" w:eastAsia="Calibri" w:hAnsi="Calibri" w:cs="Times New Roman"/>
          <w:sz w:val="24"/>
          <w:szCs w:val="24"/>
        </w:rPr>
        <w:t xml:space="preserve">chapter </w:t>
      </w:r>
      <w:r>
        <w:rPr>
          <w:rFonts w:ascii="Calibri" w:eastAsia="Calibri" w:hAnsi="Calibri" w:cs="Times New Roman"/>
          <w:sz w:val="24"/>
          <w:szCs w:val="24"/>
        </w:rPr>
        <w:t>provides</w:t>
      </w:r>
      <w:r w:rsidRPr="00F1420A">
        <w:rPr>
          <w:rFonts w:ascii="Calibri" w:eastAsia="Calibri" w:hAnsi="Calibri" w:cs="Times New Roman"/>
          <w:sz w:val="24"/>
          <w:szCs w:val="24"/>
        </w:rPr>
        <w:t xml:space="preserve"> a miniature literature review of the university landscape. </w:t>
      </w:r>
      <w:r w:rsidRPr="00A1453F">
        <w:rPr>
          <w:rFonts w:ascii="Calibri" w:eastAsia="Calibri" w:hAnsi="Calibri" w:cs="Times New Roman"/>
          <w:sz w:val="24"/>
          <w:szCs w:val="24"/>
        </w:rPr>
        <w:t>T</w:t>
      </w:r>
      <w:r>
        <w:rPr>
          <w:rFonts w:ascii="Calibri" w:eastAsia="Calibri" w:hAnsi="Calibri" w:cs="Times New Roman"/>
          <w:sz w:val="24"/>
          <w:szCs w:val="24"/>
        </w:rPr>
        <w:t>he context in educational research</w:t>
      </w:r>
      <w:r w:rsidRPr="00051192">
        <w:rPr>
          <w:rFonts w:ascii="Calibri" w:eastAsia="Calibri" w:hAnsi="Calibri" w:cs="Times New Roman"/>
          <w:sz w:val="24"/>
          <w:szCs w:val="24"/>
        </w:rPr>
        <w:t xml:space="preserve"> </w:t>
      </w:r>
      <w:r>
        <w:rPr>
          <w:rFonts w:ascii="Calibri" w:eastAsia="Calibri" w:hAnsi="Calibri" w:cs="Times New Roman"/>
          <w:sz w:val="24"/>
          <w:szCs w:val="24"/>
        </w:rPr>
        <w:t xml:space="preserve">provides </w:t>
      </w:r>
      <w:r w:rsidRPr="00051192">
        <w:rPr>
          <w:rFonts w:ascii="Calibri" w:eastAsia="Calibri" w:hAnsi="Calibri" w:cs="Times New Roman"/>
          <w:sz w:val="24"/>
          <w:szCs w:val="24"/>
        </w:rPr>
        <w:t xml:space="preserve">a wider understanding </w:t>
      </w:r>
      <w:r w:rsidRPr="00884954">
        <w:rPr>
          <w:rFonts w:ascii="Calibri" w:eastAsia="Calibri" w:hAnsi="Calibri" w:cs="Times New Roman"/>
          <w:sz w:val="24"/>
          <w:szCs w:val="24"/>
        </w:rPr>
        <w:t xml:space="preserve">(Wellington, 2015) </w:t>
      </w:r>
      <w:r>
        <w:rPr>
          <w:rFonts w:ascii="Calibri" w:eastAsia="Calibri" w:hAnsi="Calibri" w:cs="Times New Roman"/>
          <w:sz w:val="24"/>
          <w:szCs w:val="24"/>
        </w:rPr>
        <w:t xml:space="preserve">by </w:t>
      </w:r>
      <w:r w:rsidRPr="0063198D">
        <w:rPr>
          <w:rFonts w:ascii="Calibri" w:eastAsia="Calibri" w:hAnsi="Calibri" w:cs="Times New Roman"/>
          <w:sz w:val="24"/>
          <w:szCs w:val="24"/>
        </w:rPr>
        <w:t>situat</w:t>
      </w:r>
      <w:r>
        <w:rPr>
          <w:rFonts w:ascii="Calibri" w:eastAsia="Calibri" w:hAnsi="Calibri" w:cs="Times New Roman"/>
          <w:sz w:val="24"/>
          <w:szCs w:val="24"/>
        </w:rPr>
        <w:t>ing</w:t>
      </w:r>
      <w:r w:rsidRPr="0063198D">
        <w:rPr>
          <w:rFonts w:ascii="Calibri" w:eastAsia="Calibri" w:hAnsi="Calibri" w:cs="Times New Roman"/>
          <w:sz w:val="24"/>
          <w:szCs w:val="24"/>
        </w:rPr>
        <w:t xml:space="preserve"> the subject to be explored in its present </w:t>
      </w:r>
      <w:r w:rsidRPr="002838CD">
        <w:rPr>
          <w:rFonts w:ascii="Calibri" w:eastAsia="Calibri" w:hAnsi="Calibri" w:cs="Times New Roman"/>
          <w:sz w:val="24"/>
          <w:szCs w:val="24"/>
        </w:rPr>
        <w:t>and</w:t>
      </w:r>
      <w:r w:rsidRPr="0063198D">
        <w:rPr>
          <w:rFonts w:ascii="Calibri" w:eastAsia="Calibri" w:hAnsi="Calibri" w:cs="Times New Roman"/>
          <w:sz w:val="24"/>
          <w:szCs w:val="24"/>
        </w:rPr>
        <w:t xml:space="preserve"> historical context.</w:t>
      </w:r>
      <w:r w:rsidRPr="00051192">
        <w:rPr>
          <w:rFonts w:ascii="Calibri" w:eastAsia="Calibri" w:hAnsi="Calibri" w:cs="Times New Roman"/>
          <w:sz w:val="24"/>
          <w:szCs w:val="24"/>
        </w:rPr>
        <w:t xml:space="preserve"> </w:t>
      </w:r>
      <w:r w:rsidRPr="00BC79BE">
        <w:rPr>
          <w:rFonts w:ascii="Calibri" w:eastAsia="Calibri" w:hAnsi="Calibri" w:cs="Times New Roman"/>
          <w:sz w:val="24"/>
          <w:szCs w:val="24"/>
        </w:rPr>
        <w:t xml:space="preserve">The subject central to this enquiry is the teacher, and I shall be exploring if changes to the </w:t>
      </w:r>
      <w:r>
        <w:rPr>
          <w:rFonts w:ascii="Calibri" w:eastAsia="Calibri" w:hAnsi="Calibri" w:cs="Times New Roman"/>
          <w:sz w:val="24"/>
          <w:szCs w:val="24"/>
        </w:rPr>
        <w:t xml:space="preserve">culture and </w:t>
      </w:r>
      <w:r w:rsidRPr="00BC79BE">
        <w:rPr>
          <w:rFonts w:ascii="Calibri" w:eastAsia="Calibri" w:hAnsi="Calibri" w:cs="Times New Roman"/>
          <w:sz w:val="24"/>
          <w:szCs w:val="24"/>
        </w:rPr>
        <w:t xml:space="preserve">operational function of universities give rise to challenges </w:t>
      </w:r>
      <w:r>
        <w:rPr>
          <w:rFonts w:ascii="Calibri" w:eastAsia="Calibri" w:hAnsi="Calibri" w:cs="Times New Roman"/>
          <w:sz w:val="24"/>
          <w:szCs w:val="24"/>
        </w:rPr>
        <w:t>for the teacher</w:t>
      </w:r>
      <w:r w:rsidRPr="00BC79BE">
        <w:rPr>
          <w:rFonts w:ascii="Calibri" w:eastAsia="Calibri" w:hAnsi="Calibri" w:cs="Times New Roman"/>
          <w:sz w:val="24"/>
          <w:szCs w:val="24"/>
        </w:rPr>
        <w:t>.</w:t>
      </w:r>
      <w:r>
        <w:rPr>
          <w:rFonts w:ascii="Calibri" w:eastAsia="Calibri" w:hAnsi="Calibri" w:cs="Times New Roman"/>
          <w:sz w:val="24"/>
          <w:szCs w:val="24"/>
        </w:rPr>
        <w:t xml:space="preserve"> This exploration is </w:t>
      </w:r>
      <w:r w:rsidRPr="00F1373C">
        <w:rPr>
          <w:rFonts w:ascii="Calibri" w:eastAsia="Calibri" w:hAnsi="Calibri" w:cs="Times New Roman"/>
          <w:sz w:val="24"/>
          <w:szCs w:val="24"/>
        </w:rPr>
        <w:t>deemed to be entirely relevant as the</w:t>
      </w:r>
      <w:r>
        <w:rPr>
          <w:rFonts w:ascii="Calibri" w:eastAsia="Calibri" w:hAnsi="Calibri" w:cs="Times New Roman"/>
          <w:sz w:val="24"/>
          <w:szCs w:val="24"/>
        </w:rPr>
        <w:t>se changes</w:t>
      </w:r>
      <w:r w:rsidRPr="00F1373C">
        <w:rPr>
          <w:rFonts w:ascii="Calibri" w:eastAsia="Calibri" w:hAnsi="Calibri" w:cs="Times New Roman"/>
          <w:sz w:val="24"/>
          <w:szCs w:val="24"/>
        </w:rPr>
        <w:t xml:space="preserve"> impact the culture, the people serving the</w:t>
      </w:r>
      <w:r w:rsidR="000370E9">
        <w:rPr>
          <w:rFonts w:ascii="Calibri" w:eastAsia="Calibri" w:hAnsi="Calibri" w:cs="Times New Roman"/>
          <w:sz w:val="24"/>
          <w:szCs w:val="24"/>
        </w:rPr>
        <w:t xml:space="preserve"> university</w:t>
      </w:r>
      <w:r w:rsidRPr="00F1373C">
        <w:rPr>
          <w:rFonts w:ascii="Calibri" w:eastAsia="Calibri" w:hAnsi="Calibri" w:cs="Times New Roman"/>
          <w:sz w:val="24"/>
          <w:szCs w:val="24"/>
        </w:rPr>
        <w:t xml:space="preserve"> and the recipients of the service, the students.</w:t>
      </w:r>
      <w:r w:rsidRPr="00051192">
        <w:rPr>
          <w:rFonts w:ascii="Calibri" w:eastAsia="Calibri" w:hAnsi="Calibri" w:cs="Times New Roman"/>
          <w:sz w:val="24"/>
          <w:szCs w:val="24"/>
        </w:rPr>
        <w:t xml:space="preserve"> </w:t>
      </w:r>
      <w:r w:rsidRPr="002708C9">
        <w:rPr>
          <w:rFonts w:ascii="Calibri" w:eastAsia="Calibri" w:hAnsi="Calibri" w:cs="Times New Roman"/>
          <w:sz w:val="24"/>
          <w:szCs w:val="24"/>
        </w:rPr>
        <w:t xml:space="preserve">By providing a </w:t>
      </w:r>
      <w:r>
        <w:rPr>
          <w:rFonts w:ascii="Calibri" w:eastAsia="Calibri" w:hAnsi="Calibri" w:cs="Times New Roman"/>
          <w:sz w:val="24"/>
          <w:szCs w:val="24"/>
        </w:rPr>
        <w:t xml:space="preserve">contextual </w:t>
      </w:r>
      <w:r w:rsidRPr="002708C9">
        <w:rPr>
          <w:rFonts w:ascii="Calibri" w:eastAsia="Calibri" w:hAnsi="Calibri" w:cs="Times New Roman"/>
          <w:sz w:val="24"/>
          <w:szCs w:val="24"/>
        </w:rPr>
        <w:t xml:space="preserve">“thick description” (Korstjens and Moser, 2017, p.275), I am setting the scene for capturing the </w:t>
      </w:r>
      <w:r>
        <w:rPr>
          <w:rFonts w:ascii="Calibri" w:eastAsia="Calibri" w:hAnsi="Calibri" w:cs="Times New Roman"/>
          <w:sz w:val="24"/>
          <w:szCs w:val="24"/>
        </w:rPr>
        <w:t xml:space="preserve">lived, experiential </w:t>
      </w:r>
      <w:r w:rsidRPr="002708C9">
        <w:rPr>
          <w:rFonts w:ascii="Calibri" w:eastAsia="Calibri" w:hAnsi="Calibri" w:cs="Times New Roman"/>
          <w:sz w:val="24"/>
          <w:szCs w:val="24"/>
        </w:rPr>
        <w:t>realit</w:t>
      </w:r>
      <w:r w:rsidR="00313FA3">
        <w:rPr>
          <w:rFonts w:ascii="Calibri" w:eastAsia="Calibri" w:hAnsi="Calibri" w:cs="Times New Roman"/>
          <w:sz w:val="24"/>
          <w:szCs w:val="24"/>
        </w:rPr>
        <w:t>ies</w:t>
      </w:r>
      <w:r w:rsidRPr="002708C9">
        <w:rPr>
          <w:rFonts w:ascii="Calibri" w:eastAsia="Calibri" w:hAnsi="Calibri" w:cs="Times New Roman"/>
          <w:sz w:val="24"/>
          <w:szCs w:val="24"/>
        </w:rPr>
        <w:t xml:space="preserve"> of my impending participants</w:t>
      </w:r>
      <w:r>
        <w:rPr>
          <w:rFonts w:ascii="Calibri" w:eastAsia="Calibri" w:hAnsi="Calibri" w:cs="Times New Roman"/>
          <w:sz w:val="24"/>
          <w:szCs w:val="24"/>
        </w:rPr>
        <w:t xml:space="preserve"> (Chapters </w:t>
      </w:r>
      <w:r w:rsidR="00013942">
        <w:rPr>
          <w:rFonts w:ascii="Calibri" w:eastAsia="Calibri" w:hAnsi="Calibri" w:cs="Times New Roman"/>
          <w:sz w:val="24"/>
          <w:szCs w:val="24"/>
        </w:rPr>
        <w:t xml:space="preserve">Five </w:t>
      </w:r>
      <w:r>
        <w:rPr>
          <w:rFonts w:ascii="Calibri" w:eastAsia="Calibri" w:hAnsi="Calibri" w:cs="Times New Roman"/>
          <w:sz w:val="24"/>
          <w:szCs w:val="24"/>
        </w:rPr>
        <w:t>-</w:t>
      </w:r>
      <w:r w:rsidR="00013942">
        <w:rPr>
          <w:rFonts w:ascii="Calibri" w:eastAsia="Calibri" w:hAnsi="Calibri" w:cs="Times New Roman"/>
          <w:sz w:val="24"/>
          <w:szCs w:val="24"/>
        </w:rPr>
        <w:t>Eight</w:t>
      </w:r>
      <w:r>
        <w:rPr>
          <w:rFonts w:ascii="Calibri" w:eastAsia="Calibri" w:hAnsi="Calibri" w:cs="Times New Roman"/>
          <w:sz w:val="24"/>
          <w:szCs w:val="24"/>
        </w:rPr>
        <w:t>).</w:t>
      </w:r>
      <w:r w:rsidRPr="002708C9">
        <w:rPr>
          <w:rFonts w:ascii="Calibri" w:eastAsia="Calibri" w:hAnsi="Calibri" w:cs="Times New Roman"/>
          <w:sz w:val="24"/>
          <w:szCs w:val="24"/>
        </w:rPr>
        <w:t xml:space="preserve"> </w:t>
      </w:r>
    </w:p>
    <w:p w14:paraId="449AA562" w14:textId="77777777" w:rsidR="00EB7F5B" w:rsidRPr="00060276" w:rsidRDefault="00EB7F5B" w:rsidP="001E10D3">
      <w:pPr>
        <w:rPr>
          <w:rFonts w:ascii="Calibri" w:eastAsia="Calibri" w:hAnsi="Calibri" w:cs="Times New Roman"/>
          <w:b/>
          <w:bCs/>
          <w:sz w:val="24"/>
          <w:szCs w:val="24"/>
        </w:rPr>
      </w:pPr>
      <w:r w:rsidRPr="00060276">
        <w:rPr>
          <w:rFonts w:ascii="Calibri" w:eastAsia="Calibri" w:hAnsi="Calibri" w:cs="Times New Roman"/>
          <w:b/>
          <w:bCs/>
          <w:sz w:val="24"/>
          <w:szCs w:val="24"/>
        </w:rPr>
        <w:t xml:space="preserve">The </w:t>
      </w:r>
      <w:r>
        <w:rPr>
          <w:rFonts w:ascii="Calibri" w:eastAsia="Calibri" w:hAnsi="Calibri" w:cs="Times New Roman"/>
          <w:b/>
          <w:bCs/>
          <w:sz w:val="24"/>
          <w:szCs w:val="24"/>
        </w:rPr>
        <w:t>Crossing</w:t>
      </w:r>
    </w:p>
    <w:p w14:paraId="7BC788F9" w14:textId="69A16E47" w:rsidR="00EB7F5B" w:rsidRDefault="00EB7F5B" w:rsidP="00B97BBA">
      <w:pPr>
        <w:spacing w:line="360" w:lineRule="auto"/>
        <w:rPr>
          <w:rFonts w:ascii="Calibri" w:eastAsia="Calibri" w:hAnsi="Calibri" w:cs="Times New Roman"/>
          <w:sz w:val="24"/>
          <w:szCs w:val="24"/>
        </w:rPr>
      </w:pPr>
      <w:r w:rsidRPr="00C758BE">
        <w:rPr>
          <w:rFonts w:ascii="Calibri" w:eastAsia="Calibri" w:hAnsi="Calibri" w:cs="Times New Roman"/>
          <w:sz w:val="24"/>
          <w:szCs w:val="24"/>
        </w:rPr>
        <w:t>The</w:t>
      </w:r>
      <w:r w:rsidRPr="001E10D3">
        <w:rPr>
          <w:rFonts w:ascii="Calibri" w:eastAsia="Calibri" w:hAnsi="Calibri" w:cs="Times New Roman"/>
          <w:i/>
          <w:iCs/>
          <w:sz w:val="24"/>
          <w:szCs w:val="24"/>
        </w:rPr>
        <w:t xml:space="preserve"> Crossing</w:t>
      </w:r>
      <w:r>
        <w:rPr>
          <w:rFonts w:ascii="Calibri" w:eastAsia="Calibri" w:hAnsi="Calibri" w:cs="Times New Roman"/>
          <w:sz w:val="24"/>
          <w:szCs w:val="24"/>
        </w:rPr>
        <w:t xml:space="preserve"> is </w:t>
      </w:r>
      <w:r w:rsidRPr="001E10D3">
        <w:rPr>
          <w:rFonts w:ascii="Calibri" w:eastAsia="Calibri" w:hAnsi="Calibri" w:cs="Times New Roman"/>
          <w:sz w:val="24"/>
          <w:szCs w:val="24"/>
        </w:rPr>
        <w:t>an intrinsic element of the most primitive form of narrative by oral tradition</w:t>
      </w:r>
      <w:r>
        <w:rPr>
          <w:rFonts w:ascii="Calibri" w:eastAsia="Calibri" w:hAnsi="Calibri" w:cs="Times New Roman"/>
          <w:sz w:val="24"/>
          <w:szCs w:val="24"/>
        </w:rPr>
        <w:t xml:space="preserve">, </w:t>
      </w:r>
      <w:r w:rsidRPr="001E10D3">
        <w:rPr>
          <w:rFonts w:ascii="Calibri" w:eastAsia="Calibri" w:hAnsi="Calibri" w:cs="Times New Roman"/>
          <w:sz w:val="24"/>
          <w:szCs w:val="24"/>
        </w:rPr>
        <w:t xml:space="preserve">the </w:t>
      </w:r>
      <w:r>
        <w:rPr>
          <w:rFonts w:ascii="Calibri" w:eastAsia="Calibri" w:hAnsi="Calibri" w:cs="Times New Roman"/>
          <w:sz w:val="24"/>
          <w:szCs w:val="24"/>
        </w:rPr>
        <w:t>fairy tale</w:t>
      </w:r>
      <w:r w:rsidRPr="001E10D3">
        <w:rPr>
          <w:rFonts w:ascii="Calibri" w:eastAsia="Calibri" w:hAnsi="Calibri" w:cs="Times New Roman"/>
          <w:sz w:val="24"/>
          <w:szCs w:val="24"/>
        </w:rPr>
        <w:t xml:space="preserve">, whereby the protagonist, </w:t>
      </w:r>
      <w:r w:rsidR="00075C4D">
        <w:rPr>
          <w:rFonts w:ascii="Calibri" w:eastAsia="Calibri" w:hAnsi="Calibri" w:cs="Times New Roman"/>
          <w:sz w:val="24"/>
          <w:szCs w:val="24"/>
        </w:rPr>
        <w:t xml:space="preserve">here </w:t>
      </w:r>
      <w:r>
        <w:rPr>
          <w:rFonts w:ascii="Calibri" w:eastAsia="Calibri" w:hAnsi="Calibri" w:cs="Times New Roman"/>
          <w:sz w:val="24"/>
          <w:szCs w:val="24"/>
        </w:rPr>
        <w:t xml:space="preserve">the </w:t>
      </w:r>
      <w:r w:rsidRPr="001E10D3">
        <w:rPr>
          <w:rFonts w:ascii="Calibri" w:eastAsia="Calibri" w:hAnsi="Calibri" w:cs="Times New Roman"/>
          <w:sz w:val="24"/>
          <w:szCs w:val="24"/>
        </w:rPr>
        <w:t xml:space="preserve">researcher, finds himself/herself </w:t>
      </w:r>
      <w:r>
        <w:rPr>
          <w:rFonts w:ascii="Calibri" w:eastAsia="Calibri" w:hAnsi="Calibri" w:cs="Times New Roman"/>
          <w:sz w:val="24"/>
          <w:szCs w:val="24"/>
        </w:rPr>
        <w:t xml:space="preserve">on the threshold of unchartered territory. The </w:t>
      </w:r>
      <w:r w:rsidRPr="00704ED3">
        <w:rPr>
          <w:rFonts w:ascii="Calibri" w:eastAsia="Calibri" w:hAnsi="Calibri" w:cs="Times New Roman"/>
          <w:i/>
          <w:iCs/>
          <w:sz w:val="24"/>
          <w:szCs w:val="24"/>
        </w:rPr>
        <w:t>Crossing</w:t>
      </w:r>
      <w:r>
        <w:rPr>
          <w:rFonts w:ascii="Calibri" w:eastAsia="Calibri" w:hAnsi="Calibri" w:cs="Times New Roman"/>
          <w:sz w:val="24"/>
          <w:szCs w:val="24"/>
        </w:rPr>
        <w:t xml:space="preserve"> chapter serves to anchor </w:t>
      </w:r>
      <w:r w:rsidRPr="001E10D3">
        <w:rPr>
          <w:rFonts w:ascii="Calibri" w:eastAsia="Calibri" w:hAnsi="Calibri" w:cs="Times New Roman"/>
          <w:sz w:val="24"/>
          <w:szCs w:val="24"/>
        </w:rPr>
        <w:t xml:space="preserve">the context </w:t>
      </w:r>
      <w:r>
        <w:rPr>
          <w:rFonts w:ascii="Calibri" w:eastAsia="Calibri" w:hAnsi="Calibri" w:cs="Times New Roman"/>
          <w:sz w:val="24"/>
          <w:szCs w:val="24"/>
        </w:rPr>
        <w:t xml:space="preserve">and </w:t>
      </w:r>
      <w:r w:rsidRPr="001E10D3">
        <w:rPr>
          <w:rFonts w:ascii="Calibri" w:eastAsia="Calibri" w:hAnsi="Calibri" w:cs="Times New Roman"/>
          <w:sz w:val="24"/>
          <w:szCs w:val="24"/>
        </w:rPr>
        <w:t xml:space="preserve">facilitate the conditions for </w:t>
      </w:r>
      <w:r>
        <w:rPr>
          <w:rFonts w:ascii="Calibri" w:eastAsia="Calibri" w:hAnsi="Calibri" w:cs="Times New Roman"/>
          <w:sz w:val="24"/>
          <w:szCs w:val="24"/>
        </w:rPr>
        <w:t xml:space="preserve">exploration of </w:t>
      </w:r>
      <w:r w:rsidRPr="001E10D3">
        <w:rPr>
          <w:rFonts w:ascii="Calibri" w:eastAsia="Calibri" w:hAnsi="Calibri" w:cs="Times New Roman"/>
          <w:sz w:val="24"/>
          <w:szCs w:val="24"/>
        </w:rPr>
        <w:t>the shaping of the materials of lived experience (Greene,</w:t>
      </w:r>
      <w:r>
        <w:rPr>
          <w:rFonts w:ascii="Calibri" w:eastAsia="Calibri" w:hAnsi="Calibri" w:cs="Times New Roman"/>
          <w:sz w:val="24"/>
          <w:szCs w:val="24"/>
        </w:rPr>
        <w:t xml:space="preserve"> </w:t>
      </w:r>
      <w:r w:rsidRPr="001E10D3">
        <w:rPr>
          <w:rFonts w:ascii="Calibri" w:eastAsia="Calibri" w:hAnsi="Calibri" w:cs="Times New Roman"/>
          <w:sz w:val="24"/>
          <w:szCs w:val="24"/>
        </w:rPr>
        <w:t>1995) that are to follow</w:t>
      </w:r>
      <w:r>
        <w:rPr>
          <w:rFonts w:ascii="Calibri" w:eastAsia="Calibri" w:hAnsi="Calibri" w:cs="Times New Roman"/>
          <w:sz w:val="24"/>
          <w:szCs w:val="24"/>
        </w:rPr>
        <w:t xml:space="preserve"> in the ensuing chapters</w:t>
      </w:r>
      <w:r w:rsidRPr="001E10D3">
        <w:rPr>
          <w:rFonts w:ascii="Calibri" w:eastAsia="Calibri" w:hAnsi="Calibri" w:cs="Times New Roman"/>
          <w:sz w:val="24"/>
          <w:szCs w:val="24"/>
        </w:rPr>
        <w:t xml:space="preserve">. </w:t>
      </w:r>
    </w:p>
    <w:p w14:paraId="30DEB9A2" w14:textId="77777777" w:rsidR="00EB7F5B" w:rsidRPr="00842ACC" w:rsidRDefault="00EB7F5B" w:rsidP="001E10D3">
      <w:pPr>
        <w:rPr>
          <w:rFonts w:ascii="Calibri" w:eastAsia="Calibri" w:hAnsi="Calibri" w:cs="Times New Roman"/>
          <w:b/>
          <w:bCs/>
          <w:sz w:val="24"/>
          <w:szCs w:val="24"/>
        </w:rPr>
      </w:pPr>
      <w:r>
        <w:rPr>
          <w:rFonts w:ascii="Calibri" w:eastAsia="Calibri" w:hAnsi="Calibri" w:cs="Times New Roman"/>
          <w:b/>
          <w:bCs/>
          <w:sz w:val="24"/>
          <w:szCs w:val="24"/>
        </w:rPr>
        <w:t>The university over time and space</w:t>
      </w:r>
    </w:p>
    <w:p w14:paraId="6B845B62" w14:textId="2427F925" w:rsidR="00EB7F5B" w:rsidRDefault="00EB7F5B" w:rsidP="00B87B92">
      <w:pPr>
        <w:spacing w:line="360" w:lineRule="auto"/>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t>This section begins with an understanding of university spaces and then moves towards historical specifics thus tracking any changes over space and time.</w:t>
      </w:r>
      <w:r w:rsidRPr="00EC6064">
        <w:rPr>
          <w:rFonts w:ascii="Calibri" w:eastAsia="Calibri" w:hAnsi="Calibri" w:cs="Times New Roman"/>
          <w:color w:val="000000" w:themeColor="text1"/>
          <w:sz w:val="24"/>
          <w:szCs w:val="24"/>
        </w:rPr>
        <w:t xml:space="preserve"> </w:t>
      </w:r>
      <w:r w:rsidRPr="00BF3E9A">
        <w:rPr>
          <w:rFonts w:ascii="Calibri" w:eastAsia="Calibri" w:hAnsi="Calibri" w:cs="Times New Roman"/>
          <w:color w:val="000000" w:themeColor="text1"/>
          <w:sz w:val="24"/>
          <w:szCs w:val="24"/>
        </w:rPr>
        <w:t xml:space="preserve">Universities are </w:t>
      </w:r>
      <w:r>
        <w:rPr>
          <w:rFonts w:ascii="Calibri" w:eastAsia="Calibri" w:hAnsi="Calibri" w:cs="Times New Roman"/>
          <w:color w:val="000000" w:themeColor="text1"/>
          <w:sz w:val="24"/>
          <w:szCs w:val="24"/>
        </w:rPr>
        <w:t xml:space="preserve">considered </w:t>
      </w:r>
      <w:r w:rsidRPr="00BF3E9A">
        <w:rPr>
          <w:rFonts w:ascii="Calibri" w:eastAsia="Calibri" w:hAnsi="Calibri" w:cs="Times New Roman"/>
          <w:color w:val="000000" w:themeColor="text1"/>
          <w:sz w:val="24"/>
          <w:szCs w:val="24"/>
        </w:rPr>
        <w:t xml:space="preserve">vibrant, dynamic spaces </w:t>
      </w:r>
      <w:r>
        <w:rPr>
          <w:rFonts w:ascii="Calibri" w:eastAsia="Calibri" w:hAnsi="Calibri" w:cs="Times New Roman"/>
          <w:color w:val="000000" w:themeColor="text1"/>
          <w:sz w:val="24"/>
          <w:szCs w:val="24"/>
        </w:rPr>
        <w:t xml:space="preserve">that </w:t>
      </w:r>
      <w:r w:rsidRPr="00BF3E9A">
        <w:rPr>
          <w:rFonts w:ascii="Calibri" w:eastAsia="Calibri" w:hAnsi="Calibri" w:cs="Times New Roman"/>
          <w:color w:val="000000" w:themeColor="text1"/>
          <w:sz w:val="24"/>
          <w:szCs w:val="24"/>
        </w:rPr>
        <w:t xml:space="preserve">change </w:t>
      </w:r>
      <w:r>
        <w:rPr>
          <w:rFonts w:ascii="Calibri" w:eastAsia="Calibri" w:hAnsi="Calibri" w:cs="Times New Roman"/>
          <w:color w:val="000000" w:themeColor="text1"/>
          <w:sz w:val="24"/>
          <w:szCs w:val="24"/>
        </w:rPr>
        <w:t xml:space="preserve">through </w:t>
      </w:r>
      <w:r w:rsidRPr="00BF3E9A">
        <w:rPr>
          <w:rFonts w:ascii="Calibri" w:eastAsia="Calibri" w:hAnsi="Calibri" w:cs="Times New Roman"/>
          <w:color w:val="000000" w:themeColor="text1"/>
          <w:sz w:val="24"/>
          <w:szCs w:val="24"/>
        </w:rPr>
        <w:t>new discoveries, critical thought and intellectual challenges (Kok</w:t>
      </w:r>
      <w:r>
        <w:rPr>
          <w:rFonts w:ascii="Calibri" w:eastAsia="Calibri" w:hAnsi="Calibri" w:cs="Times New Roman"/>
          <w:color w:val="000000" w:themeColor="text1"/>
          <w:sz w:val="24"/>
          <w:szCs w:val="24"/>
        </w:rPr>
        <w:t xml:space="preserve"> </w:t>
      </w:r>
      <w:r w:rsidR="00FB3A6E" w:rsidRPr="00FB3A6E">
        <w:rPr>
          <w:rFonts w:ascii="Calibri" w:eastAsia="Calibri" w:hAnsi="Calibri" w:cs="Times New Roman"/>
          <w:i/>
          <w:color w:val="000000" w:themeColor="text1"/>
          <w:sz w:val="24"/>
          <w:szCs w:val="24"/>
        </w:rPr>
        <w:t>et al.</w:t>
      </w:r>
      <w:r w:rsidRPr="00BF3E9A">
        <w:rPr>
          <w:rFonts w:ascii="Calibri" w:eastAsia="Calibri" w:hAnsi="Calibri" w:cs="Times New Roman"/>
          <w:color w:val="000000" w:themeColor="text1"/>
          <w:sz w:val="24"/>
          <w:szCs w:val="24"/>
        </w:rPr>
        <w:t xml:space="preserve">, 2008). When considering the space of places, Lefebvre (1974) believes it is important that universities </w:t>
      </w:r>
      <w:r>
        <w:rPr>
          <w:rFonts w:ascii="Calibri" w:eastAsia="Calibri" w:hAnsi="Calibri" w:cs="Times New Roman"/>
          <w:color w:val="000000" w:themeColor="text1"/>
          <w:sz w:val="24"/>
          <w:szCs w:val="24"/>
        </w:rPr>
        <w:t>c</w:t>
      </w:r>
      <w:r w:rsidRPr="00BF3E9A">
        <w:rPr>
          <w:rFonts w:ascii="Calibri" w:eastAsia="Calibri" w:hAnsi="Calibri" w:cs="Times New Roman"/>
          <w:color w:val="000000" w:themeColor="text1"/>
          <w:sz w:val="24"/>
          <w:szCs w:val="24"/>
        </w:rPr>
        <w:t>reat</w:t>
      </w:r>
      <w:r>
        <w:rPr>
          <w:rFonts w:ascii="Calibri" w:eastAsia="Calibri" w:hAnsi="Calibri" w:cs="Times New Roman"/>
          <w:color w:val="000000" w:themeColor="text1"/>
          <w:sz w:val="24"/>
          <w:szCs w:val="24"/>
        </w:rPr>
        <w:t>e</w:t>
      </w:r>
      <w:r w:rsidRPr="00BF3E9A">
        <w:rPr>
          <w:rFonts w:ascii="Calibri" w:eastAsia="Calibri" w:hAnsi="Calibri" w:cs="Times New Roman"/>
          <w:color w:val="000000" w:themeColor="text1"/>
          <w:sz w:val="24"/>
          <w:szCs w:val="24"/>
        </w:rPr>
        <w:t xml:space="preserve"> a unitary theory of physical, mental and social space</w:t>
      </w:r>
      <w:r>
        <w:rPr>
          <w:rFonts w:ascii="Calibri" w:eastAsia="Calibri" w:hAnsi="Calibri" w:cs="Times New Roman"/>
          <w:color w:val="000000" w:themeColor="text1"/>
          <w:sz w:val="24"/>
          <w:szCs w:val="24"/>
        </w:rPr>
        <w:t>,</w:t>
      </w:r>
      <w:r w:rsidRPr="00BF3E9A">
        <w:rPr>
          <w:rFonts w:ascii="Calibri" w:eastAsia="Calibri" w:hAnsi="Calibri" w:cs="Times New Roman"/>
          <w:color w:val="000000" w:themeColor="text1"/>
          <w:sz w:val="24"/>
          <w:szCs w:val="24"/>
        </w:rPr>
        <w:t xml:space="preserve"> a science of space. I prefer the term </w:t>
      </w:r>
      <w:r w:rsidR="004A707F">
        <w:rPr>
          <w:rFonts w:ascii="Calibri" w:eastAsia="Calibri" w:hAnsi="Calibri" w:cs="Times New Roman"/>
          <w:color w:val="000000" w:themeColor="text1"/>
          <w:sz w:val="24"/>
          <w:szCs w:val="24"/>
        </w:rPr>
        <w:t>“</w:t>
      </w:r>
      <w:r w:rsidRPr="00BF3E9A">
        <w:rPr>
          <w:rFonts w:ascii="Calibri" w:eastAsia="Calibri" w:hAnsi="Calibri" w:cs="Times New Roman"/>
          <w:color w:val="000000" w:themeColor="text1"/>
          <w:sz w:val="24"/>
          <w:szCs w:val="24"/>
        </w:rPr>
        <w:t>lived space</w:t>
      </w:r>
      <w:r w:rsidR="004A707F">
        <w:rPr>
          <w:rFonts w:ascii="Calibri" w:eastAsia="Calibri" w:hAnsi="Calibri" w:cs="Times New Roman"/>
          <w:color w:val="000000" w:themeColor="text1"/>
          <w:sz w:val="24"/>
          <w:szCs w:val="24"/>
        </w:rPr>
        <w:t>”</w:t>
      </w:r>
      <w:r w:rsidRPr="00BF3E9A">
        <w:rPr>
          <w:rFonts w:ascii="Calibri" w:eastAsia="Calibri" w:hAnsi="Calibri" w:cs="Times New Roman"/>
          <w:color w:val="000000" w:themeColor="text1"/>
          <w:sz w:val="24"/>
          <w:szCs w:val="24"/>
        </w:rPr>
        <w:t xml:space="preserve"> (Temple, 2009) that encompasses </w:t>
      </w:r>
      <w:r>
        <w:rPr>
          <w:rFonts w:ascii="Calibri" w:eastAsia="Calibri" w:hAnsi="Calibri" w:cs="Times New Roman"/>
          <w:color w:val="000000" w:themeColor="text1"/>
          <w:sz w:val="24"/>
          <w:szCs w:val="24"/>
        </w:rPr>
        <w:t xml:space="preserve">personal, </w:t>
      </w:r>
      <w:r w:rsidRPr="00BF3E9A">
        <w:rPr>
          <w:rFonts w:ascii="Calibri" w:eastAsia="Calibri" w:hAnsi="Calibri" w:cs="Times New Roman"/>
          <w:color w:val="000000" w:themeColor="text1"/>
          <w:sz w:val="24"/>
          <w:szCs w:val="24"/>
        </w:rPr>
        <w:t xml:space="preserve">symbolic </w:t>
      </w:r>
      <w:r>
        <w:rPr>
          <w:rFonts w:ascii="Calibri" w:eastAsia="Calibri" w:hAnsi="Calibri" w:cs="Times New Roman"/>
          <w:color w:val="000000" w:themeColor="text1"/>
          <w:sz w:val="24"/>
          <w:szCs w:val="24"/>
        </w:rPr>
        <w:t xml:space="preserve">and </w:t>
      </w:r>
      <w:r w:rsidRPr="00BF3E9A">
        <w:rPr>
          <w:rFonts w:ascii="Calibri" w:eastAsia="Calibri" w:hAnsi="Calibri" w:cs="Times New Roman"/>
          <w:color w:val="000000" w:themeColor="text1"/>
          <w:sz w:val="24"/>
          <w:szCs w:val="24"/>
        </w:rPr>
        <w:t xml:space="preserve">cultural </w:t>
      </w:r>
      <w:r>
        <w:rPr>
          <w:rFonts w:ascii="Calibri" w:eastAsia="Calibri" w:hAnsi="Calibri" w:cs="Times New Roman"/>
          <w:color w:val="000000" w:themeColor="text1"/>
          <w:sz w:val="24"/>
          <w:szCs w:val="24"/>
        </w:rPr>
        <w:t>values</w:t>
      </w:r>
      <w:r w:rsidRPr="00BF3E9A">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that </w:t>
      </w:r>
      <w:r w:rsidRPr="00BF3E9A">
        <w:rPr>
          <w:rFonts w:ascii="Calibri" w:eastAsia="Calibri" w:hAnsi="Calibri" w:cs="Times New Roman"/>
          <w:color w:val="000000" w:themeColor="text1"/>
          <w:sz w:val="24"/>
          <w:szCs w:val="24"/>
        </w:rPr>
        <w:t>leave room for “individual beliefs, feelings and memories” (</w:t>
      </w:r>
      <w:r w:rsidR="00D941F3">
        <w:rPr>
          <w:rFonts w:ascii="Calibri" w:eastAsia="Calibri" w:hAnsi="Calibri" w:cs="Times New Roman"/>
          <w:color w:val="000000" w:themeColor="text1"/>
          <w:sz w:val="24"/>
          <w:szCs w:val="24"/>
        </w:rPr>
        <w:t>ibid.</w:t>
      </w:r>
      <w:r w:rsidRPr="00BF3E9A">
        <w:rPr>
          <w:rFonts w:ascii="Calibri" w:eastAsia="Calibri" w:hAnsi="Calibri" w:cs="Times New Roman"/>
          <w:color w:val="000000" w:themeColor="text1"/>
          <w:sz w:val="24"/>
          <w:szCs w:val="24"/>
        </w:rPr>
        <w:t xml:space="preserve">, p. 225). </w:t>
      </w:r>
    </w:p>
    <w:p w14:paraId="4FB2AF25" w14:textId="175DCDAE" w:rsidR="00EB7F5B" w:rsidRDefault="00EB7F5B" w:rsidP="00B87B92">
      <w:pPr>
        <w:spacing w:line="360" w:lineRule="auto"/>
        <w:rPr>
          <w:rFonts w:ascii="Calibri" w:eastAsia="Calibri" w:hAnsi="Calibri" w:cs="Times New Roman"/>
          <w:color w:val="000000" w:themeColor="text1"/>
          <w:sz w:val="24"/>
          <w:szCs w:val="24"/>
        </w:rPr>
      </w:pPr>
      <w:r w:rsidRPr="000279D3">
        <w:rPr>
          <w:rFonts w:ascii="Calibri" w:eastAsia="Calibri" w:hAnsi="Calibri" w:cs="Times New Roman"/>
          <w:color w:val="000000" w:themeColor="text1"/>
          <w:sz w:val="24"/>
          <w:szCs w:val="24"/>
        </w:rPr>
        <w:t xml:space="preserve">Universities create </w:t>
      </w:r>
      <w:r>
        <w:rPr>
          <w:rFonts w:ascii="Calibri" w:eastAsia="Calibri" w:hAnsi="Calibri" w:cs="Times New Roman"/>
          <w:color w:val="000000" w:themeColor="text1"/>
          <w:sz w:val="24"/>
          <w:szCs w:val="24"/>
        </w:rPr>
        <w:t xml:space="preserve">lived </w:t>
      </w:r>
      <w:r w:rsidRPr="000279D3">
        <w:rPr>
          <w:rFonts w:ascii="Calibri" w:eastAsia="Calibri" w:hAnsi="Calibri" w:cs="Times New Roman"/>
          <w:color w:val="000000" w:themeColor="text1"/>
          <w:sz w:val="24"/>
          <w:szCs w:val="24"/>
        </w:rPr>
        <w:t xml:space="preserve">spaces for knowledge to be created and for “daring pedagogies” and “imaginative pedagogies” (Barnett, 2005, p.7) to take root, and flourish. </w:t>
      </w:r>
      <w:r w:rsidRPr="007B428B">
        <w:rPr>
          <w:rFonts w:ascii="Calibri" w:eastAsia="Calibri" w:hAnsi="Calibri" w:cs="Times New Roman"/>
          <w:color w:val="000000" w:themeColor="text1"/>
          <w:sz w:val="24"/>
          <w:szCs w:val="24"/>
        </w:rPr>
        <w:t xml:space="preserve">The university </w:t>
      </w:r>
      <w:r w:rsidRPr="007B428B">
        <w:rPr>
          <w:rFonts w:ascii="Calibri" w:eastAsia="Calibri" w:hAnsi="Calibri" w:cs="Times New Roman"/>
          <w:color w:val="000000" w:themeColor="text1"/>
          <w:sz w:val="24"/>
          <w:szCs w:val="24"/>
        </w:rPr>
        <w:lastRenderedPageBreak/>
        <w:t xml:space="preserve">provides a space for students to </w:t>
      </w:r>
      <w:r w:rsidR="002801A5">
        <w:rPr>
          <w:rFonts w:ascii="Calibri" w:eastAsia="Calibri" w:hAnsi="Calibri" w:cs="Times New Roman"/>
          <w:color w:val="000000" w:themeColor="text1"/>
          <w:sz w:val="24"/>
          <w:szCs w:val="24"/>
        </w:rPr>
        <w:t xml:space="preserve">realise and </w:t>
      </w:r>
      <w:r w:rsidR="00AF410B">
        <w:rPr>
          <w:rFonts w:ascii="Calibri" w:eastAsia="Calibri" w:hAnsi="Calibri" w:cs="Times New Roman"/>
          <w:color w:val="000000" w:themeColor="text1"/>
          <w:sz w:val="24"/>
          <w:szCs w:val="24"/>
        </w:rPr>
        <w:t>authenticate</w:t>
      </w:r>
      <w:r w:rsidRPr="007B428B">
        <w:rPr>
          <w:rFonts w:ascii="Calibri" w:eastAsia="Calibri" w:hAnsi="Calibri" w:cs="Times New Roman"/>
          <w:color w:val="000000" w:themeColor="text1"/>
          <w:sz w:val="24"/>
          <w:szCs w:val="24"/>
        </w:rPr>
        <w:t xml:space="preserve"> themselves in worthwhile ways (Barnett, 2011), to self-actualise (Maslow, 1943)</w:t>
      </w:r>
      <w:r w:rsidR="000B4549">
        <w:rPr>
          <w:rFonts w:ascii="Calibri" w:eastAsia="Calibri" w:hAnsi="Calibri" w:cs="Times New Roman"/>
          <w:color w:val="000000" w:themeColor="text1"/>
          <w:sz w:val="24"/>
          <w:szCs w:val="24"/>
        </w:rPr>
        <w:t xml:space="preserve"> and be</w:t>
      </w:r>
      <w:r w:rsidRPr="0087374D">
        <w:rPr>
          <w:rFonts w:ascii="Calibri" w:eastAsia="Calibri" w:hAnsi="Calibri" w:cs="Times New Roman"/>
          <w:color w:val="000000" w:themeColor="text1"/>
          <w:sz w:val="24"/>
          <w:szCs w:val="24"/>
        </w:rPr>
        <w:t xml:space="preserve"> “called forth, called out of themselves, to give of themselves in unfamiliar and stretching circumstances” (Barnett, 2011a, p.9)</w:t>
      </w:r>
      <w:r>
        <w:rPr>
          <w:rFonts w:ascii="Calibri" w:eastAsia="Calibri" w:hAnsi="Calibri" w:cs="Times New Roman"/>
          <w:color w:val="000000" w:themeColor="text1"/>
          <w:sz w:val="24"/>
          <w:szCs w:val="24"/>
        </w:rPr>
        <w:t>.</w:t>
      </w:r>
      <w:r w:rsidRPr="0087374D">
        <w:rPr>
          <w:rFonts w:ascii="Calibri" w:eastAsia="Calibri" w:hAnsi="Calibri" w:cs="Times New Roman"/>
          <w:color w:val="000000" w:themeColor="text1"/>
          <w:sz w:val="24"/>
          <w:szCs w:val="24"/>
        </w:rPr>
        <w:t xml:space="preserve"> </w:t>
      </w:r>
      <w:r w:rsidRPr="007B428B">
        <w:rPr>
          <w:rFonts w:ascii="Calibri" w:eastAsia="Calibri" w:hAnsi="Calibri" w:cs="Times New Roman"/>
          <w:color w:val="000000" w:themeColor="text1"/>
          <w:sz w:val="24"/>
          <w:szCs w:val="24"/>
        </w:rPr>
        <w:t xml:space="preserve">Through teaching, individuals are able to actualise thought-provoking developments (Kok, </w:t>
      </w:r>
      <w:r w:rsidR="00FB3A6E" w:rsidRPr="00FB3A6E">
        <w:rPr>
          <w:rFonts w:ascii="Calibri" w:eastAsia="Calibri" w:hAnsi="Calibri" w:cs="Times New Roman"/>
          <w:i/>
          <w:color w:val="000000" w:themeColor="text1"/>
          <w:sz w:val="24"/>
          <w:szCs w:val="24"/>
        </w:rPr>
        <w:t>et al.</w:t>
      </w:r>
      <w:r w:rsidRPr="007B428B">
        <w:rPr>
          <w:rFonts w:ascii="Calibri" w:eastAsia="Calibri" w:hAnsi="Calibri" w:cs="Times New Roman"/>
          <w:color w:val="000000" w:themeColor="text1"/>
          <w:sz w:val="24"/>
          <w:szCs w:val="24"/>
        </w:rPr>
        <w:t>, 2008)</w:t>
      </w:r>
      <w:r w:rsidR="00167BE1">
        <w:rPr>
          <w:rFonts w:ascii="Calibri" w:eastAsia="Calibri" w:hAnsi="Calibri" w:cs="Times New Roman"/>
          <w:color w:val="000000" w:themeColor="text1"/>
          <w:sz w:val="24"/>
          <w:szCs w:val="24"/>
        </w:rPr>
        <w:t>,</w:t>
      </w:r>
      <w:r w:rsidR="007C3803">
        <w:rPr>
          <w:rFonts w:ascii="Calibri" w:eastAsia="Calibri" w:hAnsi="Calibri" w:cs="Times New Roman"/>
          <w:color w:val="000000" w:themeColor="text1"/>
          <w:sz w:val="24"/>
          <w:szCs w:val="24"/>
        </w:rPr>
        <w:t xml:space="preserve"> </w:t>
      </w:r>
      <w:r w:rsidRPr="007B428B">
        <w:rPr>
          <w:rFonts w:ascii="Calibri" w:eastAsia="Calibri" w:hAnsi="Calibri" w:cs="Times New Roman"/>
          <w:color w:val="000000" w:themeColor="text1"/>
          <w:sz w:val="24"/>
          <w:szCs w:val="24"/>
        </w:rPr>
        <w:t>engage in research during a process of digesting knowledge and embrac</w:t>
      </w:r>
      <w:r w:rsidR="007C3803">
        <w:rPr>
          <w:rFonts w:ascii="Calibri" w:eastAsia="Calibri" w:hAnsi="Calibri" w:cs="Times New Roman"/>
          <w:color w:val="000000" w:themeColor="text1"/>
          <w:sz w:val="24"/>
          <w:szCs w:val="24"/>
        </w:rPr>
        <w:t>e</w:t>
      </w:r>
      <w:r w:rsidRPr="007B428B">
        <w:rPr>
          <w:rFonts w:ascii="Calibri" w:eastAsia="Calibri" w:hAnsi="Calibri" w:cs="Times New Roman"/>
          <w:color w:val="000000" w:themeColor="text1"/>
          <w:sz w:val="24"/>
          <w:szCs w:val="24"/>
        </w:rPr>
        <w:t xml:space="preserve"> alternative perspectives (Barnett, 2011). </w:t>
      </w:r>
      <w:r w:rsidRPr="00BF3E9A">
        <w:rPr>
          <w:rFonts w:ascii="Calibri" w:eastAsia="Calibri" w:hAnsi="Calibri" w:cs="Times New Roman"/>
          <w:color w:val="000000" w:themeColor="text1"/>
          <w:sz w:val="24"/>
          <w:szCs w:val="24"/>
        </w:rPr>
        <w:t xml:space="preserve">The university provides teaching </w:t>
      </w:r>
      <w:r w:rsidR="004D4C9F">
        <w:rPr>
          <w:rFonts w:ascii="Calibri" w:eastAsia="Calibri" w:hAnsi="Calibri" w:cs="Times New Roman"/>
          <w:color w:val="000000" w:themeColor="text1"/>
          <w:sz w:val="24"/>
          <w:szCs w:val="24"/>
        </w:rPr>
        <w:t xml:space="preserve">and </w:t>
      </w:r>
      <w:r w:rsidRPr="00BF3E9A">
        <w:rPr>
          <w:rFonts w:ascii="Calibri" w:eastAsia="Calibri" w:hAnsi="Calibri" w:cs="Times New Roman"/>
          <w:color w:val="000000" w:themeColor="text1"/>
          <w:sz w:val="24"/>
          <w:szCs w:val="24"/>
        </w:rPr>
        <w:t xml:space="preserve">is also a space and place where scholarly research and learning prevail (Bowden and Marton, 1998). </w:t>
      </w:r>
    </w:p>
    <w:p w14:paraId="14F5F1B1" w14:textId="5DE4B668" w:rsidR="00EB7F5B" w:rsidRPr="00F1232C" w:rsidRDefault="00EB7F5B" w:rsidP="003C4DD5">
      <w:pPr>
        <w:spacing w:line="360" w:lineRule="auto"/>
        <w:rPr>
          <w:rFonts w:ascii="Calibri" w:eastAsia="Calibri" w:hAnsi="Calibri" w:cs="Times New Roman"/>
          <w:color w:val="000000" w:themeColor="text1"/>
          <w:sz w:val="24"/>
          <w:szCs w:val="24"/>
        </w:rPr>
      </w:pPr>
      <w:r w:rsidRPr="00CA734B">
        <w:rPr>
          <w:rFonts w:ascii="Calibri" w:eastAsia="Calibri" w:hAnsi="Calibri" w:cs="Times New Roman"/>
          <w:color w:val="000000" w:themeColor="text1"/>
          <w:sz w:val="24"/>
          <w:szCs w:val="24"/>
        </w:rPr>
        <w:t>The Robbins Report (Committee on Higher Education, 1963) set</w:t>
      </w:r>
      <w:r w:rsidR="00A356EE">
        <w:rPr>
          <w:rFonts w:ascii="Calibri" w:eastAsia="Calibri" w:hAnsi="Calibri" w:cs="Times New Roman"/>
          <w:color w:val="000000" w:themeColor="text1"/>
          <w:sz w:val="24"/>
          <w:szCs w:val="24"/>
        </w:rPr>
        <w:t>s</w:t>
      </w:r>
      <w:r w:rsidRPr="00CA734B">
        <w:rPr>
          <w:rFonts w:ascii="Calibri" w:eastAsia="Calibri" w:hAnsi="Calibri" w:cs="Times New Roman"/>
          <w:color w:val="000000" w:themeColor="text1"/>
          <w:sz w:val="24"/>
          <w:szCs w:val="24"/>
        </w:rPr>
        <w:t xml:space="preserve"> out </w:t>
      </w:r>
      <w:r>
        <w:rPr>
          <w:rFonts w:ascii="Calibri" w:eastAsia="Calibri" w:hAnsi="Calibri" w:cs="Times New Roman"/>
          <w:color w:val="000000" w:themeColor="text1"/>
          <w:sz w:val="24"/>
          <w:szCs w:val="24"/>
        </w:rPr>
        <w:t xml:space="preserve">a </w:t>
      </w:r>
      <w:r w:rsidRPr="00CA734B">
        <w:rPr>
          <w:rFonts w:ascii="Calibri" w:eastAsia="Calibri" w:hAnsi="Calibri" w:cs="Times New Roman"/>
          <w:color w:val="000000" w:themeColor="text1"/>
          <w:sz w:val="24"/>
          <w:szCs w:val="24"/>
        </w:rPr>
        <w:t xml:space="preserve">continuity of vision of higher education establishments being not only places of teaching and research, but </w:t>
      </w:r>
      <w:r>
        <w:rPr>
          <w:rFonts w:ascii="Calibri" w:eastAsia="Calibri" w:hAnsi="Calibri" w:cs="Times New Roman"/>
          <w:color w:val="000000" w:themeColor="text1"/>
          <w:sz w:val="24"/>
          <w:szCs w:val="24"/>
        </w:rPr>
        <w:t xml:space="preserve">of being </w:t>
      </w:r>
      <w:r w:rsidRPr="00CA734B">
        <w:rPr>
          <w:rFonts w:ascii="Calibri" w:eastAsia="Calibri" w:hAnsi="Calibri" w:cs="Times New Roman"/>
          <w:color w:val="000000" w:themeColor="text1"/>
          <w:sz w:val="24"/>
          <w:szCs w:val="24"/>
        </w:rPr>
        <w:t xml:space="preserve">communities of scholars, teachers and students. The learning university (Bowden and Marton, 1998) is for scholars and students alike a place </w:t>
      </w:r>
      <w:r>
        <w:rPr>
          <w:rFonts w:ascii="Calibri" w:eastAsia="Calibri" w:hAnsi="Calibri" w:cs="Times New Roman"/>
          <w:color w:val="000000" w:themeColor="text1"/>
          <w:sz w:val="24"/>
          <w:szCs w:val="24"/>
        </w:rPr>
        <w:t xml:space="preserve">of community </w:t>
      </w:r>
      <w:r w:rsidRPr="00CA734B">
        <w:rPr>
          <w:rFonts w:ascii="Calibri" w:eastAsia="Calibri" w:hAnsi="Calibri" w:cs="Times New Roman"/>
          <w:color w:val="000000" w:themeColor="text1"/>
          <w:sz w:val="24"/>
          <w:szCs w:val="24"/>
        </w:rPr>
        <w:t>to learn about the self, scholarship and the world</w:t>
      </w:r>
      <w:r>
        <w:rPr>
          <w:rFonts w:ascii="Calibri" w:eastAsia="Calibri" w:hAnsi="Calibri" w:cs="Times New Roman"/>
          <w:color w:val="000000" w:themeColor="text1"/>
          <w:sz w:val="24"/>
          <w:szCs w:val="24"/>
        </w:rPr>
        <w:t xml:space="preserve"> within </w:t>
      </w:r>
      <w:r w:rsidRPr="00CA734B">
        <w:rPr>
          <w:rFonts w:ascii="Calibri" w:eastAsia="Calibri" w:hAnsi="Calibri" w:cs="Times New Roman"/>
          <w:color w:val="000000" w:themeColor="text1"/>
          <w:sz w:val="24"/>
          <w:szCs w:val="24"/>
        </w:rPr>
        <w:t xml:space="preserve">the </w:t>
      </w:r>
      <w:r>
        <w:rPr>
          <w:rFonts w:ascii="Calibri" w:eastAsia="Calibri" w:hAnsi="Calibri" w:cs="Times New Roman"/>
          <w:color w:val="000000" w:themeColor="text1"/>
          <w:sz w:val="24"/>
          <w:szCs w:val="24"/>
        </w:rPr>
        <w:t xml:space="preserve">broader </w:t>
      </w:r>
      <w:r w:rsidRPr="00CA734B">
        <w:rPr>
          <w:rFonts w:ascii="Calibri" w:eastAsia="Calibri" w:hAnsi="Calibri" w:cs="Times New Roman"/>
          <w:color w:val="000000" w:themeColor="text1"/>
          <w:sz w:val="24"/>
          <w:szCs w:val="24"/>
        </w:rPr>
        <w:t>community of the university (</w:t>
      </w:r>
      <w:r w:rsidR="00D941F3">
        <w:rPr>
          <w:rFonts w:ascii="Calibri" w:eastAsia="Calibri" w:hAnsi="Calibri" w:cs="Times New Roman"/>
          <w:color w:val="000000" w:themeColor="text1"/>
          <w:sz w:val="24"/>
          <w:szCs w:val="24"/>
        </w:rPr>
        <w:t>ibid.</w:t>
      </w:r>
      <w:r w:rsidRPr="00CA734B">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Historically this community comprised </w:t>
      </w:r>
      <w:r w:rsidRPr="00CA734B">
        <w:rPr>
          <w:rFonts w:ascii="Calibri" w:eastAsia="Calibri" w:hAnsi="Calibri" w:cs="Times New Roman"/>
          <w:color w:val="000000" w:themeColor="text1"/>
          <w:sz w:val="24"/>
          <w:szCs w:val="24"/>
        </w:rPr>
        <w:t>collegial, dynamic</w:t>
      </w:r>
      <w:r w:rsidR="000C5BA0">
        <w:rPr>
          <w:rFonts w:ascii="Calibri" w:eastAsia="Calibri" w:hAnsi="Calibri" w:cs="Times New Roman"/>
          <w:color w:val="000000" w:themeColor="text1"/>
          <w:sz w:val="24"/>
          <w:szCs w:val="24"/>
        </w:rPr>
        <w:t xml:space="preserve"> </w:t>
      </w:r>
      <w:r w:rsidRPr="00CA734B">
        <w:rPr>
          <w:rFonts w:ascii="Calibri" w:eastAsia="Calibri" w:hAnsi="Calibri" w:cs="Times New Roman"/>
          <w:color w:val="000000" w:themeColor="text1"/>
          <w:sz w:val="24"/>
          <w:szCs w:val="24"/>
        </w:rPr>
        <w:t xml:space="preserve">and relational places and spaces, primary sites for social reproduction where values are cultivated and fostered. </w:t>
      </w:r>
      <w:r w:rsidRPr="00812325">
        <w:rPr>
          <w:rFonts w:ascii="Calibri" w:eastAsia="Calibri" w:hAnsi="Calibri" w:cs="Times New Roman"/>
          <w:color w:val="000000" w:themeColor="text1"/>
          <w:sz w:val="24"/>
          <w:szCs w:val="24"/>
        </w:rPr>
        <w:t>Universities of old</w:t>
      </w:r>
      <w:r>
        <w:rPr>
          <w:rFonts w:ascii="Calibri" w:eastAsia="Calibri" w:hAnsi="Calibri" w:cs="Times New Roman"/>
          <w:color w:val="000000" w:themeColor="text1"/>
          <w:sz w:val="24"/>
          <w:szCs w:val="24"/>
        </w:rPr>
        <w:t xml:space="preserve"> were</w:t>
      </w:r>
      <w:r w:rsidRPr="00812325">
        <w:rPr>
          <w:rFonts w:ascii="Calibri" w:eastAsia="Calibri" w:hAnsi="Calibri" w:cs="Times New Roman"/>
          <w:color w:val="000000" w:themeColor="text1"/>
          <w:sz w:val="24"/>
          <w:szCs w:val="24"/>
        </w:rPr>
        <w:t xml:space="preserve"> largely autonomous and afforded academics and students unfettered academic freedom</w:t>
      </w:r>
      <w:r w:rsidRPr="00586DC7">
        <w:rPr>
          <w:rFonts w:ascii="Calibri" w:eastAsia="Calibri" w:hAnsi="Calibri" w:cs="Times New Roman"/>
          <w:color w:val="000000" w:themeColor="text1"/>
          <w:sz w:val="24"/>
          <w:szCs w:val="24"/>
        </w:rPr>
        <w:t xml:space="preserve"> that facilitated flexibility of debate, discussion, learning and teaching (Dopson and McNay, 2000)</w:t>
      </w:r>
      <w:r w:rsidRPr="00812325">
        <w:rPr>
          <w:rFonts w:ascii="Calibri" w:eastAsia="Calibri" w:hAnsi="Calibri" w:cs="Times New Roman"/>
          <w:color w:val="000000" w:themeColor="text1"/>
          <w:sz w:val="24"/>
          <w:szCs w:val="24"/>
        </w:rPr>
        <w:t xml:space="preserve"> in an insulated, conceptual domain: the field of higher education (Bourdieu, 1988). </w:t>
      </w:r>
      <w:r w:rsidRPr="0011608A">
        <w:rPr>
          <w:rFonts w:ascii="Calibri" w:eastAsia="Calibri" w:hAnsi="Calibri" w:cs="Times New Roman"/>
          <w:sz w:val="24"/>
          <w:szCs w:val="24"/>
        </w:rPr>
        <w:t xml:space="preserve">Collegial approaches to the university were the norm in older sites such as Oxbridge where hierarchy and bureaucracy took second place to intellectual freedoms and inquiry (Deem </w:t>
      </w:r>
      <w:r w:rsidR="00FB3A6E" w:rsidRPr="00FB3A6E">
        <w:rPr>
          <w:rFonts w:ascii="Calibri" w:eastAsia="Calibri" w:hAnsi="Calibri" w:cs="Times New Roman"/>
          <w:i/>
          <w:sz w:val="24"/>
          <w:szCs w:val="24"/>
        </w:rPr>
        <w:t>et al.</w:t>
      </w:r>
      <w:r w:rsidRPr="0011608A">
        <w:rPr>
          <w:rFonts w:ascii="Calibri" w:eastAsia="Calibri" w:hAnsi="Calibri" w:cs="Times New Roman"/>
          <w:sz w:val="24"/>
          <w:szCs w:val="24"/>
        </w:rPr>
        <w:t>, 200</w:t>
      </w:r>
      <w:r w:rsidR="00CF4A8F">
        <w:rPr>
          <w:rFonts w:ascii="Calibri" w:eastAsia="Calibri" w:hAnsi="Calibri" w:cs="Times New Roman"/>
          <w:sz w:val="24"/>
          <w:szCs w:val="24"/>
        </w:rPr>
        <w:t>8</w:t>
      </w:r>
      <w:r w:rsidRPr="0011608A">
        <w:rPr>
          <w:rFonts w:ascii="Calibri" w:eastAsia="Calibri" w:hAnsi="Calibri" w:cs="Times New Roman"/>
          <w:sz w:val="24"/>
          <w:szCs w:val="24"/>
        </w:rPr>
        <w:t>).</w:t>
      </w:r>
      <w:r w:rsidRPr="0011608A">
        <w:rPr>
          <w:rFonts w:ascii="Calibri" w:eastAsia="Calibri" w:hAnsi="Calibri" w:cs="Times New Roman"/>
          <w:color w:val="EE0000"/>
          <w:sz w:val="24"/>
          <w:szCs w:val="24"/>
        </w:rPr>
        <w:t xml:space="preserve"> </w:t>
      </w:r>
    </w:p>
    <w:p w14:paraId="3A45BF36" w14:textId="4E8E1C8B" w:rsidR="00EB7F5B" w:rsidRDefault="00EB7F5B" w:rsidP="00370E8B">
      <w:pPr>
        <w:spacing w:line="360" w:lineRule="auto"/>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t>As i</w:t>
      </w:r>
      <w:r w:rsidRPr="009A598F">
        <w:rPr>
          <w:rFonts w:ascii="Calibri" w:eastAsia="Calibri" w:hAnsi="Calibri" w:cs="Times New Roman"/>
          <w:color w:val="000000" w:themeColor="text1"/>
          <w:sz w:val="24"/>
          <w:szCs w:val="24"/>
        </w:rPr>
        <w:t>ntellectual and discursive space</w:t>
      </w:r>
      <w:r>
        <w:rPr>
          <w:rFonts w:ascii="Calibri" w:eastAsia="Calibri" w:hAnsi="Calibri" w:cs="Times New Roman"/>
          <w:color w:val="000000" w:themeColor="text1"/>
          <w:sz w:val="24"/>
          <w:szCs w:val="24"/>
        </w:rPr>
        <w:t>s</w:t>
      </w:r>
      <w:r w:rsidRPr="009A598F">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Barnett, </w:t>
      </w:r>
      <w:r w:rsidRPr="009A598F">
        <w:rPr>
          <w:rFonts w:ascii="Calibri" w:eastAsia="Calibri" w:hAnsi="Calibri" w:cs="Times New Roman"/>
          <w:color w:val="000000" w:themeColor="text1"/>
          <w:sz w:val="24"/>
          <w:szCs w:val="24"/>
        </w:rPr>
        <w:t>2005)</w:t>
      </w:r>
      <w:r>
        <w:rPr>
          <w:rFonts w:ascii="Calibri" w:eastAsia="Calibri" w:hAnsi="Calibri" w:cs="Times New Roman"/>
          <w:color w:val="000000" w:themeColor="text1"/>
          <w:sz w:val="24"/>
          <w:szCs w:val="24"/>
        </w:rPr>
        <w:t xml:space="preserve"> the “</w:t>
      </w:r>
      <w:r w:rsidRPr="00190758">
        <w:rPr>
          <w:rFonts w:ascii="Calibri" w:eastAsia="Calibri" w:hAnsi="Calibri" w:cs="Times New Roman"/>
          <w:color w:val="000000" w:themeColor="text1"/>
          <w:sz w:val="24"/>
          <w:szCs w:val="24"/>
        </w:rPr>
        <w:t>collegial university” (Kok, 2008, p.228) fundamentally contributes to</w:t>
      </w:r>
      <w:r>
        <w:rPr>
          <w:rFonts w:ascii="Calibri" w:eastAsia="Calibri" w:hAnsi="Calibri" w:cs="Times New Roman"/>
          <w:color w:val="000000" w:themeColor="text1"/>
          <w:sz w:val="24"/>
          <w:szCs w:val="24"/>
        </w:rPr>
        <w:t xml:space="preserve"> </w:t>
      </w:r>
      <w:r w:rsidRPr="00190758">
        <w:rPr>
          <w:rFonts w:ascii="Calibri" w:eastAsia="Calibri" w:hAnsi="Calibri" w:cs="Times New Roman"/>
          <w:color w:val="000000" w:themeColor="text1"/>
          <w:sz w:val="24"/>
          <w:szCs w:val="24"/>
        </w:rPr>
        <w:t>wider society</w:t>
      </w:r>
      <w:r>
        <w:rPr>
          <w:rFonts w:ascii="Calibri" w:eastAsia="Calibri" w:hAnsi="Calibri" w:cs="Times New Roman"/>
          <w:color w:val="000000" w:themeColor="text1"/>
          <w:sz w:val="24"/>
          <w:szCs w:val="24"/>
        </w:rPr>
        <w:t xml:space="preserve"> with a </w:t>
      </w:r>
      <w:r w:rsidRPr="005F75BB">
        <w:rPr>
          <w:rFonts w:ascii="Calibri" w:eastAsia="Calibri" w:hAnsi="Calibri" w:cs="Times New Roman"/>
          <w:color w:val="000000" w:themeColor="text1"/>
          <w:sz w:val="24"/>
          <w:szCs w:val="24"/>
        </w:rPr>
        <w:t xml:space="preserve">compelling moral purpose </w:t>
      </w:r>
      <w:r>
        <w:rPr>
          <w:rFonts w:ascii="Calibri" w:eastAsia="Calibri" w:hAnsi="Calibri" w:cs="Times New Roman"/>
          <w:color w:val="000000" w:themeColor="text1"/>
          <w:sz w:val="24"/>
          <w:szCs w:val="24"/>
        </w:rPr>
        <w:t>of being of</w:t>
      </w:r>
      <w:r w:rsidRPr="005F75BB">
        <w:rPr>
          <w:rFonts w:ascii="Calibri" w:eastAsia="Calibri" w:hAnsi="Calibri" w:cs="Times New Roman"/>
          <w:color w:val="000000" w:themeColor="text1"/>
          <w:sz w:val="24"/>
          <w:szCs w:val="24"/>
        </w:rPr>
        <w:t xml:space="preserve"> service</w:t>
      </w:r>
      <w:r>
        <w:rPr>
          <w:rFonts w:ascii="Calibri" w:eastAsia="Calibri" w:hAnsi="Calibri" w:cs="Times New Roman"/>
          <w:color w:val="000000" w:themeColor="text1"/>
          <w:sz w:val="24"/>
          <w:szCs w:val="24"/>
        </w:rPr>
        <w:t>:</w:t>
      </w:r>
      <w:r w:rsidRPr="005F75BB">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W</w:t>
      </w:r>
      <w:r w:rsidRPr="005F75BB">
        <w:rPr>
          <w:rFonts w:ascii="Calibri" w:eastAsia="Calibri" w:hAnsi="Calibri" w:cs="Times New Roman"/>
          <w:color w:val="000000" w:themeColor="text1"/>
          <w:sz w:val="24"/>
          <w:szCs w:val="24"/>
        </w:rPr>
        <w:t>e are not just collections of loosely affiliated persons with convergent or conflicting interests, but institutions that make a difference in the world”</w:t>
      </w:r>
      <w:r>
        <w:rPr>
          <w:rFonts w:ascii="Calibri" w:eastAsia="Calibri" w:hAnsi="Calibri" w:cs="Times New Roman"/>
          <w:color w:val="000000" w:themeColor="text1"/>
          <w:sz w:val="24"/>
          <w:szCs w:val="24"/>
        </w:rPr>
        <w:t xml:space="preserve"> </w:t>
      </w:r>
      <w:r w:rsidRPr="005F75BB">
        <w:rPr>
          <w:rFonts w:ascii="Calibri" w:eastAsia="Calibri" w:hAnsi="Calibri" w:cs="Times New Roman"/>
          <w:color w:val="000000" w:themeColor="text1"/>
          <w:sz w:val="24"/>
          <w:szCs w:val="24"/>
        </w:rPr>
        <w:t xml:space="preserve">(Keohane, 2006, p.2). </w:t>
      </w:r>
      <w:r>
        <w:rPr>
          <w:rFonts w:ascii="Calibri" w:eastAsia="Calibri" w:hAnsi="Calibri" w:cs="Times New Roman"/>
          <w:color w:val="000000" w:themeColor="text1"/>
          <w:sz w:val="24"/>
          <w:szCs w:val="24"/>
        </w:rPr>
        <w:t xml:space="preserve">Not only can the university make a difference </w:t>
      </w:r>
      <w:r w:rsidRPr="002F016A">
        <w:rPr>
          <w:rFonts w:ascii="Calibri" w:eastAsia="Calibri" w:hAnsi="Calibri" w:cs="Times New Roman"/>
          <w:color w:val="000000" w:themeColor="text1"/>
          <w:sz w:val="24"/>
          <w:szCs w:val="24"/>
        </w:rPr>
        <w:t>in</w:t>
      </w:r>
      <w:r>
        <w:rPr>
          <w:rFonts w:ascii="Calibri" w:eastAsia="Calibri" w:hAnsi="Calibri" w:cs="Times New Roman"/>
          <w:color w:val="000000" w:themeColor="text1"/>
          <w:sz w:val="24"/>
          <w:szCs w:val="24"/>
        </w:rPr>
        <w:t xml:space="preserve"> the world, but </w:t>
      </w:r>
      <w:r w:rsidRPr="00A2440C">
        <w:rPr>
          <w:rFonts w:ascii="Calibri" w:eastAsia="Calibri" w:hAnsi="Calibri" w:cs="Times New Roman"/>
          <w:color w:val="000000" w:themeColor="text1"/>
          <w:sz w:val="24"/>
          <w:szCs w:val="24"/>
        </w:rPr>
        <w:t>teaching and learning in higher education</w:t>
      </w:r>
      <w:r>
        <w:rPr>
          <w:rFonts w:ascii="Calibri" w:eastAsia="Calibri" w:hAnsi="Calibri" w:cs="Times New Roman"/>
          <w:color w:val="000000" w:themeColor="text1"/>
          <w:sz w:val="24"/>
          <w:szCs w:val="24"/>
        </w:rPr>
        <w:t xml:space="preserve"> </w:t>
      </w:r>
      <w:r w:rsidRPr="00A2440C">
        <w:rPr>
          <w:rFonts w:ascii="Calibri" w:eastAsia="Calibri" w:hAnsi="Calibri" w:cs="Times New Roman"/>
          <w:color w:val="000000" w:themeColor="text1"/>
          <w:sz w:val="24"/>
          <w:szCs w:val="24"/>
        </w:rPr>
        <w:t xml:space="preserve">is a way of interacting </w:t>
      </w:r>
      <w:r w:rsidRPr="00031B1C">
        <w:rPr>
          <w:rFonts w:ascii="Calibri" w:eastAsia="Calibri" w:hAnsi="Calibri" w:cs="Times New Roman"/>
          <w:i/>
          <w:iCs/>
          <w:color w:val="000000" w:themeColor="text1"/>
          <w:sz w:val="24"/>
          <w:szCs w:val="24"/>
        </w:rPr>
        <w:t>with</w:t>
      </w:r>
      <w:r w:rsidRPr="00A2440C">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the </w:t>
      </w:r>
      <w:r w:rsidRPr="00A2440C">
        <w:rPr>
          <w:rFonts w:ascii="Calibri" w:eastAsia="Calibri" w:hAnsi="Calibri" w:cs="Times New Roman"/>
          <w:color w:val="000000" w:themeColor="text1"/>
          <w:sz w:val="24"/>
          <w:szCs w:val="24"/>
        </w:rPr>
        <w:t>world</w:t>
      </w:r>
      <w:r>
        <w:rPr>
          <w:rFonts w:ascii="Calibri" w:eastAsia="Calibri" w:hAnsi="Calibri" w:cs="Times New Roman"/>
          <w:color w:val="000000" w:themeColor="text1"/>
          <w:sz w:val="24"/>
          <w:szCs w:val="24"/>
        </w:rPr>
        <w:t xml:space="preserve"> (Biggs, 2003)</w:t>
      </w:r>
      <w:r w:rsidR="00524982">
        <w:rPr>
          <w:rFonts w:ascii="Calibri" w:eastAsia="Calibri" w:hAnsi="Calibri" w:cs="Times New Roman"/>
          <w:color w:val="000000" w:themeColor="text1"/>
          <w:sz w:val="24"/>
          <w:szCs w:val="24"/>
        </w:rPr>
        <w:t>, relationally</w:t>
      </w:r>
      <w:r>
        <w:rPr>
          <w:rFonts w:ascii="Calibri" w:eastAsia="Calibri" w:hAnsi="Calibri" w:cs="Times New Roman"/>
          <w:color w:val="000000" w:themeColor="text1"/>
          <w:sz w:val="24"/>
          <w:szCs w:val="24"/>
        </w:rPr>
        <w:t xml:space="preserve">.  Although arguably a fanciful observation, by passing forward their community-created knowledge the collegial and learning university mirrors the hero archetype. Ideologically the hero is intrinsically good, fights for the underdog and altruistically shares his acquired treasures and learning with others (Campbell, 1949). The good hero archetype belies the darker sides of </w:t>
      </w:r>
      <w:r>
        <w:rPr>
          <w:rFonts w:ascii="Calibri" w:eastAsia="Calibri" w:hAnsi="Calibri" w:cs="Times New Roman"/>
          <w:color w:val="000000" w:themeColor="text1"/>
          <w:sz w:val="24"/>
          <w:szCs w:val="24"/>
        </w:rPr>
        <w:lastRenderedPageBreak/>
        <w:t>human behaviour such as jealousy, pride, stubbornness, competitiveness and arrogance, the shadow side of the hero, which the traditional collegial university no doubt housed</w:t>
      </w:r>
      <w:r w:rsidR="00AE7C7E">
        <w:rPr>
          <w:rFonts w:ascii="Calibri" w:eastAsia="Calibri" w:hAnsi="Calibri" w:cs="Times New Roman"/>
          <w:color w:val="000000" w:themeColor="text1"/>
          <w:sz w:val="24"/>
          <w:szCs w:val="24"/>
        </w:rPr>
        <w:t>,</w:t>
      </w:r>
      <w:r>
        <w:rPr>
          <w:rFonts w:ascii="Calibri" w:eastAsia="Calibri" w:hAnsi="Calibri" w:cs="Times New Roman"/>
          <w:color w:val="000000" w:themeColor="text1"/>
          <w:sz w:val="24"/>
          <w:szCs w:val="24"/>
        </w:rPr>
        <w:t xml:space="preserve"> and hid.</w:t>
      </w:r>
    </w:p>
    <w:p w14:paraId="20C53F07" w14:textId="77777777" w:rsidR="00EB7F5B" w:rsidRPr="00AA55F7" w:rsidRDefault="00EB7F5B" w:rsidP="00EA7A2B">
      <w:pPr>
        <w:rPr>
          <w:rFonts w:ascii="Calibri" w:eastAsia="Calibri" w:hAnsi="Calibri" w:cs="Times New Roman"/>
          <w:b/>
          <w:bCs/>
          <w:color w:val="000000" w:themeColor="text1"/>
          <w:sz w:val="24"/>
          <w:szCs w:val="24"/>
        </w:rPr>
      </w:pPr>
      <w:r w:rsidRPr="00AA55F7">
        <w:rPr>
          <w:rFonts w:ascii="Calibri" w:eastAsia="Calibri" w:hAnsi="Calibri" w:cs="Times New Roman"/>
          <w:b/>
          <w:bCs/>
          <w:color w:val="000000" w:themeColor="text1"/>
          <w:sz w:val="24"/>
          <w:szCs w:val="24"/>
        </w:rPr>
        <w:t>All change</w:t>
      </w:r>
    </w:p>
    <w:p w14:paraId="4A0FC32A" w14:textId="205B46D8" w:rsidR="00EB7F5B" w:rsidRPr="00760F46" w:rsidRDefault="00EB7F5B" w:rsidP="00A11116">
      <w:pPr>
        <w:spacing w:line="360" w:lineRule="auto"/>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t>In recent times, t</w:t>
      </w:r>
      <w:r w:rsidRPr="00B22FA5">
        <w:rPr>
          <w:rFonts w:ascii="Calibri" w:eastAsia="Calibri" w:hAnsi="Calibri" w:cs="Times New Roman"/>
          <w:color w:val="000000" w:themeColor="text1"/>
          <w:sz w:val="24"/>
          <w:szCs w:val="24"/>
        </w:rPr>
        <w:t xml:space="preserve">he field </w:t>
      </w:r>
      <w:r>
        <w:rPr>
          <w:rFonts w:ascii="Calibri" w:eastAsia="Calibri" w:hAnsi="Calibri" w:cs="Times New Roman"/>
          <w:color w:val="000000" w:themeColor="text1"/>
          <w:sz w:val="24"/>
          <w:szCs w:val="24"/>
        </w:rPr>
        <w:t>of the university</w:t>
      </w:r>
      <w:r w:rsidRPr="00B22FA5">
        <w:rPr>
          <w:rFonts w:ascii="Calibri" w:eastAsia="Calibri" w:hAnsi="Calibri" w:cs="Times New Roman"/>
          <w:color w:val="000000" w:themeColor="text1"/>
          <w:sz w:val="24"/>
          <w:szCs w:val="24"/>
        </w:rPr>
        <w:t xml:space="preserve"> is no longer a field of its own</w:t>
      </w:r>
      <w:r>
        <w:rPr>
          <w:rFonts w:ascii="Calibri" w:eastAsia="Calibri" w:hAnsi="Calibri" w:cs="Times New Roman"/>
          <w:color w:val="000000" w:themeColor="text1"/>
          <w:sz w:val="24"/>
          <w:szCs w:val="24"/>
        </w:rPr>
        <w:t xml:space="preserve">. </w:t>
      </w:r>
      <w:r w:rsidRPr="009C182F">
        <w:rPr>
          <w:rFonts w:ascii="Calibri" w:eastAsia="Calibri" w:hAnsi="Calibri" w:cs="Times New Roman"/>
          <w:color w:val="000000" w:themeColor="text1"/>
          <w:sz w:val="24"/>
          <w:szCs w:val="24"/>
        </w:rPr>
        <w:t>External</w:t>
      </w:r>
      <w:r>
        <w:rPr>
          <w:rFonts w:ascii="Calibri" w:eastAsia="Calibri" w:hAnsi="Calibri" w:cs="Times New Roman"/>
          <w:color w:val="000000" w:themeColor="text1"/>
          <w:sz w:val="24"/>
          <w:szCs w:val="24"/>
        </w:rPr>
        <w:t xml:space="preserve">, structural </w:t>
      </w:r>
      <w:r w:rsidRPr="009C182F">
        <w:rPr>
          <w:rFonts w:ascii="Calibri" w:eastAsia="Calibri" w:hAnsi="Calibri" w:cs="Times New Roman"/>
          <w:color w:val="000000" w:themeColor="text1"/>
          <w:sz w:val="24"/>
          <w:szCs w:val="24"/>
        </w:rPr>
        <w:t>changes imposed on universities over the last 50 years have had an impact on the</w:t>
      </w:r>
      <w:r>
        <w:rPr>
          <w:rFonts w:ascii="Calibri" w:eastAsia="Calibri" w:hAnsi="Calibri" w:cs="Times New Roman"/>
          <w:color w:val="000000" w:themeColor="text1"/>
          <w:sz w:val="24"/>
          <w:szCs w:val="24"/>
        </w:rPr>
        <w:t>ir</w:t>
      </w:r>
      <w:r w:rsidRPr="009C182F">
        <w:rPr>
          <w:rFonts w:ascii="Calibri" w:eastAsia="Calibri" w:hAnsi="Calibri" w:cs="Times New Roman"/>
          <w:color w:val="000000" w:themeColor="text1"/>
          <w:sz w:val="24"/>
          <w:szCs w:val="24"/>
        </w:rPr>
        <w:t xml:space="preserve"> “architecture”, “shape”</w:t>
      </w:r>
      <w:r>
        <w:rPr>
          <w:rFonts w:ascii="Calibri" w:eastAsia="Calibri" w:hAnsi="Calibri" w:cs="Times New Roman"/>
          <w:color w:val="000000" w:themeColor="text1"/>
          <w:sz w:val="24"/>
          <w:szCs w:val="24"/>
        </w:rPr>
        <w:t xml:space="preserve">, </w:t>
      </w:r>
      <w:r w:rsidRPr="009C182F">
        <w:rPr>
          <w:rFonts w:ascii="Calibri" w:eastAsia="Calibri" w:hAnsi="Calibri" w:cs="Times New Roman"/>
          <w:color w:val="000000" w:themeColor="text1"/>
          <w:sz w:val="24"/>
          <w:szCs w:val="24"/>
        </w:rPr>
        <w:t>“space” (Barnett, 2005, p.2)</w:t>
      </w:r>
      <w:r>
        <w:rPr>
          <w:rFonts w:ascii="Calibri" w:eastAsia="Calibri" w:hAnsi="Calibri" w:cs="Times New Roman"/>
          <w:color w:val="000000" w:themeColor="text1"/>
          <w:sz w:val="24"/>
          <w:szCs w:val="24"/>
        </w:rPr>
        <w:t xml:space="preserve"> and “borders” (</w:t>
      </w:r>
      <w:r w:rsidR="00AB1ADC">
        <w:rPr>
          <w:rFonts w:ascii="Calibri" w:eastAsia="Calibri" w:hAnsi="Calibri" w:cs="Times New Roman"/>
          <w:color w:val="000000" w:themeColor="text1"/>
          <w:sz w:val="24"/>
          <w:szCs w:val="24"/>
        </w:rPr>
        <w:t>ibid.</w:t>
      </w:r>
      <w:r>
        <w:rPr>
          <w:rFonts w:ascii="Calibri" w:eastAsia="Calibri" w:hAnsi="Calibri" w:cs="Times New Roman"/>
          <w:color w:val="000000" w:themeColor="text1"/>
          <w:sz w:val="24"/>
          <w:szCs w:val="24"/>
        </w:rPr>
        <w:t>, p.3). Previously</w:t>
      </w:r>
      <w:r w:rsidRPr="009C182F">
        <w:rPr>
          <w:rFonts w:ascii="Calibri" w:eastAsia="Calibri" w:hAnsi="Calibri" w:cs="Times New Roman"/>
          <w:color w:val="000000" w:themeColor="text1"/>
          <w:sz w:val="24"/>
          <w:szCs w:val="24"/>
        </w:rPr>
        <w:t xml:space="preserve"> clear and delineated, </w:t>
      </w:r>
      <w:r>
        <w:rPr>
          <w:rFonts w:ascii="Calibri" w:eastAsia="Calibri" w:hAnsi="Calibri" w:cs="Times New Roman"/>
          <w:color w:val="000000" w:themeColor="text1"/>
          <w:sz w:val="24"/>
          <w:szCs w:val="24"/>
        </w:rPr>
        <w:t>these borders are</w:t>
      </w:r>
      <w:r w:rsidRPr="009C182F">
        <w:rPr>
          <w:rFonts w:ascii="Calibri" w:eastAsia="Calibri" w:hAnsi="Calibri" w:cs="Times New Roman"/>
          <w:color w:val="000000" w:themeColor="text1"/>
          <w:sz w:val="24"/>
          <w:szCs w:val="24"/>
        </w:rPr>
        <w:t xml:space="preserve"> becoming fuzzy. </w:t>
      </w:r>
      <w:r>
        <w:rPr>
          <w:rFonts w:ascii="Calibri" w:eastAsia="Calibri" w:hAnsi="Calibri" w:cs="Times New Roman"/>
          <w:color w:val="000000" w:themeColor="text1"/>
          <w:sz w:val="24"/>
          <w:szCs w:val="24"/>
        </w:rPr>
        <w:t xml:space="preserve"> </w:t>
      </w:r>
      <w:r w:rsidR="00DB6140">
        <w:rPr>
          <w:rFonts w:ascii="Calibri" w:eastAsia="Calibri" w:hAnsi="Calibri" w:cs="Times New Roman"/>
          <w:color w:val="000000" w:themeColor="text1"/>
          <w:sz w:val="24"/>
          <w:szCs w:val="24"/>
        </w:rPr>
        <w:t xml:space="preserve">For example, </w:t>
      </w:r>
      <w:r w:rsidR="00B14E86">
        <w:rPr>
          <w:rFonts w:ascii="Calibri" w:eastAsia="Calibri" w:hAnsi="Calibri" w:cs="Times New Roman"/>
          <w:color w:val="000000" w:themeColor="text1"/>
          <w:sz w:val="24"/>
          <w:szCs w:val="24"/>
        </w:rPr>
        <w:t>d</w:t>
      </w:r>
      <w:r>
        <w:rPr>
          <w:rFonts w:ascii="Calibri" w:eastAsia="Calibri" w:hAnsi="Calibri" w:cs="Times New Roman"/>
          <w:color w:val="000000" w:themeColor="text1"/>
          <w:sz w:val="24"/>
          <w:szCs w:val="24"/>
        </w:rPr>
        <w:t xml:space="preserve">ecisions about which academic freedoms to afford are no longer decided by administrative elite committees or elderly scholars; </w:t>
      </w:r>
      <w:r w:rsidRPr="00AF4053">
        <w:rPr>
          <w:rFonts w:ascii="Calibri" w:eastAsia="Calibri" w:hAnsi="Calibri" w:cs="Times New Roman"/>
          <w:color w:val="000000" w:themeColor="text1"/>
          <w:sz w:val="24"/>
          <w:szCs w:val="24"/>
        </w:rPr>
        <w:t xml:space="preserve">politics, the economy and </w:t>
      </w:r>
      <w:r>
        <w:rPr>
          <w:rFonts w:ascii="Calibri" w:eastAsia="Calibri" w:hAnsi="Calibri" w:cs="Times New Roman"/>
          <w:color w:val="000000" w:themeColor="text1"/>
          <w:sz w:val="24"/>
          <w:szCs w:val="24"/>
        </w:rPr>
        <w:t xml:space="preserve">students have a say </w:t>
      </w:r>
      <w:r w:rsidRPr="00AF4053">
        <w:rPr>
          <w:rFonts w:ascii="Calibri" w:eastAsia="Calibri" w:hAnsi="Calibri" w:cs="Times New Roman"/>
          <w:color w:val="000000" w:themeColor="text1"/>
          <w:sz w:val="24"/>
          <w:szCs w:val="24"/>
        </w:rPr>
        <w:t>in its governance</w:t>
      </w:r>
      <w:r w:rsidR="00B14E86">
        <w:rPr>
          <w:rFonts w:ascii="Calibri" w:eastAsia="Calibri" w:hAnsi="Calibri" w:cs="Times New Roman"/>
          <w:color w:val="000000" w:themeColor="text1"/>
          <w:sz w:val="24"/>
          <w:szCs w:val="24"/>
        </w:rPr>
        <w:t xml:space="preserve"> (</w:t>
      </w:r>
      <w:r w:rsidR="003A4C1C" w:rsidRPr="003A4C1C">
        <w:rPr>
          <w:rFonts w:ascii="Calibri" w:eastAsia="Calibri" w:hAnsi="Calibri" w:cs="Times New Roman"/>
          <w:color w:val="000000" w:themeColor="text1"/>
          <w:sz w:val="24"/>
          <w:szCs w:val="24"/>
        </w:rPr>
        <w:t>Barnett, 2011</w:t>
      </w:r>
      <w:r w:rsidR="003A4C1C">
        <w:rPr>
          <w:rFonts w:ascii="Calibri" w:eastAsia="Calibri" w:hAnsi="Calibri" w:cs="Times New Roman"/>
          <w:color w:val="000000" w:themeColor="text1"/>
          <w:sz w:val="24"/>
          <w:szCs w:val="24"/>
        </w:rPr>
        <w:t>;</w:t>
      </w:r>
      <w:r w:rsidR="003A4C1C" w:rsidRPr="003A4C1C">
        <w:rPr>
          <w:rFonts w:ascii="Calibri" w:eastAsia="Calibri" w:hAnsi="Calibri" w:cs="Times New Roman"/>
          <w:color w:val="000000" w:themeColor="text1"/>
          <w:sz w:val="24"/>
          <w:szCs w:val="24"/>
        </w:rPr>
        <w:t xml:space="preserve"> Ferlie </w:t>
      </w:r>
      <w:r w:rsidR="00FB3A6E" w:rsidRPr="00FB3A6E">
        <w:rPr>
          <w:rFonts w:ascii="Calibri" w:eastAsia="Calibri" w:hAnsi="Calibri" w:cs="Times New Roman"/>
          <w:i/>
          <w:color w:val="000000" w:themeColor="text1"/>
          <w:sz w:val="24"/>
          <w:szCs w:val="24"/>
        </w:rPr>
        <w:t>et al.</w:t>
      </w:r>
      <w:r w:rsidR="003A4C1C" w:rsidRPr="003A4C1C">
        <w:rPr>
          <w:rFonts w:ascii="Calibri" w:eastAsia="Calibri" w:hAnsi="Calibri" w:cs="Times New Roman"/>
          <w:color w:val="000000" w:themeColor="text1"/>
          <w:sz w:val="24"/>
          <w:szCs w:val="24"/>
        </w:rPr>
        <w:t>, 2003</w:t>
      </w:r>
      <w:r w:rsidR="003A4C1C">
        <w:rPr>
          <w:rFonts w:ascii="Calibri" w:eastAsia="Calibri" w:hAnsi="Calibri" w:cs="Times New Roman"/>
          <w:color w:val="000000" w:themeColor="text1"/>
          <w:sz w:val="24"/>
          <w:szCs w:val="24"/>
        </w:rPr>
        <w:t xml:space="preserve">; </w:t>
      </w:r>
      <w:r w:rsidR="00B14E86">
        <w:rPr>
          <w:rFonts w:ascii="Calibri" w:eastAsia="Calibri" w:hAnsi="Calibri" w:cs="Times New Roman"/>
          <w:color w:val="000000" w:themeColor="text1"/>
          <w:sz w:val="24"/>
          <w:szCs w:val="24"/>
        </w:rPr>
        <w:t>Fleming, 2021</w:t>
      </w:r>
      <w:r w:rsidR="00B34114">
        <w:rPr>
          <w:rFonts w:ascii="Calibri" w:eastAsia="Calibri" w:hAnsi="Calibri" w:cs="Times New Roman"/>
          <w:color w:val="000000" w:themeColor="text1"/>
          <w:sz w:val="24"/>
          <w:szCs w:val="24"/>
        </w:rPr>
        <w:t>;</w:t>
      </w:r>
      <w:r w:rsidR="00EC67B5" w:rsidRPr="00EC67B5">
        <w:rPr>
          <w:rFonts w:ascii="Calibri" w:eastAsia="Calibri" w:hAnsi="Calibri" w:cs="Times New Roman"/>
          <w:color w:val="000000" w:themeColor="text1"/>
          <w:sz w:val="24"/>
          <w:szCs w:val="24"/>
          <w:lang w:val="en-US"/>
        </w:rPr>
        <w:t xml:space="preserve"> Neave</w:t>
      </w:r>
      <w:r w:rsidR="00B34114">
        <w:rPr>
          <w:rFonts w:ascii="Calibri" w:eastAsia="Calibri" w:hAnsi="Calibri" w:cs="Times New Roman"/>
          <w:color w:val="000000" w:themeColor="text1"/>
          <w:sz w:val="24"/>
          <w:szCs w:val="24"/>
          <w:lang w:val="en-US"/>
        </w:rPr>
        <w:t>,</w:t>
      </w:r>
      <w:r w:rsidR="00EC67B5" w:rsidRPr="00EC67B5">
        <w:rPr>
          <w:rFonts w:ascii="Calibri" w:eastAsia="Calibri" w:hAnsi="Calibri" w:cs="Times New Roman"/>
          <w:color w:val="000000" w:themeColor="text1"/>
          <w:sz w:val="24"/>
          <w:szCs w:val="24"/>
          <w:lang w:val="en-US"/>
        </w:rPr>
        <w:t xml:space="preserve"> 2006</w:t>
      </w:r>
      <w:r w:rsidR="00B14E86">
        <w:rPr>
          <w:rFonts w:ascii="Calibri" w:eastAsia="Calibri" w:hAnsi="Calibri" w:cs="Times New Roman"/>
          <w:color w:val="000000" w:themeColor="text1"/>
          <w:sz w:val="24"/>
          <w:szCs w:val="24"/>
        </w:rPr>
        <w:t>)</w:t>
      </w:r>
      <w:r>
        <w:rPr>
          <w:rFonts w:ascii="Calibri" w:eastAsia="Calibri" w:hAnsi="Calibri" w:cs="Times New Roman"/>
          <w:color w:val="000000" w:themeColor="text1"/>
          <w:sz w:val="24"/>
          <w:szCs w:val="24"/>
        </w:rPr>
        <w:t>. I argue that some of the o</w:t>
      </w:r>
      <w:r w:rsidRPr="000E2070">
        <w:rPr>
          <w:rFonts w:ascii="Calibri" w:eastAsia="Calibri" w:hAnsi="Calibri" w:cs="Times New Roman"/>
          <w:color w:val="000000" w:themeColor="text1"/>
          <w:sz w:val="24"/>
          <w:szCs w:val="24"/>
        </w:rPr>
        <w:t>perational factors</w:t>
      </w:r>
      <w:r>
        <w:rPr>
          <w:rFonts w:ascii="Calibri" w:eastAsia="Calibri" w:hAnsi="Calibri" w:cs="Times New Roman"/>
          <w:color w:val="000000" w:themeColor="text1"/>
          <w:sz w:val="24"/>
          <w:szCs w:val="24"/>
        </w:rPr>
        <w:t xml:space="preserve"> </w:t>
      </w:r>
      <w:r w:rsidRPr="000E2070">
        <w:rPr>
          <w:rFonts w:ascii="Calibri" w:eastAsia="Calibri" w:hAnsi="Calibri" w:cs="Times New Roman"/>
          <w:color w:val="000000" w:themeColor="text1"/>
          <w:sz w:val="24"/>
          <w:szCs w:val="24"/>
        </w:rPr>
        <w:t xml:space="preserve">brought to bear </w:t>
      </w:r>
      <w:r>
        <w:rPr>
          <w:rFonts w:ascii="Calibri" w:eastAsia="Calibri" w:hAnsi="Calibri" w:cs="Times New Roman"/>
          <w:color w:val="000000" w:themeColor="text1"/>
          <w:sz w:val="24"/>
          <w:szCs w:val="24"/>
        </w:rPr>
        <w:t>on universities in recent times</w:t>
      </w:r>
      <w:r w:rsidRPr="00787DF9">
        <w:rPr>
          <w:rFonts w:ascii="Calibri" w:eastAsia="Calibri" w:hAnsi="Calibri" w:cs="Times New Roman"/>
          <w:color w:val="000000" w:themeColor="text1"/>
          <w:sz w:val="24"/>
          <w:szCs w:val="24"/>
        </w:rPr>
        <w:t xml:space="preserve"> have catalysed a shift in how the sector is managed and </w:t>
      </w:r>
      <w:r w:rsidR="001801F4" w:rsidRPr="00787DF9">
        <w:rPr>
          <w:rFonts w:ascii="Calibri" w:eastAsia="Calibri" w:hAnsi="Calibri" w:cs="Times New Roman"/>
          <w:color w:val="000000" w:themeColor="text1"/>
          <w:sz w:val="24"/>
          <w:szCs w:val="24"/>
        </w:rPr>
        <w:t>governed</w:t>
      </w:r>
      <w:r w:rsidR="001801F4">
        <w:rPr>
          <w:rFonts w:ascii="Calibri" w:eastAsia="Calibri" w:hAnsi="Calibri" w:cs="Times New Roman"/>
          <w:color w:val="000000" w:themeColor="text1"/>
          <w:sz w:val="24"/>
          <w:szCs w:val="24"/>
        </w:rPr>
        <w:t xml:space="preserve"> and</w:t>
      </w:r>
      <w:r>
        <w:rPr>
          <w:rFonts w:ascii="Calibri" w:eastAsia="Calibri" w:hAnsi="Calibri" w:cs="Times New Roman"/>
          <w:color w:val="000000" w:themeColor="text1"/>
          <w:sz w:val="24"/>
          <w:szCs w:val="24"/>
        </w:rPr>
        <w:t xml:space="preserve"> are </w:t>
      </w:r>
      <w:r w:rsidRPr="000E2070">
        <w:rPr>
          <w:rFonts w:ascii="Calibri" w:eastAsia="Calibri" w:hAnsi="Calibri" w:cs="Times New Roman"/>
          <w:color w:val="000000" w:themeColor="text1"/>
          <w:sz w:val="24"/>
          <w:szCs w:val="24"/>
        </w:rPr>
        <w:t>changing their space</w:t>
      </w:r>
      <w:r>
        <w:rPr>
          <w:rFonts w:ascii="Calibri" w:eastAsia="Calibri" w:hAnsi="Calibri" w:cs="Times New Roman"/>
          <w:color w:val="000000" w:themeColor="text1"/>
          <w:sz w:val="24"/>
          <w:szCs w:val="24"/>
        </w:rPr>
        <w:t xml:space="preserve"> and function. </w:t>
      </w:r>
      <w:r>
        <w:rPr>
          <w:rFonts w:ascii="Calibri" w:eastAsia="Calibri" w:hAnsi="Calibri" w:cs="Times New Roman"/>
          <w:sz w:val="24"/>
          <w:szCs w:val="24"/>
        </w:rPr>
        <w:t>As we shall now discover, a neoliberal shift towards a marketisation and managerialism paradigm impact</w:t>
      </w:r>
      <w:r w:rsidR="001801F4">
        <w:rPr>
          <w:rFonts w:ascii="Calibri" w:eastAsia="Calibri" w:hAnsi="Calibri" w:cs="Times New Roman"/>
          <w:sz w:val="24"/>
          <w:szCs w:val="24"/>
        </w:rPr>
        <w:t>s</w:t>
      </w:r>
      <w:r>
        <w:rPr>
          <w:rFonts w:ascii="Calibri" w:eastAsia="Calibri" w:hAnsi="Calibri" w:cs="Times New Roman"/>
          <w:sz w:val="24"/>
          <w:szCs w:val="24"/>
        </w:rPr>
        <w:t xml:space="preserve"> the policies, function and cultural resonance of the university system. </w:t>
      </w:r>
    </w:p>
    <w:p w14:paraId="59BEF102" w14:textId="77777777" w:rsidR="00EB7F5B" w:rsidRPr="00CE460E" w:rsidRDefault="00EB7F5B" w:rsidP="000E2070">
      <w:pPr>
        <w:rPr>
          <w:rFonts w:ascii="Calibri" w:eastAsia="Calibri" w:hAnsi="Calibri" w:cs="Times New Roman"/>
          <w:b/>
          <w:bCs/>
          <w:sz w:val="24"/>
          <w:szCs w:val="24"/>
        </w:rPr>
      </w:pPr>
      <w:r>
        <w:rPr>
          <w:rFonts w:ascii="Calibri" w:eastAsia="Calibri" w:hAnsi="Calibri" w:cs="Times New Roman"/>
          <w:b/>
          <w:bCs/>
          <w:sz w:val="24"/>
          <w:szCs w:val="24"/>
        </w:rPr>
        <w:t>T</w:t>
      </w:r>
      <w:r w:rsidRPr="00CE460E">
        <w:rPr>
          <w:rFonts w:ascii="Calibri" w:eastAsia="Calibri" w:hAnsi="Calibri" w:cs="Times New Roman"/>
          <w:b/>
          <w:bCs/>
          <w:sz w:val="24"/>
          <w:szCs w:val="24"/>
        </w:rPr>
        <w:t>he neoliberal market</w:t>
      </w:r>
    </w:p>
    <w:p w14:paraId="0D30AFE6" w14:textId="0DB3A02E" w:rsidR="00EB7F5B" w:rsidRPr="00DB660B" w:rsidRDefault="00EB7F5B" w:rsidP="00DB660B">
      <w:pPr>
        <w:spacing w:line="360" w:lineRule="auto"/>
        <w:rPr>
          <w:rFonts w:ascii="Calibri" w:eastAsia="Calibri" w:hAnsi="Calibri" w:cs="Times New Roman"/>
          <w:color w:val="000000" w:themeColor="text1"/>
          <w:sz w:val="24"/>
          <w:szCs w:val="24"/>
        </w:rPr>
      </w:pPr>
      <w:r w:rsidRPr="0063526D">
        <w:rPr>
          <w:rFonts w:ascii="Calibri" w:eastAsia="Calibri" w:hAnsi="Calibri" w:cs="Times New Roman"/>
          <w:color w:val="000000" w:themeColor="text1"/>
          <w:sz w:val="24"/>
          <w:szCs w:val="24"/>
        </w:rPr>
        <w:t xml:space="preserve">The term neoliberalism became prevalent </w:t>
      </w:r>
      <w:r>
        <w:rPr>
          <w:rFonts w:ascii="Calibri" w:eastAsia="Calibri" w:hAnsi="Calibri" w:cs="Times New Roman"/>
          <w:color w:val="000000" w:themeColor="text1"/>
          <w:sz w:val="24"/>
          <w:szCs w:val="24"/>
        </w:rPr>
        <w:t xml:space="preserve">in the </w:t>
      </w:r>
      <w:r w:rsidRPr="0063526D">
        <w:rPr>
          <w:rFonts w:ascii="Calibri" w:eastAsia="Calibri" w:hAnsi="Calibri" w:cs="Times New Roman"/>
          <w:color w:val="000000" w:themeColor="text1"/>
          <w:sz w:val="24"/>
          <w:szCs w:val="24"/>
        </w:rPr>
        <w:t>1960</w:t>
      </w:r>
      <w:r>
        <w:rPr>
          <w:rFonts w:ascii="Calibri" w:eastAsia="Calibri" w:hAnsi="Calibri" w:cs="Times New Roman"/>
          <w:color w:val="000000" w:themeColor="text1"/>
          <w:sz w:val="24"/>
          <w:szCs w:val="24"/>
        </w:rPr>
        <w:t>’s</w:t>
      </w:r>
      <w:r w:rsidRPr="0063526D">
        <w:rPr>
          <w:rFonts w:ascii="Calibri" w:eastAsia="Calibri" w:hAnsi="Calibri" w:cs="Times New Roman"/>
          <w:color w:val="000000" w:themeColor="text1"/>
          <w:sz w:val="24"/>
          <w:szCs w:val="24"/>
        </w:rPr>
        <w:t xml:space="preserve"> and </w:t>
      </w:r>
      <w:r w:rsidRPr="00AD6F17">
        <w:rPr>
          <w:rFonts w:ascii="Calibri" w:eastAsia="Calibri" w:hAnsi="Calibri" w:cs="Times New Roman"/>
          <w:color w:val="000000" w:themeColor="text1"/>
          <w:sz w:val="24"/>
          <w:szCs w:val="24"/>
        </w:rPr>
        <w:t>is associated with policies of deregulation, globalisation</w:t>
      </w:r>
      <w:r w:rsidR="001801F4">
        <w:rPr>
          <w:rFonts w:ascii="Calibri" w:eastAsia="Calibri" w:hAnsi="Calibri" w:cs="Times New Roman"/>
          <w:color w:val="000000" w:themeColor="text1"/>
          <w:sz w:val="24"/>
          <w:szCs w:val="24"/>
        </w:rPr>
        <w:t xml:space="preserve"> </w:t>
      </w:r>
      <w:r w:rsidRPr="00AD6F17">
        <w:rPr>
          <w:rFonts w:ascii="Calibri" w:eastAsia="Calibri" w:hAnsi="Calibri" w:cs="Times New Roman"/>
          <w:color w:val="000000" w:themeColor="text1"/>
          <w:sz w:val="24"/>
          <w:szCs w:val="24"/>
        </w:rPr>
        <w:t xml:space="preserve">and reductions in government spending </w:t>
      </w:r>
      <w:r>
        <w:rPr>
          <w:rFonts w:ascii="Calibri" w:eastAsia="Calibri" w:hAnsi="Calibri" w:cs="Times New Roman"/>
          <w:color w:val="000000" w:themeColor="text1"/>
          <w:sz w:val="24"/>
          <w:szCs w:val="24"/>
        </w:rPr>
        <w:t xml:space="preserve">with the aim of </w:t>
      </w:r>
      <w:r w:rsidRPr="0063526D">
        <w:rPr>
          <w:rFonts w:ascii="Calibri" w:eastAsia="Calibri" w:hAnsi="Calibri" w:cs="Times New Roman"/>
          <w:color w:val="000000" w:themeColor="text1"/>
          <w:sz w:val="24"/>
          <w:szCs w:val="24"/>
        </w:rPr>
        <w:t>privatis</w:t>
      </w:r>
      <w:r>
        <w:rPr>
          <w:rFonts w:ascii="Calibri" w:eastAsia="Calibri" w:hAnsi="Calibri" w:cs="Times New Roman"/>
          <w:color w:val="000000" w:themeColor="text1"/>
          <w:sz w:val="24"/>
          <w:szCs w:val="24"/>
        </w:rPr>
        <w:t>ing</w:t>
      </w:r>
      <w:r w:rsidRPr="0063526D">
        <w:rPr>
          <w:rFonts w:ascii="Calibri" w:eastAsia="Calibri" w:hAnsi="Calibri" w:cs="Times New Roman"/>
          <w:color w:val="000000" w:themeColor="text1"/>
          <w:sz w:val="24"/>
          <w:szCs w:val="24"/>
        </w:rPr>
        <w:t xml:space="preserve"> the economy and society (Springer </w:t>
      </w:r>
      <w:r w:rsidR="00FB3A6E" w:rsidRPr="00FB3A6E">
        <w:rPr>
          <w:rFonts w:ascii="Calibri" w:eastAsia="Calibri" w:hAnsi="Calibri" w:cs="Times New Roman"/>
          <w:i/>
          <w:color w:val="000000" w:themeColor="text1"/>
          <w:sz w:val="24"/>
          <w:szCs w:val="24"/>
        </w:rPr>
        <w:t>et al.</w:t>
      </w:r>
      <w:r w:rsidRPr="0063526D">
        <w:rPr>
          <w:rFonts w:ascii="Calibri" w:eastAsia="Calibri" w:hAnsi="Calibri" w:cs="Times New Roman"/>
          <w:color w:val="000000" w:themeColor="text1"/>
          <w:sz w:val="24"/>
          <w:szCs w:val="24"/>
        </w:rPr>
        <w:t xml:space="preserve">, 2016). </w:t>
      </w:r>
      <w:r>
        <w:rPr>
          <w:rFonts w:ascii="Calibri" w:eastAsia="Calibri" w:hAnsi="Calibri" w:cs="Times New Roman"/>
          <w:color w:val="000000" w:themeColor="text1"/>
          <w:sz w:val="24"/>
          <w:szCs w:val="24"/>
        </w:rPr>
        <w:t>During the 1980’s a neoliberal</w:t>
      </w:r>
      <w:r w:rsidRPr="00066856">
        <w:rPr>
          <w:rFonts w:ascii="Calibri" w:eastAsia="Calibri" w:hAnsi="Calibri" w:cs="Times New Roman"/>
          <w:color w:val="000000" w:themeColor="text1"/>
          <w:sz w:val="24"/>
          <w:szCs w:val="24"/>
        </w:rPr>
        <w:t xml:space="preserve"> discourse </w:t>
      </w:r>
      <w:r>
        <w:rPr>
          <w:rFonts w:ascii="Calibri" w:eastAsia="Calibri" w:hAnsi="Calibri" w:cs="Times New Roman"/>
          <w:color w:val="000000" w:themeColor="text1"/>
          <w:sz w:val="24"/>
          <w:szCs w:val="24"/>
        </w:rPr>
        <w:t>was furthered</w:t>
      </w:r>
      <w:r w:rsidRPr="00066856">
        <w:rPr>
          <w:rFonts w:ascii="Calibri" w:eastAsia="Calibri" w:hAnsi="Calibri" w:cs="Times New Roman"/>
          <w:color w:val="000000" w:themeColor="text1"/>
          <w:sz w:val="24"/>
          <w:szCs w:val="24"/>
        </w:rPr>
        <w:t xml:space="preserve"> politically </w:t>
      </w:r>
      <w:r>
        <w:rPr>
          <w:rFonts w:ascii="Calibri" w:eastAsia="Calibri" w:hAnsi="Calibri" w:cs="Times New Roman"/>
          <w:color w:val="000000" w:themeColor="text1"/>
          <w:sz w:val="24"/>
          <w:szCs w:val="24"/>
        </w:rPr>
        <w:t xml:space="preserve">by </w:t>
      </w:r>
      <w:r w:rsidRPr="00066856">
        <w:rPr>
          <w:rFonts w:ascii="Calibri" w:eastAsia="Calibri" w:hAnsi="Calibri" w:cs="Times New Roman"/>
          <w:color w:val="000000" w:themeColor="text1"/>
          <w:sz w:val="24"/>
          <w:szCs w:val="24"/>
        </w:rPr>
        <w:t>economic policies introduced by Thatcher in the UK and Reagan in the US</w:t>
      </w:r>
      <w:r>
        <w:rPr>
          <w:rFonts w:ascii="Calibri" w:eastAsia="Calibri" w:hAnsi="Calibri" w:cs="Times New Roman"/>
          <w:color w:val="000000" w:themeColor="text1"/>
          <w:sz w:val="24"/>
          <w:szCs w:val="24"/>
        </w:rPr>
        <w:t>.</w:t>
      </w:r>
      <w:r w:rsidRPr="000174C2">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With reference to the HE sector, t</w:t>
      </w:r>
      <w:r w:rsidRPr="000174C2">
        <w:rPr>
          <w:rFonts w:ascii="Calibri" w:eastAsia="Calibri" w:hAnsi="Calibri" w:cs="Times New Roman"/>
          <w:color w:val="000000" w:themeColor="text1"/>
          <w:sz w:val="24"/>
          <w:szCs w:val="24"/>
        </w:rPr>
        <w:t>he neoliberal Zeitgeist</w:t>
      </w:r>
      <w:r>
        <w:rPr>
          <w:rFonts w:ascii="Calibri" w:eastAsia="Calibri" w:hAnsi="Calibri" w:cs="Times New Roman"/>
          <w:color w:val="000000" w:themeColor="text1"/>
          <w:sz w:val="24"/>
          <w:szCs w:val="24"/>
        </w:rPr>
        <w:t xml:space="preserve"> was </w:t>
      </w:r>
      <w:r w:rsidRPr="000174C2">
        <w:rPr>
          <w:rFonts w:ascii="Calibri" w:eastAsia="Calibri" w:hAnsi="Calibri" w:cs="Times New Roman"/>
          <w:color w:val="000000" w:themeColor="text1"/>
          <w:sz w:val="24"/>
          <w:szCs w:val="24"/>
        </w:rPr>
        <w:t>strengthened by funding cuts and a more streamlined funding from government sources</w:t>
      </w:r>
      <w:r>
        <w:rPr>
          <w:rFonts w:ascii="Calibri" w:eastAsia="Calibri" w:hAnsi="Calibri" w:cs="Times New Roman"/>
          <w:color w:val="000000" w:themeColor="text1"/>
          <w:sz w:val="24"/>
          <w:szCs w:val="24"/>
        </w:rPr>
        <w:t xml:space="preserve"> which</w:t>
      </w:r>
      <w:r w:rsidRPr="000174C2">
        <w:rPr>
          <w:rFonts w:ascii="Calibri" w:eastAsia="Calibri" w:hAnsi="Calibri" w:cs="Times New Roman"/>
          <w:color w:val="000000" w:themeColor="text1"/>
          <w:sz w:val="24"/>
          <w:szCs w:val="24"/>
        </w:rPr>
        <w:t xml:space="preserve"> forced universities to seek alternative </w:t>
      </w:r>
      <w:r>
        <w:rPr>
          <w:rFonts w:ascii="Calibri" w:eastAsia="Calibri" w:hAnsi="Calibri" w:cs="Times New Roman"/>
          <w:color w:val="000000" w:themeColor="text1"/>
          <w:sz w:val="24"/>
          <w:szCs w:val="24"/>
        </w:rPr>
        <w:t xml:space="preserve">funding </w:t>
      </w:r>
      <w:r w:rsidRPr="000174C2">
        <w:rPr>
          <w:rFonts w:ascii="Calibri" w:eastAsia="Calibri" w:hAnsi="Calibri" w:cs="Times New Roman"/>
          <w:color w:val="000000" w:themeColor="text1"/>
          <w:sz w:val="24"/>
          <w:szCs w:val="24"/>
        </w:rPr>
        <w:t xml:space="preserve">(Mohrman </w:t>
      </w:r>
      <w:r w:rsidR="00FB3A6E" w:rsidRPr="00FB3A6E">
        <w:rPr>
          <w:rFonts w:ascii="Calibri" w:eastAsia="Calibri" w:hAnsi="Calibri" w:cs="Times New Roman"/>
          <w:i/>
          <w:color w:val="000000" w:themeColor="text1"/>
          <w:sz w:val="24"/>
          <w:szCs w:val="24"/>
        </w:rPr>
        <w:t>et al.</w:t>
      </w:r>
      <w:r w:rsidRPr="000174C2">
        <w:rPr>
          <w:rFonts w:ascii="Calibri" w:eastAsia="Calibri" w:hAnsi="Calibri" w:cs="Times New Roman"/>
          <w:color w:val="000000" w:themeColor="text1"/>
          <w:sz w:val="24"/>
          <w:szCs w:val="24"/>
        </w:rPr>
        <w:t xml:space="preserve">, 2008). </w:t>
      </w:r>
      <w:r>
        <w:rPr>
          <w:rFonts w:ascii="Calibri" w:eastAsia="Calibri" w:hAnsi="Calibri" w:cs="Times New Roman"/>
          <w:color w:val="000000" w:themeColor="text1"/>
          <w:sz w:val="24"/>
          <w:szCs w:val="24"/>
        </w:rPr>
        <w:t xml:space="preserve"> I</w:t>
      </w:r>
      <w:r w:rsidRPr="009702A1">
        <w:rPr>
          <w:rFonts w:ascii="Calibri" w:eastAsia="Calibri" w:hAnsi="Calibri" w:cs="Times New Roman"/>
          <w:color w:val="000000" w:themeColor="text1"/>
          <w:sz w:val="24"/>
          <w:szCs w:val="24"/>
        </w:rPr>
        <w:t>n the UK</w:t>
      </w:r>
      <w:r>
        <w:rPr>
          <w:rFonts w:ascii="Calibri" w:eastAsia="Calibri" w:hAnsi="Calibri" w:cs="Times New Roman"/>
          <w:color w:val="000000" w:themeColor="text1"/>
          <w:sz w:val="24"/>
          <w:szCs w:val="24"/>
        </w:rPr>
        <w:t>,</w:t>
      </w:r>
      <w:r w:rsidRPr="009702A1">
        <w:rPr>
          <w:rFonts w:ascii="Calibri" w:eastAsia="Calibri" w:hAnsi="Calibri" w:cs="Times New Roman"/>
          <w:color w:val="000000" w:themeColor="text1"/>
          <w:sz w:val="24"/>
          <w:szCs w:val="24"/>
        </w:rPr>
        <w:t xml:space="preserve"> the Dearing Report (</w:t>
      </w:r>
      <w:r>
        <w:rPr>
          <w:rFonts w:ascii="Calibri" w:eastAsia="Calibri" w:hAnsi="Calibri" w:cs="Times New Roman"/>
          <w:color w:val="000000" w:themeColor="text1"/>
          <w:sz w:val="24"/>
          <w:szCs w:val="24"/>
        </w:rPr>
        <w:t xml:space="preserve">Dearing, </w:t>
      </w:r>
      <w:r w:rsidRPr="009702A1">
        <w:rPr>
          <w:rFonts w:ascii="Calibri" w:eastAsia="Calibri" w:hAnsi="Calibri" w:cs="Times New Roman"/>
          <w:color w:val="000000" w:themeColor="text1"/>
          <w:sz w:val="24"/>
          <w:szCs w:val="24"/>
        </w:rPr>
        <w:t>1997) and Browne Review (</w:t>
      </w:r>
      <w:r>
        <w:rPr>
          <w:rFonts w:ascii="Calibri" w:eastAsia="Calibri" w:hAnsi="Calibri" w:cs="Times New Roman"/>
          <w:color w:val="000000" w:themeColor="text1"/>
          <w:sz w:val="24"/>
          <w:szCs w:val="24"/>
        </w:rPr>
        <w:t xml:space="preserve">Hubble, </w:t>
      </w:r>
      <w:r w:rsidRPr="009702A1">
        <w:rPr>
          <w:rFonts w:ascii="Calibri" w:eastAsia="Calibri" w:hAnsi="Calibri" w:cs="Times New Roman"/>
          <w:color w:val="000000" w:themeColor="text1"/>
          <w:sz w:val="24"/>
          <w:szCs w:val="24"/>
        </w:rPr>
        <w:t xml:space="preserve">2010) were commissioned </w:t>
      </w:r>
      <w:r>
        <w:rPr>
          <w:rFonts w:ascii="Calibri" w:eastAsia="Calibri" w:hAnsi="Calibri" w:cs="Times New Roman"/>
          <w:color w:val="000000" w:themeColor="text1"/>
          <w:sz w:val="24"/>
          <w:szCs w:val="24"/>
        </w:rPr>
        <w:t xml:space="preserve">by government </w:t>
      </w:r>
      <w:r w:rsidRPr="009702A1">
        <w:rPr>
          <w:rFonts w:ascii="Calibri" w:eastAsia="Calibri" w:hAnsi="Calibri" w:cs="Times New Roman"/>
          <w:color w:val="000000" w:themeColor="text1"/>
          <w:sz w:val="24"/>
          <w:szCs w:val="24"/>
        </w:rPr>
        <w:t>and resulted in HE</w:t>
      </w:r>
      <w:r>
        <w:rPr>
          <w:rFonts w:ascii="Calibri" w:eastAsia="Calibri" w:hAnsi="Calibri" w:cs="Times New Roman"/>
          <w:color w:val="000000" w:themeColor="text1"/>
          <w:sz w:val="24"/>
          <w:szCs w:val="24"/>
        </w:rPr>
        <w:t>,</w:t>
      </w:r>
      <w:r w:rsidRPr="009702A1">
        <w:rPr>
          <w:rFonts w:ascii="Calibri" w:eastAsia="Calibri" w:hAnsi="Calibri" w:cs="Times New Roman"/>
          <w:color w:val="000000" w:themeColor="text1"/>
          <w:sz w:val="24"/>
          <w:szCs w:val="24"/>
        </w:rPr>
        <w:t xml:space="preserve"> previously subsidised by the taxpayer</w:t>
      </w:r>
      <w:r>
        <w:rPr>
          <w:rFonts w:ascii="Calibri" w:eastAsia="Calibri" w:hAnsi="Calibri" w:cs="Times New Roman"/>
          <w:color w:val="000000" w:themeColor="text1"/>
          <w:sz w:val="24"/>
          <w:szCs w:val="24"/>
        </w:rPr>
        <w:t xml:space="preserve">, </w:t>
      </w:r>
      <w:r w:rsidRPr="009702A1">
        <w:rPr>
          <w:rFonts w:ascii="Calibri" w:eastAsia="Calibri" w:hAnsi="Calibri" w:cs="Times New Roman"/>
          <w:color w:val="000000" w:themeColor="text1"/>
          <w:sz w:val="24"/>
          <w:szCs w:val="24"/>
        </w:rPr>
        <w:t xml:space="preserve">transmuting into an interest accruing </w:t>
      </w:r>
      <w:r>
        <w:rPr>
          <w:rFonts w:ascii="Calibri" w:eastAsia="Calibri" w:hAnsi="Calibri" w:cs="Times New Roman"/>
          <w:color w:val="000000" w:themeColor="text1"/>
          <w:sz w:val="24"/>
          <w:szCs w:val="24"/>
        </w:rPr>
        <w:t xml:space="preserve">loan system </w:t>
      </w:r>
      <w:r w:rsidRPr="009702A1">
        <w:rPr>
          <w:rFonts w:ascii="Calibri" w:eastAsia="Calibri" w:hAnsi="Calibri" w:cs="Times New Roman"/>
          <w:color w:val="000000" w:themeColor="text1"/>
          <w:sz w:val="24"/>
          <w:szCs w:val="24"/>
        </w:rPr>
        <w:t xml:space="preserve">for students. </w:t>
      </w:r>
      <w:r>
        <w:rPr>
          <w:rFonts w:ascii="Calibri" w:eastAsia="Calibri" w:hAnsi="Calibri" w:cs="Times New Roman"/>
          <w:color w:val="000000" w:themeColor="text1"/>
          <w:sz w:val="24"/>
          <w:szCs w:val="24"/>
        </w:rPr>
        <w:t>Student</w:t>
      </w:r>
      <w:r w:rsidRPr="004231D7">
        <w:rPr>
          <w:rFonts w:ascii="Calibri" w:eastAsia="Calibri" w:hAnsi="Calibri" w:cs="Times New Roman"/>
          <w:color w:val="000000" w:themeColor="text1"/>
          <w:sz w:val="24"/>
          <w:szCs w:val="24"/>
        </w:rPr>
        <w:t xml:space="preserve"> tuition fees </w:t>
      </w:r>
      <w:r>
        <w:rPr>
          <w:rFonts w:ascii="Calibri" w:eastAsia="Calibri" w:hAnsi="Calibri" w:cs="Times New Roman"/>
          <w:color w:val="000000" w:themeColor="text1"/>
          <w:sz w:val="24"/>
          <w:szCs w:val="24"/>
        </w:rPr>
        <w:t xml:space="preserve">were introduced </w:t>
      </w:r>
      <w:r w:rsidRPr="004231D7">
        <w:rPr>
          <w:rFonts w:ascii="Calibri" w:eastAsia="Calibri" w:hAnsi="Calibri" w:cs="Times New Roman"/>
          <w:color w:val="000000" w:themeColor="text1"/>
          <w:sz w:val="24"/>
          <w:szCs w:val="24"/>
        </w:rPr>
        <w:t xml:space="preserve">by the Labour government in 1998, and student grants </w:t>
      </w:r>
      <w:r>
        <w:rPr>
          <w:rFonts w:ascii="Calibri" w:eastAsia="Calibri" w:hAnsi="Calibri" w:cs="Times New Roman"/>
          <w:color w:val="000000" w:themeColor="text1"/>
          <w:sz w:val="24"/>
          <w:szCs w:val="24"/>
        </w:rPr>
        <w:t xml:space="preserve">were abolished </w:t>
      </w:r>
      <w:r w:rsidRPr="004231D7">
        <w:rPr>
          <w:rFonts w:ascii="Calibri" w:eastAsia="Calibri" w:hAnsi="Calibri" w:cs="Times New Roman"/>
          <w:color w:val="000000" w:themeColor="text1"/>
          <w:sz w:val="24"/>
          <w:szCs w:val="24"/>
        </w:rPr>
        <w:t>by the Conservative government in 2016</w:t>
      </w:r>
      <w:r>
        <w:rPr>
          <w:rFonts w:ascii="Calibri" w:eastAsia="Calibri" w:hAnsi="Calibri" w:cs="Times New Roman"/>
          <w:color w:val="000000" w:themeColor="text1"/>
          <w:sz w:val="24"/>
          <w:szCs w:val="24"/>
        </w:rPr>
        <w:t>.</w:t>
      </w:r>
      <w:r w:rsidRPr="00922F87">
        <w:rPr>
          <w:rFonts w:ascii="Calibri" w:eastAsia="Calibri" w:hAnsi="Calibri" w:cs="Times New Roman"/>
          <w:color w:val="000000" w:themeColor="text1"/>
          <w:sz w:val="24"/>
          <w:szCs w:val="24"/>
        </w:rPr>
        <w:t xml:space="preserve"> </w:t>
      </w:r>
      <w:r w:rsidRPr="00AF4798">
        <w:rPr>
          <w:rFonts w:ascii="Calibri" w:eastAsia="Calibri" w:hAnsi="Calibri" w:cs="Times New Roman"/>
          <w:color w:val="000000" w:themeColor="text1"/>
          <w:sz w:val="24"/>
          <w:szCs w:val="24"/>
        </w:rPr>
        <w:t>Furthermore, New Labour</w:t>
      </w:r>
      <w:r>
        <w:rPr>
          <w:rFonts w:ascii="Calibri" w:eastAsia="Calibri" w:hAnsi="Calibri" w:cs="Times New Roman"/>
          <w:color w:val="000000" w:themeColor="text1"/>
          <w:sz w:val="24"/>
          <w:szCs w:val="24"/>
        </w:rPr>
        <w:t>’s</w:t>
      </w:r>
      <w:r w:rsidRPr="00AF4798">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target </w:t>
      </w:r>
      <w:r w:rsidRPr="00AF4798">
        <w:rPr>
          <w:rFonts w:ascii="Calibri" w:eastAsia="Calibri" w:hAnsi="Calibri" w:cs="Times New Roman"/>
          <w:color w:val="000000" w:themeColor="text1"/>
          <w:sz w:val="24"/>
          <w:szCs w:val="24"/>
        </w:rPr>
        <w:t xml:space="preserve">of 50 per cent of all young people </w:t>
      </w:r>
      <w:r>
        <w:rPr>
          <w:rFonts w:ascii="Calibri" w:eastAsia="Calibri" w:hAnsi="Calibri" w:cs="Times New Roman"/>
          <w:color w:val="000000" w:themeColor="text1"/>
          <w:sz w:val="24"/>
          <w:szCs w:val="24"/>
        </w:rPr>
        <w:t xml:space="preserve">being able </w:t>
      </w:r>
      <w:r w:rsidRPr="00AF4798">
        <w:rPr>
          <w:rFonts w:ascii="Calibri" w:eastAsia="Calibri" w:hAnsi="Calibri" w:cs="Times New Roman"/>
          <w:color w:val="000000" w:themeColor="text1"/>
          <w:sz w:val="24"/>
          <w:szCs w:val="24"/>
        </w:rPr>
        <w:t xml:space="preserve">to go to university </w:t>
      </w:r>
      <w:r>
        <w:rPr>
          <w:rFonts w:ascii="Calibri" w:eastAsia="Calibri" w:hAnsi="Calibri" w:cs="Times New Roman"/>
          <w:color w:val="000000" w:themeColor="text1"/>
          <w:sz w:val="24"/>
          <w:szCs w:val="24"/>
        </w:rPr>
        <w:t>resulted</w:t>
      </w:r>
      <w:r w:rsidRPr="00AF4798">
        <w:rPr>
          <w:rFonts w:ascii="Calibri" w:eastAsia="Calibri" w:hAnsi="Calibri" w:cs="Times New Roman"/>
          <w:color w:val="000000" w:themeColor="text1"/>
          <w:sz w:val="24"/>
          <w:szCs w:val="24"/>
        </w:rPr>
        <w:t xml:space="preserve"> in student numbers increasing from 800,000 in 1980 to over 2.5 million in 2010 (Welch, 2020). </w:t>
      </w:r>
      <w:r w:rsidRPr="009702A1">
        <w:rPr>
          <w:rFonts w:ascii="Calibri" w:eastAsia="Calibri" w:hAnsi="Calibri" w:cs="Times New Roman"/>
          <w:color w:val="000000" w:themeColor="text1"/>
          <w:sz w:val="24"/>
          <w:szCs w:val="24"/>
        </w:rPr>
        <w:t>Within this business-driven context,</w:t>
      </w:r>
      <w:r w:rsidRPr="00C77D8E">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s</w:t>
      </w:r>
      <w:r w:rsidRPr="00C77D8E">
        <w:rPr>
          <w:rFonts w:ascii="Calibri" w:eastAsia="Calibri" w:hAnsi="Calibri" w:cs="Times New Roman"/>
          <w:color w:val="000000" w:themeColor="text1"/>
          <w:sz w:val="24"/>
          <w:szCs w:val="24"/>
        </w:rPr>
        <w:t xml:space="preserve">tudent fees </w:t>
      </w:r>
      <w:r w:rsidRPr="00C77D8E">
        <w:rPr>
          <w:rFonts w:ascii="Calibri" w:eastAsia="Calibri" w:hAnsi="Calibri" w:cs="Times New Roman"/>
          <w:color w:val="000000" w:themeColor="text1"/>
          <w:sz w:val="24"/>
          <w:szCs w:val="24"/>
        </w:rPr>
        <w:lastRenderedPageBreak/>
        <w:t>form a large proportion of the university’s income</w:t>
      </w:r>
      <w:r>
        <w:rPr>
          <w:rFonts w:ascii="Calibri" w:eastAsia="Calibri" w:hAnsi="Calibri" w:cs="Times New Roman"/>
          <w:color w:val="000000" w:themeColor="text1"/>
          <w:sz w:val="24"/>
          <w:szCs w:val="24"/>
        </w:rPr>
        <w:t xml:space="preserve"> which</w:t>
      </w:r>
      <w:r w:rsidRPr="009702A1">
        <w:rPr>
          <w:rFonts w:ascii="Calibri" w:eastAsia="Calibri" w:hAnsi="Calibri" w:cs="Times New Roman"/>
          <w:color w:val="000000" w:themeColor="text1"/>
          <w:sz w:val="24"/>
          <w:szCs w:val="24"/>
        </w:rPr>
        <w:t xml:space="preserve"> reposition</w:t>
      </w:r>
      <w:r>
        <w:rPr>
          <w:rFonts w:ascii="Calibri" w:eastAsia="Calibri" w:hAnsi="Calibri" w:cs="Times New Roman"/>
          <w:color w:val="000000" w:themeColor="text1"/>
          <w:sz w:val="24"/>
          <w:szCs w:val="24"/>
        </w:rPr>
        <w:t>s students</w:t>
      </w:r>
      <w:r w:rsidRPr="009702A1">
        <w:rPr>
          <w:rFonts w:ascii="Calibri" w:eastAsia="Calibri" w:hAnsi="Calibri" w:cs="Times New Roman"/>
          <w:color w:val="000000" w:themeColor="text1"/>
          <w:sz w:val="24"/>
          <w:szCs w:val="24"/>
        </w:rPr>
        <w:t xml:space="preserve"> as active customers (Barnett, 2011)</w:t>
      </w:r>
      <w:r>
        <w:rPr>
          <w:rFonts w:ascii="Calibri" w:eastAsia="Calibri" w:hAnsi="Calibri" w:cs="Times New Roman"/>
          <w:color w:val="000000" w:themeColor="text1"/>
          <w:sz w:val="24"/>
          <w:szCs w:val="24"/>
        </w:rPr>
        <w:t>. Consequently,</w:t>
      </w:r>
      <w:r w:rsidRPr="009702A1">
        <w:rPr>
          <w:rFonts w:ascii="Calibri" w:eastAsia="Calibri" w:hAnsi="Calibri" w:cs="Times New Roman"/>
          <w:color w:val="000000" w:themeColor="text1"/>
          <w:sz w:val="24"/>
          <w:szCs w:val="24"/>
        </w:rPr>
        <w:t xml:space="preserve"> institutions must ensure their customers have an excellent student experience (Collini, 2016). </w:t>
      </w:r>
      <w:r w:rsidRPr="00C476D7">
        <w:rPr>
          <w:rFonts w:ascii="Calibri" w:eastAsia="Calibri" w:hAnsi="Calibri" w:cs="Times New Roman"/>
          <w:color w:val="000000" w:themeColor="text1"/>
          <w:sz w:val="24"/>
          <w:szCs w:val="24"/>
        </w:rPr>
        <w:t xml:space="preserve">Students themselves believe they are paying customers (Nixon </w:t>
      </w:r>
      <w:r w:rsidR="00FB3A6E" w:rsidRPr="00FB3A6E">
        <w:rPr>
          <w:rFonts w:ascii="Calibri" w:eastAsia="Calibri" w:hAnsi="Calibri" w:cs="Times New Roman"/>
          <w:i/>
          <w:color w:val="000000" w:themeColor="text1"/>
          <w:sz w:val="24"/>
          <w:szCs w:val="24"/>
        </w:rPr>
        <w:t>et al.</w:t>
      </w:r>
      <w:r w:rsidRPr="00C476D7">
        <w:rPr>
          <w:rFonts w:ascii="Calibri" w:eastAsia="Calibri" w:hAnsi="Calibri" w:cs="Times New Roman"/>
          <w:color w:val="000000" w:themeColor="text1"/>
          <w:sz w:val="24"/>
          <w:szCs w:val="24"/>
        </w:rPr>
        <w:t xml:space="preserve">, 2018) which </w:t>
      </w:r>
      <w:r>
        <w:rPr>
          <w:rFonts w:ascii="Calibri" w:eastAsia="Calibri" w:hAnsi="Calibri" w:cs="Times New Roman"/>
          <w:color w:val="000000" w:themeColor="text1"/>
          <w:sz w:val="24"/>
          <w:szCs w:val="24"/>
        </w:rPr>
        <w:t>in 2012 was</w:t>
      </w:r>
      <w:r w:rsidRPr="00C476D7">
        <w:rPr>
          <w:rFonts w:ascii="Calibri" w:eastAsia="Calibri" w:hAnsi="Calibri" w:cs="Times New Roman"/>
          <w:color w:val="000000" w:themeColor="text1"/>
          <w:sz w:val="24"/>
          <w:szCs w:val="24"/>
        </w:rPr>
        <w:t xml:space="preserve"> further exacerbated by a threefold increase of student fees </w:t>
      </w:r>
      <w:r>
        <w:rPr>
          <w:rFonts w:ascii="Calibri" w:eastAsia="Calibri" w:hAnsi="Calibri" w:cs="Times New Roman"/>
          <w:color w:val="000000" w:themeColor="text1"/>
          <w:sz w:val="24"/>
          <w:szCs w:val="24"/>
        </w:rPr>
        <w:t xml:space="preserve">set at £3,000 in 2006, and a further increase of 3.1% in 2024 (Lewis </w:t>
      </w:r>
      <w:r w:rsidR="00FB3A6E" w:rsidRPr="00FB3A6E">
        <w:rPr>
          <w:rFonts w:ascii="Calibri" w:eastAsia="Calibri" w:hAnsi="Calibri" w:cs="Times New Roman"/>
          <w:i/>
          <w:color w:val="000000" w:themeColor="text1"/>
          <w:sz w:val="24"/>
          <w:szCs w:val="24"/>
        </w:rPr>
        <w:t>et al.</w:t>
      </w:r>
      <w:r>
        <w:rPr>
          <w:rFonts w:ascii="Calibri" w:eastAsia="Calibri" w:hAnsi="Calibri" w:cs="Times New Roman"/>
          <w:color w:val="000000" w:themeColor="text1"/>
          <w:sz w:val="24"/>
          <w:szCs w:val="24"/>
        </w:rPr>
        <w:t>, 2025).</w:t>
      </w:r>
      <w:r w:rsidRPr="00C476D7">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lang w:val="en-US"/>
        </w:rPr>
        <w:t>Some scholars are of the view that the university, now in a battle for fiscal survival, is</w:t>
      </w:r>
      <w:r w:rsidRPr="005E1C7A">
        <w:rPr>
          <w:rFonts w:ascii="Calibri" w:eastAsia="Calibri" w:hAnsi="Calibri" w:cs="Times New Roman"/>
          <w:color w:val="000000" w:themeColor="text1"/>
          <w:sz w:val="24"/>
          <w:szCs w:val="24"/>
          <w:lang w:val="en-US"/>
        </w:rPr>
        <w:t xml:space="preserve"> changing its behaviour in response to these market forces</w:t>
      </w:r>
      <w:r>
        <w:rPr>
          <w:rFonts w:ascii="Calibri" w:eastAsia="Calibri" w:hAnsi="Calibri" w:cs="Times New Roman"/>
          <w:color w:val="000000" w:themeColor="text1"/>
          <w:sz w:val="24"/>
          <w:szCs w:val="24"/>
          <w:lang w:val="en-US"/>
        </w:rPr>
        <w:t xml:space="preserve"> and is adopting </w:t>
      </w:r>
      <w:r w:rsidRPr="00DB660B">
        <w:rPr>
          <w:rFonts w:ascii="Calibri" w:eastAsia="Calibri" w:hAnsi="Calibri" w:cs="Times New Roman"/>
          <w:color w:val="000000" w:themeColor="text1"/>
          <w:sz w:val="24"/>
          <w:szCs w:val="24"/>
        </w:rPr>
        <w:t>private business sector approaches</w:t>
      </w:r>
      <w:r>
        <w:rPr>
          <w:rFonts w:ascii="Calibri" w:eastAsia="Calibri" w:hAnsi="Calibri" w:cs="Times New Roman"/>
          <w:color w:val="000000" w:themeColor="text1"/>
          <w:sz w:val="24"/>
          <w:szCs w:val="24"/>
        </w:rPr>
        <w:t xml:space="preserve"> </w:t>
      </w:r>
      <w:r w:rsidRPr="00DB660B">
        <w:rPr>
          <w:rFonts w:ascii="Calibri" w:eastAsia="Calibri" w:hAnsi="Calibri" w:cs="Times New Roman"/>
          <w:color w:val="000000" w:themeColor="text1"/>
          <w:sz w:val="24"/>
          <w:szCs w:val="24"/>
        </w:rPr>
        <w:t>(</w:t>
      </w:r>
      <w:bookmarkStart w:id="14" w:name="_Hlk219294066"/>
      <w:r w:rsidRPr="00DB660B">
        <w:rPr>
          <w:rFonts w:ascii="Calibri" w:eastAsia="Calibri" w:hAnsi="Calibri" w:cs="Times New Roman"/>
          <w:color w:val="000000" w:themeColor="text1"/>
          <w:sz w:val="24"/>
          <w:szCs w:val="24"/>
        </w:rPr>
        <w:t xml:space="preserve">Ferlie </w:t>
      </w:r>
      <w:r w:rsidR="00FB3A6E" w:rsidRPr="00FB3A6E">
        <w:rPr>
          <w:rFonts w:ascii="Calibri" w:eastAsia="Calibri" w:hAnsi="Calibri" w:cs="Times New Roman"/>
          <w:i/>
          <w:color w:val="000000" w:themeColor="text1"/>
          <w:sz w:val="24"/>
          <w:szCs w:val="24"/>
        </w:rPr>
        <w:t>et al.</w:t>
      </w:r>
      <w:r w:rsidRPr="00DB660B">
        <w:rPr>
          <w:rFonts w:ascii="Calibri" w:eastAsia="Calibri" w:hAnsi="Calibri" w:cs="Times New Roman"/>
          <w:color w:val="000000" w:themeColor="text1"/>
          <w:sz w:val="24"/>
          <w:szCs w:val="24"/>
        </w:rPr>
        <w:t>, 2003</w:t>
      </w:r>
      <w:bookmarkEnd w:id="14"/>
      <w:r w:rsidRPr="00DB660B">
        <w:rPr>
          <w:rFonts w:ascii="Calibri" w:eastAsia="Calibri" w:hAnsi="Calibri" w:cs="Times New Roman"/>
          <w:color w:val="000000" w:themeColor="text1"/>
          <w:sz w:val="24"/>
          <w:szCs w:val="24"/>
        </w:rPr>
        <w:t xml:space="preserve">) replete with managerialist and bureaucratic management </w:t>
      </w:r>
      <w:r>
        <w:rPr>
          <w:rFonts w:ascii="Calibri" w:eastAsia="Calibri" w:hAnsi="Calibri" w:cs="Times New Roman"/>
          <w:color w:val="000000" w:themeColor="text1"/>
          <w:sz w:val="24"/>
          <w:szCs w:val="24"/>
        </w:rPr>
        <w:t>styles of behaviour</w:t>
      </w:r>
      <w:r w:rsidRPr="00DB660B">
        <w:rPr>
          <w:rFonts w:ascii="Calibri" w:eastAsia="Calibri" w:hAnsi="Calibri" w:cs="Times New Roman"/>
          <w:color w:val="000000" w:themeColor="text1"/>
          <w:sz w:val="24"/>
          <w:szCs w:val="24"/>
        </w:rPr>
        <w:t xml:space="preserve"> (</w:t>
      </w:r>
      <w:r w:rsidR="0099712D">
        <w:rPr>
          <w:rFonts w:ascii="Calibri" w:eastAsia="Calibri" w:hAnsi="Calibri" w:cs="Times New Roman"/>
          <w:color w:val="000000" w:themeColor="text1"/>
          <w:sz w:val="24"/>
          <w:szCs w:val="24"/>
        </w:rPr>
        <w:t xml:space="preserve">Fleming, 2021; </w:t>
      </w:r>
      <w:r w:rsidRPr="00DB660B">
        <w:rPr>
          <w:rFonts w:ascii="Calibri" w:eastAsia="Calibri" w:hAnsi="Calibri" w:cs="Times New Roman"/>
          <w:color w:val="000000" w:themeColor="text1"/>
          <w:sz w:val="24"/>
          <w:szCs w:val="24"/>
        </w:rPr>
        <w:t xml:space="preserve">Kok, 2008). </w:t>
      </w:r>
    </w:p>
    <w:p w14:paraId="1FD8B9B0" w14:textId="77777777" w:rsidR="00EB7F5B" w:rsidRPr="001815A0" w:rsidRDefault="00EB7F5B" w:rsidP="000E2F89">
      <w:pPr>
        <w:rPr>
          <w:rFonts w:ascii="Calibri" w:eastAsia="Calibri" w:hAnsi="Calibri" w:cs="Times New Roman"/>
          <w:b/>
          <w:bCs/>
          <w:color w:val="000000" w:themeColor="text1"/>
          <w:sz w:val="24"/>
          <w:szCs w:val="24"/>
        </w:rPr>
      </w:pPr>
      <w:r w:rsidRPr="001815A0">
        <w:rPr>
          <w:rFonts w:ascii="Calibri" w:eastAsia="Calibri" w:hAnsi="Calibri" w:cs="Times New Roman"/>
          <w:b/>
          <w:bCs/>
          <w:color w:val="000000" w:themeColor="text1"/>
          <w:sz w:val="24"/>
          <w:szCs w:val="24"/>
        </w:rPr>
        <w:t>Managerialism</w:t>
      </w:r>
    </w:p>
    <w:p w14:paraId="58585214" w14:textId="735295EA" w:rsidR="00EB7F5B" w:rsidRPr="00000867" w:rsidRDefault="00EB7F5B" w:rsidP="00CC40A4">
      <w:pPr>
        <w:spacing w:line="360" w:lineRule="auto"/>
        <w:rPr>
          <w:rFonts w:ascii="Calibri" w:eastAsia="Calibri" w:hAnsi="Calibri" w:cs="Times New Roman"/>
          <w:color w:val="000000" w:themeColor="text1"/>
          <w:sz w:val="24"/>
          <w:szCs w:val="24"/>
        </w:rPr>
      </w:pPr>
      <w:r w:rsidRPr="005746D6">
        <w:rPr>
          <w:rFonts w:ascii="Calibri" w:eastAsia="Calibri" w:hAnsi="Calibri" w:cs="Times New Roman"/>
          <w:color w:val="000000" w:themeColor="text1"/>
          <w:sz w:val="24"/>
          <w:szCs w:val="24"/>
        </w:rPr>
        <w:t>Business management structures</w:t>
      </w:r>
      <w:r>
        <w:rPr>
          <w:rFonts w:ascii="Calibri" w:eastAsia="Calibri" w:hAnsi="Calibri" w:cs="Times New Roman"/>
          <w:color w:val="000000" w:themeColor="text1"/>
          <w:sz w:val="24"/>
          <w:szCs w:val="24"/>
        </w:rPr>
        <w:t xml:space="preserve">, </w:t>
      </w:r>
      <w:r w:rsidRPr="00A9253B">
        <w:rPr>
          <w:rFonts w:ascii="Calibri" w:eastAsia="Calibri" w:hAnsi="Calibri" w:cs="Times New Roman"/>
          <w:color w:val="000000" w:themeColor="text1"/>
          <w:sz w:val="24"/>
          <w:szCs w:val="24"/>
        </w:rPr>
        <w:t xml:space="preserve">reactive to external market forces (Kok </w:t>
      </w:r>
      <w:r w:rsidR="00FB3A6E" w:rsidRPr="00FB3A6E">
        <w:rPr>
          <w:rFonts w:ascii="Calibri" w:eastAsia="Calibri" w:hAnsi="Calibri" w:cs="Times New Roman"/>
          <w:i/>
          <w:color w:val="000000" w:themeColor="text1"/>
          <w:sz w:val="24"/>
          <w:szCs w:val="24"/>
        </w:rPr>
        <w:t>et al.</w:t>
      </w:r>
      <w:r w:rsidRPr="00A9253B">
        <w:rPr>
          <w:rFonts w:ascii="Calibri" w:eastAsia="Calibri" w:hAnsi="Calibri" w:cs="Times New Roman"/>
          <w:color w:val="000000" w:themeColor="text1"/>
          <w:sz w:val="24"/>
          <w:szCs w:val="24"/>
        </w:rPr>
        <w:t xml:space="preserve">, 2008) </w:t>
      </w:r>
      <w:r>
        <w:rPr>
          <w:rFonts w:ascii="Calibri" w:eastAsia="Calibri" w:hAnsi="Calibri" w:cs="Times New Roman"/>
          <w:color w:val="000000" w:themeColor="text1"/>
          <w:sz w:val="24"/>
          <w:szCs w:val="24"/>
        </w:rPr>
        <w:t xml:space="preserve">resulted in the adoption of </w:t>
      </w:r>
      <w:r w:rsidRPr="005746D6">
        <w:rPr>
          <w:rFonts w:ascii="Calibri" w:eastAsia="Calibri" w:hAnsi="Calibri" w:cs="Times New Roman"/>
          <w:color w:val="000000" w:themeColor="text1"/>
          <w:sz w:val="24"/>
          <w:szCs w:val="24"/>
        </w:rPr>
        <w:t>efficie</w:t>
      </w:r>
      <w:r>
        <w:rPr>
          <w:rFonts w:ascii="Calibri" w:eastAsia="Calibri" w:hAnsi="Calibri" w:cs="Times New Roman"/>
          <w:color w:val="000000" w:themeColor="text1"/>
          <w:sz w:val="24"/>
          <w:szCs w:val="24"/>
        </w:rPr>
        <w:t>ncy and smooth</w:t>
      </w:r>
      <w:r w:rsidRPr="005746D6">
        <w:rPr>
          <w:rFonts w:ascii="Calibri" w:eastAsia="Calibri" w:hAnsi="Calibri" w:cs="Times New Roman"/>
          <w:color w:val="000000" w:themeColor="text1"/>
          <w:sz w:val="24"/>
          <w:szCs w:val="24"/>
        </w:rPr>
        <w:t xml:space="preserve"> organi</w:t>
      </w:r>
      <w:r w:rsidR="00841498">
        <w:rPr>
          <w:rFonts w:ascii="Calibri" w:eastAsia="Calibri" w:hAnsi="Calibri" w:cs="Times New Roman"/>
          <w:color w:val="000000" w:themeColor="text1"/>
          <w:sz w:val="24"/>
          <w:szCs w:val="24"/>
        </w:rPr>
        <w:t>s</w:t>
      </w:r>
      <w:r w:rsidRPr="005746D6">
        <w:rPr>
          <w:rFonts w:ascii="Calibri" w:eastAsia="Calibri" w:hAnsi="Calibri" w:cs="Times New Roman"/>
          <w:color w:val="000000" w:themeColor="text1"/>
          <w:sz w:val="24"/>
          <w:szCs w:val="24"/>
        </w:rPr>
        <w:t>ational functioning</w:t>
      </w:r>
      <w:r>
        <w:rPr>
          <w:rFonts w:ascii="Calibri" w:eastAsia="Calibri" w:hAnsi="Calibri" w:cs="Times New Roman"/>
          <w:color w:val="000000" w:themeColor="text1"/>
          <w:sz w:val="24"/>
          <w:szCs w:val="24"/>
        </w:rPr>
        <w:t xml:space="preserve"> models</w:t>
      </w:r>
      <w:r w:rsidRPr="005746D6">
        <w:rPr>
          <w:rFonts w:ascii="Calibri" w:eastAsia="Calibri" w:hAnsi="Calibri" w:cs="Times New Roman"/>
          <w:color w:val="000000" w:themeColor="text1"/>
          <w:sz w:val="24"/>
          <w:szCs w:val="24"/>
        </w:rPr>
        <w:t xml:space="preserve"> (Pollitt, 1990). </w:t>
      </w:r>
      <w:r>
        <w:rPr>
          <w:rFonts w:ascii="Calibri" w:eastAsia="Calibri" w:hAnsi="Calibri" w:cs="Times New Roman"/>
          <w:color w:val="000000" w:themeColor="text1"/>
          <w:sz w:val="24"/>
          <w:szCs w:val="24"/>
        </w:rPr>
        <w:t xml:space="preserve">Expenditure had to be closely scrutinised by management who were forced to become more creative in the interests of effective fiscal expenditure, profit and breaking even (Deem </w:t>
      </w:r>
      <w:r w:rsidR="00FB3A6E" w:rsidRPr="00FB3A6E">
        <w:rPr>
          <w:rFonts w:ascii="Calibri" w:eastAsia="Calibri" w:hAnsi="Calibri" w:cs="Times New Roman"/>
          <w:i/>
          <w:color w:val="000000" w:themeColor="text1"/>
          <w:sz w:val="24"/>
          <w:szCs w:val="24"/>
        </w:rPr>
        <w:t>et al.</w:t>
      </w:r>
      <w:r>
        <w:rPr>
          <w:rFonts w:ascii="Calibri" w:eastAsia="Calibri" w:hAnsi="Calibri" w:cs="Times New Roman"/>
          <w:color w:val="000000" w:themeColor="text1"/>
          <w:sz w:val="24"/>
          <w:szCs w:val="24"/>
        </w:rPr>
        <w:t>, 2008; Henkel, 2000). M</w:t>
      </w:r>
      <w:r w:rsidRPr="00956572">
        <w:rPr>
          <w:rFonts w:ascii="Calibri" w:eastAsia="Calibri" w:hAnsi="Calibri" w:cs="Times New Roman"/>
          <w:color w:val="000000" w:themeColor="text1"/>
          <w:sz w:val="24"/>
          <w:szCs w:val="24"/>
        </w:rPr>
        <w:t xml:space="preserve">arketisation </w:t>
      </w:r>
      <w:r>
        <w:rPr>
          <w:rFonts w:ascii="Calibri" w:eastAsia="Calibri" w:hAnsi="Calibri" w:cs="Times New Roman"/>
          <w:color w:val="000000" w:themeColor="text1"/>
          <w:sz w:val="24"/>
          <w:szCs w:val="24"/>
        </w:rPr>
        <w:t xml:space="preserve">with its profit seeking and commercially led structure </w:t>
      </w:r>
      <w:r w:rsidRPr="00956572">
        <w:rPr>
          <w:rFonts w:ascii="Calibri" w:eastAsia="Calibri" w:hAnsi="Calibri" w:cs="Times New Roman"/>
          <w:color w:val="000000" w:themeColor="text1"/>
          <w:sz w:val="24"/>
          <w:szCs w:val="24"/>
        </w:rPr>
        <w:t>has transformed universities into “desperate cash hunting machines” (Fleming, 2021, p.13)</w:t>
      </w:r>
      <w:r>
        <w:rPr>
          <w:rFonts w:ascii="Calibri" w:eastAsia="Calibri" w:hAnsi="Calibri" w:cs="Times New Roman"/>
          <w:color w:val="000000" w:themeColor="text1"/>
          <w:sz w:val="24"/>
          <w:szCs w:val="24"/>
        </w:rPr>
        <w:t xml:space="preserve"> and </w:t>
      </w:r>
      <w:r w:rsidRPr="00956572">
        <w:rPr>
          <w:rFonts w:ascii="Calibri" w:eastAsia="Calibri" w:hAnsi="Calibri" w:cs="Times New Roman"/>
          <w:color w:val="000000" w:themeColor="text1"/>
          <w:sz w:val="24"/>
          <w:szCs w:val="24"/>
        </w:rPr>
        <w:t>spawned a climate of consumerisation</w:t>
      </w:r>
      <w:r>
        <w:rPr>
          <w:rFonts w:ascii="Calibri" w:eastAsia="Calibri" w:hAnsi="Calibri" w:cs="Times New Roman"/>
          <w:color w:val="000000" w:themeColor="text1"/>
          <w:sz w:val="24"/>
          <w:szCs w:val="24"/>
        </w:rPr>
        <w:t xml:space="preserve">, </w:t>
      </w:r>
      <w:r w:rsidRPr="00956572">
        <w:rPr>
          <w:rFonts w:ascii="Calibri" w:eastAsia="Calibri" w:hAnsi="Calibri" w:cs="Times New Roman"/>
          <w:color w:val="000000" w:themeColor="text1"/>
          <w:sz w:val="24"/>
          <w:szCs w:val="24"/>
        </w:rPr>
        <w:t>competition</w:t>
      </w:r>
      <w:r>
        <w:rPr>
          <w:rFonts w:ascii="Calibri" w:eastAsia="Calibri" w:hAnsi="Calibri" w:cs="Times New Roman"/>
          <w:color w:val="000000" w:themeColor="text1"/>
          <w:sz w:val="24"/>
          <w:szCs w:val="24"/>
        </w:rPr>
        <w:t xml:space="preserve"> and shapeshifting power dynamics</w:t>
      </w:r>
      <w:r w:rsidRPr="00956572">
        <w:rPr>
          <w:rFonts w:ascii="Calibri" w:eastAsia="Calibri" w:hAnsi="Calibri" w:cs="Times New Roman"/>
          <w:color w:val="000000" w:themeColor="text1"/>
          <w:sz w:val="24"/>
          <w:szCs w:val="24"/>
        </w:rPr>
        <w:t>.</w:t>
      </w:r>
      <w:r w:rsidRPr="006B3EA8">
        <w:rPr>
          <w:rFonts w:ascii="Calibri" w:eastAsia="Calibri" w:hAnsi="Calibri" w:cs="Times New Roman"/>
          <w:color w:val="000000" w:themeColor="text1"/>
          <w:sz w:val="24"/>
          <w:szCs w:val="24"/>
          <w:lang w:val="en-US"/>
        </w:rPr>
        <w:t xml:space="preserve"> </w:t>
      </w:r>
      <w:r w:rsidRPr="00FB3BA9">
        <w:rPr>
          <w:rFonts w:ascii="Calibri" w:eastAsia="Calibri" w:hAnsi="Calibri" w:cs="Times New Roman"/>
          <w:color w:val="000000" w:themeColor="text1"/>
          <w:sz w:val="24"/>
          <w:szCs w:val="24"/>
        </w:rPr>
        <w:t>Th</w:t>
      </w:r>
      <w:r>
        <w:rPr>
          <w:rFonts w:ascii="Calibri" w:eastAsia="Calibri" w:hAnsi="Calibri" w:cs="Times New Roman"/>
          <w:color w:val="000000" w:themeColor="text1"/>
          <w:sz w:val="24"/>
          <w:szCs w:val="24"/>
        </w:rPr>
        <w:t>ese have</w:t>
      </w:r>
      <w:r w:rsidRPr="00FB3BA9">
        <w:rPr>
          <w:rFonts w:ascii="Calibri" w:eastAsia="Calibri" w:hAnsi="Calibri" w:cs="Times New Roman"/>
          <w:color w:val="000000" w:themeColor="text1"/>
          <w:sz w:val="24"/>
          <w:szCs w:val="24"/>
        </w:rPr>
        <w:t xml:space="preserve"> resulted in the emergence of a hyper-competitive climate between institutes. For example, science and engineering departments have transmuted into large behemoths</w:t>
      </w:r>
      <w:r w:rsidR="004A6DFE">
        <w:rPr>
          <w:rFonts w:ascii="Calibri" w:eastAsia="Calibri" w:hAnsi="Calibri" w:cs="Times New Roman"/>
          <w:color w:val="000000" w:themeColor="text1"/>
          <w:sz w:val="24"/>
          <w:szCs w:val="24"/>
        </w:rPr>
        <w:t xml:space="preserve"> in the form of</w:t>
      </w:r>
      <w:r w:rsidRPr="00FB3BA9">
        <w:rPr>
          <w:rFonts w:ascii="Calibri" w:eastAsia="Calibri" w:hAnsi="Calibri" w:cs="Times New Roman"/>
          <w:color w:val="000000" w:themeColor="text1"/>
          <w:sz w:val="24"/>
          <w:szCs w:val="24"/>
        </w:rPr>
        <w:t xml:space="preserve"> Research and Development (R &amp; D) hubs for the biomedical and defence industries (Washburn, 2005). </w:t>
      </w:r>
    </w:p>
    <w:p w14:paraId="4F51AB7F" w14:textId="7B59FE71" w:rsidR="00EB7F5B" w:rsidRPr="002A6B9A" w:rsidRDefault="00EB7F5B" w:rsidP="00000867">
      <w:pPr>
        <w:spacing w:line="360" w:lineRule="auto"/>
        <w:rPr>
          <w:rFonts w:ascii="Calibri" w:eastAsia="Calibri" w:hAnsi="Calibri" w:cs="Times New Roman"/>
          <w:sz w:val="24"/>
          <w:szCs w:val="24"/>
        </w:rPr>
      </w:pPr>
      <w:r w:rsidRPr="00C24EE9">
        <w:rPr>
          <w:rFonts w:ascii="Calibri" w:eastAsia="Calibri" w:hAnsi="Calibri" w:cs="Times New Roman"/>
          <w:color w:val="000000" w:themeColor="text1"/>
          <w:sz w:val="24"/>
          <w:szCs w:val="24"/>
        </w:rPr>
        <w:t xml:space="preserve">Within institutions recent changes in the political and fiscal structure have spawned not only a commercially led, but also a student led education (Newman and Jahdi, 2009). </w:t>
      </w:r>
      <w:r>
        <w:rPr>
          <w:rFonts w:ascii="Calibri" w:eastAsia="Calibri" w:hAnsi="Calibri" w:cs="Times New Roman"/>
          <w:color w:val="000000" w:themeColor="text1"/>
          <w:sz w:val="24"/>
          <w:szCs w:val="24"/>
          <w:lang w:val="en-US"/>
        </w:rPr>
        <w:t>I</w:t>
      </w:r>
      <w:r w:rsidRPr="00C72787">
        <w:rPr>
          <w:rFonts w:ascii="Calibri" w:eastAsia="Calibri" w:hAnsi="Calibri" w:cs="Times New Roman"/>
          <w:color w:val="000000" w:themeColor="text1"/>
          <w:sz w:val="24"/>
          <w:szCs w:val="24"/>
          <w:lang w:val="en-US"/>
        </w:rPr>
        <w:t xml:space="preserve">n the poem </w:t>
      </w:r>
      <w:r w:rsidRPr="00C72787">
        <w:rPr>
          <w:rFonts w:ascii="Calibri" w:eastAsia="Calibri" w:hAnsi="Calibri" w:cs="Times New Roman"/>
          <w:i/>
          <w:iCs/>
          <w:color w:val="000000" w:themeColor="text1"/>
          <w:sz w:val="24"/>
          <w:szCs w:val="24"/>
          <w:lang w:val="en-US"/>
        </w:rPr>
        <w:t>The Pied Piper of Hamelin</w:t>
      </w:r>
      <w:r w:rsidRPr="00C72787">
        <w:rPr>
          <w:rFonts w:ascii="Calibri" w:eastAsia="Calibri" w:hAnsi="Calibri" w:cs="Times New Roman"/>
          <w:color w:val="000000" w:themeColor="text1"/>
          <w:sz w:val="24"/>
          <w:szCs w:val="24"/>
          <w:lang w:val="en-US"/>
        </w:rPr>
        <w:t xml:space="preserve"> </w:t>
      </w:r>
      <w:r>
        <w:rPr>
          <w:rFonts w:ascii="Calibri" w:eastAsia="Calibri" w:hAnsi="Calibri" w:cs="Times New Roman"/>
          <w:color w:val="000000" w:themeColor="text1"/>
          <w:sz w:val="24"/>
          <w:szCs w:val="24"/>
          <w:lang w:val="en-US"/>
        </w:rPr>
        <w:t xml:space="preserve">(Browning, 1842) </w:t>
      </w:r>
      <w:r w:rsidRPr="00C72787">
        <w:rPr>
          <w:rFonts w:ascii="Calibri" w:eastAsia="Calibri" w:hAnsi="Calibri" w:cs="Times New Roman"/>
          <w:color w:val="000000" w:themeColor="text1"/>
          <w:sz w:val="24"/>
          <w:szCs w:val="24"/>
          <w:lang w:val="en-US"/>
        </w:rPr>
        <w:t xml:space="preserve">whoever pays the piper </w:t>
      </w:r>
      <w:r>
        <w:rPr>
          <w:rFonts w:ascii="Calibri" w:eastAsia="Calibri" w:hAnsi="Calibri" w:cs="Times New Roman"/>
          <w:color w:val="000000" w:themeColor="text1"/>
          <w:sz w:val="24"/>
          <w:szCs w:val="24"/>
          <w:lang w:val="en-US"/>
        </w:rPr>
        <w:t>dictates</w:t>
      </w:r>
      <w:r w:rsidRPr="00C72787">
        <w:rPr>
          <w:rFonts w:ascii="Calibri" w:eastAsia="Calibri" w:hAnsi="Calibri" w:cs="Times New Roman"/>
          <w:color w:val="000000" w:themeColor="text1"/>
          <w:sz w:val="24"/>
          <w:szCs w:val="24"/>
          <w:lang w:val="en-US"/>
        </w:rPr>
        <w:t xml:space="preserve"> the tune played by virtue of their payment. The university piper, previously funded by government, industry and research grants, now has another stakeholder </w:t>
      </w:r>
      <w:r>
        <w:rPr>
          <w:rFonts w:ascii="Calibri" w:eastAsia="Calibri" w:hAnsi="Calibri" w:cs="Times New Roman"/>
          <w:color w:val="000000" w:themeColor="text1"/>
          <w:sz w:val="24"/>
          <w:szCs w:val="24"/>
          <w:lang w:val="en-US"/>
        </w:rPr>
        <w:t xml:space="preserve">in the </w:t>
      </w:r>
      <w:r w:rsidRPr="00C72787">
        <w:rPr>
          <w:rFonts w:ascii="Calibri" w:eastAsia="Calibri" w:hAnsi="Calibri" w:cs="Times New Roman"/>
          <w:color w:val="000000" w:themeColor="text1"/>
          <w:sz w:val="24"/>
          <w:szCs w:val="24"/>
          <w:lang w:val="en-US"/>
        </w:rPr>
        <w:t>tune played</w:t>
      </w:r>
      <w:r w:rsidR="00927FED">
        <w:rPr>
          <w:rFonts w:ascii="Calibri" w:eastAsia="Calibri" w:hAnsi="Calibri" w:cs="Times New Roman"/>
          <w:color w:val="000000" w:themeColor="text1"/>
          <w:sz w:val="24"/>
          <w:szCs w:val="24"/>
          <w:lang w:val="en-US"/>
        </w:rPr>
        <w:t>:</w:t>
      </w:r>
      <w:r w:rsidRPr="00C72787">
        <w:rPr>
          <w:rFonts w:ascii="Calibri" w:eastAsia="Calibri" w:hAnsi="Calibri" w:cs="Times New Roman"/>
          <w:color w:val="000000" w:themeColor="text1"/>
          <w:sz w:val="24"/>
          <w:szCs w:val="24"/>
          <w:lang w:val="en-US"/>
        </w:rPr>
        <w:t xml:space="preserve"> the student. Students are now human capital, major players as fiscal stakeholders, and </w:t>
      </w:r>
      <w:r>
        <w:rPr>
          <w:rFonts w:ascii="Calibri" w:eastAsia="Calibri" w:hAnsi="Calibri" w:cs="Times New Roman"/>
          <w:color w:val="000000" w:themeColor="text1"/>
          <w:sz w:val="24"/>
          <w:szCs w:val="24"/>
          <w:lang w:val="en-US"/>
        </w:rPr>
        <w:t xml:space="preserve">have been </w:t>
      </w:r>
      <w:r w:rsidRPr="00C72787">
        <w:rPr>
          <w:rFonts w:ascii="Calibri" w:eastAsia="Calibri" w:hAnsi="Calibri" w:cs="Times New Roman"/>
          <w:color w:val="000000" w:themeColor="text1"/>
          <w:sz w:val="24"/>
          <w:szCs w:val="24"/>
          <w:lang w:val="en-US"/>
        </w:rPr>
        <w:t>renamed as customers (</w:t>
      </w:r>
      <w:r w:rsidR="009B2F36">
        <w:rPr>
          <w:rFonts w:ascii="Calibri" w:eastAsia="Calibri" w:hAnsi="Calibri" w:cs="Times New Roman"/>
          <w:color w:val="000000" w:themeColor="text1"/>
          <w:sz w:val="24"/>
          <w:szCs w:val="24"/>
          <w:lang w:val="en-US"/>
        </w:rPr>
        <w:t>Barnett, 2011</w:t>
      </w:r>
      <w:r w:rsidR="0007495F">
        <w:rPr>
          <w:rFonts w:ascii="Calibri" w:eastAsia="Calibri" w:hAnsi="Calibri" w:cs="Times New Roman"/>
          <w:color w:val="000000" w:themeColor="text1"/>
          <w:sz w:val="24"/>
          <w:szCs w:val="24"/>
          <w:lang w:val="en-US"/>
        </w:rPr>
        <w:t xml:space="preserve">; </w:t>
      </w:r>
      <w:r w:rsidRPr="00C72787">
        <w:rPr>
          <w:rFonts w:ascii="Calibri" w:eastAsia="Calibri" w:hAnsi="Calibri" w:cs="Times New Roman"/>
          <w:color w:val="000000" w:themeColor="text1"/>
          <w:sz w:val="24"/>
          <w:szCs w:val="24"/>
          <w:lang w:val="en-US"/>
        </w:rPr>
        <w:t xml:space="preserve">Redding, 2005). </w:t>
      </w:r>
      <w:r w:rsidRPr="00786C54">
        <w:rPr>
          <w:rFonts w:ascii="Calibri" w:eastAsia="Calibri" w:hAnsi="Calibri" w:cs="Times New Roman"/>
          <w:color w:val="000000" w:themeColor="text1"/>
          <w:sz w:val="24"/>
          <w:szCs w:val="24"/>
        </w:rPr>
        <w:t>This newfound positionality of student power</w:t>
      </w:r>
      <w:r>
        <w:rPr>
          <w:rFonts w:ascii="Calibri" w:eastAsia="Calibri" w:hAnsi="Calibri" w:cs="Times New Roman"/>
          <w:color w:val="000000" w:themeColor="text1"/>
          <w:sz w:val="24"/>
          <w:szCs w:val="24"/>
        </w:rPr>
        <w:t xml:space="preserve"> brings with it </w:t>
      </w:r>
      <w:r w:rsidRPr="00786C54">
        <w:rPr>
          <w:rFonts w:ascii="Calibri" w:eastAsia="Calibri" w:hAnsi="Calibri" w:cs="Times New Roman"/>
          <w:color w:val="000000" w:themeColor="text1"/>
          <w:sz w:val="24"/>
          <w:szCs w:val="24"/>
        </w:rPr>
        <w:t xml:space="preserve">a concomitant sense of entitlement (Nixon </w:t>
      </w:r>
      <w:r w:rsidR="00FB3A6E" w:rsidRPr="00FB3A6E">
        <w:rPr>
          <w:rFonts w:ascii="Calibri" w:eastAsia="Calibri" w:hAnsi="Calibri" w:cs="Times New Roman"/>
          <w:i/>
          <w:color w:val="000000" w:themeColor="text1"/>
          <w:sz w:val="24"/>
          <w:szCs w:val="24"/>
        </w:rPr>
        <w:t>et al.</w:t>
      </w:r>
      <w:r w:rsidRPr="00786C54">
        <w:rPr>
          <w:rFonts w:ascii="Calibri" w:eastAsia="Calibri" w:hAnsi="Calibri" w:cs="Times New Roman"/>
          <w:color w:val="000000" w:themeColor="text1"/>
          <w:sz w:val="24"/>
          <w:szCs w:val="24"/>
        </w:rPr>
        <w:t>, 2018)</w:t>
      </w:r>
      <w:r>
        <w:rPr>
          <w:rFonts w:ascii="Calibri" w:eastAsia="Calibri" w:hAnsi="Calibri" w:cs="Times New Roman"/>
          <w:color w:val="000000" w:themeColor="text1"/>
          <w:sz w:val="24"/>
          <w:szCs w:val="24"/>
        </w:rPr>
        <w:t xml:space="preserve"> which is </w:t>
      </w:r>
      <w:r w:rsidR="00291C0E">
        <w:rPr>
          <w:rFonts w:ascii="Calibri" w:eastAsia="Calibri" w:hAnsi="Calibri" w:cs="Times New Roman"/>
          <w:color w:val="000000" w:themeColor="text1"/>
          <w:sz w:val="24"/>
          <w:szCs w:val="24"/>
        </w:rPr>
        <w:t>facilitated and</w:t>
      </w:r>
      <w:r>
        <w:rPr>
          <w:rFonts w:ascii="Calibri" w:eastAsia="Calibri" w:hAnsi="Calibri" w:cs="Times New Roman"/>
          <w:color w:val="000000" w:themeColor="text1"/>
          <w:sz w:val="24"/>
          <w:szCs w:val="24"/>
        </w:rPr>
        <w:t xml:space="preserve"> fed by a recently developed </w:t>
      </w:r>
      <w:r w:rsidRPr="00786C54">
        <w:rPr>
          <w:rFonts w:ascii="Calibri" w:eastAsia="Calibri" w:hAnsi="Calibri" w:cs="Times New Roman"/>
          <w:color w:val="000000" w:themeColor="text1"/>
          <w:sz w:val="24"/>
          <w:szCs w:val="24"/>
        </w:rPr>
        <w:t>worth proving evaluation metrics</w:t>
      </w:r>
      <w:r>
        <w:rPr>
          <w:rFonts w:ascii="Calibri" w:eastAsia="Calibri" w:hAnsi="Calibri" w:cs="Times New Roman"/>
          <w:color w:val="000000" w:themeColor="text1"/>
          <w:sz w:val="24"/>
          <w:szCs w:val="24"/>
        </w:rPr>
        <w:t xml:space="preserve"> system</w:t>
      </w:r>
      <w:r w:rsidRPr="00786C54">
        <w:rPr>
          <w:rFonts w:ascii="Calibri" w:eastAsia="Calibri" w:hAnsi="Calibri" w:cs="Times New Roman"/>
          <w:color w:val="000000" w:themeColor="text1"/>
          <w:sz w:val="24"/>
          <w:szCs w:val="24"/>
        </w:rPr>
        <w:t>.</w:t>
      </w:r>
      <w:r>
        <w:rPr>
          <w:rFonts w:ascii="Calibri" w:eastAsia="Calibri" w:hAnsi="Calibri" w:cs="Times New Roman"/>
          <w:color w:val="000000" w:themeColor="text1"/>
          <w:sz w:val="24"/>
          <w:szCs w:val="24"/>
        </w:rPr>
        <w:t xml:space="preserve"> </w:t>
      </w:r>
      <w:r w:rsidRPr="00A63CE5">
        <w:rPr>
          <w:rFonts w:ascii="Calibri" w:eastAsia="Calibri" w:hAnsi="Calibri" w:cs="Times New Roman"/>
          <w:color w:val="000000" w:themeColor="text1"/>
          <w:sz w:val="24"/>
          <w:szCs w:val="24"/>
        </w:rPr>
        <w:lastRenderedPageBreak/>
        <w:t xml:space="preserve">Furthermore, benchmarks and quality assurance systems were introduced to ensure quality standards of education </w:t>
      </w:r>
      <w:r w:rsidR="00291C0E">
        <w:rPr>
          <w:rFonts w:ascii="Calibri" w:eastAsia="Calibri" w:hAnsi="Calibri" w:cs="Times New Roman"/>
          <w:color w:val="000000" w:themeColor="text1"/>
          <w:sz w:val="24"/>
          <w:szCs w:val="24"/>
        </w:rPr>
        <w:t xml:space="preserve">resulting in a </w:t>
      </w:r>
      <w:r w:rsidRPr="00A63CE5">
        <w:rPr>
          <w:rFonts w:ascii="Calibri" w:eastAsia="Calibri" w:hAnsi="Calibri" w:cs="Times New Roman"/>
          <w:color w:val="000000" w:themeColor="text1"/>
          <w:sz w:val="24"/>
          <w:szCs w:val="24"/>
        </w:rPr>
        <w:t>fierce competition for survival.</w:t>
      </w:r>
    </w:p>
    <w:p w14:paraId="0B2D0600" w14:textId="436D361D" w:rsidR="00EB7F5B" w:rsidRDefault="00EB7F5B" w:rsidP="00885FBC">
      <w:pPr>
        <w:spacing w:line="360" w:lineRule="auto"/>
        <w:rPr>
          <w:rFonts w:ascii="Calibri" w:eastAsia="Calibri" w:hAnsi="Calibri" w:cs="Times New Roman"/>
          <w:color w:val="000000" w:themeColor="text1"/>
          <w:sz w:val="24"/>
          <w:szCs w:val="24"/>
        </w:rPr>
      </w:pPr>
      <w:r w:rsidRPr="006B517A">
        <w:rPr>
          <w:rFonts w:ascii="Calibri" w:eastAsia="Calibri" w:hAnsi="Calibri" w:cs="Times New Roman"/>
          <w:color w:val="000000" w:themeColor="text1"/>
          <w:sz w:val="24"/>
          <w:szCs w:val="24"/>
        </w:rPr>
        <w:t xml:space="preserve">Marketisation </w:t>
      </w:r>
      <w:r>
        <w:rPr>
          <w:rFonts w:ascii="Calibri" w:eastAsia="Calibri" w:hAnsi="Calibri" w:cs="Times New Roman"/>
          <w:color w:val="000000" w:themeColor="text1"/>
          <w:sz w:val="24"/>
          <w:szCs w:val="24"/>
        </w:rPr>
        <w:t xml:space="preserve">and its bedfellow managerialism </w:t>
      </w:r>
      <w:r w:rsidRPr="006B517A">
        <w:rPr>
          <w:rFonts w:ascii="Calibri" w:eastAsia="Calibri" w:hAnsi="Calibri" w:cs="Times New Roman"/>
          <w:color w:val="000000" w:themeColor="text1"/>
          <w:sz w:val="24"/>
          <w:szCs w:val="24"/>
        </w:rPr>
        <w:t>increase the need for accountability (Blackmore, 2009; Brown and Carasso, 2013) in the form of evaluation evidence. Universities are now evaluated through the National Student Survey (NSS) and the Teaching Excellence Framework</w:t>
      </w:r>
      <w:r>
        <w:rPr>
          <w:rFonts w:ascii="Calibri" w:eastAsia="Calibri" w:hAnsi="Calibri" w:cs="Times New Roman"/>
          <w:color w:val="000000" w:themeColor="text1"/>
          <w:sz w:val="24"/>
          <w:szCs w:val="24"/>
        </w:rPr>
        <w:t xml:space="preserve"> (TEF)</w:t>
      </w:r>
      <w:r w:rsidRPr="006B517A">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who</w:t>
      </w:r>
      <w:r w:rsidRPr="006B517A">
        <w:rPr>
          <w:rFonts w:ascii="Calibri" w:eastAsia="Calibri" w:hAnsi="Calibri" w:cs="Times New Roman"/>
          <w:color w:val="000000" w:themeColor="text1"/>
          <w:sz w:val="24"/>
          <w:szCs w:val="24"/>
        </w:rPr>
        <w:t xml:space="preserve"> mete out standards of gold, silver and bronze. Ensuring the student experience ranks high above competitors in the market, these visible metrics are evaluated by the student-customer</w:t>
      </w:r>
      <w:r>
        <w:rPr>
          <w:rFonts w:ascii="Calibri" w:eastAsia="Calibri" w:hAnsi="Calibri" w:cs="Times New Roman"/>
          <w:color w:val="000000" w:themeColor="text1"/>
          <w:sz w:val="24"/>
          <w:szCs w:val="24"/>
        </w:rPr>
        <w:t xml:space="preserve"> who </w:t>
      </w:r>
      <w:r w:rsidRPr="006B517A">
        <w:rPr>
          <w:rFonts w:ascii="Calibri" w:eastAsia="Calibri" w:hAnsi="Calibri" w:cs="Times New Roman"/>
          <w:color w:val="000000" w:themeColor="text1"/>
          <w:sz w:val="24"/>
          <w:szCs w:val="24"/>
        </w:rPr>
        <w:t xml:space="preserve">can now expose perceived low teaching standards and degree programs that fail on their promise of securing graduate-level employment (Jayman </w:t>
      </w:r>
      <w:r w:rsidR="00FB3A6E" w:rsidRPr="00FB3A6E">
        <w:rPr>
          <w:rFonts w:ascii="Calibri" w:eastAsia="Calibri" w:hAnsi="Calibri" w:cs="Times New Roman"/>
          <w:i/>
          <w:color w:val="000000" w:themeColor="text1"/>
          <w:sz w:val="24"/>
          <w:szCs w:val="24"/>
        </w:rPr>
        <w:t>et al.</w:t>
      </w:r>
      <w:r w:rsidRPr="006B517A">
        <w:rPr>
          <w:rFonts w:ascii="Calibri" w:eastAsia="Calibri" w:hAnsi="Calibri" w:cs="Times New Roman"/>
          <w:color w:val="000000" w:themeColor="text1"/>
          <w:sz w:val="24"/>
          <w:szCs w:val="24"/>
        </w:rPr>
        <w:t>, 202</w:t>
      </w:r>
      <w:r>
        <w:rPr>
          <w:rFonts w:ascii="Calibri" w:eastAsia="Calibri" w:hAnsi="Calibri" w:cs="Times New Roman"/>
          <w:color w:val="000000" w:themeColor="text1"/>
          <w:sz w:val="24"/>
          <w:szCs w:val="24"/>
        </w:rPr>
        <w:t>0; 2022</w:t>
      </w:r>
      <w:r w:rsidRPr="006B517A">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Evaluative metrics require</w:t>
      </w:r>
      <w:r w:rsidRPr="006B517A">
        <w:rPr>
          <w:rFonts w:ascii="Calibri" w:eastAsia="Calibri" w:hAnsi="Calibri" w:cs="Times New Roman"/>
          <w:color w:val="000000" w:themeColor="text1"/>
          <w:sz w:val="24"/>
          <w:szCs w:val="24"/>
        </w:rPr>
        <w:t xml:space="preserve"> visible accountability, particularly if the voice of the evaluators is resounding. </w:t>
      </w:r>
      <w:r>
        <w:rPr>
          <w:rFonts w:ascii="Calibri" w:eastAsia="Calibri" w:hAnsi="Calibri" w:cs="Times New Roman"/>
          <w:color w:val="000000" w:themeColor="text1"/>
          <w:sz w:val="24"/>
          <w:szCs w:val="24"/>
        </w:rPr>
        <w:t xml:space="preserve">Using a recent </w:t>
      </w:r>
      <w:r w:rsidRPr="006B517A">
        <w:rPr>
          <w:rFonts w:ascii="Calibri" w:eastAsia="Calibri" w:hAnsi="Calibri" w:cs="Times New Roman"/>
          <w:color w:val="000000" w:themeColor="text1"/>
          <w:sz w:val="24"/>
          <w:szCs w:val="24"/>
        </w:rPr>
        <w:t xml:space="preserve">example, following disruptions to the continuum of education arising from campus closures, strike action and the switch to online lectures during </w:t>
      </w:r>
      <w:r>
        <w:rPr>
          <w:rFonts w:ascii="Calibri" w:eastAsia="Calibri" w:hAnsi="Calibri" w:cs="Times New Roman"/>
          <w:color w:val="000000" w:themeColor="text1"/>
          <w:sz w:val="24"/>
          <w:szCs w:val="24"/>
        </w:rPr>
        <w:t xml:space="preserve">a pandemic-driven </w:t>
      </w:r>
      <w:r w:rsidRPr="006B517A">
        <w:rPr>
          <w:rFonts w:ascii="Calibri" w:eastAsia="Calibri" w:hAnsi="Calibri" w:cs="Times New Roman"/>
          <w:color w:val="000000" w:themeColor="text1"/>
          <w:sz w:val="24"/>
          <w:szCs w:val="24"/>
        </w:rPr>
        <w:t xml:space="preserve">lockdown, students felt their learning </w:t>
      </w:r>
      <w:r>
        <w:rPr>
          <w:rFonts w:ascii="Calibri" w:eastAsia="Calibri" w:hAnsi="Calibri" w:cs="Times New Roman"/>
          <w:color w:val="000000" w:themeColor="text1"/>
          <w:sz w:val="24"/>
          <w:szCs w:val="24"/>
        </w:rPr>
        <w:t xml:space="preserve">experience </w:t>
      </w:r>
      <w:r w:rsidRPr="006B517A">
        <w:rPr>
          <w:rFonts w:ascii="Calibri" w:eastAsia="Calibri" w:hAnsi="Calibri" w:cs="Times New Roman"/>
          <w:color w:val="000000" w:themeColor="text1"/>
          <w:sz w:val="24"/>
          <w:szCs w:val="24"/>
        </w:rPr>
        <w:t xml:space="preserve">had suffered and were vocal about their concerns. The Office of the Independent Adjudicator (OIA, 2022) recorded 2,850 complaints from students in 2022, an increase of 3% on complaints received in 2021. Complaints clustered around </w:t>
      </w:r>
      <w:r>
        <w:rPr>
          <w:rFonts w:ascii="Calibri" w:eastAsia="Calibri" w:hAnsi="Calibri" w:cs="Times New Roman"/>
          <w:color w:val="000000" w:themeColor="text1"/>
          <w:sz w:val="24"/>
          <w:szCs w:val="24"/>
        </w:rPr>
        <w:t xml:space="preserve">how </w:t>
      </w:r>
      <w:r w:rsidRPr="006B517A">
        <w:rPr>
          <w:rFonts w:ascii="Calibri" w:eastAsia="Calibri" w:hAnsi="Calibri" w:cs="Times New Roman"/>
          <w:color w:val="000000" w:themeColor="text1"/>
          <w:sz w:val="24"/>
          <w:szCs w:val="24"/>
        </w:rPr>
        <w:t>grades</w:t>
      </w:r>
      <w:r>
        <w:rPr>
          <w:rFonts w:ascii="Calibri" w:eastAsia="Calibri" w:hAnsi="Calibri" w:cs="Times New Roman"/>
          <w:color w:val="000000" w:themeColor="text1"/>
          <w:sz w:val="24"/>
          <w:szCs w:val="24"/>
        </w:rPr>
        <w:t xml:space="preserve"> were handled</w:t>
      </w:r>
      <w:r w:rsidRPr="006B517A">
        <w:rPr>
          <w:rFonts w:ascii="Calibri" w:eastAsia="Calibri" w:hAnsi="Calibri" w:cs="Times New Roman"/>
          <w:color w:val="000000" w:themeColor="text1"/>
          <w:sz w:val="24"/>
          <w:szCs w:val="24"/>
        </w:rPr>
        <w:t>, teaching</w:t>
      </w:r>
      <w:r w:rsidR="000C5EA1">
        <w:rPr>
          <w:rFonts w:ascii="Calibri" w:eastAsia="Calibri" w:hAnsi="Calibri" w:cs="Times New Roman"/>
          <w:color w:val="000000" w:themeColor="text1"/>
          <w:sz w:val="24"/>
          <w:szCs w:val="24"/>
        </w:rPr>
        <w:t xml:space="preserve"> quality</w:t>
      </w:r>
      <w:r w:rsidRPr="006B517A">
        <w:rPr>
          <w:rFonts w:ascii="Calibri" w:eastAsia="Calibri" w:hAnsi="Calibri" w:cs="Times New Roman"/>
          <w:color w:val="000000" w:themeColor="text1"/>
          <w:sz w:val="24"/>
          <w:szCs w:val="24"/>
        </w:rPr>
        <w:t xml:space="preserve"> and the impact of the pandemic on the student experience. </w:t>
      </w:r>
    </w:p>
    <w:p w14:paraId="594BDFD3" w14:textId="2D6721FA" w:rsidR="00EB7F5B" w:rsidRPr="006B517A" w:rsidRDefault="00EB7F5B" w:rsidP="00EC4707">
      <w:pPr>
        <w:spacing w:line="360" w:lineRule="auto"/>
        <w:rPr>
          <w:rFonts w:ascii="Calibri" w:eastAsia="Calibri" w:hAnsi="Calibri" w:cs="Times New Roman"/>
          <w:color w:val="000000" w:themeColor="text1"/>
          <w:sz w:val="24"/>
          <w:szCs w:val="24"/>
        </w:rPr>
      </w:pPr>
      <w:r w:rsidRPr="000D7FFB">
        <w:rPr>
          <w:rFonts w:ascii="Calibri" w:eastAsia="Calibri" w:hAnsi="Calibri" w:cs="Times New Roman"/>
          <w:color w:val="000000" w:themeColor="text1"/>
          <w:sz w:val="24"/>
          <w:szCs w:val="24"/>
        </w:rPr>
        <w:t xml:space="preserve">The reputation of the institute, and </w:t>
      </w:r>
      <w:r w:rsidR="00516267">
        <w:rPr>
          <w:rFonts w:ascii="Calibri" w:eastAsia="Calibri" w:hAnsi="Calibri" w:cs="Times New Roman"/>
          <w:color w:val="000000" w:themeColor="text1"/>
          <w:sz w:val="24"/>
          <w:szCs w:val="24"/>
        </w:rPr>
        <w:t>its</w:t>
      </w:r>
      <w:r w:rsidRPr="000D7FFB">
        <w:rPr>
          <w:rFonts w:ascii="Calibri" w:eastAsia="Calibri" w:hAnsi="Calibri" w:cs="Times New Roman"/>
          <w:color w:val="000000" w:themeColor="text1"/>
          <w:sz w:val="24"/>
          <w:szCs w:val="24"/>
        </w:rPr>
        <w:t xml:space="preserve"> employees now equates to fiscal survival</w:t>
      </w:r>
      <w:r>
        <w:rPr>
          <w:rFonts w:ascii="Calibri" w:eastAsia="Calibri" w:hAnsi="Calibri" w:cs="Times New Roman"/>
          <w:color w:val="000000" w:themeColor="text1"/>
          <w:sz w:val="24"/>
          <w:szCs w:val="24"/>
        </w:rPr>
        <w:t>, and m</w:t>
      </w:r>
      <w:r w:rsidRPr="00D3350D">
        <w:rPr>
          <w:rFonts w:ascii="Calibri" w:eastAsia="Calibri" w:hAnsi="Calibri" w:cs="Times New Roman"/>
          <w:color w:val="000000" w:themeColor="text1"/>
          <w:sz w:val="24"/>
          <w:szCs w:val="24"/>
        </w:rPr>
        <w:t xml:space="preserve">etrics ensure the university coffers are filled. </w:t>
      </w:r>
      <w:r>
        <w:rPr>
          <w:rFonts w:ascii="Calibri" w:eastAsia="Calibri" w:hAnsi="Calibri" w:cs="Times New Roman"/>
          <w:color w:val="000000" w:themeColor="text1"/>
          <w:sz w:val="24"/>
          <w:szCs w:val="24"/>
        </w:rPr>
        <w:t>E</w:t>
      </w:r>
      <w:r w:rsidRPr="006B517A">
        <w:rPr>
          <w:rFonts w:ascii="Calibri" w:eastAsia="Calibri" w:hAnsi="Calibri" w:cs="Times New Roman"/>
          <w:color w:val="000000" w:themeColor="text1"/>
          <w:sz w:val="24"/>
          <w:szCs w:val="24"/>
        </w:rPr>
        <w:t>valuation metrics highlight the power of the student, their demand for success (Fleming, 2021)</w:t>
      </w:r>
      <w:r w:rsidR="000C5EA1">
        <w:rPr>
          <w:rFonts w:ascii="Calibri" w:eastAsia="Calibri" w:hAnsi="Calibri" w:cs="Times New Roman"/>
          <w:color w:val="000000" w:themeColor="text1"/>
          <w:sz w:val="24"/>
          <w:szCs w:val="24"/>
        </w:rPr>
        <w:t xml:space="preserve"> </w:t>
      </w:r>
      <w:r w:rsidRPr="006B517A">
        <w:rPr>
          <w:rFonts w:ascii="Calibri" w:eastAsia="Calibri" w:hAnsi="Calibri" w:cs="Times New Roman"/>
          <w:color w:val="000000" w:themeColor="text1"/>
          <w:sz w:val="24"/>
          <w:szCs w:val="24"/>
        </w:rPr>
        <w:t>and their newfound power position of the “weird boss syndrome” (</w:t>
      </w:r>
      <w:r w:rsidR="00AB1ADC">
        <w:rPr>
          <w:rFonts w:ascii="Calibri" w:eastAsia="Calibri" w:hAnsi="Calibri" w:cs="Times New Roman"/>
          <w:color w:val="000000" w:themeColor="text1"/>
          <w:sz w:val="24"/>
          <w:szCs w:val="24"/>
        </w:rPr>
        <w:t>ibid.</w:t>
      </w:r>
      <w:r w:rsidRPr="006B517A">
        <w:rPr>
          <w:rFonts w:ascii="Calibri" w:eastAsia="Calibri" w:hAnsi="Calibri" w:cs="Times New Roman"/>
          <w:color w:val="000000" w:themeColor="text1"/>
          <w:sz w:val="24"/>
          <w:szCs w:val="24"/>
        </w:rPr>
        <w:t xml:space="preserve">, p.138). </w:t>
      </w:r>
      <w:r w:rsidRPr="005107FB">
        <w:rPr>
          <w:rFonts w:ascii="Calibri" w:eastAsia="Calibri" w:hAnsi="Calibri" w:cs="Times New Roman"/>
          <w:color w:val="000000" w:themeColor="text1"/>
          <w:sz w:val="24"/>
          <w:szCs w:val="24"/>
        </w:rPr>
        <w:t>These issues have had a considerable effect on organisational focus and governance prompting new reforms and shifts in university structures</w:t>
      </w:r>
      <w:r>
        <w:rPr>
          <w:rFonts w:ascii="Calibri" w:eastAsia="Calibri" w:hAnsi="Calibri" w:cs="Times New Roman"/>
          <w:color w:val="000000" w:themeColor="text1"/>
          <w:sz w:val="24"/>
          <w:szCs w:val="24"/>
        </w:rPr>
        <w:t>, management</w:t>
      </w:r>
      <w:r w:rsidRPr="005107FB">
        <w:rPr>
          <w:rFonts w:ascii="Calibri" w:eastAsia="Calibri" w:hAnsi="Calibri" w:cs="Times New Roman"/>
          <w:color w:val="000000" w:themeColor="text1"/>
          <w:sz w:val="24"/>
          <w:szCs w:val="24"/>
        </w:rPr>
        <w:t xml:space="preserve"> and behaviours.</w:t>
      </w:r>
      <w:bookmarkStart w:id="15" w:name="_Hlk211420702"/>
      <w:r>
        <w:rPr>
          <w:rFonts w:ascii="Calibri" w:eastAsia="Calibri" w:hAnsi="Calibri" w:cs="Times New Roman"/>
          <w:color w:val="000000" w:themeColor="text1"/>
          <w:sz w:val="24"/>
          <w:szCs w:val="24"/>
        </w:rPr>
        <w:t xml:space="preserve"> </w:t>
      </w:r>
      <w:bookmarkEnd w:id="15"/>
      <w:r w:rsidRPr="005107FB">
        <w:rPr>
          <w:rFonts w:ascii="Calibri" w:eastAsia="Calibri" w:hAnsi="Calibri" w:cs="Times New Roman"/>
          <w:color w:val="000000" w:themeColor="text1"/>
          <w:sz w:val="24"/>
          <w:szCs w:val="24"/>
          <w:lang w:val="en-US"/>
        </w:rPr>
        <w:t>To retain its power, status and income, the university has transmuted</w:t>
      </w:r>
      <w:r>
        <w:rPr>
          <w:rFonts w:ascii="Calibri" w:eastAsia="Calibri" w:hAnsi="Calibri" w:cs="Times New Roman"/>
          <w:color w:val="000000" w:themeColor="text1"/>
          <w:sz w:val="24"/>
          <w:szCs w:val="24"/>
          <w:lang w:val="en-US"/>
        </w:rPr>
        <w:t xml:space="preserve"> from a</w:t>
      </w:r>
      <w:r w:rsidRPr="002865F8">
        <w:rPr>
          <w:rFonts w:ascii="Calibri" w:eastAsia="Calibri" w:hAnsi="Calibri" w:cs="Times New Roman"/>
          <w:color w:val="000000" w:themeColor="text1"/>
          <w:sz w:val="24"/>
          <w:szCs w:val="24"/>
        </w:rPr>
        <w:t xml:space="preserve"> highly regarded site of mutual knowledge exchange to one of commercial transactions</w:t>
      </w:r>
      <w:r w:rsidRPr="002865F8">
        <w:rPr>
          <w:rFonts w:ascii="Calibri" w:eastAsia="Calibri" w:hAnsi="Calibri" w:cs="Times New Roman"/>
          <w:color w:val="000000" w:themeColor="text1"/>
          <w:sz w:val="24"/>
          <w:szCs w:val="24"/>
          <w:lang w:val="en-US"/>
        </w:rPr>
        <w:t xml:space="preserve"> </w:t>
      </w:r>
      <w:r w:rsidR="0005731D">
        <w:rPr>
          <w:rFonts w:ascii="Calibri" w:eastAsia="Calibri" w:hAnsi="Calibri" w:cs="Times New Roman"/>
          <w:color w:val="000000" w:themeColor="text1"/>
          <w:sz w:val="24"/>
          <w:szCs w:val="24"/>
          <w:lang w:val="en-US"/>
        </w:rPr>
        <w:t>which</w:t>
      </w:r>
      <w:r w:rsidR="000720D9">
        <w:rPr>
          <w:rFonts w:ascii="Calibri" w:eastAsia="Calibri" w:hAnsi="Calibri" w:cs="Times New Roman"/>
          <w:color w:val="000000" w:themeColor="text1"/>
          <w:sz w:val="24"/>
          <w:szCs w:val="24"/>
          <w:lang w:val="en-US"/>
        </w:rPr>
        <w:t xml:space="preserve"> Neave (2006) likens </w:t>
      </w:r>
      <w:r>
        <w:rPr>
          <w:rFonts w:ascii="Calibri" w:eastAsia="Calibri" w:hAnsi="Calibri" w:cs="Times New Roman"/>
          <w:color w:val="000000" w:themeColor="text1"/>
          <w:sz w:val="24"/>
          <w:szCs w:val="24"/>
          <w:lang w:val="en-US"/>
        </w:rPr>
        <w:t xml:space="preserve">to </w:t>
      </w:r>
      <w:r w:rsidRPr="005107FB">
        <w:rPr>
          <w:rFonts w:ascii="Calibri" w:eastAsia="Calibri" w:hAnsi="Calibri" w:cs="Times New Roman"/>
          <w:color w:val="000000" w:themeColor="text1"/>
          <w:sz w:val="24"/>
          <w:szCs w:val="24"/>
          <w:lang w:val="en-US"/>
        </w:rPr>
        <w:t>a profit</w:t>
      </w:r>
      <w:r w:rsidR="00F54374">
        <w:rPr>
          <w:rFonts w:ascii="Calibri" w:eastAsia="Calibri" w:hAnsi="Calibri" w:cs="Times New Roman"/>
          <w:color w:val="000000" w:themeColor="text1"/>
          <w:sz w:val="24"/>
          <w:szCs w:val="24"/>
          <w:lang w:val="en-US"/>
        </w:rPr>
        <w:t>-</w:t>
      </w:r>
      <w:r w:rsidRPr="005107FB">
        <w:rPr>
          <w:rFonts w:ascii="Calibri" w:eastAsia="Calibri" w:hAnsi="Calibri" w:cs="Times New Roman"/>
          <w:color w:val="000000" w:themeColor="text1"/>
          <w:sz w:val="24"/>
          <w:szCs w:val="24"/>
          <w:lang w:val="en-US"/>
        </w:rPr>
        <w:t>driven factory system</w:t>
      </w:r>
      <w:r>
        <w:rPr>
          <w:rFonts w:ascii="Calibri" w:eastAsia="Calibri" w:hAnsi="Calibri" w:cs="Times New Roman"/>
          <w:color w:val="000000" w:themeColor="text1"/>
          <w:sz w:val="24"/>
          <w:szCs w:val="24"/>
          <w:lang w:val="en-US"/>
        </w:rPr>
        <w:t xml:space="preserve">. I shall now explore the impact of </w:t>
      </w:r>
      <w:r w:rsidR="0014365F">
        <w:rPr>
          <w:rFonts w:ascii="Calibri" w:eastAsia="Calibri" w:hAnsi="Calibri" w:cs="Times New Roman"/>
          <w:color w:val="000000" w:themeColor="text1"/>
          <w:sz w:val="24"/>
          <w:szCs w:val="24"/>
          <w:lang w:val="en-US"/>
        </w:rPr>
        <w:t>Neave’s suggestion of the</w:t>
      </w:r>
      <w:r>
        <w:rPr>
          <w:rFonts w:ascii="Calibri" w:eastAsia="Calibri" w:hAnsi="Calibri" w:cs="Times New Roman"/>
          <w:color w:val="000000" w:themeColor="text1"/>
          <w:sz w:val="24"/>
          <w:szCs w:val="24"/>
          <w:lang w:val="en-US"/>
        </w:rPr>
        <w:t xml:space="preserve"> </w:t>
      </w:r>
      <w:r w:rsidR="0014365F">
        <w:rPr>
          <w:rFonts w:ascii="Calibri" w:eastAsia="Calibri" w:hAnsi="Calibri" w:cs="Times New Roman"/>
          <w:color w:val="000000" w:themeColor="text1"/>
          <w:sz w:val="24"/>
          <w:szCs w:val="24"/>
          <w:lang w:val="en-US"/>
        </w:rPr>
        <w:t>“</w:t>
      </w:r>
      <w:r w:rsidR="00B66B75">
        <w:rPr>
          <w:rFonts w:ascii="Calibri" w:eastAsia="Calibri" w:hAnsi="Calibri" w:cs="Times New Roman"/>
          <w:color w:val="000000" w:themeColor="text1"/>
          <w:sz w:val="24"/>
          <w:szCs w:val="24"/>
          <w:lang w:val="en-US"/>
        </w:rPr>
        <w:t xml:space="preserve">profit-driven </w:t>
      </w:r>
      <w:r>
        <w:rPr>
          <w:rFonts w:ascii="Calibri" w:eastAsia="Calibri" w:hAnsi="Calibri" w:cs="Times New Roman"/>
          <w:color w:val="000000" w:themeColor="text1"/>
          <w:sz w:val="24"/>
          <w:szCs w:val="24"/>
          <w:lang w:val="en-US"/>
        </w:rPr>
        <w:t>factory system</w:t>
      </w:r>
      <w:r w:rsidR="0014365F">
        <w:rPr>
          <w:rFonts w:ascii="Calibri" w:eastAsia="Calibri" w:hAnsi="Calibri" w:cs="Times New Roman"/>
          <w:color w:val="000000" w:themeColor="text1"/>
          <w:sz w:val="24"/>
          <w:szCs w:val="24"/>
          <w:lang w:val="en-US"/>
        </w:rPr>
        <w:t>”</w:t>
      </w:r>
      <w:r>
        <w:rPr>
          <w:rFonts w:ascii="Calibri" w:eastAsia="Calibri" w:hAnsi="Calibri" w:cs="Times New Roman"/>
          <w:color w:val="000000" w:themeColor="text1"/>
          <w:sz w:val="24"/>
          <w:szCs w:val="24"/>
          <w:lang w:val="en-US"/>
        </w:rPr>
        <w:t xml:space="preserve"> on the </w:t>
      </w:r>
      <w:r w:rsidR="00126052">
        <w:rPr>
          <w:rFonts w:ascii="Calibri" w:eastAsia="Calibri" w:hAnsi="Calibri" w:cs="Times New Roman"/>
          <w:color w:val="000000" w:themeColor="text1"/>
          <w:sz w:val="24"/>
          <w:szCs w:val="24"/>
          <w:lang w:val="en-US"/>
        </w:rPr>
        <w:t xml:space="preserve">implied </w:t>
      </w:r>
      <w:r>
        <w:rPr>
          <w:rFonts w:ascii="Calibri" w:eastAsia="Calibri" w:hAnsi="Calibri" w:cs="Times New Roman"/>
          <w:color w:val="000000" w:themeColor="text1"/>
          <w:sz w:val="24"/>
          <w:szCs w:val="24"/>
          <w:lang w:val="en-US"/>
        </w:rPr>
        <w:t>assembly line workers, the teachers.</w:t>
      </w:r>
      <w:r w:rsidRPr="00D3350D">
        <w:rPr>
          <w:rFonts w:ascii="Calibri" w:eastAsia="Calibri" w:hAnsi="Calibri" w:cs="Times New Roman"/>
          <w:color w:val="000000" w:themeColor="text1"/>
          <w:sz w:val="24"/>
          <w:szCs w:val="24"/>
        </w:rPr>
        <w:t xml:space="preserve"> </w:t>
      </w:r>
    </w:p>
    <w:p w14:paraId="4ED699D6" w14:textId="77777777" w:rsidR="00EB7F5B" w:rsidRPr="00785EC5" w:rsidRDefault="00EB7F5B" w:rsidP="00CA476A">
      <w:pPr>
        <w:rPr>
          <w:rFonts w:ascii="Calibri" w:eastAsia="Calibri" w:hAnsi="Calibri" w:cs="Times New Roman"/>
          <w:b/>
          <w:bCs/>
          <w:color w:val="000000" w:themeColor="text1"/>
          <w:sz w:val="24"/>
          <w:szCs w:val="24"/>
          <w:lang w:val="en-US"/>
        </w:rPr>
      </w:pPr>
      <w:r w:rsidRPr="00785EC5">
        <w:rPr>
          <w:rFonts w:ascii="Calibri" w:eastAsia="Calibri" w:hAnsi="Calibri" w:cs="Times New Roman"/>
          <w:b/>
          <w:bCs/>
          <w:color w:val="000000" w:themeColor="text1"/>
          <w:sz w:val="24"/>
          <w:szCs w:val="24"/>
          <w:lang w:val="en-US"/>
        </w:rPr>
        <w:t xml:space="preserve">The heralding of </w:t>
      </w:r>
      <w:r>
        <w:rPr>
          <w:rFonts w:ascii="Calibri" w:eastAsia="Calibri" w:hAnsi="Calibri" w:cs="Times New Roman"/>
          <w:b/>
          <w:bCs/>
          <w:color w:val="000000" w:themeColor="text1"/>
          <w:sz w:val="24"/>
          <w:szCs w:val="24"/>
          <w:lang w:val="en-US"/>
        </w:rPr>
        <w:t xml:space="preserve">an </w:t>
      </w:r>
      <w:r w:rsidRPr="00785EC5">
        <w:rPr>
          <w:rFonts w:ascii="Calibri" w:eastAsia="Calibri" w:hAnsi="Calibri" w:cs="Times New Roman"/>
          <w:b/>
          <w:bCs/>
          <w:color w:val="000000" w:themeColor="text1"/>
          <w:sz w:val="24"/>
          <w:szCs w:val="24"/>
          <w:lang w:val="en-US"/>
        </w:rPr>
        <w:t>academic capitalism</w:t>
      </w:r>
      <w:r>
        <w:rPr>
          <w:rFonts w:ascii="Calibri" w:eastAsia="Calibri" w:hAnsi="Calibri" w:cs="Times New Roman"/>
          <w:b/>
          <w:bCs/>
          <w:color w:val="000000" w:themeColor="text1"/>
          <w:sz w:val="24"/>
          <w:szCs w:val="24"/>
          <w:lang w:val="en-US"/>
        </w:rPr>
        <w:t xml:space="preserve"> era</w:t>
      </w:r>
    </w:p>
    <w:p w14:paraId="19D88E12" w14:textId="4D31687A" w:rsidR="00EB7F5B" w:rsidRDefault="00EB7F5B" w:rsidP="009176F3">
      <w:pPr>
        <w:spacing w:line="360" w:lineRule="auto"/>
        <w:rPr>
          <w:rFonts w:ascii="Calibri" w:eastAsia="Calibri" w:hAnsi="Calibri" w:cs="Times New Roman"/>
          <w:color w:val="000000" w:themeColor="text1"/>
          <w:sz w:val="24"/>
          <w:szCs w:val="24"/>
        </w:rPr>
      </w:pPr>
      <w:bookmarkStart w:id="16" w:name="_Hlk192579418"/>
      <w:r w:rsidRPr="00EA3F75">
        <w:rPr>
          <w:rFonts w:ascii="Calibri" w:eastAsia="Calibri" w:hAnsi="Calibri" w:cs="Times New Roman"/>
          <w:color w:val="000000" w:themeColor="text1"/>
          <w:sz w:val="24"/>
          <w:szCs w:val="24"/>
        </w:rPr>
        <w:t>Commodification, the development of a product to sell or exchange at the market (Naidoo, in Barnett, 2005) shifts the success of knowledge and research acquisition</w:t>
      </w:r>
      <w:r>
        <w:rPr>
          <w:rFonts w:ascii="Calibri" w:eastAsia="Calibri" w:hAnsi="Calibri" w:cs="Times New Roman"/>
          <w:color w:val="000000" w:themeColor="text1"/>
          <w:sz w:val="24"/>
          <w:szCs w:val="24"/>
        </w:rPr>
        <w:t xml:space="preserve"> </w:t>
      </w:r>
      <w:r w:rsidRPr="00EA3F75">
        <w:rPr>
          <w:rFonts w:ascii="Calibri" w:eastAsia="Calibri" w:hAnsi="Calibri" w:cs="Times New Roman"/>
          <w:color w:val="000000" w:themeColor="text1"/>
          <w:sz w:val="24"/>
          <w:szCs w:val="24"/>
        </w:rPr>
        <w:t xml:space="preserve">to a financial </w:t>
      </w:r>
      <w:r w:rsidRPr="00EA3F75">
        <w:rPr>
          <w:rFonts w:ascii="Calibri" w:eastAsia="Calibri" w:hAnsi="Calibri" w:cs="Times New Roman"/>
          <w:color w:val="000000" w:themeColor="text1"/>
          <w:sz w:val="24"/>
          <w:szCs w:val="24"/>
        </w:rPr>
        <w:lastRenderedPageBreak/>
        <w:t>accounting exercise</w:t>
      </w:r>
      <w:r>
        <w:rPr>
          <w:rFonts w:ascii="Calibri" w:eastAsia="Calibri" w:hAnsi="Calibri" w:cs="Times New Roman"/>
          <w:color w:val="000000" w:themeColor="text1"/>
          <w:sz w:val="24"/>
          <w:szCs w:val="24"/>
        </w:rPr>
        <w:t>.</w:t>
      </w:r>
      <w:r w:rsidRPr="00EA3F75">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For example, r</w:t>
      </w:r>
      <w:r w:rsidRPr="00EA3F75">
        <w:rPr>
          <w:rFonts w:ascii="Calibri" w:eastAsia="Calibri" w:hAnsi="Calibri" w:cs="Times New Roman"/>
          <w:color w:val="000000" w:themeColor="text1"/>
          <w:sz w:val="24"/>
          <w:szCs w:val="24"/>
        </w:rPr>
        <w:t>esearch, previously undertaken for the public good (Moja and Cloete, 2001), is being replaced by research in favour of economic interest</w:t>
      </w:r>
      <w:r>
        <w:rPr>
          <w:rFonts w:ascii="Calibri" w:eastAsia="Calibri" w:hAnsi="Calibri" w:cs="Times New Roman"/>
          <w:color w:val="000000" w:themeColor="text1"/>
          <w:sz w:val="24"/>
          <w:szCs w:val="24"/>
        </w:rPr>
        <w:t xml:space="preserve">. Amid </w:t>
      </w:r>
      <w:r w:rsidRPr="00C85343">
        <w:rPr>
          <w:rFonts w:ascii="Calibri" w:eastAsia="Calibri" w:hAnsi="Calibri" w:cs="Times New Roman"/>
          <w:color w:val="000000" w:themeColor="text1"/>
          <w:sz w:val="24"/>
          <w:szCs w:val="24"/>
        </w:rPr>
        <w:t>fierce competition for research funding</w:t>
      </w:r>
      <w:r>
        <w:rPr>
          <w:rFonts w:ascii="Calibri" w:eastAsia="Calibri" w:hAnsi="Calibri" w:cs="Times New Roman"/>
          <w:color w:val="000000" w:themeColor="text1"/>
          <w:sz w:val="24"/>
          <w:szCs w:val="24"/>
        </w:rPr>
        <w:t xml:space="preserve"> </w:t>
      </w:r>
      <w:r w:rsidRPr="00C85343">
        <w:rPr>
          <w:rFonts w:ascii="Calibri" w:eastAsia="Calibri" w:hAnsi="Calibri" w:cs="Times New Roman"/>
          <w:color w:val="000000" w:themeColor="text1"/>
          <w:sz w:val="24"/>
          <w:szCs w:val="24"/>
        </w:rPr>
        <w:t xml:space="preserve">(Henkel, 2000) UK universities are now competing for research recognition and status (Mohrman </w:t>
      </w:r>
      <w:r w:rsidRPr="00897C01">
        <w:rPr>
          <w:rFonts w:ascii="Calibri" w:eastAsia="Calibri" w:hAnsi="Calibri" w:cs="Times New Roman"/>
          <w:i/>
          <w:iCs/>
          <w:color w:val="000000" w:themeColor="text1"/>
          <w:sz w:val="24"/>
          <w:szCs w:val="24"/>
        </w:rPr>
        <w:t>et al</w:t>
      </w:r>
      <w:r w:rsidR="00897C01">
        <w:rPr>
          <w:rFonts w:ascii="Calibri" w:eastAsia="Calibri" w:hAnsi="Calibri" w:cs="Times New Roman"/>
          <w:color w:val="000000" w:themeColor="text1"/>
          <w:sz w:val="24"/>
          <w:szCs w:val="24"/>
        </w:rPr>
        <w:t>.</w:t>
      </w:r>
      <w:r w:rsidRPr="00C85343">
        <w:rPr>
          <w:rFonts w:ascii="Calibri" w:eastAsia="Calibri" w:hAnsi="Calibri" w:cs="Times New Roman"/>
          <w:color w:val="000000" w:themeColor="text1"/>
          <w:sz w:val="24"/>
          <w:szCs w:val="24"/>
        </w:rPr>
        <w:t xml:space="preserve">, 2008) whilst having to satisfy </w:t>
      </w:r>
      <w:r>
        <w:rPr>
          <w:rFonts w:ascii="Calibri" w:eastAsia="Calibri" w:hAnsi="Calibri" w:cs="Times New Roman"/>
          <w:color w:val="000000" w:themeColor="text1"/>
          <w:sz w:val="24"/>
          <w:szCs w:val="24"/>
        </w:rPr>
        <w:t>a</w:t>
      </w:r>
      <w:r w:rsidRPr="00C85343">
        <w:rPr>
          <w:rFonts w:ascii="Calibri" w:eastAsia="Calibri" w:hAnsi="Calibri" w:cs="Times New Roman"/>
          <w:color w:val="000000" w:themeColor="text1"/>
          <w:sz w:val="24"/>
          <w:szCs w:val="24"/>
        </w:rPr>
        <w:t xml:space="preserve"> stake-holders audience (Anninos, 2007). </w:t>
      </w:r>
      <w:r w:rsidRPr="00EA3F75">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By default, teachers become highly visible and valuable commodities and are under pressure to ensure their product is the shiniest on the market stall</w:t>
      </w:r>
      <w:r w:rsidRPr="00B03F14">
        <w:rPr>
          <w:rFonts w:ascii="Calibri" w:eastAsia="Calibri" w:hAnsi="Calibri" w:cs="Times New Roman"/>
          <w:color w:val="000000" w:themeColor="text1"/>
          <w:sz w:val="24"/>
          <w:szCs w:val="24"/>
          <w:lang w:val="en-US"/>
        </w:rPr>
        <w:t>.</w:t>
      </w:r>
      <w:r w:rsidRPr="00C22301">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Such pressures </w:t>
      </w:r>
      <w:r w:rsidRPr="00C22301">
        <w:rPr>
          <w:rFonts w:ascii="Calibri" w:eastAsia="Calibri" w:hAnsi="Calibri" w:cs="Times New Roman"/>
          <w:color w:val="000000" w:themeColor="text1"/>
          <w:sz w:val="24"/>
          <w:szCs w:val="24"/>
        </w:rPr>
        <w:t>may discourage critical engagement</w:t>
      </w:r>
      <w:r>
        <w:rPr>
          <w:rFonts w:ascii="Calibri" w:eastAsia="Calibri" w:hAnsi="Calibri" w:cs="Times New Roman"/>
          <w:color w:val="000000" w:themeColor="text1"/>
          <w:sz w:val="24"/>
          <w:szCs w:val="24"/>
        </w:rPr>
        <w:t xml:space="preserve"> </w:t>
      </w:r>
      <w:r w:rsidRPr="00C22301">
        <w:rPr>
          <w:rFonts w:ascii="Calibri" w:eastAsia="Calibri" w:hAnsi="Calibri" w:cs="Times New Roman"/>
          <w:color w:val="000000" w:themeColor="text1"/>
          <w:sz w:val="24"/>
          <w:szCs w:val="24"/>
        </w:rPr>
        <w:t xml:space="preserve">for knowledge’s sake and </w:t>
      </w:r>
      <w:r>
        <w:rPr>
          <w:rFonts w:ascii="Calibri" w:eastAsia="Calibri" w:hAnsi="Calibri" w:cs="Times New Roman"/>
          <w:color w:val="000000" w:themeColor="text1"/>
          <w:sz w:val="24"/>
          <w:szCs w:val="24"/>
        </w:rPr>
        <w:t xml:space="preserve">undermine </w:t>
      </w:r>
      <w:r w:rsidRPr="00C22301">
        <w:rPr>
          <w:rFonts w:ascii="Calibri" w:eastAsia="Calibri" w:hAnsi="Calibri" w:cs="Times New Roman"/>
          <w:color w:val="000000" w:themeColor="text1"/>
          <w:sz w:val="24"/>
          <w:szCs w:val="24"/>
        </w:rPr>
        <w:t>academics as independent producers of knowledge (Naidoo, in Barnett, 2005).</w:t>
      </w:r>
      <w:r>
        <w:rPr>
          <w:rFonts w:ascii="Calibri" w:eastAsia="Calibri" w:hAnsi="Calibri" w:cs="Times New Roman"/>
          <w:color w:val="000000" w:themeColor="text1"/>
          <w:sz w:val="24"/>
          <w:szCs w:val="24"/>
        </w:rPr>
        <w:t xml:space="preserve"> Furthermore, they can </w:t>
      </w:r>
      <w:r w:rsidRPr="00B03F14">
        <w:rPr>
          <w:rFonts w:ascii="Calibri" w:eastAsia="Calibri" w:hAnsi="Calibri" w:cs="Times New Roman"/>
          <w:color w:val="000000" w:themeColor="text1"/>
          <w:sz w:val="24"/>
          <w:szCs w:val="24"/>
        </w:rPr>
        <w:t>create conflict as academics, familiar with more artistic freedom and liberal control, have found themselves having to teach and research proficiently</w:t>
      </w:r>
      <w:r>
        <w:rPr>
          <w:rFonts w:ascii="Calibri" w:eastAsia="Calibri" w:hAnsi="Calibri" w:cs="Times New Roman"/>
          <w:color w:val="000000" w:themeColor="text1"/>
          <w:sz w:val="24"/>
          <w:szCs w:val="24"/>
        </w:rPr>
        <w:t xml:space="preserve"> </w:t>
      </w:r>
      <w:r w:rsidRPr="00B03F14">
        <w:rPr>
          <w:rFonts w:ascii="Calibri" w:eastAsia="Calibri" w:hAnsi="Calibri" w:cs="Times New Roman"/>
          <w:color w:val="000000" w:themeColor="text1"/>
          <w:sz w:val="24"/>
          <w:szCs w:val="24"/>
        </w:rPr>
        <w:t>within financial and managerial constrain</w:t>
      </w:r>
      <w:r>
        <w:rPr>
          <w:rFonts w:ascii="Calibri" w:eastAsia="Calibri" w:hAnsi="Calibri" w:cs="Times New Roman"/>
          <w:color w:val="000000" w:themeColor="text1"/>
          <w:sz w:val="24"/>
          <w:szCs w:val="24"/>
        </w:rPr>
        <w:t>t</w:t>
      </w:r>
      <w:r w:rsidRPr="00B03F14">
        <w:rPr>
          <w:rFonts w:ascii="Calibri" w:eastAsia="Calibri" w:hAnsi="Calibri" w:cs="Times New Roman"/>
          <w:color w:val="000000" w:themeColor="text1"/>
          <w:sz w:val="24"/>
          <w:szCs w:val="24"/>
        </w:rPr>
        <w:t>s (</w:t>
      </w:r>
      <w:r w:rsidR="008D3F4F">
        <w:rPr>
          <w:rFonts w:ascii="Calibri" w:eastAsia="Calibri" w:hAnsi="Calibri" w:cs="Times New Roman"/>
          <w:color w:val="000000" w:themeColor="text1"/>
          <w:sz w:val="24"/>
          <w:szCs w:val="24"/>
        </w:rPr>
        <w:t xml:space="preserve">Fleming, 2021; </w:t>
      </w:r>
      <w:r w:rsidRPr="00B03F14">
        <w:rPr>
          <w:rFonts w:ascii="Calibri" w:eastAsia="Calibri" w:hAnsi="Calibri" w:cs="Times New Roman"/>
          <w:color w:val="000000" w:themeColor="text1"/>
          <w:sz w:val="24"/>
          <w:szCs w:val="24"/>
        </w:rPr>
        <w:t xml:space="preserve">Kok, 2008). </w:t>
      </w:r>
    </w:p>
    <w:p w14:paraId="23CF0E86" w14:textId="10E0AE16" w:rsidR="00EB7F5B" w:rsidRDefault="00EB7F5B" w:rsidP="00434E53">
      <w:pPr>
        <w:spacing w:line="360" w:lineRule="auto"/>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t xml:space="preserve">The introduction of </w:t>
      </w:r>
      <w:r w:rsidRPr="00D00EE8">
        <w:rPr>
          <w:rFonts w:ascii="Calibri" w:eastAsia="Calibri" w:hAnsi="Calibri" w:cs="Times New Roman"/>
          <w:color w:val="000000" w:themeColor="text1"/>
          <w:sz w:val="24"/>
          <w:szCs w:val="24"/>
        </w:rPr>
        <w:t>The Further and Higher Education Act (1992)</w:t>
      </w:r>
      <w:r w:rsidR="00E32970">
        <w:rPr>
          <w:rFonts w:ascii="Calibri" w:eastAsia="Calibri" w:hAnsi="Calibri" w:cs="Times New Roman"/>
          <w:color w:val="000000" w:themeColor="text1"/>
          <w:sz w:val="24"/>
          <w:szCs w:val="24"/>
        </w:rPr>
        <w:t>, originally</w:t>
      </w:r>
      <w:r>
        <w:rPr>
          <w:rFonts w:ascii="Calibri" w:eastAsia="Calibri" w:hAnsi="Calibri" w:cs="Times New Roman"/>
          <w:color w:val="000000" w:themeColor="text1"/>
          <w:sz w:val="24"/>
          <w:szCs w:val="24"/>
        </w:rPr>
        <w:t xml:space="preserve"> intended to provide uniform standards</w:t>
      </w:r>
      <w:r w:rsidRPr="00D00EE8">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for funding processes in the sector</w:t>
      </w:r>
      <w:r w:rsidR="00E32970">
        <w:rPr>
          <w:rFonts w:ascii="Calibri" w:eastAsia="Calibri" w:hAnsi="Calibri" w:cs="Times New Roman"/>
          <w:color w:val="000000" w:themeColor="text1"/>
          <w:sz w:val="24"/>
          <w:szCs w:val="24"/>
        </w:rPr>
        <w:t>,</w:t>
      </w:r>
      <w:r>
        <w:rPr>
          <w:rFonts w:ascii="Calibri" w:eastAsia="Calibri" w:hAnsi="Calibri" w:cs="Times New Roman"/>
          <w:color w:val="000000" w:themeColor="text1"/>
          <w:sz w:val="24"/>
          <w:szCs w:val="24"/>
        </w:rPr>
        <w:t xml:space="preserve"> unwittingly </w:t>
      </w:r>
      <w:r w:rsidRPr="00F06671">
        <w:rPr>
          <w:rFonts w:ascii="Calibri" w:eastAsia="Calibri" w:hAnsi="Calibri" w:cs="Times New Roman"/>
          <w:color w:val="000000" w:themeColor="text1"/>
          <w:sz w:val="24"/>
          <w:szCs w:val="24"/>
        </w:rPr>
        <w:t xml:space="preserve">created further competition and </w:t>
      </w:r>
      <w:r>
        <w:rPr>
          <w:rFonts w:ascii="Calibri" w:eastAsia="Calibri" w:hAnsi="Calibri" w:cs="Times New Roman"/>
          <w:color w:val="000000" w:themeColor="text1"/>
          <w:sz w:val="24"/>
          <w:szCs w:val="24"/>
        </w:rPr>
        <w:t>increased</w:t>
      </w:r>
      <w:r w:rsidRPr="00F06671">
        <w:rPr>
          <w:rFonts w:ascii="Calibri" w:eastAsia="Calibri" w:hAnsi="Calibri" w:cs="Times New Roman"/>
          <w:color w:val="000000" w:themeColor="text1"/>
          <w:sz w:val="24"/>
          <w:szCs w:val="24"/>
        </w:rPr>
        <w:t xml:space="preserve"> tension (Taylor, 2003). </w:t>
      </w:r>
      <w:r>
        <w:rPr>
          <w:rFonts w:ascii="Calibri" w:eastAsia="Calibri" w:hAnsi="Calibri" w:cs="Times New Roman"/>
          <w:color w:val="000000" w:themeColor="text1"/>
          <w:sz w:val="24"/>
          <w:szCs w:val="24"/>
        </w:rPr>
        <w:t xml:space="preserve">For example, </w:t>
      </w:r>
      <w:r w:rsidRPr="00B03F14">
        <w:rPr>
          <w:rFonts w:ascii="Calibri" w:eastAsia="Calibri" w:hAnsi="Calibri" w:cs="Times New Roman"/>
          <w:color w:val="000000" w:themeColor="text1"/>
          <w:sz w:val="24"/>
          <w:szCs w:val="24"/>
        </w:rPr>
        <w:t>league tables have become a dominant way of representing the quality of educational provision resulting in intens</w:t>
      </w:r>
      <w:r>
        <w:rPr>
          <w:rFonts w:ascii="Calibri" w:eastAsia="Calibri" w:hAnsi="Calibri" w:cs="Times New Roman"/>
          <w:color w:val="000000" w:themeColor="text1"/>
          <w:sz w:val="24"/>
          <w:szCs w:val="24"/>
        </w:rPr>
        <w:t>e</w:t>
      </w:r>
      <w:r w:rsidRPr="00B03F14">
        <w:rPr>
          <w:rFonts w:ascii="Calibri" w:eastAsia="Calibri" w:hAnsi="Calibri" w:cs="Times New Roman"/>
          <w:color w:val="000000" w:themeColor="text1"/>
          <w:sz w:val="24"/>
          <w:szCs w:val="24"/>
        </w:rPr>
        <w:t xml:space="preserve"> scrutiny on results and the quality of teaching.</w:t>
      </w:r>
      <w:r>
        <w:rPr>
          <w:rFonts w:ascii="Calibri" w:eastAsia="Calibri" w:hAnsi="Calibri" w:cs="Times New Roman"/>
          <w:color w:val="000000" w:themeColor="text1"/>
          <w:sz w:val="24"/>
          <w:szCs w:val="24"/>
        </w:rPr>
        <w:t xml:space="preserve"> With the i</w:t>
      </w:r>
      <w:r w:rsidRPr="00B03F14">
        <w:rPr>
          <w:rFonts w:ascii="Calibri" w:eastAsia="Calibri" w:hAnsi="Calibri" w:cs="Times New Roman"/>
          <w:color w:val="000000" w:themeColor="text1"/>
          <w:sz w:val="24"/>
          <w:szCs w:val="24"/>
        </w:rPr>
        <w:t xml:space="preserve">ntroduction of higher education rankings </w:t>
      </w:r>
      <w:r>
        <w:rPr>
          <w:rFonts w:ascii="Calibri" w:eastAsia="Calibri" w:hAnsi="Calibri" w:cs="Times New Roman"/>
          <w:color w:val="000000" w:themeColor="text1"/>
          <w:sz w:val="24"/>
          <w:szCs w:val="24"/>
        </w:rPr>
        <w:t xml:space="preserve">measured by </w:t>
      </w:r>
      <w:r w:rsidRPr="00B03F14">
        <w:rPr>
          <w:rFonts w:ascii="Calibri" w:eastAsia="Calibri" w:hAnsi="Calibri" w:cs="Times New Roman"/>
          <w:color w:val="000000" w:themeColor="text1"/>
          <w:sz w:val="24"/>
          <w:szCs w:val="24"/>
        </w:rPr>
        <w:t>research income, citation, impact and the percentage of international students</w:t>
      </w:r>
      <w:r>
        <w:rPr>
          <w:rFonts w:ascii="Calibri" w:eastAsia="Calibri" w:hAnsi="Calibri" w:cs="Times New Roman"/>
          <w:color w:val="000000" w:themeColor="text1"/>
          <w:sz w:val="24"/>
          <w:szCs w:val="24"/>
        </w:rPr>
        <w:t xml:space="preserve">, a </w:t>
      </w:r>
      <w:r w:rsidRPr="00B03F14">
        <w:rPr>
          <w:rFonts w:ascii="Calibri" w:eastAsia="Calibri" w:hAnsi="Calibri" w:cs="Times New Roman"/>
          <w:color w:val="000000" w:themeColor="text1"/>
          <w:sz w:val="24"/>
          <w:szCs w:val="24"/>
          <w:lang w:val="en-US"/>
        </w:rPr>
        <w:t xml:space="preserve">rankings game is shaping HE policies and practices (Farrell and Van der Werf, 2007). Rankings metrics not only provide data but </w:t>
      </w:r>
      <w:r>
        <w:rPr>
          <w:rFonts w:ascii="Calibri" w:eastAsia="Calibri" w:hAnsi="Calibri" w:cs="Times New Roman"/>
          <w:color w:val="000000" w:themeColor="text1"/>
          <w:sz w:val="24"/>
          <w:szCs w:val="24"/>
          <w:lang w:val="en-US"/>
        </w:rPr>
        <w:t xml:space="preserve">also </w:t>
      </w:r>
      <w:r w:rsidRPr="00B03F14">
        <w:rPr>
          <w:rFonts w:ascii="Calibri" w:eastAsia="Calibri" w:hAnsi="Calibri" w:cs="Times New Roman"/>
          <w:color w:val="000000" w:themeColor="text1"/>
          <w:sz w:val="24"/>
          <w:szCs w:val="24"/>
          <w:lang w:val="en-US"/>
        </w:rPr>
        <w:t>increase competitivenes</w:t>
      </w:r>
      <w:r>
        <w:rPr>
          <w:rFonts w:ascii="Calibri" w:eastAsia="Calibri" w:hAnsi="Calibri" w:cs="Times New Roman"/>
          <w:color w:val="000000" w:themeColor="text1"/>
          <w:sz w:val="24"/>
          <w:szCs w:val="24"/>
          <w:lang w:val="en-US"/>
        </w:rPr>
        <w:t xml:space="preserve">s by </w:t>
      </w:r>
      <w:r w:rsidR="003B2651">
        <w:rPr>
          <w:rFonts w:ascii="Calibri" w:eastAsia="Calibri" w:hAnsi="Calibri" w:cs="Times New Roman"/>
          <w:color w:val="000000" w:themeColor="text1"/>
          <w:sz w:val="24"/>
          <w:szCs w:val="24"/>
          <w:lang w:val="en-US"/>
        </w:rPr>
        <w:t>pressurizing</w:t>
      </w:r>
      <w:r>
        <w:rPr>
          <w:rFonts w:ascii="Calibri" w:eastAsia="Calibri" w:hAnsi="Calibri" w:cs="Times New Roman"/>
          <w:color w:val="000000" w:themeColor="text1"/>
          <w:sz w:val="24"/>
          <w:szCs w:val="24"/>
          <w:lang w:val="en-US"/>
        </w:rPr>
        <w:t xml:space="preserve"> </w:t>
      </w:r>
      <w:r w:rsidRPr="00B03F14">
        <w:rPr>
          <w:rFonts w:ascii="Calibri" w:eastAsia="Calibri" w:hAnsi="Calibri" w:cs="Times New Roman"/>
          <w:color w:val="000000" w:themeColor="text1"/>
          <w:sz w:val="24"/>
          <w:szCs w:val="24"/>
          <w:lang w:val="en-US"/>
        </w:rPr>
        <w:t xml:space="preserve">scholars </w:t>
      </w:r>
      <w:r w:rsidR="003B2651">
        <w:rPr>
          <w:rFonts w:ascii="Calibri" w:eastAsia="Calibri" w:hAnsi="Calibri" w:cs="Times New Roman"/>
          <w:color w:val="000000" w:themeColor="text1"/>
          <w:sz w:val="24"/>
          <w:szCs w:val="24"/>
          <w:lang w:val="en-US"/>
        </w:rPr>
        <w:t xml:space="preserve">to </w:t>
      </w:r>
      <w:r>
        <w:rPr>
          <w:rFonts w:ascii="Calibri" w:eastAsia="Calibri" w:hAnsi="Calibri" w:cs="Times New Roman"/>
          <w:color w:val="000000" w:themeColor="text1"/>
          <w:sz w:val="24"/>
          <w:szCs w:val="24"/>
          <w:lang w:val="en-US"/>
        </w:rPr>
        <w:t xml:space="preserve">race not only </w:t>
      </w:r>
      <w:r w:rsidRPr="00B03F14">
        <w:rPr>
          <w:rFonts w:ascii="Calibri" w:eastAsia="Calibri" w:hAnsi="Calibri" w:cs="Times New Roman"/>
          <w:color w:val="000000" w:themeColor="text1"/>
          <w:sz w:val="24"/>
          <w:szCs w:val="24"/>
          <w:lang w:val="en-US"/>
        </w:rPr>
        <w:t>to get to the top</w:t>
      </w:r>
      <w:r w:rsidR="00E42C4C">
        <w:rPr>
          <w:rFonts w:ascii="Calibri" w:eastAsia="Calibri" w:hAnsi="Calibri" w:cs="Times New Roman"/>
          <w:color w:val="000000" w:themeColor="text1"/>
          <w:sz w:val="24"/>
          <w:szCs w:val="24"/>
          <w:lang w:val="en-US"/>
        </w:rPr>
        <w:t xml:space="preserve"> position</w:t>
      </w:r>
      <w:r>
        <w:rPr>
          <w:rFonts w:ascii="Calibri" w:eastAsia="Calibri" w:hAnsi="Calibri" w:cs="Times New Roman"/>
          <w:color w:val="000000" w:themeColor="text1"/>
          <w:sz w:val="24"/>
          <w:szCs w:val="24"/>
          <w:lang w:val="en-US"/>
        </w:rPr>
        <w:t xml:space="preserve">, but to </w:t>
      </w:r>
      <w:r w:rsidRPr="00B03F14">
        <w:rPr>
          <w:rFonts w:ascii="Calibri" w:eastAsia="Calibri" w:hAnsi="Calibri" w:cs="Times New Roman"/>
          <w:color w:val="000000" w:themeColor="text1"/>
          <w:sz w:val="24"/>
          <w:szCs w:val="24"/>
          <w:lang w:val="en-US"/>
        </w:rPr>
        <w:t xml:space="preserve">stay there.  </w:t>
      </w:r>
    </w:p>
    <w:p w14:paraId="596CF72E" w14:textId="782B5695" w:rsidR="00EB7F5B" w:rsidRPr="008F713C" w:rsidRDefault="00EB7F5B" w:rsidP="00124947">
      <w:pPr>
        <w:spacing w:line="360" w:lineRule="auto"/>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t>Further pressure bearing down on HE teachers arises from an environment dominated by bureaucracy.</w:t>
      </w:r>
      <w:r w:rsidRPr="00601EDB">
        <w:rPr>
          <w:rFonts w:ascii="Calibri" w:eastAsia="Calibri" w:hAnsi="Calibri" w:cs="Times New Roman"/>
          <w:sz w:val="24"/>
          <w:szCs w:val="24"/>
        </w:rPr>
        <w:t xml:space="preserve"> </w:t>
      </w:r>
      <w:r w:rsidRPr="001461DB">
        <w:rPr>
          <w:rFonts w:ascii="Calibri" w:eastAsia="Calibri" w:hAnsi="Calibri" w:cs="Times New Roman"/>
          <w:color w:val="000000" w:themeColor="text1"/>
          <w:sz w:val="24"/>
          <w:szCs w:val="24"/>
        </w:rPr>
        <w:t>Bureaucracy</w:t>
      </w:r>
      <w:r>
        <w:rPr>
          <w:rFonts w:ascii="Calibri" w:eastAsia="Calibri" w:hAnsi="Calibri" w:cs="Times New Roman"/>
          <w:color w:val="000000" w:themeColor="text1"/>
          <w:sz w:val="24"/>
          <w:szCs w:val="24"/>
        </w:rPr>
        <w:t xml:space="preserve">, </w:t>
      </w:r>
      <w:r w:rsidRPr="001461DB">
        <w:rPr>
          <w:rFonts w:ascii="Calibri" w:eastAsia="Calibri" w:hAnsi="Calibri" w:cs="Times New Roman"/>
          <w:color w:val="000000" w:themeColor="text1"/>
          <w:sz w:val="24"/>
          <w:szCs w:val="24"/>
        </w:rPr>
        <w:t xml:space="preserve">the invisible boundary and fabric </w:t>
      </w:r>
      <w:r>
        <w:rPr>
          <w:rFonts w:ascii="Calibri" w:eastAsia="Calibri" w:hAnsi="Calibri" w:cs="Times New Roman"/>
          <w:color w:val="000000" w:themeColor="text1"/>
          <w:sz w:val="24"/>
          <w:szCs w:val="24"/>
        </w:rPr>
        <w:t xml:space="preserve">within a system, </w:t>
      </w:r>
      <w:r w:rsidRPr="001461DB">
        <w:rPr>
          <w:rFonts w:ascii="Calibri" w:eastAsia="Calibri" w:hAnsi="Calibri" w:cs="Times New Roman"/>
          <w:color w:val="000000" w:themeColor="text1"/>
          <w:sz w:val="24"/>
          <w:szCs w:val="24"/>
        </w:rPr>
        <w:t xml:space="preserve">ensures </w:t>
      </w:r>
      <w:r>
        <w:rPr>
          <w:rFonts w:ascii="Calibri" w:eastAsia="Calibri" w:hAnsi="Calibri" w:cs="Times New Roman"/>
          <w:color w:val="000000" w:themeColor="text1"/>
          <w:sz w:val="24"/>
          <w:szCs w:val="24"/>
        </w:rPr>
        <w:t xml:space="preserve">it is efficiently managed, however </w:t>
      </w:r>
      <w:r w:rsidRPr="006E05DA">
        <w:rPr>
          <w:rFonts w:ascii="Calibri" w:eastAsia="Calibri" w:hAnsi="Calibri" w:cs="Times New Roman"/>
          <w:color w:val="000000" w:themeColor="text1"/>
          <w:sz w:val="24"/>
          <w:szCs w:val="24"/>
        </w:rPr>
        <w:t xml:space="preserve">levels of a “lumbering bureaucracy” (Monohan, 2005, p.1) create counterproductive environmental conditions, cause a surfeit of duress for teachers (Fleming, 2021) and result in the emphasis of teaching </w:t>
      </w:r>
      <w:r w:rsidR="00025D04">
        <w:rPr>
          <w:rFonts w:ascii="Calibri" w:eastAsia="Calibri" w:hAnsi="Calibri" w:cs="Times New Roman"/>
          <w:color w:val="000000" w:themeColor="text1"/>
          <w:sz w:val="24"/>
          <w:szCs w:val="24"/>
        </w:rPr>
        <w:t>that prioritises</w:t>
      </w:r>
      <w:r w:rsidRPr="006E05DA">
        <w:rPr>
          <w:rFonts w:ascii="Calibri" w:eastAsia="Calibri" w:hAnsi="Calibri" w:cs="Times New Roman"/>
          <w:color w:val="000000" w:themeColor="text1"/>
          <w:sz w:val="24"/>
          <w:szCs w:val="24"/>
        </w:rPr>
        <w:t xml:space="preserve"> “</w:t>
      </w:r>
      <w:r w:rsidRPr="006E05DA">
        <w:rPr>
          <w:rFonts w:ascii="Calibri" w:eastAsia="Calibri" w:hAnsi="Calibri" w:cs="Times New Roman"/>
          <w:i/>
          <w:iCs/>
          <w:color w:val="000000" w:themeColor="text1"/>
          <w:sz w:val="24"/>
          <w:szCs w:val="24"/>
        </w:rPr>
        <w:t>quantity</w:t>
      </w:r>
      <w:r w:rsidRPr="006E05DA">
        <w:rPr>
          <w:rFonts w:ascii="Calibri" w:eastAsia="Calibri" w:hAnsi="Calibri" w:cs="Times New Roman"/>
          <w:color w:val="000000" w:themeColor="text1"/>
          <w:sz w:val="24"/>
          <w:szCs w:val="24"/>
        </w:rPr>
        <w:t xml:space="preserve"> over </w:t>
      </w:r>
      <w:r w:rsidRPr="006E05DA">
        <w:rPr>
          <w:rFonts w:ascii="Calibri" w:eastAsia="Calibri" w:hAnsi="Calibri" w:cs="Times New Roman"/>
          <w:i/>
          <w:iCs/>
          <w:color w:val="000000" w:themeColor="text1"/>
          <w:sz w:val="24"/>
          <w:szCs w:val="24"/>
        </w:rPr>
        <w:t>quality”</w:t>
      </w:r>
      <w:r w:rsidRPr="006E05DA">
        <w:rPr>
          <w:rFonts w:ascii="Calibri" w:eastAsia="Calibri" w:hAnsi="Calibri" w:cs="Times New Roman"/>
          <w:color w:val="000000" w:themeColor="text1"/>
          <w:sz w:val="24"/>
          <w:szCs w:val="24"/>
        </w:rPr>
        <w:t xml:space="preserve"> (</w:t>
      </w:r>
      <w:r w:rsidR="00D941F3">
        <w:rPr>
          <w:rFonts w:ascii="Calibri" w:eastAsia="Calibri" w:hAnsi="Calibri" w:cs="Times New Roman"/>
          <w:color w:val="000000" w:themeColor="text1"/>
          <w:sz w:val="24"/>
          <w:szCs w:val="24"/>
        </w:rPr>
        <w:t>ibid.</w:t>
      </w:r>
      <w:r w:rsidRPr="006E05DA">
        <w:rPr>
          <w:rFonts w:ascii="Calibri" w:eastAsia="Calibri" w:hAnsi="Calibri" w:cs="Times New Roman"/>
          <w:color w:val="000000" w:themeColor="text1"/>
          <w:sz w:val="24"/>
          <w:szCs w:val="24"/>
        </w:rPr>
        <w:t xml:space="preserve">, p.70). </w:t>
      </w:r>
      <w:r>
        <w:rPr>
          <w:rFonts w:ascii="Calibri" w:eastAsia="Calibri" w:hAnsi="Calibri" w:cs="Times New Roman"/>
          <w:color w:val="000000" w:themeColor="text1"/>
          <w:sz w:val="24"/>
          <w:szCs w:val="24"/>
        </w:rPr>
        <w:t>A</w:t>
      </w:r>
      <w:r w:rsidRPr="00E472B2">
        <w:rPr>
          <w:rFonts w:ascii="Calibri" w:eastAsia="Calibri" w:hAnsi="Calibri" w:cs="Times New Roman"/>
          <w:color w:val="000000" w:themeColor="text1"/>
          <w:sz w:val="24"/>
          <w:szCs w:val="24"/>
        </w:rPr>
        <w:t>n increase in bureaucracy with a focus predominantly on the fiscal coffers can result in a “pulverisation</w:t>
      </w:r>
      <w:r w:rsidR="00A84F50">
        <w:rPr>
          <w:rFonts w:ascii="Calibri" w:eastAsia="Calibri" w:hAnsi="Calibri" w:cs="Times New Roman"/>
          <w:color w:val="000000" w:themeColor="text1"/>
          <w:sz w:val="24"/>
          <w:szCs w:val="24"/>
        </w:rPr>
        <w:t xml:space="preserve"> of human values</w:t>
      </w:r>
      <w:r w:rsidRPr="00E472B2">
        <w:rPr>
          <w:rFonts w:ascii="Calibri" w:eastAsia="Calibri" w:hAnsi="Calibri" w:cs="Times New Roman"/>
          <w:color w:val="000000" w:themeColor="text1"/>
          <w:sz w:val="24"/>
          <w:szCs w:val="24"/>
        </w:rPr>
        <w:t>” (Fleming, 2021, p.2)</w:t>
      </w:r>
      <w:r w:rsidR="00096319">
        <w:rPr>
          <w:rFonts w:ascii="Calibri" w:eastAsia="Calibri" w:hAnsi="Calibri" w:cs="Times New Roman"/>
          <w:color w:val="000000" w:themeColor="text1"/>
          <w:sz w:val="24"/>
          <w:szCs w:val="24"/>
        </w:rPr>
        <w:t>,</w:t>
      </w:r>
      <w:r w:rsidRPr="00E472B2">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a </w:t>
      </w:r>
      <w:r w:rsidRPr="00E472B2">
        <w:rPr>
          <w:rFonts w:ascii="Calibri" w:eastAsia="Calibri" w:hAnsi="Calibri" w:cs="Times New Roman"/>
          <w:color w:val="000000" w:themeColor="text1"/>
          <w:sz w:val="24"/>
          <w:szCs w:val="24"/>
        </w:rPr>
        <w:t>commodification of human beings</w:t>
      </w:r>
      <w:r>
        <w:rPr>
          <w:rFonts w:ascii="Calibri" w:eastAsia="Calibri" w:hAnsi="Calibri" w:cs="Times New Roman"/>
          <w:color w:val="000000" w:themeColor="text1"/>
          <w:sz w:val="24"/>
          <w:szCs w:val="24"/>
        </w:rPr>
        <w:t xml:space="preserve"> and a change in the university culture</w:t>
      </w:r>
      <w:r w:rsidRPr="00E472B2">
        <w:rPr>
          <w:rFonts w:ascii="Calibri" w:eastAsia="Calibri" w:hAnsi="Calibri" w:cs="Times New Roman"/>
          <w:color w:val="000000" w:themeColor="text1"/>
          <w:sz w:val="24"/>
          <w:szCs w:val="24"/>
        </w:rPr>
        <w:t>.</w:t>
      </w:r>
    </w:p>
    <w:bookmarkEnd w:id="16"/>
    <w:p w14:paraId="44538B02" w14:textId="61A309D9" w:rsidR="00EB7F5B" w:rsidRDefault="00EB7F5B" w:rsidP="00C41850">
      <w:pPr>
        <w:spacing w:line="360" w:lineRule="auto"/>
        <w:rPr>
          <w:rFonts w:ascii="Calibri" w:eastAsia="Calibri" w:hAnsi="Calibri" w:cs="Times New Roman"/>
          <w:color w:val="000000" w:themeColor="text1"/>
          <w:sz w:val="24"/>
          <w:szCs w:val="24"/>
        </w:rPr>
      </w:pPr>
      <w:r w:rsidRPr="00194574">
        <w:rPr>
          <w:rFonts w:ascii="Calibri" w:eastAsia="Calibri" w:hAnsi="Calibri" w:cs="Times New Roman"/>
          <w:color w:val="000000" w:themeColor="text1"/>
          <w:sz w:val="24"/>
          <w:szCs w:val="24"/>
        </w:rPr>
        <w:t>Fleming (2021) highlight</w:t>
      </w:r>
      <w:r>
        <w:rPr>
          <w:rFonts w:ascii="Calibri" w:eastAsia="Calibri" w:hAnsi="Calibri" w:cs="Times New Roman"/>
          <w:color w:val="000000" w:themeColor="text1"/>
          <w:sz w:val="24"/>
          <w:szCs w:val="24"/>
        </w:rPr>
        <w:t>s</w:t>
      </w:r>
      <w:r w:rsidRPr="00194574">
        <w:rPr>
          <w:rFonts w:ascii="Calibri" w:eastAsia="Calibri" w:hAnsi="Calibri" w:cs="Times New Roman"/>
          <w:color w:val="000000" w:themeColor="text1"/>
          <w:sz w:val="24"/>
          <w:szCs w:val="24"/>
        </w:rPr>
        <w:t xml:space="preserve"> the </w:t>
      </w:r>
      <w:r>
        <w:rPr>
          <w:rFonts w:ascii="Calibri" w:eastAsia="Calibri" w:hAnsi="Calibri" w:cs="Times New Roman"/>
          <w:color w:val="000000" w:themeColor="text1"/>
          <w:sz w:val="24"/>
          <w:szCs w:val="24"/>
        </w:rPr>
        <w:t xml:space="preserve">cultural </w:t>
      </w:r>
      <w:r w:rsidRPr="00194574">
        <w:rPr>
          <w:rFonts w:ascii="Calibri" w:eastAsia="Calibri" w:hAnsi="Calibri" w:cs="Times New Roman"/>
          <w:color w:val="000000" w:themeColor="text1"/>
          <w:sz w:val="24"/>
          <w:szCs w:val="24"/>
        </w:rPr>
        <w:t>consequences</w:t>
      </w:r>
      <w:r>
        <w:rPr>
          <w:rFonts w:ascii="Calibri" w:eastAsia="Calibri" w:hAnsi="Calibri" w:cs="Times New Roman"/>
          <w:color w:val="000000" w:themeColor="text1"/>
          <w:sz w:val="24"/>
          <w:szCs w:val="24"/>
        </w:rPr>
        <w:t xml:space="preserve"> </w:t>
      </w:r>
      <w:r w:rsidRPr="00194574">
        <w:rPr>
          <w:rFonts w:ascii="Calibri" w:eastAsia="Calibri" w:hAnsi="Calibri" w:cs="Times New Roman"/>
          <w:color w:val="000000" w:themeColor="text1"/>
          <w:sz w:val="24"/>
          <w:szCs w:val="24"/>
        </w:rPr>
        <w:t xml:space="preserve">of a </w:t>
      </w:r>
      <w:r>
        <w:rPr>
          <w:rFonts w:ascii="Calibri" w:eastAsia="Calibri" w:hAnsi="Calibri" w:cs="Times New Roman"/>
          <w:color w:val="000000" w:themeColor="text1"/>
          <w:sz w:val="24"/>
          <w:szCs w:val="24"/>
        </w:rPr>
        <w:t xml:space="preserve">HE </w:t>
      </w:r>
      <w:r w:rsidRPr="00194574">
        <w:rPr>
          <w:rFonts w:ascii="Calibri" w:eastAsia="Calibri" w:hAnsi="Calibri" w:cs="Times New Roman"/>
          <w:color w:val="000000" w:themeColor="text1"/>
          <w:sz w:val="24"/>
          <w:szCs w:val="24"/>
        </w:rPr>
        <w:t xml:space="preserve">business-focussed discourse </w:t>
      </w:r>
      <w:r>
        <w:rPr>
          <w:rFonts w:ascii="Calibri" w:eastAsia="Calibri" w:hAnsi="Calibri" w:cs="Times New Roman"/>
          <w:color w:val="000000" w:themeColor="text1"/>
          <w:sz w:val="24"/>
          <w:szCs w:val="24"/>
        </w:rPr>
        <w:t xml:space="preserve">which he suggests </w:t>
      </w:r>
      <w:r w:rsidRPr="00D634F8">
        <w:rPr>
          <w:rFonts w:ascii="Calibri" w:eastAsia="Calibri" w:hAnsi="Calibri" w:cs="Times New Roman"/>
          <w:color w:val="000000" w:themeColor="text1"/>
          <w:sz w:val="24"/>
          <w:szCs w:val="24"/>
        </w:rPr>
        <w:t xml:space="preserve">erodes meaningful interaction with colleagues, dismembers community </w:t>
      </w:r>
      <w:r w:rsidRPr="00D634F8">
        <w:rPr>
          <w:rFonts w:ascii="Calibri" w:eastAsia="Calibri" w:hAnsi="Calibri" w:cs="Times New Roman"/>
          <w:color w:val="000000" w:themeColor="text1"/>
          <w:sz w:val="24"/>
          <w:szCs w:val="24"/>
        </w:rPr>
        <w:lastRenderedPageBreak/>
        <w:t>bonds and transmutes teachers into servants to the cult of their work</w:t>
      </w:r>
      <w:r w:rsidRPr="00194574">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T</w:t>
      </w:r>
      <w:r w:rsidRPr="004B0F16">
        <w:rPr>
          <w:rFonts w:ascii="Calibri" w:eastAsia="Calibri" w:hAnsi="Calibri" w:cs="Times New Roman"/>
          <w:color w:val="000000" w:themeColor="text1"/>
          <w:sz w:val="24"/>
          <w:szCs w:val="24"/>
        </w:rPr>
        <w:t xml:space="preserve">he impact of </w:t>
      </w:r>
      <w:r>
        <w:rPr>
          <w:rFonts w:ascii="Calibri" w:eastAsia="Calibri" w:hAnsi="Calibri" w:cs="Times New Roman"/>
          <w:color w:val="000000" w:themeColor="text1"/>
          <w:sz w:val="24"/>
          <w:szCs w:val="24"/>
        </w:rPr>
        <w:t xml:space="preserve">marketisation and managerialism </w:t>
      </w:r>
      <w:r w:rsidRPr="004B0F16">
        <w:rPr>
          <w:rFonts w:ascii="Calibri" w:eastAsia="Calibri" w:hAnsi="Calibri" w:cs="Times New Roman"/>
          <w:color w:val="000000" w:themeColor="text1"/>
          <w:sz w:val="24"/>
          <w:szCs w:val="24"/>
        </w:rPr>
        <w:t xml:space="preserve">can </w:t>
      </w:r>
      <w:r>
        <w:rPr>
          <w:rFonts w:ascii="Calibri" w:eastAsia="Calibri" w:hAnsi="Calibri" w:cs="Times New Roman"/>
          <w:color w:val="000000" w:themeColor="text1"/>
          <w:sz w:val="24"/>
          <w:szCs w:val="24"/>
        </w:rPr>
        <w:t>perpetuate isolation and turn the academic into a factory worker focussing on the end results game.</w:t>
      </w:r>
      <w:r w:rsidRPr="00FD54AF">
        <w:rPr>
          <w:rFonts w:ascii="Calibri" w:eastAsia="Calibri" w:hAnsi="Calibri" w:cs="Times New Roman"/>
          <w:color w:val="000000" w:themeColor="text1"/>
          <w:sz w:val="24"/>
          <w:szCs w:val="24"/>
        </w:rPr>
        <w:t xml:space="preserve"> This modern-day era of academic capitalism (Slaughter and Leslie, 1997) feeds </w:t>
      </w:r>
      <w:r>
        <w:rPr>
          <w:rFonts w:ascii="Calibri" w:eastAsia="Calibri" w:hAnsi="Calibri" w:cs="Times New Roman"/>
          <w:color w:val="000000" w:themeColor="text1"/>
          <w:sz w:val="24"/>
          <w:szCs w:val="24"/>
        </w:rPr>
        <w:t xml:space="preserve">a </w:t>
      </w:r>
      <w:r w:rsidRPr="00FD54AF">
        <w:rPr>
          <w:rFonts w:ascii="Calibri" w:eastAsia="Calibri" w:hAnsi="Calibri" w:cs="Times New Roman"/>
          <w:color w:val="000000" w:themeColor="text1"/>
          <w:sz w:val="24"/>
          <w:szCs w:val="24"/>
        </w:rPr>
        <w:t>neoliberal ideology</w:t>
      </w:r>
      <w:r w:rsidR="00303F05">
        <w:rPr>
          <w:rFonts w:ascii="Calibri" w:eastAsia="Calibri" w:hAnsi="Calibri" w:cs="Times New Roman"/>
          <w:color w:val="000000" w:themeColor="text1"/>
          <w:sz w:val="24"/>
          <w:szCs w:val="24"/>
        </w:rPr>
        <w:t xml:space="preserve"> </w:t>
      </w:r>
      <w:r w:rsidRPr="00FD54AF">
        <w:rPr>
          <w:rFonts w:ascii="Calibri" w:eastAsia="Calibri" w:hAnsi="Calibri" w:cs="Times New Roman"/>
          <w:color w:val="000000" w:themeColor="text1"/>
          <w:sz w:val="24"/>
          <w:szCs w:val="24"/>
        </w:rPr>
        <w:t>and ignores the processes of feelings, heart and meaning (Bettelheim, 1972</w:t>
      </w:r>
      <w:r>
        <w:rPr>
          <w:rFonts w:ascii="Calibri" w:eastAsia="Calibri" w:hAnsi="Calibri" w:cs="Times New Roman"/>
          <w:color w:val="000000" w:themeColor="text1"/>
          <w:sz w:val="24"/>
          <w:szCs w:val="24"/>
        </w:rPr>
        <w:t xml:space="preserve">). Furthermore, tentacles of the neoliberal clime </w:t>
      </w:r>
      <w:r w:rsidRPr="004B0F16">
        <w:rPr>
          <w:rFonts w:ascii="Calibri" w:eastAsia="Calibri" w:hAnsi="Calibri" w:cs="Times New Roman"/>
          <w:color w:val="000000" w:themeColor="text1"/>
          <w:sz w:val="24"/>
          <w:szCs w:val="24"/>
        </w:rPr>
        <w:t>negatively influence the teachers’ relationship</w:t>
      </w:r>
      <w:r w:rsidR="00303F05">
        <w:rPr>
          <w:rFonts w:ascii="Calibri" w:eastAsia="Calibri" w:hAnsi="Calibri" w:cs="Times New Roman"/>
          <w:color w:val="000000" w:themeColor="text1"/>
          <w:sz w:val="24"/>
          <w:szCs w:val="24"/>
        </w:rPr>
        <w:t>s</w:t>
      </w:r>
      <w:r w:rsidRPr="004B0F16">
        <w:rPr>
          <w:rFonts w:ascii="Calibri" w:eastAsia="Calibri" w:hAnsi="Calibri" w:cs="Times New Roman"/>
          <w:color w:val="000000" w:themeColor="text1"/>
          <w:sz w:val="24"/>
          <w:szCs w:val="24"/>
        </w:rPr>
        <w:t xml:space="preserve"> to the institution and scholarship, and the very fabric that weaves together their interactions: collegiality. </w:t>
      </w:r>
      <w:r w:rsidRPr="00194574">
        <w:rPr>
          <w:rFonts w:ascii="Calibri" w:eastAsia="Calibri" w:hAnsi="Calibri" w:cs="Times New Roman"/>
          <w:color w:val="000000" w:themeColor="text1"/>
          <w:sz w:val="24"/>
          <w:szCs w:val="24"/>
        </w:rPr>
        <w:t>This means a holistic experience of learning</w:t>
      </w:r>
      <w:r>
        <w:rPr>
          <w:rFonts w:ascii="Calibri" w:eastAsia="Calibri" w:hAnsi="Calibri" w:cs="Times New Roman"/>
          <w:color w:val="000000" w:themeColor="text1"/>
          <w:sz w:val="24"/>
          <w:szCs w:val="24"/>
        </w:rPr>
        <w:t xml:space="preserve"> and teaching </w:t>
      </w:r>
      <w:r w:rsidRPr="00194574">
        <w:rPr>
          <w:rFonts w:ascii="Calibri" w:eastAsia="Calibri" w:hAnsi="Calibri" w:cs="Times New Roman"/>
          <w:color w:val="000000" w:themeColor="text1"/>
          <w:sz w:val="24"/>
          <w:szCs w:val="24"/>
        </w:rPr>
        <w:t xml:space="preserve">replete with relationality, </w:t>
      </w:r>
      <w:r>
        <w:rPr>
          <w:rFonts w:ascii="Calibri" w:eastAsia="Calibri" w:hAnsi="Calibri" w:cs="Times New Roman"/>
          <w:color w:val="000000" w:themeColor="text1"/>
          <w:sz w:val="24"/>
          <w:szCs w:val="24"/>
        </w:rPr>
        <w:t xml:space="preserve">creativity </w:t>
      </w:r>
      <w:r w:rsidRPr="00194574">
        <w:rPr>
          <w:rFonts w:ascii="Calibri" w:eastAsia="Calibri" w:hAnsi="Calibri" w:cs="Times New Roman"/>
          <w:color w:val="000000" w:themeColor="text1"/>
          <w:sz w:val="24"/>
          <w:szCs w:val="24"/>
        </w:rPr>
        <w:t xml:space="preserve">and heart is potentially marginalised. </w:t>
      </w:r>
      <w:r w:rsidRPr="00907509">
        <w:rPr>
          <w:rFonts w:ascii="Calibri" w:eastAsia="Calibri" w:hAnsi="Calibri" w:cs="Times New Roman"/>
          <w:color w:val="000000" w:themeColor="text1"/>
          <w:sz w:val="24"/>
          <w:szCs w:val="24"/>
        </w:rPr>
        <w:t>Monahan (2005) believes the ubiquitous influence of globalisation and privatisation of</w:t>
      </w:r>
      <w:r>
        <w:rPr>
          <w:rFonts w:ascii="Calibri" w:eastAsia="Calibri" w:hAnsi="Calibri" w:cs="Times New Roman"/>
          <w:color w:val="000000" w:themeColor="text1"/>
          <w:sz w:val="24"/>
          <w:szCs w:val="24"/>
        </w:rPr>
        <w:t xml:space="preserve"> public </w:t>
      </w:r>
      <w:r w:rsidRPr="00907509">
        <w:rPr>
          <w:rFonts w:ascii="Calibri" w:eastAsia="Calibri" w:hAnsi="Calibri" w:cs="Times New Roman"/>
          <w:color w:val="000000" w:themeColor="text1"/>
          <w:sz w:val="24"/>
          <w:szCs w:val="24"/>
        </w:rPr>
        <w:t xml:space="preserve">institutes require closer scrutiny. </w:t>
      </w:r>
      <w:r w:rsidR="002463A4">
        <w:rPr>
          <w:rFonts w:ascii="Calibri" w:eastAsia="Calibri" w:hAnsi="Calibri" w:cs="Times New Roman"/>
          <w:color w:val="000000" w:themeColor="text1"/>
          <w:sz w:val="24"/>
          <w:szCs w:val="24"/>
        </w:rPr>
        <w:t>T</w:t>
      </w:r>
      <w:r>
        <w:rPr>
          <w:rFonts w:ascii="Calibri" w:eastAsia="Calibri" w:hAnsi="Calibri" w:cs="Times New Roman"/>
          <w:color w:val="000000" w:themeColor="text1"/>
          <w:sz w:val="24"/>
          <w:szCs w:val="24"/>
        </w:rPr>
        <w:t xml:space="preserve">he potential psychosocial and emotional </w:t>
      </w:r>
      <w:r w:rsidRPr="00194574">
        <w:rPr>
          <w:rFonts w:ascii="Calibri" w:eastAsia="Calibri" w:hAnsi="Calibri" w:cs="Times New Roman"/>
          <w:color w:val="000000" w:themeColor="text1"/>
          <w:sz w:val="24"/>
          <w:szCs w:val="24"/>
        </w:rPr>
        <w:t xml:space="preserve">consequences for teachers and students </w:t>
      </w:r>
      <w:r>
        <w:rPr>
          <w:rFonts w:ascii="Calibri" w:eastAsia="Calibri" w:hAnsi="Calibri" w:cs="Times New Roman"/>
          <w:color w:val="000000" w:themeColor="text1"/>
          <w:sz w:val="24"/>
          <w:szCs w:val="24"/>
        </w:rPr>
        <w:t xml:space="preserve">are briefly named </w:t>
      </w:r>
      <w:r w:rsidRPr="00194574">
        <w:rPr>
          <w:rFonts w:ascii="Calibri" w:eastAsia="Calibri" w:hAnsi="Calibri" w:cs="Times New Roman"/>
          <w:color w:val="000000" w:themeColor="text1"/>
          <w:sz w:val="24"/>
          <w:szCs w:val="24"/>
        </w:rPr>
        <w:t>in the following section</w:t>
      </w:r>
      <w:r>
        <w:rPr>
          <w:rFonts w:ascii="Calibri" w:eastAsia="Calibri" w:hAnsi="Calibri" w:cs="Times New Roman"/>
          <w:color w:val="000000" w:themeColor="text1"/>
          <w:sz w:val="24"/>
          <w:szCs w:val="24"/>
        </w:rPr>
        <w:t xml:space="preserve"> and discussed in greater detail in Chapter </w:t>
      </w:r>
      <w:r w:rsidR="005F0E16">
        <w:rPr>
          <w:rFonts w:ascii="Calibri" w:eastAsia="Calibri" w:hAnsi="Calibri" w:cs="Times New Roman"/>
          <w:color w:val="000000" w:themeColor="text1"/>
          <w:sz w:val="24"/>
          <w:szCs w:val="24"/>
        </w:rPr>
        <w:t>Three</w:t>
      </w:r>
      <w:r w:rsidRPr="00194574">
        <w:rPr>
          <w:rFonts w:ascii="Calibri" w:eastAsia="Calibri" w:hAnsi="Calibri" w:cs="Times New Roman"/>
          <w:color w:val="000000" w:themeColor="text1"/>
          <w:sz w:val="24"/>
          <w:szCs w:val="24"/>
        </w:rPr>
        <w:t>.</w:t>
      </w:r>
    </w:p>
    <w:p w14:paraId="5408A9C3" w14:textId="77777777" w:rsidR="00EB7F5B" w:rsidRPr="00C57544" w:rsidRDefault="00EB7F5B" w:rsidP="00CA476A">
      <w:pPr>
        <w:rPr>
          <w:rFonts w:ascii="Calibri" w:eastAsia="Calibri" w:hAnsi="Calibri" w:cs="Times New Roman"/>
          <w:b/>
          <w:bCs/>
          <w:color w:val="000000" w:themeColor="text1"/>
          <w:sz w:val="24"/>
          <w:szCs w:val="24"/>
        </w:rPr>
      </w:pPr>
      <w:r w:rsidRPr="00C57544">
        <w:rPr>
          <w:rFonts w:ascii="Calibri" w:eastAsia="Calibri" w:hAnsi="Calibri" w:cs="Times New Roman"/>
          <w:b/>
          <w:bCs/>
          <w:color w:val="000000" w:themeColor="text1"/>
          <w:sz w:val="24"/>
          <w:szCs w:val="24"/>
        </w:rPr>
        <w:t>The human impact</w:t>
      </w:r>
    </w:p>
    <w:p w14:paraId="6B65761A" w14:textId="5204FB43" w:rsidR="00EB7F5B" w:rsidRDefault="00EB7F5B" w:rsidP="006B10B9">
      <w:pPr>
        <w:spacing w:line="360" w:lineRule="auto"/>
        <w:rPr>
          <w:rFonts w:ascii="Calibri" w:eastAsia="Calibri" w:hAnsi="Calibri" w:cs="Times New Roman"/>
          <w:color w:val="000000" w:themeColor="text1"/>
          <w:sz w:val="24"/>
          <w:szCs w:val="24"/>
        </w:rPr>
      </w:pPr>
      <w:bookmarkStart w:id="17" w:name="_Hlk191726755"/>
      <w:r>
        <w:rPr>
          <w:rFonts w:ascii="Calibri" w:eastAsia="Calibri" w:hAnsi="Calibri" w:cs="Times New Roman"/>
          <w:color w:val="000000" w:themeColor="text1"/>
          <w:sz w:val="24"/>
          <w:szCs w:val="24"/>
        </w:rPr>
        <w:t xml:space="preserve">A recent survey </w:t>
      </w:r>
      <w:r w:rsidR="007B3D12">
        <w:rPr>
          <w:rFonts w:ascii="Calibri" w:eastAsia="Calibri" w:hAnsi="Calibri" w:cs="Times New Roman"/>
          <w:color w:val="000000" w:themeColor="text1"/>
          <w:sz w:val="24"/>
          <w:szCs w:val="24"/>
        </w:rPr>
        <w:t xml:space="preserve">of </w:t>
      </w:r>
      <w:r>
        <w:rPr>
          <w:rFonts w:ascii="Calibri" w:eastAsia="Calibri" w:hAnsi="Calibri" w:cs="Times New Roman"/>
          <w:color w:val="000000" w:themeColor="text1"/>
          <w:sz w:val="24"/>
          <w:szCs w:val="24"/>
        </w:rPr>
        <w:t xml:space="preserve">chief financial officers in UK universities (Universities UK, 2025) suggests </w:t>
      </w:r>
      <w:r w:rsidRPr="009B1840">
        <w:rPr>
          <w:rFonts w:ascii="Calibri" w:eastAsia="Calibri" w:hAnsi="Calibri" w:cs="Times New Roman"/>
          <w:color w:val="000000" w:themeColor="text1"/>
          <w:sz w:val="24"/>
          <w:szCs w:val="24"/>
        </w:rPr>
        <w:t xml:space="preserve">that universities are now high-risk organisations having to </w:t>
      </w:r>
      <w:r>
        <w:rPr>
          <w:rFonts w:ascii="Calibri" w:eastAsia="Calibri" w:hAnsi="Calibri" w:cs="Times New Roman"/>
          <w:color w:val="000000" w:themeColor="text1"/>
          <w:sz w:val="24"/>
          <w:szCs w:val="24"/>
        </w:rPr>
        <w:t>make significant cuts in research funding, student bursaries, repairs, staff investment, whole departments and course offerings.</w:t>
      </w:r>
      <w:r w:rsidRPr="00A33137">
        <w:rPr>
          <w:rFonts w:ascii="Calibri" w:eastAsia="Calibri" w:hAnsi="Calibri" w:cs="Times New Roman"/>
          <w:color w:val="000000" w:themeColor="text1"/>
          <w:sz w:val="24"/>
          <w:szCs w:val="24"/>
        </w:rPr>
        <w:t xml:space="preserve"> Fleming (2021) believes </w:t>
      </w:r>
      <w:r w:rsidRPr="00B13A2A">
        <w:rPr>
          <w:rFonts w:ascii="Calibri" w:eastAsia="Calibri" w:hAnsi="Calibri" w:cs="Times New Roman"/>
          <w:color w:val="000000" w:themeColor="text1"/>
          <w:sz w:val="24"/>
          <w:szCs w:val="24"/>
        </w:rPr>
        <w:t>public universities have morphed into systems</w:t>
      </w:r>
      <w:r>
        <w:rPr>
          <w:rFonts w:ascii="Calibri" w:eastAsia="Calibri" w:hAnsi="Calibri" w:cs="Times New Roman"/>
          <w:color w:val="000000" w:themeColor="text1"/>
          <w:sz w:val="24"/>
          <w:szCs w:val="24"/>
        </w:rPr>
        <w:t xml:space="preserve"> with a singular fiscal focus which </w:t>
      </w:r>
      <w:r w:rsidRPr="00A33137">
        <w:rPr>
          <w:rFonts w:ascii="Calibri" w:eastAsia="Calibri" w:hAnsi="Calibri" w:cs="Times New Roman"/>
          <w:color w:val="000000" w:themeColor="text1"/>
          <w:sz w:val="24"/>
          <w:szCs w:val="24"/>
        </w:rPr>
        <w:t xml:space="preserve">results in “uni-pessism” (p.10), a general </w:t>
      </w:r>
      <w:r w:rsidR="00142B70">
        <w:rPr>
          <w:rFonts w:ascii="Calibri" w:eastAsia="Calibri" w:hAnsi="Calibri" w:cs="Times New Roman"/>
          <w:color w:val="000000" w:themeColor="text1"/>
          <w:sz w:val="24"/>
          <w:szCs w:val="24"/>
        </w:rPr>
        <w:t>sense</w:t>
      </w:r>
      <w:r w:rsidRPr="00A33137">
        <w:rPr>
          <w:rFonts w:ascii="Calibri" w:eastAsia="Calibri" w:hAnsi="Calibri" w:cs="Times New Roman"/>
          <w:color w:val="000000" w:themeColor="text1"/>
          <w:sz w:val="24"/>
          <w:szCs w:val="24"/>
        </w:rPr>
        <w:t xml:space="preserve"> </w:t>
      </w:r>
      <w:r>
        <w:rPr>
          <w:rFonts w:ascii="Calibri" w:eastAsia="Calibri" w:hAnsi="Calibri" w:cs="Times New Roman"/>
          <w:color w:val="000000" w:themeColor="text1"/>
          <w:sz w:val="24"/>
          <w:szCs w:val="24"/>
        </w:rPr>
        <w:t xml:space="preserve">amongst staff </w:t>
      </w:r>
      <w:r w:rsidRPr="00A33137">
        <w:rPr>
          <w:rFonts w:ascii="Calibri" w:eastAsia="Calibri" w:hAnsi="Calibri" w:cs="Times New Roman"/>
          <w:color w:val="000000" w:themeColor="text1"/>
          <w:sz w:val="24"/>
          <w:szCs w:val="24"/>
        </w:rPr>
        <w:t xml:space="preserve">of dissatisfaction and malaise. </w:t>
      </w:r>
      <w:r w:rsidRPr="004C4CB8">
        <w:rPr>
          <w:rFonts w:ascii="Calibri" w:eastAsia="Calibri" w:hAnsi="Calibri" w:cs="Times New Roman"/>
          <w:color w:val="000000" w:themeColor="text1"/>
          <w:sz w:val="24"/>
          <w:szCs w:val="24"/>
          <w:lang w:val="en-US"/>
        </w:rPr>
        <w:t xml:space="preserve">Market forces, and global socioeconomic forces bearing down on the university system are </w:t>
      </w:r>
      <w:r>
        <w:rPr>
          <w:rFonts w:ascii="Calibri" w:eastAsia="Calibri" w:hAnsi="Calibri" w:cs="Times New Roman"/>
          <w:color w:val="000000" w:themeColor="text1"/>
          <w:sz w:val="24"/>
          <w:szCs w:val="24"/>
          <w:lang w:val="en-US"/>
        </w:rPr>
        <w:t xml:space="preserve">potentially </w:t>
      </w:r>
      <w:r w:rsidRPr="004C4CB8">
        <w:rPr>
          <w:rFonts w:ascii="Calibri" w:eastAsia="Calibri" w:hAnsi="Calibri" w:cs="Times New Roman"/>
          <w:color w:val="000000" w:themeColor="text1"/>
          <w:sz w:val="24"/>
          <w:szCs w:val="24"/>
          <w:lang w:val="en-US"/>
        </w:rPr>
        <w:t xml:space="preserve">leaving it in a state of ruination (Readings, 1996), which I read as </w:t>
      </w:r>
      <w:r>
        <w:rPr>
          <w:rFonts w:ascii="Calibri" w:eastAsia="Calibri" w:hAnsi="Calibri" w:cs="Times New Roman"/>
          <w:color w:val="000000" w:themeColor="text1"/>
          <w:sz w:val="24"/>
          <w:szCs w:val="24"/>
          <w:lang w:val="en-US"/>
        </w:rPr>
        <w:t xml:space="preserve">not only financial ruination, but </w:t>
      </w:r>
      <w:r w:rsidRPr="004C4CB8">
        <w:rPr>
          <w:rFonts w:ascii="Calibri" w:eastAsia="Calibri" w:hAnsi="Calibri" w:cs="Times New Roman"/>
          <w:color w:val="000000" w:themeColor="text1"/>
          <w:sz w:val="24"/>
          <w:szCs w:val="24"/>
          <w:lang w:val="en-US"/>
        </w:rPr>
        <w:t>relational and cultural ruination</w:t>
      </w:r>
      <w:r w:rsidRPr="004C4CB8">
        <w:rPr>
          <w:rFonts w:ascii="Calibri" w:eastAsia="Calibri" w:hAnsi="Calibri" w:cs="Times New Roman"/>
          <w:color w:val="000000" w:themeColor="text1"/>
          <w:sz w:val="24"/>
          <w:szCs w:val="24"/>
        </w:rPr>
        <w:t xml:space="preserve">. In terms of cultural and collegial impact, not all changes are for the better, or welcome. </w:t>
      </w:r>
    </w:p>
    <w:bookmarkEnd w:id="17"/>
    <w:p w14:paraId="2E70C29A" w14:textId="77777777" w:rsidR="00EB7F5B" w:rsidRPr="00227904" w:rsidRDefault="00EB7F5B" w:rsidP="002D0EFF">
      <w:pPr>
        <w:rPr>
          <w:rFonts w:ascii="Calibri" w:eastAsia="Calibri" w:hAnsi="Calibri" w:cs="Times New Roman"/>
          <w:b/>
          <w:bCs/>
          <w:sz w:val="24"/>
          <w:szCs w:val="24"/>
        </w:rPr>
      </w:pPr>
      <w:r>
        <w:rPr>
          <w:rFonts w:ascii="Calibri" w:eastAsia="Calibri" w:hAnsi="Calibri" w:cs="Times New Roman"/>
          <w:b/>
          <w:bCs/>
          <w:sz w:val="24"/>
          <w:szCs w:val="24"/>
        </w:rPr>
        <w:t>Summary</w:t>
      </w:r>
    </w:p>
    <w:p w14:paraId="36E64ADD" w14:textId="2B256CD2" w:rsidR="00EB7F5B" w:rsidRDefault="00EB7F5B" w:rsidP="00F7219C">
      <w:pPr>
        <w:spacing w:line="360" w:lineRule="auto"/>
        <w:rPr>
          <w:rFonts w:ascii="Calibri" w:eastAsia="Calibri" w:hAnsi="Calibri" w:cs="Times New Roman"/>
          <w:sz w:val="24"/>
          <w:szCs w:val="24"/>
        </w:rPr>
      </w:pPr>
      <w:r w:rsidRPr="001E10D3">
        <w:rPr>
          <w:rFonts w:ascii="Calibri" w:eastAsia="Calibri" w:hAnsi="Calibri" w:cs="Times New Roman"/>
          <w:sz w:val="24"/>
          <w:szCs w:val="24"/>
        </w:rPr>
        <w:t>Market forces influence</w:t>
      </w:r>
      <w:r>
        <w:rPr>
          <w:rFonts w:ascii="Calibri" w:eastAsia="Calibri" w:hAnsi="Calibri" w:cs="Times New Roman"/>
          <w:sz w:val="24"/>
          <w:szCs w:val="24"/>
        </w:rPr>
        <w:t xml:space="preserve"> all aspects of society including </w:t>
      </w:r>
      <w:r w:rsidRPr="001E10D3">
        <w:rPr>
          <w:rFonts w:ascii="Calibri" w:eastAsia="Calibri" w:hAnsi="Calibri" w:cs="Times New Roman"/>
          <w:sz w:val="24"/>
          <w:szCs w:val="24"/>
        </w:rPr>
        <w:t xml:space="preserve">public institutions such as education. The ethos of the </w:t>
      </w:r>
      <w:r>
        <w:rPr>
          <w:rFonts w:ascii="Calibri" w:eastAsia="Calibri" w:hAnsi="Calibri" w:cs="Times New Roman"/>
          <w:sz w:val="24"/>
          <w:szCs w:val="24"/>
        </w:rPr>
        <w:t xml:space="preserve">neoliberal </w:t>
      </w:r>
      <w:r w:rsidRPr="001E10D3">
        <w:rPr>
          <w:rFonts w:ascii="Calibri" w:eastAsia="Calibri" w:hAnsi="Calibri" w:cs="Times New Roman"/>
          <w:sz w:val="24"/>
          <w:szCs w:val="24"/>
        </w:rPr>
        <w:t>drive towards bureaucracy, performativity</w:t>
      </w:r>
      <w:r>
        <w:rPr>
          <w:rFonts w:ascii="Calibri" w:eastAsia="Calibri" w:hAnsi="Calibri" w:cs="Times New Roman"/>
          <w:sz w:val="24"/>
          <w:szCs w:val="24"/>
        </w:rPr>
        <w:t xml:space="preserve"> and</w:t>
      </w:r>
      <w:r w:rsidRPr="001E10D3">
        <w:rPr>
          <w:rFonts w:ascii="Calibri" w:eastAsia="Calibri" w:hAnsi="Calibri" w:cs="Times New Roman"/>
          <w:sz w:val="24"/>
          <w:szCs w:val="24"/>
        </w:rPr>
        <w:t xml:space="preserve"> metric evaluation</w:t>
      </w:r>
      <w:r>
        <w:rPr>
          <w:rFonts w:ascii="Calibri" w:eastAsia="Calibri" w:hAnsi="Calibri" w:cs="Times New Roman"/>
          <w:sz w:val="24"/>
          <w:szCs w:val="24"/>
        </w:rPr>
        <w:t xml:space="preserve"> ha</w:t>
      </w:r>
      <w:r w:rsidR="004E18E1">
        <w:rPr>
          <w:rFonts w:ascii="Calibri" w:eastAsia="Calibri" w:hAnsi="Calibri" w:cs="Times New Roman"/>
          <w:sz w:val="24"/>
          <w:szCs w:val="24"/>
        </w:rPr>
        <w:t>s</w:t>
      </w:r>
      <w:r w:rsidRPr="001E10D3">
        <w:rPr>
          <w:rFonts w:ascii="Calibri" w:eastAsia="Calibri" w:hAnsi="Calibri" w:cs="Times New Roman"/>
          <w:sz w:val="24"/>
          <w:szCs w:val="24"/>
        </w:rPr>
        <w:t xml:space="preserve"> created a clime</w:t>
      </w:r>
      <w:r w:rsidR="00883F1F">
        <w:rPr>
          <w:rFonts w:ascii="Calibri" w:eastAsia="Calibri" w:hAnsi="Calibri" w:cs="Times New Roman"/>
          <w:sz w:val="24"/>
          <w:szCs w:val="24"/>
        </w:rPr>
        <w:t xml:space="preserve"> </w:t>
      </w:r>
      <w:r>
        <w:rPr>
          <w:rFonts w:ascii="Calibri" w:eastAsia="Calibri" w:hAnsi="Calibri" w:cs="Times New Roman"/>
          <w:sz w:val="24"/>
          <w:szCs w:val="24"/>
        </w:rPr>
        <w:t xml:space="preserve">and ideology </w:t>
      </w:r>
      <w:r w:rsidRPr="001E10D3">
        <w:rPr>
          <w:rFonts w:ascii="Calibri" w:eastAsia="Calibri" w:hAnsi="Calibri" w:cs="Times New Roman"/>
          <w:sz w:val="24"/>
          <w:szCs w:val="24"/>
        </w:rPr>
        <w:t xml:space="preserve">within </w:t>
      </w:r>
      <w:r>
        <w:rPr>
          <w:rFonts w:ascii="Calibri" w:eastAsia="Calibri" w:hAnsi="Calibri" w:cs="Times New Roman"/>
          <w:sz w:val="24"/>
          <w:szCs w:val="24"/>
        </w:rPr>
        <w:t>education</w:t>
      </w:r>
      <w:r w:rsidR="00D63E79">
        <w:rPr>
          <w:rFonts w:ascii="Calibri" w:eastAsia="Calibri" w:hAnsi="Calibri" w:cs="Times New Roman"/>
          <w:sz w:val="24"/>
          <w:szCs w:val="24"/>
        </w:rPr>
        <w:t xml:space="preserve"> </w:t>
      </w:r>
      <w:r w:rsidRPr="001E10D3">
        <w:rPr>
          <w:rFonts w:ascii="Calibri" w:eastAsia="Calibri" w:hAnsi="Calibri" w:cs="Times New Roman"/>
          <w:sz w:val="24"/>
          <w:szCs w:val="24"/>
        </w:rPr>
        <w:t xml:space="preserve">and society at large that is replete with the infinitives </w:t>
      </w:r>
      <w:r w:rsidR="00D63E79">
        <w:rPr>
          <w:rFonts w:ascii="Calibri" w:eastAsia="Calibri" w:hAnsi="Calibri" w:cs="Times New Roman"/>
          <w:sz w:val="24"/>
          <w:szCs w:val="24"/>
        </w:rPr>
        <w:t>“</w:t>
      </w:r>
      <w:r w:rsidRPr="0008450D">
        <w:rPr>
          <w:rFonts w:ascii="Calibri" w:eastAsia="Calibri" w:hAnsi="Calibri" w:cs="Times New Roman"/>
          <w:sz w:val="24"/>
          <w:szCs w:val="24"/>
        </w:rPr>
        <w:t>to succeed</w:t>
      </w:r>
      <w:r w:rsidR="00D63E79">
        <w:rPr>
          <w:rFonts w:ascii="Calibri" w:eastAsia="Calibri" w:hAnsi="Calibri" w:cs="Times New Roman"/>
          <w:sz w:val="24"/>
          <w:szCs w:val="24"/>
        </w:rPr>
        <w:t>”</w:t>
      </w:r>
      <w:r w:rsidRPr="0008450D">
        <w:rPr>
          <w:rFonts w:ascii="Calibri" w:eastAsia="Calibri" w:hAnsi="Calibri" w:cs="Times New Roman"/>
          <w:sz w:val="24"/>
          <w:szCs w:val="24"/>
        </w:rPr>
        <w:t xml:space="preserve">, </w:t>
      </w:r>
      <w:r w:rsidR="00D63E79">
        <w:rPr>
          <w:rFonts w:ascii="Calibri" w:eastAsia="Calibri" w:hAnsi="Calibri" w:cs="Times New Roman"/>
          <w:sz w:val="24"/>
          <w:szCs w:val="24"/>
        </w:rPr>
        <w:t>“</w:t>
      </w:r>
      <w:r w:rsidRPr="0008450D">
        <w:rPr>
          <w:rFonts w:ascii="Calibri" w:eastAsia="Calibri" w:hAnsi="Calibri" w:cs="Times New Roman"/>
          <w:sz w:val="24"/>
          <w:szCs w:val="24"/>
        </w:rPr>
        <w:t>to prove</w:t>
      </w:r>
      <w:r w:rsidR="00D63E79">
        <w:rPr>
          <w:rFonts w:ascii="Calibri" w:eastAsia="Calibri" w:hAnsi="Calibri" w:cs="Times New Roman"/>
          <w:sz w:val="24"/>
          <w:szCs w:val="24"/>
        </w:rPr>
        <w:t>”</w:t>
      </w:r>
      <w:r w:rsidRPr="0008450D">
        <w:rPr>
          <w:rFonts w:ascii="Calibri" w:eastAsia="Calibri" w:hAnsi="Calibri" w:cs="Times New Roman"/>
          <w:sz w:val="24"/>
          <w:szCs w:val="24"/>
        </w:rPr>
        <w:t xml:space="preserve">, </w:t>
      </w:r>
      <w:r w:rsidR="00D63E79">
        <w:rPr>
          <w:rFonts w:ascii="Calibri" w:eastAsia="Calibri" w:hAnsi="Calibri" w:cs="Times New Roman"/>
          <w:sz w:val="24"/>
          <w:szCs w:val="24"/>
        </w:rPr>
        <w:t>“</w:t>
      </w:r>
      <w:r w:rsidRPr="0008450D">
        <w:rPr>
          <w:rFonts w:ascii="Calibri" w:eastAsia="Calibri" w:hAnsi="Calibri" w:cs="Times New Roman"/>
          <w:sz w:val="24"/>
          <w:szCs w:val="24"/>
        </w:rPr>
        <w:t>to progress</w:t>
      </w:r>
      <w:r w:rsidR="00D63E79">
        <w:rPr>
          <w:rFonts w:ascii="Calibri" w:eastAsia="Calibri" w:hAnsi="Calibri" w:cs="Times New Roman"/>
          <w:sz w:val="24"/>
          <w:szCs w:val="24"/>
        </w:rPr>
        <w:t>”</w:t>
      </w:r>
      <w:r w:rsidRPr="0008450D">
        <w:rPr>
          <w:rFonts w:ascii="Calibri" w:eastAsia="Calibri" w:hAnsi="Calibri" w:cs="Times New Roman"/>
          <w:sz w:val="24"/>
          <w:szCs w:val="24"/>
        </w:rPr>
        <w:t xml:space="preserve"> and </w:t>
      </w:r>
      <w:r w:rsidR="00D63E79">
        <w:rPr>
          <w:rFonts w:ascii="Calibri" w:eastAsia="Calibri" w:hAnsi="Calibri" w:cs="Times New Roman"/>
          <w:sz w:val="24"/>
          <w:szCs w:val="24"/>
        </w:rPr>
        <w:t>“</w:t>
      </w:r>
      <w:r w:rsidRPr="0008450D">
        <w:rPr>
          <w:rFonts w:ascii="Calibri" w:eastAsia="Calibri" w:hAnsi="Calibri" w:cs="Times New Roman"/>
          <w:sz w:val="24"/>
          <w:szCs w:val="24"/>
        </w:rPr>
        <w:t>to achieve</w:t>
      </w:r>
      <w:r w:rsidR="00D63E79">
        <w:rPr>
          <w:rFonts w:ascii="Calibri" w:eastAsia="Calibri" w:hAnsi="Calibri" w:cs="Times New Roman"/>
          <w:sz w:val="24"/>
          <w:szCs w:val="24"/>
        </w:rPr>
        <w:t>”</w:t>
      </w:r>
      <w:r w:rsidRPr="0008450D">
        <w:rPr>
          <w:rFonts w:ascii="Calibri" w:eastAsia="Calibri" w:hAnsi="Calibri" w:cs="Times New Roman"/>
          <w:sz w:val="24"/>
          <w:szCs w:val="24"/>
        </w:rPr>
        <w:t>.</w:t>
      </w:r>
      <w:r>
        <w:rPr>
          <w:rFonts w:ascii="Calibri" w:eastAsia="Calibri" w:hAnsi="Calibri" w:cs="Times New Roman"/>
          <w:sz w:val="24"/>
          <w:szCs w:val="24"/>
        </w:rPr>
        <w:t xml:space="preserve"> </w:t>
      </w:r>
      <w:r w:rsidRPr="005D728F">
        <w:rPr>
          <w:rFonts w:ascii="Calibri" w:eastAsia="Calibri" w:hAnsi="Calibri" w:cs="Times New Roman"/>
          <w:sz w:val="24"/>
          <w:szCs w:val="24"/>
          <w:lang w:val="en-US"/>
        </w:rPr>
        <w:t xml:space="preserve">Implications for teachers </w:t>
      </w:r>
      <w:r>
        <w:rPr>
          <w:rFonts w:ascii="Calibri" w:eastAsia="Calibri" w:hAnsi="Calibri" w:cs="Times New Roman"/>
          <w:sz w:val="24"/>
          <w:szCs w:val="24"/>
          <w:lang w:val="en-US"/>
        </w:rPr>
        <w:t xml:space="preserve">can </w:t>
      </w:r>
      <w:r w:rsidRPr="005D728F">
        <w:rPr>
          <w:rFonts w:ascii="Calibri" w:eastAsia="Calibri" w:hAnsi="Calibri" w:cs="Times New Roman"/>
          <w:sz w:val="24"/>
          <w:szCs w:val="24"/>
          <w:lang w:val="en-US"/>
        </w:rPr>
        <w:t xml:space="preserve">include their </w:t>
      </w:r>
      <w:r>
        <w:rPr>
          <w:rFonts w:ascii="Calibri" w:eastAsia="Calibri" w:hAnsi="Calibri" w:cs="Times New Roman"/>
          <w:sz w:val="24"/>
          <w:szCs w:val="24"/>
          <w:lang w:val="en-US"/>
        </w:rPr>
        <w:t xml:space="preserve">agency </w:t>
      </w:r>
      <w:r w:rsidRPr="005D728F">
        <w:rPr>
          <w:rFonts w:ascii="Calibri" w:eastAsia="Calibri" w:hAnsi="Calibri" w:cs="Times New Roman"/>
          <w:sz w:val="24"/>
          <w:szCs w:val="24"/>
          <w:lang w:val="en-US"/>
        </w:rPr>
        <w:t xml:space="preserve">being undermined in a system that evaluates their worth and performance through customer </w:t>
      </w:r>
      <w:r>
        <w:rPr>
          <w:rFonts w:ascii="Calibri" w:eastAsia="Calibri" w:hAnsi="Calibri" w:cs="Times New Roman"/>
          <w:sz w:val="24"/>
          <w:szCs w:val="24"/>
          <w:lang w:val="en-US"/>
        </w:rPr>
        <w:t xml:space="preserve">and systemic </w:t>
      </w:r>
      <w:r w:rsidRPr="005D728F">
        <w:rPr>
          <w:rFonts w:ascii="Calibri" w:eastAsia="Calibri" w:hAnsi="Calibri" w:cs="Times New Roman"/>
          <w:sz w:val="24"/>
          <w:szCs w:val="24"/>
          <w:lang w:val="en-US"/>
        </w:rPr>
        <w:t xml:space="preserve">metrics. </w:t>
      </w:r>
      <w:r>
        <w:rPr>
          <w:rFonts w:ascii="Calibri" w:eastAsia="Calibri" w:hAnsi="Calibri" w:cs="Times New Roman"/>
          <w:sz w:val="24"/>
          <w:szCs w:val="24"/>
        </w:rPr>
        <w:t>The c</w:t>
      </w:r>
      <w:r w:rsidRPr="001E10D3">
        <w:rPr>
          <w:rFonts w:ascii="Calibri" w:eastAsia="Calibri" w:hAnsi="Calibri" w:cs="Times New Roman"/>
          <w:sz w:val="24"/>
          <w:szCs w:val="24"/>
        </w:rPr>
        <w:t xml:space="preserve">onsequences of not valuing </w:t>
      </w:r>
      <w:r>
        <w:rPr>
          <w:rFonts w:ascii="Calibri" w:eastAsia="Calibri" w:hAnsi="Calibri" w:cs="Times New Roman"/>
          <w:sz w:val="24"/>
          <w:szCs w:val="24"/>
        </w:rPr>
        <w:t>academic capital</w:t>
      </w:r>
      <w:r w:rsidRPr="001E10D3">
        <w:rPr>
          <w:rFonts w:ascii="Calibri" w:eastAsia="Calibri" w:hAnsi="Calibri" w:cs="Times New Roman"/>
          <w:sz w:val="24"/>
          <w:szCs w:val="24"/>
        </w:rPr>
        <w:t xml:space="preserve"> </w:t>
      </w:r>
      <w:r>
        <w:rPr>
          <w:rFonts w:ascii="Calibri" w:eastAsia="Calibri" w:hAnsi="Calibri" w:cs="Times New Roman"/>
          <w:sz w:val="24"/>
          <w:szCs w:val="24"/>
        </w:rPr>
        <w:t>point to</w:t>
      </w:r>
      <w:r w:rsidRPr="001E10D3">
        <w:rPr>
          <w:rFonts w:ascii="Calibri" w:eastAsia="Calibri" w:hAnsi="Calibri" w:cs="Times New Roman"/>
          <w:sz w:val="24"/>
          <w:szCs w:val="24"/>
        </w:rPr>
        <w:t xml:space="preserve"> an unravelling</w:t>
      </w:r>
      <w:r>
        <w:rPr>
          <w:rFonts w:ascii="Calibri" w:eastAsia="Calibri" w:hAnsi="Calibri" w:cs="Times New Roman"/>
          <w:sz w:val="24"/>
          <w:szCs w:val="24"/>
        </w:rPr>
        <w:t>,</w:t>
      </w:r>
      <w:r w:rsidRPr="001E10D3">
        <w:rPr>
          <w:rFonts w:ascii="Calibri" w:eastAsia="Calibri" w:hAnsi="Calibri" w:cs="Times New Roman"/>
          <w:sz w:val="24"/>
          <w:szCs w:val="24"/>
        </w:rPr>
        <w:t xml:space="preserve"> rather than tying together</w:t>
      </w:r>
      <w:r>
        <w:rPr>
          <w:rFonts w:ascii="Calibri" w:eastAsia="Calibri" w:hAnsi="Calibri" w:cs="Times New Roman"/>
          <w:sz w:val="24"/>
          <w:szCs w:val="24"/>
        </w:rPr>
        <w:t>,</w:t>
      </w:r>
      <w:r w:rsidRPr="001E10D3">
        <w:rPr>
          <w:rFonts w:ascii="Calibri" w:eastAsia="Calibri" w:hAnsi="Calibri" w:cs="Times New Roman"/>
          <w:sz w:val="24"/>
          <w:szCs w:val="24"/>
        </w:rPr>
        <w:t xml:space="preserve"> of the psychosocial </w:t>
      </w:r>
      <w:r w:rsidRPr="001E10D3">
        <w:rPr>
          <w:rFonts w:ascii="Calibri" w:eastAsia="Calibri" w:hAnsi="Calibri" w:cs="Times New Roman"/>
          <w:sz w:val="24"/>
          <w:szCs w:val="24"/>
        </w:rPr>
        <w:lastRenderedPageBreak/>
        <w:t>aspects of teaching praxis</w:t>
      </w:r>
      <w:r>
        <w:rPr>
          <w:rFonts w:ascii="Calibri" w:eastAsia="Calibri" w:hAnsi="Calibri" w:cs="Times New Roman"/>
          <w:sz w:val="24"/>
          <w:szCs w:val="24"/>
        </w:rPr>
        <w:t>. Collegiality, and trust can be in ruins.</w:t>
      </w:r>
      <w:r w:rsidRPr="00A86660">
        <w:rPr>
          <w:rFonts w:ascii="Calibri" w:eastAsia="Calibri" w:hAnsi="Calibri" w:cs="Times New Roman"/>
          <w:sz w:val="24"/>
          <w:szCs w:val="24"/>
        </w:rPr>
        <w:t xml:space="preserve"> The </w:t>
      </w:r>
      <w:r>
        <w:rPr>
          <w:rFonts w:ascii="Calibri" w:eastAsia="Calibri" w:hAnsi="Calibri" w:cs="Times New Roman"/>
          <w:sz w:val="24"/>
          <w:szCs w:val="24"/>
        </w:rPr>
        <w:t xml:space="preserve">university </w:t>
      </w:r>
      <w:r w:rsidRPr="00A86660">
        <w:rPr>
          <w:rFonts w:ascii="Calibri" w:eastAsia="Calibri" w:hAnsi="Calibri" w:cs="Times New Roman"/>
          <w:sz w:val="24"/>
          <w:szCs w:val="24"/>
        </w:rPr>
        <w:t>context may be asleep</w:t>
      </w:r>
      <w:r>
        <w:rPr>
          <w:rFonts w:ascii="Calibri" w:eastAsia="Calibri" w:hAnsi="Calibri" w:cs="Times New Roman"/>
          <w:sz w:val="24"/>
          <w:szCs w:val="24"/>
        </w:rPr>
        <w:t>, or blind</w:t>
      </w:r>
      <w:r w:rsidRPr="00A86660">
        <w:rPr>
          <w:rFonts w:ascii="Calibri" w:eastAsia="Calibri" w:hAnsi="Calibri" w:cs="Times New Roman"/>
          <w:sz w:val="24"/>
          <w:szCs w:val="24"/>
        </w:rPr>
        <w:t xml:space="preserve"> to</w:t>
      </w:r>
      <w:r>
        <w:rPr>
          <w:rFonts w:ascii="Calibri" w:eastAsia="Calibri" w:hAnsi="Calibri" w:cs="Times New Roman"/>
          <w:sz w:val="24"/>
          <w:szCs w:val="24"/>
        </w:rPr>
        <w:t xml:space="preserve"> these consequences</w:t>
      </w:r>
      <w:r w:rsidRPr="00A86660">
        <w:rPr>
          <w:rFonts w:ascii="Calibri" w:eastAsia="Calibri" w:hAnsi="Calibri" w:cs="Times New Roman"/>
          <w:sz w:val="24"/>
          <w:szCs w:val="24"/>
        </w:rPr>
        <w:t>.</w:t>
      </w:r>
    </w:p>
    <w:p w14:paraId="3BD2CD9D" w14:textId="11C8A8B6" w:rsidR="00EB7F5B" w:rsidRPr="003C60AA" w:rsidRDefault="00EB7F5B" w:rsidP="00F7219C">
      <w:pPr>
        <w:spacing w:line="360" w:lineRule="auto"/>
        <w:rPr>
          <w:rFonts w:ascii="Calibri" w:eastAsia="Calibri" w:hAnsi="Calibri" w:cs="Times New Roman"/>
          <w:sz w:val="24"/>
          <w:szCs w:val="24"/>
        </w:rPr>
      </w:pPr>
      <w:r>
        <w:rPr>
          <w:rFonts w:ascii="Calibri" w:eastAsia="Calibri" w:hAnsi="Calibri" w:cs="Times New Roman"/>
          <w:sz w:val="24"/>
          <w:szCs w:val="24"/>
        </w:rPr>
        <w:t xml:space="preserve">In </w:t>
      </w:r>
      <w:r w:rsidRPr="00D625A1">
        <w:rPr>
          <w:rFonts w:ascii="Calibri" w:eastAsia="Calibri" w:hAnsi="Calibri" w:cs="Times New Roman"/>
          <w:i/>
          <w:iCs/>
          <w:sz w:val="24"/>
          <w:szCs w:val="24"/>
        </w:rPr>
        <w:t>Sleeping Beauty</w:t>
      </w:r>
      <w:r>
        <w:rPr>
          <w:rFonts w:ascii="Calibri" w:eastAsia="Calibri" w:hAnsi="Calibri" w:cs="Times New Roman"/>
          <w:sz w:val="24"/>
          <w:szCs w:val="24"/>
        </w:rPr>
        <w:t xml:space="preserve"> (Perrault, </w:t>
      </w:r>
      <w:r w:rsidR="007750A8">
        <w:rPr>
          <w:rFonts w:ascii="Calibri" w:eastAsia="Calibri" w:hAnsi="Calibri" w:cs="Times New Roman"/>
          <w:sz w:val="24"/>
          <w:szCs w:val="24"/>
        </w:rPr>
        <w:t>169</w:t>
      </w:r>
      <w:r w:rsidR="009C19E6">
        <w:rPr>
          <w:rFonts w:ascii="Calibri" w:eastAsia="Calibri" w:hAnsi="Calibri" w:cs="Times New Roman"/>
          <w:sz w:val="24"/>
          <w:szCs w:val="24"/>
        </w:rPr>
        <w:t>7/</w:t>
      </w:r>
      <w:r>
        <w:rPr>
          <w:rFonts w:ascii="Calibri" w:eastAsia="Calibri" w:hAnsi="Calibri" w:cs="Times New Roman"/>
          <w:sz w:val="24"/>
          <w:szCs w:val="24"/>
        </w:rPr>
        <w:t>1899) an innocent baby princess was cursed by the 13</w:t>
      </w:r>
      <w:r w:rsidRPr="005B2262">
        <w:rPr>
          <w:rFonts w:ascii="Calibri" w:eastAsia="Calibri" w:hAnsi="Calibri" w:cs="Times New Roman"/>
          <w:sz w:val="24"/>
          <w:szCs w:val="24"/>
          <w:vertAlign w:val="superscript"/>
        </w:rPr>
        <w:t>th</w:t>
      </w:r>
      <w:r>
        <w:rPr>
          <w:rFonts w:ascii="Calibri" w:eastAsia="Calibri" w:hAnsi="Calibri" w:cs="Times New Roman"/>
          <w:sz w:val="24"/>
          <w:szCs w:val="24"/>
        </w:rPr>
        <w:t xml:space="preserve"> </w:t>
      </w:r>
      <w:r w:rsidR="00B33C94">
        <w:rPr>
          <w:rFonts w:ascii="Calibri" w:eastAsia="Calibri" w:hAnsi="Calibri" w:cs="Times New Roman"/>
          <w:sz w:val="24"/>
          <w:szCs w:val="24"/>
        </w:rPr>
        <w:t>Fairy:</w:t>
      </w:r>
      <w:r>
        <w:rPr>
          <w:rFonts w:ascii="Calibri" w:eastAsia="Calibri" w:hAnsi="Calibri" w:cs="Times New Roman"/>
          <w:sz w:val="24"/>
          <w:szCs w:val="24"/>
        </w:rPr>
        <w:t xml:space="preserve"> “</w:t>
      </w:r>
      <w:r w:rsidRPr="006540F8">
        <w:rPr>
          <w:rFonts w:ascii="Calibri" w:eastAsia="Calibri" w:hAnsi="Calibri" w:cs="Times New Roman"/>
          <w:sz w:val="24"/>
          <w:szCs w:val="24"/>
        </w:rPr>
        <w:t>The old Fairy’s turn coming next, with a head shaking more with spite than old age, she said that the Princess should have her hand pierced with a spindle and die of the wound</w:t>
      </w:r>
      <w:r>
        <w:rPr>
          <w:rFonts w:ascii="Calibri" w:eastAsia="Calibri" w:hAnsi="Calibri" w:cs="Times New Roman"/>
          <w:sz w:val="24"/>
          <w:szCs w:val="24"/>
        </w:rPr>
        <w:t>”</w:t>
      </w:r>
      <w:r w:rsidR="009C19E6">
        <w:rPr>
          <w:rFonts w:ascii="Calibri" w:eastAsia="Calibri" w:hAnsi="Calibri" w:cs="Times New Roman"/>
          <w:sz w:val="24"/>
          <w:szCs w:val="24"/>
        </w:rPr>
        <w:t xml:space="preserve"> (p.50)</w:t>
      </w:r>
      <w:r w:rsidRPr="006540F8">
        <w:rPr>
          <w:rFonts w:ascii="Calibri" w:eastAsia="Calibri" w:hAnsi="Calibri" w:cs="Times New Roman"/>
          <w:sz w:val="24"/>
          <w:szCs w:val="24"/>
        </w:rPr>
        <w:t xml:space="preserve">. </w:t>
      </w:r>
      <w:r>
        <w:rPr>
          <w:rFonts w:ascii="Calibri" w:eastAsia="Calibri" w:hAnsi="Calibri" w:cs="Times New Roman"/>
          <w:sz w:val="24"/>
          <w:szCs w:val="24"/>
        </w:rPr>
        <w:t>D</w:t>
      </w:r>
      <w:r w:rsidRPr="0021280D">
        <w:rPr>
          <w:rFonts w:ascii="Calibri" w:eastAsia="Calibri" w:hAnsi="Calibri" w:cs="Times New Roman"/>
          <w:sz w:val="24"/>
          <w:szCs w:val="24"/>
        </w:rPr>
        <w:t xml:space="preserve">espite </w:t>
      </w:r>
      <w:r>
        <w:rPr>
          <w:rFonts w:ascii="Calibri" w:eastAsia="Calibri" w:hAnsi="Calibri" w:cs="Times New Roman"/>
          <w:sz w:val="24"/>
          <w:szCs w:val="24"/>
        </w:rPr>
        <w:t>piercing spindles</w:t>
      </w:r>
      <w:r w:rsidRPr="0021280D">
        <w:rPr>
          <w:rFonts w:ascii="Calibri" w:eastAsia="Calibri" w:hAnsi="Calibri" w:cs="Times New Roman"/>
          <w:sz w:val="24"/>
          <w:szCs w:val="24"/>
        </w:rPr>
        <w:t xml:space="preserve">, the </w:t>
      </w:r>
      <w:r>
        <w:rPr>
          <w:rFonts w:ascii="Calibri" w:eastAsia="Calibri" w:hAnsi="Calibri" w:cs="Times New Roman"/>
          <w:sz w:val="24"/>
          <w:szCs w:val="24"/>
        </w:rPr>
        <w:t>story of</w:t>
      </w:r>
      <w:r w:rsidRPr="00116C14">
        <w:rPr>
          <w:rFonts w:ascii="Calibri" w:eastAsia="Calibri" w:hAnsi="Calibri" w:cs="Times New Roman"/>
          <w:sz w:val="24"/>
          <w:szCs w:val="24"/>
        </w:rPr>
        <w:t xml:space="preserve"> the modern-day university</w:t>
      </w:r>
      <w:r w:rsidRPr="0021280D">
        <w:rPr>
          <w:rFonts w:ascii="Calibri" w:eastAsia="Calibri" w:hAnsi="Calibri" w:cs="Times New Roman"/>
          <w:sz w:val="24"/>
          <w:szCs w:val="24"/>
        </w:rPr>
        <w:t xml:space="preserve"> is not as </w:t>
      </w:r>
      <w:r>
        <w:rPr>
          <w:rFonts w:ascii="Calibri" w:eastAsia="Calibri" w:hAnsi="Calibri" w:cs="Times New Roman"/>
          <w:sz w:val="24"/>
          <w:szCs w:val="24"/>
        </w:rPr>
        <w:t xml:space="preserve">cursed </w:t>
      </w:r>
      <w:r w:rsidRPr="0021280D">
        <w:rPr>
          <w:rFonts w:ascii="Calibri" w:eastAsia="Calibri" w:hAnsi="Calibri" w:cs="Times New Roman"/>
          <w:sz w:val="24"/>
          <w:szCs w:val="24"/>
        </w:rPr>
        <w:t xml:space="preserve">as critics </w:t>
      </w:r>
      <w:r w:rsidR="00423CCA">
        <w:rPr>
          <w:rFonts w:ascii="Calibri" w:eastAsia="Calibri" w:hAnsi="Calibri" w:cs="Times New Roman"/>
          <w:sz w:val="24"/>
          <w:szCs w:val="24"/>
        </w:rPr>
        <w:t xml:space="preserve">such as Fleming (2021) </w:t>
      </w:r>
      <w:r w:rsidRPr="0021280D">
        <w:rPr>
          <w:rFonts w:ascii="Calibri" w:eastAsia="Calibri" w:hAnsi="Calibri" w:cs="Times New Roman"/>
          <w:sz w:val="24"/>
          <w:szCs w:val="24"/>
        </w:rPr>
        <w:t xml:space="preserve">portray. Magic, brilliance and hope are </w:t>
      </w:r>
      <w:r>
        <w:rPr>
          <w:rFonts w:ascii="Calibri" w:eastAsia="Calibri" w:hAnsi="Calibri" w:cs="Times New Roman"/>
          <w:sz w:val="24"/>
          <w:szCs w:val="24"/>
        </w:rPr>
        <w:t xml:space="preserve">alive, awake and </w:t>
      </w:r>
      <w:r w:rsidRPr="0021280D">
        <w:rPr>
          <w:rFonts w:ascii="Calibri" w:eastAsia="Calibri" w:hAnsi="Calibri" w:cs="Times New Roman"/>
          <w:sz w:val="24"/>
          <w:szCs w:val="24"/>
        </w:rPr>
        <w:t>present when teachers</w:t>
      </w:r>
      <w:r>
        <w:rPr>
          <w:rFonts w:ascii="Calibri" w:eastAsia="Calibri" w:hAnsi="Calibri" w:cs="Times New Roman"/>
          <w:sz w:val="24"/>
          <w:szCs w:val="24"/>
        </w:rPr>
        <w:t>,</w:t>
      </w:r>
      <w:r w:rsidRPr="0021280D">
        <w:rPr>
          <w:rFonts w:ascii="Calibri" w:eastAsia="Calibri" w:hAnsi="Calibri" w:cs="Times New Roman"/>
          <w:sz w:val="24"/>
          <w:szCs w:val="24"/>
        </w:rPr>
        <w:t xml:space="preserve"> </w:t>
      </w:r>
      <w:r>
        <w:rPr>
          <w:rFonts w:ascii="Calibri" w:eastAsia="Calibri" w:hAnsi="Calibri" w:cs="Times New Roman"/>
          <w:sz w:val="24"/>
          <w:szCs w:val="24"/>
        </w:rPr>
        <w:t xml:space="preserve">despite a difficult environ can conduct their </w:t>
      </w:r>
      <w:r w:rsidR="00221D35">
        <w:rPr>
          <w:rFonts w:ascii="Calibri" w:eastAsia="Calibri" w:hAnsi="Calibri" w:cs="Times New Roman"/>
          <w:sz w:val="24"/>
          <w:szCs w:val="24"/>
        </w:rPr>
        <w:t xml:space="preserve">work </w:t>
      </w:r>
      <w:r w:rsidRPr="0021280D">
        <w:rPr>
          <w:rFonts w:ascii="Calibri" w:eastAsia="Calibri" w:hAnsi="Calibri" w:cs="Times New Roman"/>
          <w:sz w:val="24"/>
          <w:szCs w:val="24"/>
        </w:rPr>
        <w:t xml:space="preserve">with passion and </w:t>
      </w:r>
      <w:r w:rsidRPr="00FF750B">
        <w:rPr>
          <w:rFonts w:ascii="Calibri" w:eastAsia="Calibri" w:hAnsi="Calibri" w:cs="Times New Roman"/>
          <w:i/>
          <w:iCs/>
          <w:sz w:val="24"/>
          <w:szCs w:val="24"/>
        </w:rPr>
        <w:t>eros</w:t>
      </w:r>
      <w:r w:rsidR="00FF750B">
        <w:rPr>
          <w:rFonts w:ascii="Calibri" w:eastAsia="Calibri" w:hAnsi="Calibri" w:cs="Times New Roman"/>
          <w:sz w:val="24"/>
          <w:szCs w:val="24"/>
        </w:rPr>
        <w:t xml:space="preserve"> (love)</w:t>
      </w:r>
      <w:r w:rsidRPr="0021280D">
        <w:rPr>
          <w:rFonts w:ascii="Calibri" w:eastAsia="Calibri" w:hAnsi="Calibri" w:cs="Times New Roman"/>
          <w:sz w:val="24"/>
          <w:szCs w:val="24"/>
        </w:rPr>
        <w:t xml:space="preserve">. Mayes (2007) considers teachers </w:t>
      </w:r>
      <w:r>
        <w:rPr>
          <w:rFonts w:ascii="Calibri" w:eastAsia="Calibri" w:hAnsi="Calibri" w:cs="Times New Roman"/>
          <w:sz w:val="24"/>
          <w:szCs w:val="24"/>
        </w:rPr>
        <w:t xml:space="preserve">as </w:t>
      </w:r>
      <w:r w:rsidRPr="0021280D">
        <w:rPr>
          <w:rFonts w:ascii="Calibri" w:eastAsia="Calibri" w:hAnsi="Calibri" w:cs="Times New Roman"/>
          <w:sz w:val="24"/>
          <w:szCs w:val="24"/>
        </w:rPr>
        <w:t>heroes who do heroic work in difficult circumstances</w:t>
      </w:r>
      <w:r>
        <w:rPr>
          <w:rFonts w:ascii="Calibri" w:eastAsia="Calibri" w:hAnsi="Calibri" w:cs="Times New Roman"/>
          <w:sz w:val="24"/>
          <w:szCs w:val="24"/>
        </w:rPr>
        <w:t xml:space="preserve"> and </w:t>
      </w:r>
      <w:r w:rsidRPr="0021280D">
        <w:rPr>
          <w:rFonts w:ascii="Calibri" w:eastAsia="Calibri" w:hAnsi="Calibri" w:cs="Times New Roman"/>
          <w:sz w:val="24"/>
          <w:szCs w:val="24"/>
        </w:rPr>
        <w:t xml:space="preserve">is clear that </w:t>
      </w:r>
      <w:r>
        <w:rPr>
          <w:rFonts w:ascii="Calibri" w:eastAsia="Calibri" w:hAnsi="Calibri" w:cs="Times New Roman"/>
          <w:sz w:val="24"/>
          <w:szCs w:val="24"/>
        </w:rPr>
        <w:t>t</w:t>
      </w:r>
      <w:r w:rsidR="00562F07">
        <w:rPr>
          <w:rFonts w:ascii="Calibri" w:eastAsia="Calibri" w:hAnsi="Calibri" w:cs="Times New Roman"/>
          <w:sz w:val="24"/>
          <w:szCs w:val="24"/>
        </w:rPr>
        <w:t>h</w:t>
      </w:r>
      <w:r w:rsidR="00792687">
        <w:rPr>
          <w:rFonts w:ascii="Calibri" w:eastAsia="Calibri" w:hAnsi="Calibri" w:cs="Times New Roman"/>
          <w:sz w:val="24"/>
          <w:szCs w:val="24"/>
        </w:rPr>
        <w:t>eir</w:t>
      </w:r>
      <w:r>
        <w:rPr>
          <w:rFonts w:ascii="Calibri" w:eastAsia="Calibri" w:hAnsi="Calibri" w:cs="Times New Roman"/>
          <w:sz w:val="24"/>
          <w:szCs w:val="24"/>
        </w:rPr>
        <w:t xml:space="preserve"> </w:t>
      </w:r>
      <w:r w:rsidRPr="0021280D">
        <w:rPr>
          <w:rFonts w:ascii="Calibri" w:eastAsia="Calibri" w:hAnsi="Calibri" w:cs="Times New Roman"/>
          <w:sz w:val="24"/>
          <w:szCs w:val="24"/>
        </w:rPr>
        <w:t>“vital mission” (p.16) requires support</w:t>
      </w:r>
      <w:r>
        <w:rPr>
          <w:rFonts w:ascii="Calibri" w:eastAsia="Calibri" w:hAnsi="Calibri" w:cs="Times New Roman"/>
          <w:sz w:val="24"/>
          <w:szCs w:val="24"/>
        </w:rPr>
        <w:t xml:space="preserve"> in </w:t>
      </w:r>
      <w:r w:rsidR="0097238D">
        <w:rPr>
          <w:rFonts w:ascii="Calibri" w:eastAsia="Calibri" w:hAnsi="Calibri" w:cs="Times New Roman"/>
          <w:sz w:val="24"/>
          <w:szCs w:val="24"/>
        </w:rPr>
        <w:t xml:space="preserve">the </w:t>
      </w:r>
      <w:r>
        <w:rPr>
          <w:rFonts w:ascii="Calibri" w:eastAsia="Calibri" w:hAnsi="Calibri" w:cs="Times New Roman"/>
          <w:sz w:val="24"/>
          <w:szCs w:val="24"/>
        </w:rPr>
        <w:t>current c</w:t>
      </w:r>
      <w:r w:rsidR="007053D4">
        <w:rPr>
          <w:rFonts w:ascii="Calibri" w:eastAsia="Calibri" w:hAnsi="Calibri" w:cs="Times New Roman"/>
          <w:sz w:val="24"/>
          <w:szCs w:val="24"/>
        </w:rPr>
        <w:t>ontext</w:t>
      </w:r>
      <w:r w:rsidRPr="0021280D">
        <w:rPr>
          <w:rFonts w:ascii="Calibri" w:eastAsia="Calibri" w:hAnsi="Calibri" w:cs="Times New Roman"/>
          <w:sz w:val="24"/>
          <w:szCs w:val="24"/>
        </w:rPr>
        <w:t>. Therein lies a nuance in this research story; it is the support than can mediate the</w:t>
      </w:r>
      <w:r>
        <w:rPr>
          <w:rFonts w:ascii="Calibri" w:eastAsia="Calibri" w:hAnsi="Calibri" w:cs="Times New Roman"/>
          <w:sz w:val="24"/>
          <w:szCs w:val="24"/>
        </w:rPr>
        <w:t xml:space="preserve"> curse </w:t>
      </w:r>
      <w:r w:rsidRPr="0021280D">
        <w:rPr>
          <w:rFonts w:ascii="Calibri" w:eastAsia="Calibri" w:hAnsi="Calibri" w:cs="Times New Roman"/>
          <w:sz w:val="24"/>
          <w:szCs w:val="24"/>
        </w:rPr>
        <w:t xml:space="preserve">cast by a marketisation culture. </w:t>
      </w:r>
      <w:r>
        <w:rPr>
          <w:rFonts w:ascii="Calibri" w:eastAsia="Calibri" w:hAnsi="Calibri" w:cs="Times New Roman"/>
          <w:sz w:val="24"/>
          <w:szCs w:val="24"/>
        </w:rPr>
        <w:t xml:space="preserve"> Beyond the ensuing reflective piece, the</w:t>
      </w:r>
      <w:r w:rsidRPr="00C132A3">
        <w:rPr>
          <w:rFonts w:ascii="Calibri" w:eastAsia="Calibri" w:hAnsi="Calibri" w:cs="Times New Roman"/>
          <w:sz w:val="24"/>
          <w:szCs w:val="24"/>
        </w:rPr>
        <w:t xml:space="preserve"> literature review (Chapter </w:t>
      </w:r>
      <w:r w:rsidR="00856CDB">
        <w:rPr>
          <w:rFonts w:ascii="Calibri" w:eastAsia="Calibri" w:hAnsi="Calibri" w:cs="Times New Roman"/>
          <w:sz w:val="24"/>
          <w:szCs w:val="24"/>
        </w:rPr>
        <w:t>Three</w:t>
      </w:r>
      <w:r w:rsidRPr="00C132A3">
        <w:rPr>
          <w:rFonts w:ascii="Calibri" w:eastAsia="Calibri" w:hAnsi="Calibri" w:cs="Times New Roman"/>
          <w:sz w:val="24"/>
          <w:szCs w:val="24"/>
        </w:rPr>
        <w:t xml:space="preserve">) </w:t>
      </w:r>
      <w:r>
        <w:rPr>
          <w:rFonts w:ascii="Calibri" w:eastAsia="Calibri" w:hAnsi="Calibri" w:cs="Times New Roman"/>
          <w:sz w:val="24"/>
          <w:szCs w:val="24"/>
        </w:rPr>
        <w:t>discusses</w:t>
      </w:r>
      <w:r w:rsidRPr="00C132A3">
        <w:rPr>
          <w:rFonts w:ascii="Calibri" w:eastAsia="Calibri" w:hAnsi="Calibri" w:cs="Times New Roman"/>
          <w:sz w:val="24"/>
          <w:szCs w:val="24"/>
        </w:rPr>
        <w:t xml:space="preserve"> in more detail the </w:t>
      </w:r>
      <w:r>
        <w:rPr>
          <w:rFonts w:ascii="Calibri" w:eastAsia="Calibri" w:hAnsi="Calibri" w:cs="Times New Roman"/>
          <w:sz w:val="24"/>
          <w:szCs w:val="24"/>
        </w:rPr>
        <w:t xml:space="preserve">impact of the neoliberal paradigm on teachers, the </w:t>
      </w:r>
      <w:r w:rsidRPr="00C132A3">
        <w:rPr>
          <w:rFonts w:ascii="Calibri" w:eastAsia="Calibri" w:hAnsi="Calibri" w:cs="Times New Roman"/>
          <w:sz w:val="24"/>
          <w:szCs w:val="24"/>
        </w:rPr>
        <w:t xml:space="preserve">importance of the psychosocial in HE and the need for support for teachers immersed in conditions not of their making. </w:t>
      </w:r>
    </w:p>
    <w:p w14:paraId="37D2F614" w14:textId="77777777" w:rsidR="00EB7F5B" w:rsidRDefault="00EB7F5B" w:rsidP="00220CF6">
      <w:pPr>
        <w:spacing w:line="360" w:lineRule="auto"/>
        <w:rPr>
          <w:rFonts w:ascii="Calibri" w:hAnsi="Calibri" w:cs="Calibri"/>
          <w:sz w:val="24"/>
          <w:szCs w:val="24"/>
        </w:rPr>
      </w:pPr>
    </w:p>
    <w:p w14:paraId="6A0EFFE3" w14:textId="77777777" w:rsidR="00EB7F5B" w:rsidRDefault="00EB7F5B" w:rsidP="00220CF6">
      <w:pPr>
        <w:spacing w:line="360" w:lineRule="auto"/>
        <w:rPr>
          <w:rFonts w:ascii="Calibri" w:hAnsi="Calibri" w:cs="Calibri"/>
          <w:sz w:val="24"/>
          <w:szCs w:val="24"/>
        </w:rPr>
      </w:pPr>
    </w:p>
    <w:p w14:paraId="0EB99E59" w14:textId="77777777" w:rsidR="00EB7F5B" w:rsidRDefault="00EB7F5B" w:rsidP="00220CF6">
      <w:pPr>
        <w:spacing w:line="360" w:lineRule="auto"/>
        <w:rPr>
          <w:rFonts w:ascii="Calibri" w:hAnsi="Calibri" w:cs="Calibri"/>
          <w:sz w:val="24"/>
          <w:szCs w:val="24"/>
        </w:rPr>
      </w:pPr>
    </w:p>
    <w:p w14:paraId="4DF25782" w14:textId="77777777" w:rsidR="00EB7F5B" w:rsidRDefault="00EB7F5B" w:rsidP="00220CF6">
      <w:pPr>
        <w:spacing w:line="360" w:lineRule="auto"/>
        <w:rPr>
          <w:rFonts w:ascii="Calibri" w:hAnsi="Calibri" w:cs="Calibri"/>
          <w:sz w:val="24"/>
          <w:szCs w:val="24"/>
        </w:rPr>
      </w:pPr>
    </w:p>
    <w:p w14:paraId="4766B670" w14:textId="77777777" w:rsidR="00EB7F5B" w:rsidRDefault="00EB7F5B" w:rsidP="00220CF6">
      <w:pPr>
        <w:spacing w:line="360" w:lineRule="auto"/>
        <w:rPr>
          <w:rFonts w:ascii="Calibri" w:hAnsi="Calibri" w:cs="Calibri"/>
          <w:sz w:val="24"/>
          <w:szCs w:val="24"/>
        </w:rPr>
      </w:pPr>
    </w:p>
    <w:p w14:paraId="0B0794CB" w14:textId="77777777" w:rsidR="00EB7F5B" w:rsidRDefault="00EB7F5B" w:rsidP="00220CF6">
      <w:pPr>
        <w:spacing w:line="360" w:lineRule="auto"/>
        <w:rPr>
          <w:rFonts w:ascii="Calibri" w:hAnsi="Calibri" w:cs="Calibri"/>
          <w:sz w:val="24"/>
          <w:szCs w:val="24"/>
        </w:rPr>
      </w:pPr>
    </w:p>
    <w:p w14:paraId="0E3A6BC1" w14:textId="77777777" w:rsidR="00EB7F5B" w:rsidRDefault="00EB7F5B" w:rsidP="00220CF6">
      <w:pPr>
        <w:spacing w:line="360" w:lineRule="auto"/>
        <w:rPr>
          <w:rFonts w:ascii="Calibri" w:hAnsi="Calibri" w:cs="Calibri"/>
          <w:sz w:val="24"/>
          <w:szCs w:val="24"/>
        </w:rPr>
      </w:pPr>
    </w:p>
    <w:p w14:paraId="46B6AFAD" w14:textId="77777777" w:rsidR="00EB7F5B" w:rsidRDefault="00EB7F5B" w:rsidP="00220CF6">
      <w:pPr>
        <w:spacing w:line="360" w:lineRule="auto"/>
        <w:rPr>
          <w:rFonts w:ascii="Calibri" w:hAnsi="Calibri" w:cs="Calibri"/>
          <w:sz w:val="24"/>
          <w:szCs w:val="24"/>
        </w:rPr>
      </w:pPr>
    </w:p>
    <w:p w14:paraId="30857820" w14:textId="77777777" w:rsidR="00EB7F5B" w:rsidRDefault="00EB7F5B" w:rsidP="00220CF6">
      <w:pPr>
        <w:spacing w:line="360" w:lineRule="auto"/>
        <w:rPr>
          <w:rFonts w:ascii="Calibri" w:hAnsi="Calibri" w:cs="Calibri"/>
          <w:sz w:val="24"/>
          <w:szCs w:val="24"/>
        </w:rPr>
      </w:pPr>
    </w:p>
    <w:p w14:paraId="70028A7C" w14:textId="77777777" w:rsidR="00FE34AB" w:rsidRDefault="00FE34AB" w:rsidP="00220CF6">
      <w:pPr>
        <w:spacing w:line="360" w:lineRule="auto"/>
        <w:rPr>
          <w:rFonts w:ascii="Calibri" w:hAnsi="Calibri" w:cs="Calibri"/>
          <w:sz w:val="24"/>
          <w:szCs w:val="24"/>
        </w:rPr>
      </w:pPr>
    </w:p>
    <w:p w14:paraId="21D6ED33" w14:textId="77777777" w:rsidR="00C91B0E" w:rsidRDefault="00C91B0E" w:rsidP="00220CF6">
      <w:pPr>
        <w:spacing w:line="360" w:lineRule="auto"/>
        <w:rPr>
          <w:rFonts w:ascii="Calibri" w:hAnsi="Calibri" w:cs="Calibri"/>
          <w:sz w:val="24"/>
          <w:szCs w:val="24"/>
        </w:rPr>
      </w:pPr>
    </w:p>
    <w:p w14:paraId="6C24D971" w14:textId="60C25D05" w:rsidR="00D14AEC" w:rsidRPr="00D14AEC" w:rsidRDefault="008114BF" w:rsidP="00D14AEC">
      <w:pPr>
        <w:ind w:left="2880" w:firstLine="720"/>
        <w:rPr>
          <w:rFonts w:ascii="Calibri" w:hAnsi="Calibri" w:cs="Calibri"/>
          <w:b/>
          <w:bCs/>
          <w:sz w:val="28"/>
          <w:szCs w:val="28"/>
        </w:rPr>
      </w:pPr>
      <w:r w:rsidRPr="0053057C">
        <w:rPr>
          <w:rFonts w:ascii="Calibri" w:hAnsi="Calibri" w:cs="Calibri"/>
          <w:b/>
          <w:bCs/>
          <w:sz w:val="28"/>
          <w:szCs w:val="28"/>
        </w:rPr>
        <w:lastRenderedPageBreak/>
        <w:t>Reflections</w:t>
      </w:r>
    </w:p>
    <w:p w14:paraId="52188A46" w14:textId="77777777" w:rsidR="00D14AEC" w:rsidRDefault="00D14AEC" w:rsidP="008A498D">
      <w:pPr>
        <w:spacing w:line="360" w:lineRule="auto"/>
        <w:rPr>
          <w:rFonts w:ascii="Calibri" w:hAnsi="Calibri" w:cs="Calibri"/>
          <w:sz w:val="24"/>
          <w:szCs w:val="24"/>
        </w:rPr>
      </w:pPr>
    </w:p>
    <w:p w14:paraId="5CA10AF3" w14:textId="69A48C42" w:rsidR="008114BF" w:rsidRDefault="008114BF" w:rsidP="008A498D">
      <w:pPr>
        <w:spacing w:line="360" w:lineRule="auto"/>
        <w:rPr>
          <w:rFonts w:ascii="Calibri" w:hAnsi="Calibri" w:cs="Calibri"/>
          <w:sz w:val="24"/>
          <w:szCs w:val="24"/>
        </w:rPr>
      </w:pPr>
      <w:r>
        <w:rPr>
          <w:rFonts w:ascii="Calibri" w:hAnsi="Calibri" w:cs="Calibri"/>
          <w:sz w:val="24"/>
          <w:szCs w:val="24"/>
        </w:rPr>
        <w:t>When reflecting on a recent marketisation paradigm, the shadow side of some of the neoliberal product efficiency and material wealth drivers were being unearthed</w:t>
      </w:r>
      <w:r w:rsidR="00BB0029">
        <w:rPr>
          <w:rFonts w:ascii="Calibri" w:hAnsi="Calibri" w:cs="Calibri"/>
          <w:sz w:val="24"/>
          <w:szCs w:val="24"/>
        </w:rPr>
        <w:t>,</w:t>
      </w:r>
      <w:r>
        <w:rPr>
          <w:rFonts w:ascii="Calibri" w:hAnsi="Calibri" w:cs="Calibri"/>
          <w:sz w:val="24"/>
          <w:szCs w:val="24"/>
        </w:rPr>
        <w:t xml:space="preserve"> which </w:t>
      </w:r>
      <w:r w:rsidR="00BB0029">
        <w:rPr>
          <w:rFonts w:ascii="Calibri" w:hAnsi="Calibri" w:cs="Calibri"/>
          <w:sz w:val="24"/>
          <w:szCs w:val="24"/>
        </w:rPr>
        <w:t>some</w:t>
      </w:r>
      <w:r>
        <w:rPr>
          <w:rFonts w:ascii="Calibri" w:hAnsi="Calibri" w:cs="Calibri"/>
          <w:sz w:val="24"/>
          <w:szCs w:val="24"/>
        </w:rPr>
        <w:t xml:space="preserve"> believe have little to offer community values (Bourdieu, 1999; </w:t>
      </w:r>
      <w:r w:rsidR="009148CA">
        <w:rPr>
          <w:rFonts w:ascii="Calibri" w:hAnsi="Calibri" w:cs="Calibri"/>
          <w:sz w:val="24"/>
          <w:szCs w:val="24"/>
        </w:rPr>
        <w:t>Fleming, 2021;</w:t>
      </w:r>
      <w:r w:rsidR="005B02C2">
        <w:rPr>
          <w:rFonts w:ascii="Calibri" w:hAnsi="Calibri" w:cs="Calibri"/>
          <w:sz w:val="24"/>
          <w:szCs w:val="24"/>
        </w:rPr>
        <w:t xml:space="preserve"> </w:t>
      </w:r>
      <w:r>
        <w:rPr>
          <w:rFonts w:ascii="Calibri" w:hAnsi="Calibri" w:cs="Calibri"/>
          <w:sz w:val="24"/>
          <w:szCs w:val="24"/>
        </w:rPr>
        <w:t>Putnam, 2001; Riesman, 1961)</w:t>
      </w:r>
      <w:r w:rsidR="0040031F">
        <w:rPr>
          <w:rFonts w:ascii="Calibri" w:hAnsi="Calibri" w:cs="Calibri"/>
          <w:sz w:val="24"/>
          <w:szCs w:val="24"/>
        </w:rPr>
        <w:t>.</w:t>
      </w:r>
      <w:r>
        <w:rPr>
          <w:rFonts w:ascii="Calibri" w:hAnsi="Calibri" w:cs="Calibri"/>
          <w:sz w:val="24"/>
          <w:szCs w:val="24"/>
        </w:rPr>
        <w:t xml:space="preserve"> If </w:t>
      </w:r>
      <w:r w:rsidRPr="00E51333">
        <w:rPr>
          <w:rFonts w:ascii="Calibri" w:hAnsi="Calibri" w:cs="Calibri"/>
          <w:sz w:val="24"/>
          <w:szCs w:val="24"/>
        </w:rPr>
        <w:t xml:space="preserve">the cultural concept of the self is influenced by the economics and politics of the cultural environ and era (Cushman, 1990), </w:t>
      </w:r>
      <w:r>
        <w:rPr>
          <w:rFonts w:ascii="Calibri" w:hAnsi="Calibri" w:cs="Calibri"/>
          <w:sz w:val="24"/>
          <w:szCs w:val="24"/>
        </w:rPr>
        <w:t>I am prompted tell a new story beyond these limitations. My hope for this new story is that the humanity of the teacher will be respected and valued. My fears are that if unchallenged, the shadow side of a marketisation culture becomes a monster that requires feeding by human sacrifice.</w:t>
      </w:r>
    </w:p>
    <w:p w14:paraId="292DFF4B" w14:textId="263603A1" w:rsidR="008114BF" w:rsidRDefault="008114BF" w:rsidP="00B57ED5">
      <w:pPr>
        <w:spacing w:line="360" w:lineRule="auto"/>
        <w:rPr>
          <w:rFonts w:ascii="Calibri" w:hAnsi="Calibri" w:cs="Calibri"/>
          <w:sz w:val="24"/>
          <w:szCs w:val="24"/>
        </w:rPr>
      </w:pPr>
      <w:r>
        <w:rPr>
          <w:rFonts w:ascii="Calibri" w:hAnsi="Calibri" w:cs="Calibri"/>
          <w:sz w:val="24"/>
          <w:szCs w:val="24"/>
        </w:rPr>
        <w:t>Booker (2004) defines one of the seven basic plots of storytelling as that of “Overcoming the Monster” (p.23). The story’s hero is called forth to confront a terrifying, all powerful monster</w:t>
      </w:r>
      <w:r w:rsidR="005A18CC">
        <w:rPr>
          <w:rFonts w:ascii="Calibri" w:hAnsi="Calibri" w:cs="Calibri"/>
          <w:sz w:val="24"/>
          <w:szCs w:val="24"/>
        </w:rPr>
        <w:t>. W</w:t>
      </w:r>
      <w:r>
        <w:rPr>
          <w:rFonts w:ascii="Calibri" w:hAnsi="Calibri" w:cs="Calibri"/>
          <w:sz w:val="24"/>
          <w:szCs w:val="24"/>
        </w:rPr>
        <w:t>hen slain, the community and kingdom are liberated from “the shadow of the monster’s threat to its survival” (</w:t>
      </w:r>
      <w:r w:rsidR="00AB1ADC">
        <w:rPr>
          <w:rFonts w:ascii="Calibri" w:hAnsi="Calibri" w:cs="Calibri"/>
          <w:sz w:val="24"/>
          <w:szCs w:val="24"/>
        </w:rPr>
        <w:t>ibid.</w:t>
      </w:r>
      <w:r>
        <w:rPr>
          <w:rFonts w:ascii="Calibri" w:hAnsi="Calibri" w:cs="Calibri"/>
          <w:sz w:val="24"/>
          <w:szCs w:val="24"/>
        </w:rPr>
        <w:t xml:space="preserve">, p.23). I read the </w:t>
      </w:r>
      <w:r w:rsidRPr="00F112BA">
        <w:rPr>
          <w:rFonts w:ascii="Calibri" w:hAnsi="Calibri" w:cs="Calibri"/>
          <w:sz w:val="24"/>
          <w:szCs w:val="24"/>
        </w:rPr>
        <w:t>monster</w:t>
      </w:r>
      <w:r>
        <w:rPr>
          <w:rFonts w:ascii="Calibri" w:hAnsi="Calibri" w:cs="Calibri"/>
          <w:sz w:val="24"/>
          <w:szCs w:val="24"/>
        </w:rPr>
        <w:t xml:space="preserve"> as </w:t>
      </w:r>
      <w:r w:rsidRPr="00AD1E12">
        <w:rPr>
          <w:rFonts w:ascii="Calibri" w:hAnsi="Calibri" w:cs="Calibri"/>
          <w:sz w:val="24"/>
          <w:szCs w:val="24"/>
        </w:rPr>
        <w:t xml:space="preserve">a </w:t>
      </w:r>
      <w:r>
        <w:rPr>
          <w:rFonts w:ascii="Calibri" w:hAnsi="Calibri" w:cs="Calibri"/>
          <w:sz w:val="24"/>
          <w:szCs w:val="24"/>
        </w:rPr>
        <w:t xml:space="preserve">hegemonic </w:t>
      </w:r>
      <w:r w:rsidRPr="0055652D">
        <w:rPr>
          <w:rFonts w:ascii="Calibri" w:hAnsi="Calibri" w:cs="Calibri"/>
          <w:sz w:val="24"/>
          <w:szCs w:val="24"/>
        </w:rPr>
        <w:t xml:space="preserve">market clime </w:t>
      </w:r>
      <w:r>
        <w:rPr>
          <w:rFonts w:ascii="Calibri" w:hAnsi="Calibri" w:cs="Calibri"/>
          <w:sz w:val="24"/>
          <w:szCs w:val="24"/>
        </w:rPr>
        <w:t xml:space="preserve">that </w:t>
      </w:r>
      <w:r w:rsidRPr="001714C0">
        <w:rPr>
          <w:rFonts w:ascii="Calibri" w:hAnsi="Calibri" w:cs="Calibri"/>
          <w:sz w:val="24"/>
          <w:szCs w:val="24"/>
        </w:rPr>
        <w:t>objectifies and dehumanises the collegial person</w:t>
      </w:r>
      <w:r>
        <w:rPr>
          <w:rFonts w:ascii="Calibri" w:hAnsi="Calibri" w:cs="Calibri"/>
          <w:sz w:val="24"/>
          <w:szCs w:val="24"/>
        </w:rPr>
        <w:t xml:space="preserve"> and therein limits social discourse and relationality. The monster system is fear inducing and narcissistic in nature. A narcissistic character is preoccupied with image, and in its shadow form is associated with defence manoeuvres of indirect, verbal aggression and bullying (</w:t>
      </w:r>
      <w:r w:rsidRPr="0052770F">
        <w:rPr>
          <w:rFonts w:ascii="Calibri" w:eastAsia="Calibri" w:hAnsi="Calibri" w:cs="Times New Roman"/>
          <w:sz w:val="24"/>
          <w:szCs w:val="24"/>
        </w:rPr>
        <w:t>Kjærvik</w:t>
      </w:r>
      <w:r>
        <w:rPr>
          <w:rFonts w:ascii="Calibri" w:hAnsi="Calibri" w:cs="Calibri"/>
          <w:sz w:val="24"/>
          <w:szCs w:val="24"/>
        </w:rPr>
        <w:t xml:space="preserve"> and Bushman, 2021). These defences can come to the fore when the carefully crafted image of a narcissistic character</w:t>
      </w:r>
      <w:r w:rsidR="00AF0C04">
        <w:rPr>
          <w:rFonts w:ascii="Calibri" w:hAnsi="Calibri" w:cs="Calibri"/>
          <w:sz w:val="24"/>
          <w:szCs w:val="24"/>
        </w:rPr>
        <w:t xml:space="preserve"> </w:t>
      </w:r>
      <w:r w:rsidR="008B7132">
        <w:rPr>
          <w:rFonts w:ascii="Calibri" w:hAnsi="Calibri" w:cs="Calibri"/>
          <w:sz w:val="24"/>
          <w:szCs w:val="24"/>
        </w:rPr>
        <w:t>and/or</w:t>
      </w:r>
      <w:r>
        <w:rPr>
          <w:rFonts w:ascii="Calibri" w:hAnsi="Calibri" w:cs="Calibri"/>
          <w:sz w:val="24"/>
          <w:szCs w:val="24"/>
        </w:rPr>
        <w:t xml:space="preserve"> system </w:t>
      </w:r>
      <w:r w:rsidR="00AF0C04">
        <w:rPr>
          <w:rFonts w:ascii="Calibri" w:hAnsi="Calibri" w:cs="Calibri"/>
          <w:sz w:val="24"/>
          <w:szCs w:val="24"/>
        </w:rPr>
        <w:t>are</w:t>
      </w:r>
      <w:r>
        <w:rPr>
          <w:rFonts w:ascii="Calibri" w:hAnsi="Calibri" w:cs="Calibri"/>
          <w:sz w:val="24"/>
          <w:szCs w:val="24"/>
        </w:rPr>
        <w:t xml:space="preserve"> challenged. Woe betides the person who pierces the image.</w:t>
      </w:r>
    </w:p>
    <w:p w14:paraId="64A7B31D" w14:textId="058F5BBE" w:rsidR="008114BF" w:rsidRDefault="008114BF" w:rsidP="00B57ED5">
      <w:pPr>
        <w:spacing w:line="360" w:lineRule="auto"/>
        <w:rPr>
          <w:rFonts w:ascii="Calibri" w:hAnsi="Calibri" w:cs="Calibri"/>
          <w:sz w:val="24"/>
          <w:szCs w:val="24"/>
        </w:rPr>
      </w:pPr>
      <w:r w:rsidRPr="007E7767">
        <w:rPr>
          <w:rFonts w:ascii="Calibri" w:hAnsi="Calibri" w:cs="Calibri"/>
          <w:sz w:val="24"/>
          <w:szCs w:val="24"/>
        </w:rPr>
        <w:t xml:space="preserve">Sara Ahmed (2021) </w:t>
      </w:r>
      <w:r>
        <w:rPr>
          <w:rFonts w:ascii="Calibri" w:hAnsi="Calibri" w:cs="Calibri"/>
          <w:sz w:val="24"/>
          <w:szCs w:val="24"/>
        </w:rPr>
        <w:t xml:space="preserve">in </w:t>
      </w:r>
      <w:r w:rsidRPr="00407885">
        <w:rPr>
          <w:rFonts w:ascii="Calibri" w:hAnsi="Calibri" w:cs="Calibri"/>
          <w:i/>
          <w:iCs/>
          <w:sz w:val="24"/>
          <w:szCs w:val="24"/>
        </w:rPr>
        <w:t>Complaint!</w:t>
      </w:r>
      <w:r>
        <w:rPr>
          <w:rFonts w:ascii="Calibri" w:hAnsi="Calibri" w:cs="Calibri"/>
          <w:sz w:val="24"/>
          <w:szCs w:val="24"/>
        </w:rPr>
        <w:t xml:space="preserve"> documents</w:t>
      </w:r>
      <w:r w:rsidRPr="007E7767">
        <w:rPr>
          <w:rFonts w:ascii="Calibri" w:hAnsi="Calibri" w:cs="Calibri"/>
          <w:sz w:val="24"/>
          <w:szCs w:val="24"/>
        </w:rPr>
        <w:t xml:space="preserve"> </w:t>
      </w:r>
      <w:r>
        <w:rPr>
          <w:rFonts w:ascii="Calibri" w:hAnsi="Calibri" w:cs="Calibri"/>
          <w:sz w:val="24"/>
          <w:szCs w:val="24"/>
        </w:rPr>
        <w:t xml:space="preserve">how </w:t>
      </w:r>
      <w:r w:rsidRPr="007E7767">
        <w:rPr>
          <w:rFonts w:ascii="Calibri" w:hAnsi="Calibri" w:cs="Calibri"/>
          <w:sz w:val="24"/>
          <w:szCs w:val="24"/>
        </w:rPr>
        <w:t xml:space="preserve">a multitude of academics </w:t>
      </w:r>
      <w:r>
        <w:rPr>
          <w:rFonts w:ascii="Calibri" w:hAnsi="Calibri" w:cs="Calibri"/>
          <w:sz w:val="24"/>
          <w:szCs w:val="24"/>
        </w:rPr>
        <w:t xml:space="preserve">experienced </w:t>
      </w:r>
      <w:r w:rsidRPr="007E7767">
        <w:rPr>
          <w:rFonts w:ascii="Calibri" w:hAnsi="Calibri" w:cs="Calibri"/>
          <w:sz w:val="24"/>
          <w:szCs w:val="24"/>
        </w:rPr>
        <w:t>“institutional violence” (p.180) whe</w:t>
      </w:r>
      <w:r>
        <w:rPr>
          <w:rFonts w:ascii="Calibri" w:hAnsi="Calibri" w:cs="Calibri"/>
          <w:sz w:val="24"/>
          <w:szCs w:val="24"/>
        </w:rPr>
        <w:t xml:space="preserve">n lodging a complaint against the university </w:t>
      </w:r>
      <w:r w:rsidRPr="007E7767">
        <w:rPr>
          <w:rFonts w:ascii="Calibri" w:hAnsi="Calibri" w:cs="Calibri"/>
          <w:sz w:val="24"/>
          <w:szCs w:val="24"/>
        </w:rPr>
        <w:t xml:space="preserve">system. </w:t>
      </w:r>
      <w:r>
        <w:rPr>
          <w:rFonts w:ascii="Calibri" w:hAnsi="Calibri" w:cs="Calibri"/>
          <w:sz w:val="24"/>
          <w:szCs w:val="24"/>
        </w:rPr>
        <w:t>T</w:t>
      </w:r>
      <w:r w:rsidRPr="007E7767">
        <w:rPr>
          <w:rFonts w:ascii="Calibri" w:hAnsi="Calibri" w:cs="Calibri"/>
          <w:sz w:val="24"/>
          <w:szCs w:val="24"/>
        </w:rPr>
        <w:t xml:space="preserve">he term institutional violence </w:t>
      </w:r>
      <w:r>
        <w:rPr>
          <w:rFonts w:ascii="Calibri" w:hAnsi="Calibri" w:cs="Calibri"/>
          <w:sz w:val="24"/>
          <w:szCs w:val="24"/>
        </w:rPr>
        <w:t xml:space="preserve">is </w:t>
      </w:r>
      <w:r w:rsidRPr="007E7767">
        <w:rPr>
          <w:rFonts w:ascii="Calibri" w:hAnsi="Calibri" w:cs="Calibri"/>
          <w:sz w:val="24"/>
          <w:szCs w:val="24"/>
        </w:rPr>
        <w:t xml:space="preserve">somewhat provocative, </w:t>
      </w:r>
      <w:r>
        <w:rPr>
          <w:rFonts w:ascii="Calibri" w:hAnsi="Calibri" w:cs="Calibri"/>
          <w:sz w:val="24"/>
          <w:szCs w:val="24"/>
        </w:rPr>
        <w:t xml:space="preserve">however the </w:t>
      </w:r>
      <w:r w:rsidRPr="007E7767">
        <w:rPr>
          <w:rFonts w:ascii="Calibri" w:hAnsi="Calibri" w:cs="Calibri"/>
          <w:sz w:val="24"/>
          <w:szCs w:val="24"/>
        </w:rPr>
        <w:t xml:space="preserve">academics interviewed </w:t>
      </w:r>
      <w:r w:rsidRPr="00E442D7">
        <w:rPr>
          <w:rFonts w:ascii="Calibri" w:hAnsi="Calibri" w:cs="Calibri"/>
          <w:i/>
          <w:iCs/>
          <w:sz w:val="24"/>
          <w:szCs w:val="24"/>
        </w:rPr>
        <w:t xml:space="preserve">experienced </w:t>
      </w:r>
      <w:r>
        <w:rPr>
          <w:rFonts w:ascii="Calibri" w:hAnsi="Calibri" w:cs="Calibri"/>
          <w:sz w:val="24"/>
          <w:szCs w:val="24"/>
        </w:rPr>
        <w:t xml:space="preserve">violence and fear when awoken </w:t>
      </w:r>
      <w:r w:rsidR="00C73CC7">
        <w:rPr>
          <w:rFonts w:ascii="Calibri" w:hAnsi="Calibri" w:cs="Calibri"/>
          <w:sz w:val="24"/>
          <w:szCs w:val="24"/>
        </w:rPr>
        <w:t>to and</w:t>
      </w:r>
      <w:r>
        <w:rPr>
          <w:rFonts w:ascii="Calibri" w:hAnsi="Calibri" w:cs="Calibri"/>
          <w:sz w:val="24"/>
          <w:szCs w:val="24"/>
        </w:rPr>
        <w:t xml:space="preserve"> provoked by the power drivers in a </w:t>
      </w:r>
      <w:r w:rsidRPr="00EC0DA1">
        <w:rPr>
          <w:rFonts w:ascii="Calibri" w:hAnsi="Calibri" w:cs="Calibri"/>
          <w:sz w:val="24"/>
          <w:szCs w:val="24"/>
        </w:rPr>
        <w:t>closed system that vehemently defend</w:t>
      </w:r>
      <w:r w:rsidR="003153F4">
        <w:rPr>
          <w:rFonts w:ascii="Calibri" w:hAnsi="Calibri" w:cs="Calibri"/>
          <w:sz w:val="24"/>
          <w:szCs w:val="24"/>
        </w:rPr>
        <w:t>ed</w:t>
      </w:r>
      <w:r w:rsidRPr="00EC0DA1">
        <w:rPr>
          <w:rFonts w:ascii="Calibri" w:hAnsi="Calibri" w:cs="Calibri"/>
          <w:sz w:val="24"/>
          <w:szCs w:val="24"/>
        </w:rPr>
        <w:t xml:space="preserve"> its image. </w:t>
      </w:r>
      <w:r>
        <w:rPr>
          <w:rFonts w:ascii="Calibri" w:hAnsi="Calibri" w:cs="Calibri"/>
          <w:sz w:val="24"/>
          <w:szCs w:val="24"/>
        </w:rPr>
        <w:t>Once awoken to the phenomenology of the institution, Ahmed notes: ”</w:t>
      </w:r>
      <w:r w:rsidR="0079732F">
        <w:rPr>
          <w:rFonts w:ascii="Calibri" w:hAnsi="Calibri" w:cs="Calibri"/>
          <w:sz w:val="24"/>
          <w:szCs w:val="24"/>
        </w:rPr>
        <w:t>y</w:t>
      </w:r>
      <w:r w:rsidRPr="00895055">
        <w:rPr>
          <w:rFonts w:ascii="Calibri" w:hAnsi="Calibri" w:cs="Calibri"/>
          <w:sz w:val="24"/>
          <w:szCs w:val="24"/>
        </w:rPr>
        <w:t>ou become more attuned to the environment of the institution; you begin to perceive what might have been part of the background”</w:t>
      </w:r>
      <w:r>
        <w:rPr>
          <w:rFonts w:ascii="Calibri" w:hAnsi="Calibri" w:cs="Calibri"/>
          <w:sz w:val="24"/>
          <w:szCs w:val="24"/>
        </w:rPr>
        <w:t xml:space="preserve"> (</w:t>
      </w:r>
      <w:r w:rsidR="00C73CC7">
        <w:rPr>
          <w:rFonts w:ascii="Calibri" w:hAnsi="Calibri" w:cs="Calibri"/>
          <w:sz w:val="24"/>
          <w:szCs w:val="24"/>
        </w:rPr>
        <w:t xml:space="preserve">ibid., </w:t>
      </w:r>
      <w:r>
        <w:rPr>
          <w:rFonts w:ascii="Calibri" w:hAnsi="Calibri" w:cs="Calibri"/>
          <w:sz w:val="24"/>
          <w:szCs w:val="24"/>
        </w:rPr>
        <w:t xml:space="preserve">p.41). In this awakening, the marked disparity between the institutional ethos and its behaviours becomes apparent and people become dispensable commodities on a public </w:t>
      </w:r>
      <w:r>
        <w:rPr>
          <w:rFonts w:ascii="Calibri" w:hAnsi="Calibri" w:cs="Calibri"/>
          <w:sz w:val="24"/>
          <w:szCs w:val="24"/>
        </w:rPr>
        <w:lastRenderedPageBreak/>
        <w:t>institution board game. Instead of being vibrant, life-and-knowledge-enhancing forces, they become grey and devoid of colour and human attributes.</w:t>
      </w:r>
    </w:p>
    <w:p w14:paraId="108F5BB2" w14:textId="3F3BD67A" w:rsidR="008114BF" w:rsidRDefault="008114BF" w:rsidP="00B57ED5">
      <w:pPr>
        <w:spacing w:line="360" w:lineRule="auto"/>
        <w:rPr>
          <w:rFonts w:ascii="Calibri" w:hAnsi="Calibri" w:cs="Calibri"/>
          <w:sz w:val="24"/>
          <w:szCs w:val="24"/>
        </w:rPr>
      </w:pPr>
      <w:r>
        <w:rPr>
          <w:rFonts w:ascii="Calibri" w:hAnsi="Calibri" w:cs="Calibri"/>
          <w:sz w:val="24"/>
          <w:szCs w:val="24"/>
        </w:rPr>
        <w:t xml:space="preserve">I am reminded of the children’s book </w:t>
      </w:r>
      <w:r w:rsidRPr="0046447F">
        <w:rPr>
          <w:rFonts w:ascii="Calibri" w:hAnsi="Calibri" w:cs="Calibri"/>
          <w:i/>
          <w:iCs/>
          <w:sz w:val="24"/>
          <w:szCs w:val="24"/>
        </w:rPr>
        <w:t xml:space="preserve">Momo </w:t>
      </w:r>
      <w:r>
        <w:rPr>
          <w:rFonts w:ascii="Calibri" w:hAnsi="Calibri" w:cs="Calibri"/>
          <w:sz w:val="24"/>
          <w:szCs w:val="24"/>
        </w:rPr>
        <w:t xml:space="preserve">(Ende, 1973) which tells the tale of a mostly silent young girl who, by simply being with and listening to people enables them to resolve their problems. Now liberated from their conflicts, people start to engage with play.  As the tale unfolds, suddenly liminal, grey men appear who promote the idea of timesaving among the population and encourage them to deposit time in the </w:t>
      </w:r>
      <w:r w:rsidR="0079732F">
        <w:rPr>
          <w:rFonts w:ascii="Calibri" w:hAnsi="Calibri" w:cs="Calibri"/>
          <w:sz w:val="24"/>
          <w:szCs w:val="24"/>
        </w:rPr>
        <w:t>“</w:t>
      </w:r>
      <w:r>
        <w:rPr>
          <w:rFonts w:ascii="Calibri" w:hAnsi="Calibri" w:cs="Calibri"/>
          <w:sz w:val="24"/>
          <w:szCs w:val="24"/>
        </w:rPr>
        <w:t>Time-saving Bank</w:t>
      </w:r>
      <w:r w:rsidR="0079732F">
        <w:rPr>
          <w:rFonts w:ascii="Calibri" w:hAnsi="Calibri" w:cs="Calibri"/>
          <w:sz w:val="24"/>
          <w:szCs w:val="24"/>
        </w:rPr>
        <w:t>”</w:t>
      </w:r>
      <w:r>
        <w:rPr>
          <w:rFonts w:ascii="Calibri" w:hAnsi="Calibri" w:cs="Calibri"/>
          <w:sz w:val="24"/>
          <w:szCs w:val="24"/>
        </w:rPr>
        <w:t xml:space="preserve">. Their sinister influence affects the whole </w:t>
      </w:r>
      <w:r w:rsidR="00370F57">
        <w:rPr>
          <w:rFonts w:ascii="Calibri" w:hAnsi="Calibri" w:cs="Calibri"/>
          <w:sz w:val="24"/>
          <w:szCs w:val="24"/>
        </w:rPr>
        <w:t>city,</w:t>
      </w:r>
      <w:r>
        <w:rPr>
          <w:rFonts w:ascii="Calibri" w:hAnsi="Calibri" w:cs="Calibri"/>
          <w:sz w:val="24"/>
          <w:szCs w:val="24"/>
        </w:rPr>
        <w:t xml:space="preserve"> and life becomes devoid of all social activities. Momo and her friends eventually defeat the evil force through peaceful social activism. This seminal work warns of the social cost to life and lived experience within a consumerism culture</w:t>
      </w:r>
      <w:r w:rsidR="00CE7FFC">
        <w:rPr>
          <w:rFonts w:ascii="Calibri" w:hAnsi="Calibri" w:cs="Calibri"/>
          <w:sz w:val="24"/>
          <w:szCs w:val="24"/>
        </w:rPr>
        <w:t>,</w:t>
      </w:r>
      <w:r>
        <w:rPr>
          <w:rFonts w:ascii="Calibri" w:hAnsi="Calibri" w:cs="Calibri"/>
          <w:sz w:val="24"/>
          <w:szCs w:val="24"/>
        </w:rPr>
        <w:t xml:space="preserve"> and prophesises a nightmare that can easily become reality (Goodhew</w:t>
      </w:r>
      <w:r w:rsidR="00EB3CC3">
        <w:rPr>
          <w:rFonts w:ascii="Calibri" w:hAnsi="Calibri" w:cs="Calibri"/>
          <w:sz w:val="24"/>
          <w:szCs w:val="24"/>
        </w:rPr>
        <w:t xml:space="preserve"> and Loy</w:t>
      </w:r>
      <w:r>
        <w:rPr>
          <w:rFonts w:ascii="Calibri" w:hAnsi="Calibri" w:cs="Calibri"/>
          <w:sz w:val="24"/>
          <w:szCs w:val="24"/>
        </w:rPr>
        <w:t>, 2001).</w:t>
      </w:r>
      <w:bookmarkStart w:id="18" w:name="_Hlk192067691"/>
      <w:r w:rsidRPr="002A0E70">
        <w:rPr>
          <w:rFonts w:ascii="Calibri" w:hAnsi="Calibri" w:cs="Calibri"/>
          <w:sz w:val="24"/>
          <w:szCs w:val="24"/>
        </w:rPr>
        <w:t xml:space="preserve"> </w:t>
      </w:r>
    </w:p>
    <w:p w14:paraId="66BD6E50" w14:textId="692CFE7A" w:rsidR="008114BF" w:rsidRDefault="008114BF" w:rsidP="00B57ED5">
      <w:pPr>
        <w:spacing w:line="360" w:lineRule="auto"/>
        <w:rPr>
          <w:rFonts w:ascii="Calibri" w:hAnsi="Calibri" w:cs="Calibri"/>
          <w:sz w:val="24"/>
          <w:szCs w:val="24"/>
        </w:rPr>
      </w:pPr>
      <w:r>
        <w:rPr>
          <w:rFonts w:ascii="Calibri" w:hAnsi="Calibri" w:cs="Calibri"/>
          <w:sz w:val="24"/>
          <w:szCs w:val="24"/>
        </w:rPr>
        <w:t xml:space="preserve">Indeed, 25 years ago I was visited by the nightmare of grey men whilst working as a psychotherapist in a doctor’s surgery. Having enjoyed the freedom of liberal session allocation to clients, overnight I received a written directive from the </w:t>
      </w:r>
      <w:r w:rsidR="00AA57B2">
        <w:rPr>
          <w:rFonts w:ascii="Calibri" w:hAnsi="Calibri" w:cs="Calibri"/>
          <w:sz w:val="24"/>
          <w:szCs w:val="24"/>
        </w:rPr>
        <w:t xml:space="preserve">NHS </w:t>
      </w:r>
      <w:r>
        <w:rPr>
          <w:rFonts w:ascii="Calibri" w:hAnsi="Calibri" w:cs="Calibri"/>
          <w:sz w:val="24"/>
          <w:szCs w:val="24"/>
        </w:rPr>
        <w:t xml:space="preserve">Trust to reduce my work to a six-session model. The human cost to clients in the middle of processing difficult stories was unthinkable, and despite my protests, the directive remained. Feeling that the grey men were not considering the human impact, I suggested they relay their directive to each client personally. Clearly not comfortable with this notion, within days, I was granted permission to continue working with clients for six months after which </w:t>
      </w:r>
      <w:r w:rsidR="00C51B38">
        <w:rPr>
          <w:rFonts w:ascii="Calibri" w:hAnsi="Calibri" w:cs="Calibri"/>
          <w:sz w:val="24"/>
          <w:szCs w:val="24"/>
        </w:rPr>
        <w:t xml:space="preserve">a </w:t>
      </w:r>
      <w:r>
        <w:rPr>
          <w:rFonts w:ascii="Calibri" w:hAnsi="Calibri" w:cs="Calibri"/>
          <w:sz w:val="24"/>
          <w:szCs w:val="24"/>
        </w:rPr>
        <w:t>short-term-focussed model would have to be adopted. Needless to say, at the end of this period I resigned from my post.</w:t>
      </w:r>
    </w:p>
    <w:bookmarkEnd w:id="18"/>
    <w:p w14:paraId="74A6EE88" w14:textId="77777777" w:rsidR="008E16A2" w:rsidRDefault="008114BF" w:rsidP="008E16A2">
      <w:pPr>
        <w:spacing w:line="360" w:lineRule="auto"/>
        <w:rPr>
          <w:rFonts w:ascii="Calibri" w:hAnsi="Calibri" w:cs="Calibri"/>
          <w:sz w:val="24"/>
          <w:szCs w:val="24"/>
        </w:rPr>
      </w:pPr>
      <w:r>
        <w:rPr>
          <w:rFonts w:ascii="Calibri" w:hAnsi="Calibri" w:cs="Calibri"/>
          <w:sz w:val="24"/>
          <w:szCs w:val="24"/>
        </w:rPr>
        <w:t xml:space="preserve">Upon </w:t>
      </w:r>
      <w:r w:rsidRPr="00454D79">
        <w:rPr>
          <w:rFonts w:ascii="Calibri" w:hAnsi="Calibri" w:cs="Calibri"/>
          <w:sz w:val="24"/>
          <w:szCs w:val="24"/>
        </w:rPr>
        <w:t xml:space="preserve">contemplating </w:t>
      </w:r>
      <w:r>
        <w:rPr>
          <w:rFonts w:ascii="Calibri" w:hAnsi="Calibri" w:cs="Calibri"/>
          <w:sz w:val="24"/>
          <w:szCs w:val="24"/>
        </w:rPr>
        <w:t xml:space="preserve">the shadow side of organisations, </w:t>
      </w:r>
      <w:r w:rsidRPr="00454D79">
        <w:rPr>
          <w:rFonts w:ascii="Calibri" w:hAnsi="Calibri" w:cs="Calibri"/>
          <w:sz w:val="24"/>
          <w:szCs w:val="24"/>
        </w:rPr>
        <w:t>a</w:t>
      </w:r>
      <w:r>
        <w:rPr>
          <w:rFonts w:ascii="Calibri" w:hAnsi="Calibri" w:cs="Calibri"/>
          <w:sz w:val="24"/>
          <w:szCs w:val="24"/>
        </w:rPr>
        <w:t xml:space="preserve"> common </w:t>
      </w:r>
      <w:r w:rsidRPr="00454D79">
        <w:rPr>
          <w:rFonts w:ascii="Calibri" w:hAnsi="Calibri" w:cs="Calibri"/>
          <w:sz w:val="24"/>
          <w:szCs w:val="24"/>
        </w:rPr>
        <w:t xml:space="preserve">constellation </w:t>
      </w:r>
      <w:r>
        <w:rPr>
          <w:rFonts w:ascii="Calibri" w:hAnsi="Calibri" w:cs="Calibri"/>
          <w:sz w:val="24"/>
          <w:szCs w:val="24"/>
        </w:rPr>
        <w:t xml:space="preserve">in fairy tale lore </w:t>
      </w:r>
      <w:r w:rsidRPr="00454D79">
        <w:rPr>
          <w:rFonts w:ascii="Calibri" w:hAnsi="Calibri" w:cs="Calibri"/>
          <w:sz w:val="24"/>
          <w:szCs w:val="24"/>
        </w:rPr>
        <w:t>of a metaphoric innocent</w:t>
      </w:r>
      <w:r w:rsidR="00C51B38">
        <w:rPr>
          <w:rFonts w:ascii="Calibri" w:hAnsi="Calibri" w:cs="Calibri"/>
          <w:sz w:val="24"/>
          <w:szCs w:val="24"/>
        </w:rPr>
        <w:t xml:space="preserve"> </w:t>
      </w:r>
      <w:r>
        <w:rPr>
          <w:rFonts w:ascii="Calibri" w:hAnsi="Calibri" w:cs="Calibri"/>
          <w:sz w:val="24"/>
          <w:szCs w:val="24"/>
        </w:rPr>
        <w:t>child</w:t>
      </w:r>
      <w:r w:rsidRPr="00454D79">
        <w:rPr>
          <w:rFonts w:ascii="Calibri" w:hAnsi="Calibri" w:cs="Calibri"/>
          <w:sz w:val="24"/>
          <w:szCs w:val="24"/>
        </w:rPr>
        <w:t xml:space="preserve"> and a </w:t>
      </w:r>
      <w:r>
        <w:rPr>
          <w:rFonts w:ascii="Calibri" w:hAnsi="Calibri" w:cs="Calibri"/>
          <w:sz w:val="24"/>
          <w:szCs w:val="24"/>
        </w:rPr>
        <w:t>b</w:t>
      </w:r>
      <w:r w:rsidRPr="00454D79">
        <w:rPr>
          <w:rFonts w:ascii="Calibri" w:hAnsi="Calibri" w:cs="Calibri"/>
          <w:sz w:val="24"/>
          <w:szCs w:val="24"/>
        </w:rPr>
        <w:t xml:space="preserve">enign </w:t>
      </w:r>
      <w:r>
        <w:rPr>
          <w:rFonts w:ascii="Calibri" w:hAnsi="Calibri" w:cs="Calibri"/>
          <w:sz w:val="24"/>
          <w:szCs w:val="24"/>
        </w:rPr>
        <w:t>k</w:t>
      </w:r>
      <w:r w:rsidRPr="00454D79">
        <w:rPr>
          <w:rFonts w:ascii="Calibri" w:hAnsi="Calibri" w:cs="Calibri"/>
          <w:sz w:val="24"/>
          <w:szCs w:val="24"/>
        </w:rPr>
        <w:t>ing</w:t>
      </w:r>
      <w:r>
        <w:rPr>
          <w:rFonts w:ascii="Calibri" w:hAnsi="Calibri" w:cs="Calibri"/>
          <w:sz w:val="24"/>
          <w:szCs w:val="24"/>
        </w:rPr>
        <w:t xml:space="preserve"> comes to mind. This constellation prompts </w:t>
      </w:r>
      <w:r w:rsidRPr="00454D79">
        <w:rPr>
          <w:rFonts w:ascii="Calibri" w:hAnsi="Calibri" w:cs="Calibri"/>
          <w:sz w:val="24"/>
          <w:szCs w:val="24"/>
        </w:rPr>
        <w:t xml:space="preserve">an encounter </w:t>
      </w:r>
      <w:r>
        <w:rPr>
          <w:rFonts w:ascii="Calibri" w:hAnsi="Calibri" w:cs="Calibri"/>
          <w:sz w:val="24"/>
          <w:szCs w:val="24"/>
        </w:rPr>
        <w:t xml:space="preserve">between the child and an </w:t>
      </w:r>
      <w:r w:rsidRPr="00454D79">
        <w:rPr>
          <w:rFonts w:ascii="Calibri" w:hAnsi="Calibri" w:cs="Calibri"/>
          <w:sz w:val="24"/>
          <w:szCs w:val="24"/>
        </w:rPr>
        <w:t>evil</w:t>
      </w:r>
      <w:r>
        <w:rPr>
          <w:rFonts w:ascii="Calibri" w:hAnsi="Calibri" w:cs="Calibri"/>
          <w:sz w:val="24"/>
          <w:szCs w:val="24"/>
        </w:rPr>
        <w:t xml:space="preserve">, </w:t>
      </w:r>
      <w:r w:rsidRPr="00454D79">
        <w:rPr>
          <w:rFonts w:ascii="Calibri" w:hAnsi="Calibri" w:cs="Calibri"/>
          <w:sz w:val="24"/>
          <w:szCs w:val="24"/>
        </w:rPr>
        <w:t>narcissistic figure</w:t>
      </w:r>
      <w:r>
        <w:rPr>
          <w:rFonts w:ascii="Calibri" w:hAnsi="Calibri" w:cs="Calibri"/>
          <w:sz w:val="24"/>
          <w:szCs w:val="24"/>
        </w:rPr>
        <w:t>, i</w:t>
      </w:r>
      <w:r w:rsidRPr="00454D79">
        <w:rPr>
          <w:rFonts w:ascii="Calibri" w:hAnsi="Calibri" w:cs="Calibri"/>
          <w:sz w:val="24"/>
          <w:szCs w:val="24"/>
        </w:rPr>
        <w:t>ndeed, Hillman (</w:t>
      </w:r>
      <w:r>
        <w:rPr>
          <w:rFonts w:ascii="Calibri" w:hAnsi="Calibri" w:cs="Calibri"/>
          <w:sz w:val="24"/>
          <w:szCs w:val="24"/>
        </w:rPr>
        <w:t>1996/1997</w:t>
      </w:r>
      <w:r w:rsidRPr="00454D79">
        <w:rPr>
          <w:rFonts w:ascii="Calibri" w:hAnsi="Calibri" w:cs="Calibri"/>
          <w:sz w:val="24"/>
          <w:szCs w:val="24"/>
        </w:rPr>
        <w:t xml:space="preserve">) believes that evil </w:t>
      </w:r>
      <w:r>
        <w:rPr>
          <w:rFonts w:ascii="Calibri" w:hAnsi="Calibri" w:cs="Calibri"/>
          <w:sz w:val="24"/>
          <w:szCs w:val="24"/>
        </w:rPr>
        <w:t xml:space="preserve">and </w:t>
      </w:r>
      <w:r w:rsidRPr="00454D79">
        <w:rPr>
          <w:rFonts w:ascii="Calibri" w:hAnsi="Calibri" w:cs="Calibri"/>
          <w:sz w:val="24"/>
          <w:szCs w:val="24"/>
        </w:rPr>
        <w:t>innocence</w:t>
      </w:r>
      <w:r>
        <w:rPr>
          <w:rFonts w:ascii="Calibri" w:hAnsi="Calibri" w:cs="Calibri"/>
          <w:sz w:val="24"/>
          <w:szCs w:val="24"/>
        </w:rPr>
        <w:t xml:space="preserve"> are drawn to one another and inextricably bound. This constellation prompts the beginning of an individuation journey, acts </w:t>
      </w:r>
      <w:r w:rsidRPr="00454D79">
        <w:rPr>
          <w:rFonts w:ascii="Calibri" w:hAnsi="Calibri" w:cs="Calibri"/>
          <w:sz w:val="24"/>
          <w:szCs w:val="24"/>
        </w:rPr>
        <w:t xml:space="preserve">as a warning of the dangers of polarised positions </w:t>
      </w:r>
      <w:r>
        <w:rPr>
          <w:rFonts w:ascii="Calibri" w:hAnsi="Calibri" w:cs="Calibri"/>
          <w:sz w:val="24"/>
          <w:szCs w:val="24"/>
        </w:rPr>
        <w:t xml:space="preserve">and is a reminder of </w:t>
      </w:r>
      <w:r w:rsidRPr="00454D79">
        <w:rPr>
          <w:rFonts w:ascii="Calibri" w:hAnsi="Calibri" w:cs="Calibri"/>
          <w:sz w:val="24"/>
          <w:szCs w:val="24"/>
        </w:rPr>
        <w:t xml:space="preserve">the importance of finding </w:t>
      </w:r>
      <w:r>
        <w:rPr>
          <w:rFonts w:ascii="Calibri" w:hAnsi="Calibri" w:cs="Calibri"/>
          <w:sz w:val="24"/>
          <w:szCs w:val="24"/>
        </w:rPr>
        <w:t xml:space="preserve">a pathway in the middle. Stories shed light on our humanity and the underlying patterns and purpose of our lives (Booker, 2004) and it is my responsibility as a researcher to forge another pathway that honours a new, purposeful and humane story. </w:t>
      </w:r>
    </w:p>
    <w:p w14:paraId="6EE8D564" w14:textId="77777777" w:rsidR="00A14ECF" w:rsidRDefault="00A14ECF" w:rsidP="008E16A2">
      <w:pPr>
        <w:spacing w:line="360" w:lineRule="auto"/>
        <w:rPr>
          <w:rFonts w:ascii="Calibri" w:hAnsi="Calibri" w:cs="Calibri"/>
          <w:sz w:val="56"/>
          <w:szCs w:val="56"/>
        </w:rPr>
      </w:pPr>
    </w:p>
    <w:p w14:paraId="7FB2E85C" w14:textId="77777777" w:rsidR="00A14ECF" w:rsidRDefault="00A14ECF" w:rsidP="008E16A2">
      <w:pPr>
        <w:spacing w:line="360" w:lineRule="auto"/>
        <w:rPr>
          <w:rFonts w:ascii="Calibri" w:hAnsi="Calibri" w:cs="Calibri"/>
          <w:sz w:val="56"/>
          <w:szCs w:val="56"/>
        </w:rPr>
      </w:pPr>
    </w:p>
    <w:p w14:paraId="5F956BF0" w14:textId="77777777" w:rsidR="00A14ECF" w:rsidRDefault="00A14ECF" w:rsidP="008E16A2">
      <w:pPr>
        <w:spacing w:line="360" w:lineRule="auto"/>
        <w:rPr>
          <w:rFonts w:ascii="Calibri" w:hAnsi="Calibri" w:cs="Calibri"/>
          <w:sz w:val="56"/>
          <w:szCs w:val="56"/>
        </w:rPr>
      </w:pPr>
    </w:p>
    <w:p w14:paraId="6E9551E4" w14:textId="77777777" w:rsidR="00A14ECF" w:rsidRDefault="00A14ECF" w:rsidP="008E16A2">
      <w:pPr>
        <w:spacing w:line="360" w:lineRule="auto"/>
        <w:rPr>
          <w:rFonts w:ascii="Calibri" w:hAnsi="Calibri" w:cs="Calibri"/>
          <w:sz w:val="56"/>
          <w:szCs w:val="56"/>
        </w:rPr>
      </w:pPr>
    </w:p>
    <w:p w14:paraId="7785D738" w14:textId="77777777" w:rsidR="00A14ECF" w:rsidRDefault="00A14ECF" w:rsidP="008E16A2">
      <w:pPr>
        <w:spacing w:line="360" w:lineRule="auto"/>
        <w:rPr>
          <w:rFonts w:ascii="Calibri" w:hAnsi="Calibri" w:cs="Calibri"/>
          <w:sz w:val="56"/>
          <w:szCs w:val="56"/>
        </w:rPr>
      </w:pPr>
    </w:p>
    <w:p w14:paraId="2C8D9244" w14:textId="77777777" w:rsidR="00A14ECF" w:rsidRDefault="00A14ECF" w:rsidP="008E16A2">
      <w:pPr>
        <w:spacing w:line="360" w:lineRule="auto"/>
        <w:rPr>
          <w:rFonts w:ascii="Calibri" w:hAnsi="Calibri" w:cs="Calibri"/>
          <w:sz w:val="56"/>
          <w:szCs w:val="56"/>
        </w:rPr>
      </w:pPr>
    </w:p>
    <w:p w14:paraId="6190B5A8" w14:textId="649E6B77" w:rsidR="002E2ABD" w:rsidRPr="003724C8" w:rsidRDefault="00751611" w:rsidP="00A14ECF">
      <w:pPr>
        <w:spacing w:line="360" w:lineRule="auto"/>
        <w:ind w:left="720" w:firstLine="720"/>
        <w:rPr>
          <w:rFonts w:ascii="Calibri" w:hAnsi="Calibri" w:cs="Calibri"/>
          <w:sz w:val="24"/>
          <w:szCs w:val="24"/>
        </w:rPr>
      </w:pPr>
      <w:r w:rsidRPr="00751611">
        <w:rPr>
          <w:sz w:val="56"/>
          <w:szCs w:val="56"/>
        </w:rPr>
        <w:t xml:space="preserve">Chapter Three: </w:t>
      </w:r>
      <w:r w:rsidR="002E2ABD" w:rsidRPr="00751611">
        <w:rPr>
          <w:sz w:val="56"/>
          <w:szCs w:val="56"/>
        </w:rPr>
        <w:t>The Encounter</w:t>
      </w:r>
    </w:p>
    <w:p w14:paraId="0795E851" w14:textId="77777777" w:rsidR="002E2ABD" w:rsidRDefault="002E2ABD" w:rsidP="00885A13">
      <w:pPr>
        <w:ind w:left="720"/>
        <w:rPr>
          <w:sz w:val="32"/>
          <w:szCs w:val="32"/>
        </w:rPr>
      </w:pPr>
    </w:p>
    <w:p w14:paraId="1CFE2FB0" w14:textId="77777777" w:rsidR="002E2ABD" w:rsidRDefault="002E2ABD" w:rsidP="00885A13">
      <w:pPr>
        <w:ind w:left="720"/>
        <w:rPr>
          <w:sz w:val="32"/>
          <w:szCs w:val="32"/>
        </w:rPr>
      </w:pPr>
    </w:p>
    <w:p w14:paraId="5E78389F" w14:textId="77777777" w:rsidR="002E2ABD" w:rsidRDefault="002E2ABD" w:rsidP="00885A13">
      <w:pPr>
        <w:ind w:left="720"/>
        <w:rPr>
          <w:sz w:val="32"/>
          <w:szCs w:val="32"/>
        </w:rPr>
      </w:pPr>
    </w:p>
    <w:p w14:paraId="452102C1" w14:textId="77777777" w:rsidR="002E2ABD" w:rsidRPr="00C65A71" w:rsidRDefault="002E2ABD" w:rsidP="00885A13">
      <w:pPr>
        <w:ind w:left="720"/>
        <w:rPr>
          <w:sz w:val="96"/>
          <w:szCs w:val="96"/>
        </w:rPr>
      </w:pPr>
    </w:p>
    <w:p w14:paraId="1E737B89" w14:textId="77777777" w:rsidR="002E2ABD" w:rsidRDefault="002E2ABD" w:rsidP="00885A13">
      <w:pPr>
        <w:ind w:left="720"/>
        <w:rPr>
          <w:sz w:val="32"/>
          <w:szCs w:val="32"/>
        </w:rPr>
      </w:pPr>
    </w:p>
    <w:p w14:paraId="3F491DF5" w14:textId="77777777" w:rsidR="002E2ABD" w:rsidRDefault="002E2ABD" w:rsidP="002E2ABD">
      <w:pPr>
        <w:rPr>
          <w:sz w:val="32"/>
          <w:szCs w:val="32"/>
        </w:rPr>
      </w:pPr>
    </w:p>
    <w:p w14:paraId="0E25FC29" w14:textId="77777777" w:rsidR="00B93062" w:rsidRDefault="00B93062" w:rsidP="00A14ECF">
      <w:pPr>
        <w:rPr>
          <w:b/>
          <w:bCs/>
          <w:sz w:val="24"/>
          <w:szCs w:val="24"/>
        </w:rPr>
      </w:pPr>
    </w:p>
    <w:p w14:paraId="6A972304" w14:textId="77777777" w:rsidR="00B93062" w:rsidRDefault="00B93062" w:rsidP="005B444A">
      <w:pPr>
        <w:ind w:left="2160" w:firstLine="720"/>
        <w:rPr>
          <w:b/>
          <w:bCs/>
          <w:sz w:val="24"/>
          <w:szCs w:val="24"/>
        </w:rPr>
      </w:pPr>
    </w:p>
    <w:p w14:paraId="27508EC5" w14:textId="1AA83785" w:rsidR="002E2ABD" w:rsidRPr="00A14ECF" w:rsidRDefault="002E2ABD" w:rsidP="005B444A">
      <w:pPr>
        <w:ind w:left="2160" w:firstLine="720"/>
        <w:rPr>
          <w:b/>
          <w:bCs/>
          <w:sz w:val="28"/>
          <w:szCs w:val="28"/>
        </w:rPr>
      </w:pPr>
      <w:r w:rsidRPr="00A14ECF">
        <w:rPr>
          <w:b/>
          <w:bCs/>
          <w:sz w:val="28"/>
          <w:szCs w:val="28"/>
        </w:rPr>
        <w:lastRenderedPageBreak/>
        <w:t xml:space="preserve">Chapter </w:t>
      </w:r>
      <w:r w:rsidR="005F0E16" w:rsidRPr="00A14ECF">
        <w:rPr>
          <w:b/>
          <w:bCs/>
          <w:sz w:val="28"/>
          <w:szCs w:val="28"/>
        </w:rPr>
        <w:t>Three</w:t>
      </w:r>
      <w:r w:rsidR="002C4A65">
        <w:rPr>
          <w:b/>
          <w:bCs/>
          <w:sz w:val="28"/>
          <w:szCs w:val="28"/>
        </w:rPr>
        <w:t>:</w:t>
      </w:r>
      <w:r w:rsidRPr="00A14ECF">
        <w:rPr>
          <w:b/>
          <w:bCs/>
          <w:sz w:val="28"/>
          <w:szCs w:val="28"/>
        </w:rPr>
        <w:t xml:space="preserve"> The Encounter</w:t>
      </w:r>
    </w:p>
    <w:p w14:paraId="09683795" w14:textId="77777777" w:rsidR="00A14ECF" w:rsidRDefault="00A14ECF" w:rsidP="00782B03">
      <w:pPr>
        <w:ind w:left="720"/>
      </w:pPr>
    </w:p>
    <w:p w14:paraId="5881DEA0" w14:textId="39E5BE53" w:rsidR="002E2ABD" w:rsidRPr="00324D73" w:rsidRDefault="002E2ABD" w:rsidP="00782B03">
      <w:pPr>
        <w:ind w:left="720"/>
      </w:pPr>
      <w:r w:rsidRPr="00324D73">
        <w:t>Once the hero or heroine crosses to the other side, strange shapes begin to materialise</w:t>
      </w:r>
      <w:r w:rsidR="0008071C">
        <w:t xml:space="preserve"> -</w:t>
      </w:r>
      <w:r w:rsidRPr="00324D73">
        <w:t xml:space="preserve"> mysterious animals, enchanted objects, benevolent helpers, and ultimately the witch</w:t>
      </w:r>
      <w:r>
        <w:t>. T</w:t>
      </w:r>
      <w:r w:rsidRPr="00324D73">
        <w:t>he witch is the obstacle the child must overcome if the journey is to succeed.</w:t>
      </w:r>
    </w:p>
    <w:p w14:paraId="09468FC6" w14:textId="77777777" w:rsidR="002E2ABD" w:rsidRDefault="002E2ABD" w:rsidP="00173DBD">
      <w:pPr>
        <w:ind w:left="5760" w:firstLine="720"/>
        <w:rPr>
          <w:sz w:val="20"/>
          <w:szCs w:val="20"/>
        </w:rPr>
      </w:pPr>
      <w:r w:rsidRPr="00324D73">
        <w:rPr>
          <w:sz w:val="20"/>
          <w:szCs w:val="20"/>
        </w:rPr>
        <w:t>(Cashdan, 1999, pp.33-34)</w:t>
      </w:r>
    </w:p>
    <w:p w14:paraId="0A96DA81" w14:textId="4F0C5205" w:rsidR="00C21798" w:rsidRPr="006C366D" w:rsidRDefault="006C366D" w:rsidP="00187233">
      <w:pPr>
        <w:spacing w:line="360" w:lineRule="auto"/>
        <w:rPr>
          <w:b/>
          <w:bCs/>
          <w:sz w:val="24"/>
          <w:szCs w:val="24"/>
        </w:rPr>
      </w:pPr>
      <w:r w:rsidRPr="006C366D">
        <w:rPr>
          <w:b/>
          <w:bCs/>
          <w:sz w:val="24"/>
          <w:szCs w:val="24"/>
        </w:rPr>
        <w:t>Introduction</w:t>
      </w:r>
    </w:p>
    <w:p w14:paraId="528908FD" w14:textId="1E41C4BB" w:rsidR="002E2ABD" w:rsidRDefault="002E2ABD" w:rsidP="00187233">
      <w:pPr>
        <w:spacing w:line="360" w:lineRule="auto"/>
        <w:rPr>
          <w:sz w:val="24"/>
          <w:szCs w:val="24"/>
        </w:rPr>
      </w:pPr>
      <w:r>
        <w:rPr>
          <w:sz w:val="24"/>
          <w:szCs w:val="24"/>
        </w:rPr>
        <w:t>In this chapter the researcher awaits the materialisation of any “strange shapes” (Cashdan, 1999, pp.33-34) within the literature. The hope is that a pathway emerges</w:t>
      </w:r>
      <w:r w:rsidRPr="009761BD">
        <w:rPr>
          <w:sz w:val="24"/>
          <w:szCs w:val="24"/>
        </w:rPr>
        <w:t xml:space="preserve"> </w:t>
      </w:r>
      <w:r>
        <w:rPr>
          <w:sz w:val="24"/>
          <w:szCs w:val="24"/>
        </w:rPr>
        <w:t>from any cracks that reveal themselves</w:t>
      </w:r>
      <w:r w:rsidRPr="00FD3089">
        <w:rPr>
          <w:sz w:val="24"/>
          <w:szCs w:val="24"/>
        </w:rPr>
        <w:t xml:space="preserve"> which this study seeks to address</w:t>
      </w:r>
      <w:r>
        <w:rPr>
          <w:sz w:val="24"/>
          <w:szCs w:val="24"/>
        </w:rPr>
        <w:t xml:space="preserve">. The journey </w:t>
      </w:r>
      <w:r w:rsidRPr="00B3245D">
        <w:rPr>
          <w:sz w:val="24"/>
          <w:szCs w:val="24"/>
        </w:rPr>
        <w:t xml:space="preserve">requires a willingness to be open to possibilities and an ability to </w:t>
      </w:r>
      <w:r>
        <w:rPr>
          <w:sz w:val="24"/>
          <w:szCs w:val="24"/>
        </w:rPr>
        <w:t>encounter</w:t>
      </w:r>
      <w:r w:rsidRPr="00B3245D">
        <w:rPr>
          <w:sz w:val="24"/>
          <w:szCs w:val="24"/>
        </w:rPr>
        <w:t xml:space="preserve"> the darkness of the unknown. As a researcher</w:t>
      </w:r>
      <w:r>
        <w:rPr>
          <w:sz w:val="24"/>
          <w:szCs w:val="24"/>
        </w:rPr>
        <w:t xml:space="preserve"> </w:t>
      </w:r>
      <w:r w:rsidRPr="00B3245D">
        <w:rPr>
          <w:sz w:val="24"/>
          <w:szCs w:val="24"/>
        </w:rPr>
        <w:t>I embrace this challenge</w:t>
      </w:r>
      <w:r w:rsidR="009F6EB4">
        <w:rPr>
          <w:sz w:val="24"/>
          <w:szCs w:val="24"/>
        </w:rPr>
        <w:t xml:space="preserve">. </w:t>
      </w:r>
      <w:r w:rsidR="00D67C52">
        <w:rPr>
          <w:sz w:val="24"/>
          <w:szCs w:val="24"/>
        </w:rPr>
        <w:t>Indeed,</w:t>
      </w:r>
      <w:r w:rsidR="009F6EB4">
        <w:rPr>
          <w:sz w:val="24"/>
          <w:szCs w:val="24"/>
        </w:rPr>
        <w:t xml:space="preserve"> </w:t>
      </w:r>
      <w:r w:rsidR="00DD4931">
        <w:rPr>
          <w:sz w:val="24"/>
          <w:szCs w:val="24"/>
        </w:rPr>
        <w:t>the crossing into</w:t>
      </w:r>
      <w:r w:rsidR="005D0A04">
        <w:rPr>
          <w:sz w:val="24"/>
          <w:szCs w:val="24"/>
        </w:rPr>
        <w:t xml:space="preserve"> the possibilities </w:t>
      </w:r>
      <w:r w:rsidR="00722628">
        <w:rPr>
          <w:sz w:val="24"/>
          <w:szCs w:val="24"/>
        </w:rPr>
        <w:t>within the</w:t>
      </w:r>
      <w:r w:rsidR="005D0A04">
        <w:rPr>
          <w:sz w:val="24"/>
          <w:szCs w:val="24"/>
        </w:rPr>
        <w:t xml:space="preserve"> scholarship </w:t>
      </w:r>
      <w:r w:rsidR="00E9247F">
        <w:rPr>
          <w:sz w:val="24"/>
          <w:szCs w:val="24"/>
        </w:rPr>
        <w:t xml:space="preserve">whilst testing the utility </w:t>
      </w:r>
      <w:r w:rsidR="00F32CAC">
        <w:rPr>
          <w:sz w:val="24"/>
          <w:szCs w:val="24"/>
        </w:rPr>
        <w:t xml:space="preserve">of </w:t>
      </w:r>
      <w:r w:rsidR="00A03B62">
        <w:rPr>
          <w:sz w:val="24"/>
          <w:szCs w:val="24"/>
        </w:rPr>
        <w:t>the three</w:t>
      </w:r>
      <w:r w:rsidR="0089673E">
        <w:rPr>
          <w:sz w:val="24"/>
          <w:szCs w:val="24"/>
        </w:rPr>
        <w:t xml:space="preserve"> areas under scrutiny</w:t>
      </w:r>
      <w:r w:rsidR="00C830D3">
        <w:rPr>
          <w:sz w:val="24"/>
          <w:szCs w:val="24"/>
        </w:rPr>
        <w:t xml:space="preserve"> - </w:t>
      </w:r>
      <w:r w:rsidR="0089673E">
        <w:rPr>
          <w:sz w:val="24"/>
          <w:szCs w:val="24"/>
        </w:rPr>
        <w:t xml:space="preserve">emotions, reflective practice and holding - </w:t>
      </w:r>
      <w:r w:rsidR="008947F3">
        <w:rPr>
          <w:sz w:val="24"/>
          <w:szCs w:val="24"/>
        </w:rPr>
        <w:t xml:space="preserve">involved </w:t>
      </w:r>
      <w:r w:rsidR="00535895">
        <w:rPr>
          <w:sz w:val="24"/>
          <w:szCs w:val="24"/>
        </w:rPr>
        <w:t xml:space="preserve">embracing </w:t>
      </w:r>
      <w:r w:rsidR="001C1C02">
        <w:rPr>
          <w:sz w:val="24"/>
          <w:szCs w:val="24"/>
        </w:rPr>
        <w:t>the challenge of the process of finding</w:t>
      </w:r>
      <w:r w:rsidR="00C12715">
        <w:rPr>
          <w:sz w:val="24"/>
          <w:szCs w:val="24"/>
        </w:rPr>
        <w:t>, gathering</w:t>
      </w:r>
      <w:r w:rsidR="003D5CB9">
        <w:rPr>
          <w:sz w:val="24"/>
          <w:szCs w:val="24"/>
        </w:rPr>
        <w:t xml:space="preserve">, </w:t>
      </w:r>
      <w:r w:rsidR="00C12715">
        <w:rPr>
          <w:sz w:val="24"/>
          <w:szCs w:val="24"/>
        </w:rPr>
        <w:t>culling</w:t>
      </w:r>
      <w:r w:rsidR="0073682B">
        <w:rPr>
          <w:sz w:val="24"/>
          <w:szCs w:val="24"/>
        </w:rPr>
        <w:t xml:space="preserve"> </w:t>
      </w:r>
      <w:r w:rsidR="007C7AD3">
        <w:rPr>
          <w:sz w:val="24"/>
          <w:szCs w:val="24"/>
        </w:rPr>
        <w:t xml:space="preserve">and shaping </w:t>
      </w:r>
      <w:r w:rsidR="0073682B">
        <w:rPr>
          <w:sz w:val="24"/>
          <w:szCs w:val="24"/>
        </w:rPr>
        <w:t>the literature</w:t>
      </w:r>
      <w:r w:rsidR="00306CF3">
        <w:rPr>
          <w:sz w:val="24"/>
          <w:szCs w:val="24"/>
        </w:rPr>
        <w:t xml:space="preserve"> review</w:t>
      </w:r>
      <w:r w:rsidR="004F2922">
        <w:rPr>
          <w:sz w:val="24"/>
          <w:szCs w:val="24"/>
        </w:rPr>
        <w:t xml:space="preserve"> which I shall </w:t>
      </w:r>
      <w:r w:rsidR="00D67C52">
        <w:rPr>
          <w:sz w:val="24"/>
          <w:szCs w:val="24"/>
        </w:rPr>
        <w:t>briefly describe.</w:t>
      </w:r>
    </w:p>
    <w:p w14:paraId="621AE30C" w14:textId="71DDA21C" w:rsidR="00D67C52" w:rsidRPr="00C27E31" w:rsidRDefault="00C27E31" w:rsidP="00187233">
      <w:pPr>
        <w:spacing w:line="360" w:lineRule="auto"/>
        <w:rPr>
          <w:sz w:val="24"/>
          <w:szCs w:val="24"/>
        </w:rPr>
      </w:pPr>
      <w:r>
        <w:rPr>
          <w:sz w:val="24"/>
          <w:szCs w:val="24"/>
        </w:rPr>
        <w:t>I am sure all literature reviews begin their journe</w:t>
      </w:r>
      <w:r w:rsidR="000B3E55">
        <w:rPr>
          <w:sz w:val="24"/>
          <w:szCs w:val="24"/>
        </w:rPr>
        <w:t xml:space="preserve">ys in an unsystematic fashion as the researcher </w:t>
      </w:r>
      <w:r w:rsidR="00E74C6F">
        <w:rPr>
          <w:sz w:val="24"/>
          <w:szCs w:val="24"/>
        </w:rPr>
        <w:t xml:space="preserve">begins to </w:t>
      </w:r>
      <w:r w:rsidR="000B3E55">
        <w:rPr>
          <w:sz w:val="24"/>
          <w:szCs w:val="24"/>
        </w:rPr>
        <w:t>gather</w:t>
      </w:r>
      <w:r w:rsidR="00F079A9">
        <w:rPr>
          <w:sz w:val="24"/>
          <w:szCs w:val="24"/>
        </w:rPr>
        <w:t xml:space="preserve"> and review the fruits of other scholars’ </w:t>
      </w:r>
      <w:r w:rsidR="00E16F88">
        <w:rPr>
          <w:sz w:val="24"/>
          <w:szCs w:val="24"/>
        </w:rPr>
        <w:t xml:space="preserve">labours and findings. </w:t>
      </w:r>
      <w:r w:rsidR="00DE5573">
        <w:rPr>
          <w:sz w:val="24"/>
          <w:szCs w:val="24"/>
        </w:rPr>
        <w:t>Passionate about the research and w</w:t>
      </w:r>
      <w:r w:rsidR="00514E50">
        <w:rPr>
          <w:sz w:val="24"/>
          <w:szCs w:val="24"/>
        </w:rPr>
        <w:t>anting to initiall</w:t>
      </w:r>
      <w:r w:rsidR="00930D10">
        <w:rPr>
          <w:sz w:val="24"/>
          <w:szCs w:val="24"/>
        </w:rPr>
        <w:t xml:space="preserve">y include everything I read, </w:t>
      </w:r>
      <w:r w:rsidR="00AF39EF">
        <w:rPr>
          <w:sz w:val="24"/>
          <w:szCs w:val="24"/>
        </w:rPr>
        <w:t xml:space="preserve">the </w:t>
      </w:r>
      <w:r w:rsidR="00F7568E">
        <w:rPr>
          <w:sz w:val="24"/>
          <w:szCs w:val="24"/>
        </w:rPr>
        <w:t xml:space="preserve">unsystematic gathering </w:t>
      </w:r>
      <w:r w:rsidR="00256DEA">
        <w:rPr>
          <w:sz w:val="24"/>
          <w:szCs w:val="24"/>
        </w:rPr>
        <w:t>of literature</w:t>
      </w:r>
      <w:r w:rsidR="00AF39EF">
        <w:rPr>
          <w:sz w:val="24"/>
          <w:szCs w:val="24"/>
        </w:rPr>
        <w:t xml:space="preserve"> </w:t>
      </w:r>
      <w:r w:rsidR="002E7B97">
        <w:rPr>
          <w:sz w:val="24"/>
          <w:szCs w:val="24"/>
        </w:rPr>
        <w:t>grew and grew exponentially</w:t>
      </w:r>
      <w:r w:rsidR="001D1606">
        <w:rPr>
          <w:sz w:val="24"/>
          <w:szCs w:val="24"/>
        </w:rPr>
        <w:t xml:space="preserve">; at one point </w:t>
      </w:r>
      <w:r w:rsidR="003F0B48">
        <w:rPr>
          <w:sz w:val="24"/>
          <w:szCs w:val="24"/>
        </w:rPr>
        <w:t>th</w:t>
      </w:r>
      <w:r w:rsidR="00A249CA">
        <w:rPr>
          <w:sz w:val="24"/>
          <w:szCs w:val="24"/>
        </w:rPr>
        <w:t xml:space="preserve">is chapter comprised </w:t>
      </w:r>
      <w:r w:rsidR="003F0509">
        <w:rPr>
          <w:sz w:val="24"/>
          <w:szCs w:val="24"/>
        </w:rPr>
        <w:t xml:space="preserve">some 23,000 words. </w:t>
      </w:r>
      <w:r w:rsidR="00401D58">
        <w:rPr>
          <w:sz w:val="24"/>
          <w:szCs w:val="24"/>
        </w:rPr>
        <w:t>A structure</w:t>
      </w:r>
      <w:r w:rsidR="0042211F">
        <w:rPr>
          <w:sz w:val="24"/>
          <w:szCs w:val="24"/>
        </w:rPr>
        <w:t xml:space="preserve"> to anchor the writing was first </w:t>
      </w:r>
      <w:r w:rsidR="0090202D">
        <w:rPr>
          <w:sz w:val="24"/>
          <w:szCs w:val="24"/>
        </w:rPr>
        <w:t>required before the necessary culling</w:t>
      </w:r>
      <w:r w:rsidR="00EA452F">
        <w:rPr>
          <w:sz w:val="24"/>
          <w:szCs w:val="24"/>
        </w:rPr>
        <w:t xml:space="preserve"> and editing</w:t>
      </w:r>
      <w:r w:rsidR="0090202D">
        <w:rPr>
          <w:sz w:val="24"/>
          <w:szCs w:val="24"/>
        </w:rPr>
        <w:t xml:space="preserve"> could begin. </w:t>
      </w:r>
      <w:r w:rsidR="00846BE5">
        <w:rPr>
          <w:sz w:val="24"/>
          <w:szCs w:val="24"/>
        </w:rPr>
        <w:t>This was achieved b</w:t>
      </w:r>
      <w:r w:rsidR="00EA452F">
        <w:rPr>
          <w:sz w:val="24"/>
          <w:szCs w:val="24"/>
        </w:rPr>
        <w:t xml:space="preserve">y </w:t>
      </w:r>
      <w:r w:rsidR="00293BA5">
        <w:rPr>
          <w:sz w:val="24"/>
          <w:szCs w:val="24"/>
        </w:rPr>
        <w:t>reading multiple theses</w:t>
      </w:r>
      <w:r w:rsidR="00C02855">
        <w:rPr>
          <w:sz w:val="24"/>
          <w:szCs w:val="24"/>
        </w:rPr>
        <w:t xml:space="preserve"> and </w:t>
      </w:r>
      <w:r w:rsidR="00293BA5">
        <w:rPr>
          <w:sz w:val="24"/>
          <w:szCs w:val="24"/>
        </w:rPr>
        <w:t xml:space="preserve">research papers </w:t>
      </w:r>
      <w:r w:rsidR="00C02855">
        <w:rPr>
          <w:sz w:val="24"/>
          <w:szCs w:val="24"/>
        </w:rPr>
        <w:t xml:space="preserve">to </w:t>
      </w:r>
      <w:r w:rsidR="00267511">
        <w:rPr>
          <w:sz w:val="24"/>
          <w:szCs w:val="24"/>
        </w:rPr>
        <w:t>understand</w:t>
      </w:r>
      <w:r w:rsidR="00C02855">
        <w:rPr>
          <w:sz w:val="24"/>
          <w:szCs w:val="24"/>
        </w:rPr>
        <w:t xml:space="preserve"> </w:t>
      </w:r>
      <w:r w:rsidR="00D3454D">
        <w:rPr>
          <w:sz w:val="24"/>
          <w:szCs w:val="24"/>
        </w:rPr>
        <w:t>the layout of categories and themes</w:t>
      </w:r>
      <w:r w:rsidR="00371BE8">
        <w:rPr>
          <w:sz w:val="24"/>
          <w:szCs w:val="24"/>
        </w:rPr>
        <w:t xml:space="preserve"> </w:t>
      </w:r>
      <w:r w:rsidR="002D760D">
        <w:rPr>
          <w:sz w:val="24"/>
          <w:szCs w:val="24"/>
        </w:rPr>
        <w:t xml:space="preserve">(thereby engaging in </w:t>
      </w:r>
      <w:r w:rsidR="004E2D25">
        <w:rPr>
          <w:sz w:val="24"/>
          <w:szCs w:val="24"/>
        </w:rPr>
        <w:t xml:space="preserve">my own form of </w:t>
      </w:r>
      <w:r w:rsidR="002D760D">
        <w:rPr>
          <w:sz w:val="24"/>
          <w:szCs w:val="24"/>
        </w:rPr>
        <w:t xml:space="preserve">thematic </w:t>
      </w:r>
      <w:r w:rsidR="004E2D25">
        <w:rPr>
          <w:sz w:val="24"/>
          <w:szCs w:val="24"/>
        </w:rPr>
        <w:t xml:space="preserve">analysis) </w:t>
      </w:r>
      <w:r w:rsidR="00371BE8">
        <w:rPr>
          <w:sz w:val="24"/>
          <w:szCs w:val="24"/>
        </w:rPr>
        <w:t xml:space="preserve">whilst simultaneously absorbing the </w:t>
      </w:r>
      <w:r w:rsidR="00A455E7">
        <w:rPr>
          <w:sz w:val="24"/>
          <w:szCs w:val="24"/>
        </w:rPr>
        <w:t>styles and skills of the authors</w:t>
      </w:r>
      <w:r w:rsidR="00E666BE">
        <w:rPr>
          <w:sz w:val="24"/>
          <w:szCs w:val="24"/>
        </w:rPr>
        <w:t xml:space="preserve"> in their ability to </w:t>
      </w:r>
      <w:r w:rsidR="00004F6F">
        <w:rPr>
          <w:sz w:val="24"/>
          <w:szCs w:val="24"/>
        </w:rPr>
        <w:t xml:space="preserve">write concisely with a sharp focus. </w:t>
      </w:r>
      <w:r w:rsidR="00C73DDC">
        <w:rPr>
          <w:sz w:val="24"/>
          <w:szCs w:val="24"/>
        </w:rPr>
        <w:t>Th</w:t>
      </w:r>
      <w:r w:rsidR="00F45825">
        <w:rPr>
          <w:sz w:val="24"/>
          <w:szCs w:val="24"/>
        </w:rPr>
        <w:t>rough an alchemical process of gathering and distilling</w:t>
      </w:r>
      <w:r w:rsidR="003B456F">
        <w:rPr>
          <w:sz w:val="24"/>
          <w:szCs w:val="24"/>
        </w:rPr>
        <w:t>,</w:t>
      </w:r>
      <w:r w:rsidR="00F45825">
        <w:rPr>
          <w:sz w:val="24"/>
          <w:szCs w:val="24"/>
        </w:rPr>
        <w:t xml:space="preserve"> </w:t>
      </w:r>
      <w:r w:rsidR="0030527B">
        <w:rPr>
          <w:sz w:val="24"/>
          <w:szCs w:val="24"/>
        </w:rPr>
        <w:t>th</w:t>
      </w:r>
      <w:r w:rsidR="00C73DDC">
        <w:rPr>
          <w:sz w:val="24"/>
          <w:szCs w:val="24"/>
        </w:rPr>
        <w:t xml:space="preserve">ese </w:t>
      </w:r>
      <w:r w:rsidR="003E65B4">
        <w:rPr>
          <w:sz w:val="24"/>
          <w:szCs w:val="24"/>
        </w:rPr>
        <w:t xml:space="preserve">discernment </w:t>
      </w:r>
      <w:r w:rsidR="00D314F3">
        <w:rPr>
          <w:sz w:val="24"/>
          <w:szCs w:val="24"/>
        </w:rPr>
        <w:t xml:space="preserve">skills </w:t>
      </w:r>
      <w:r w:rsidR="006E589D">
        <w:rPr>
          <w:sz w:val="24"/>
          <w:szCs w:val="24"/>
        </w:rPr>
        <w:t xml:space="preserve">became an </w:t>
      </w:r>
      <w:r w:rsidR="00E27A51">
        <w:rPr>
          <w:sz w:val="24"/>
          <w:szCs w:val="24"/>
        </w:rPr>
        <w:t>embodied</w:t>
      </w:r>
      <w:r w:rsidR="00E94534">
        <w:rPr>
          <w:sz w:val="24"/>
          <w:szCs w:val="24"/>
        </w:rPr>
        <w:t>,</w:t>
      </w:r>
      <w:r w:rsidR="00A66350">
        <w:rPr>
          <w:sz w:val="24"/>
          <w:szCs w:val="24"/>
        </w:rPr>
        <w:t xml:space="preserve"> internalised</w:t>
      </w:r>
      <w:r w:rsidR="00E27A51">
        <w:rPr>
          <w:sz w:val="24"/>
          <w:szCs w:val="24"/>
        </w:rPr>
        <w:t xml:space="preserve"> </w:t>
      </w:r>
      <w:r w:rsidR="006E589D">
        <w:rPr>
          <w:sz w:val="24"/>
          <w:szCs w:val="24"/>
        </w:rPr>
        <w:t>object constant</w:t>
      </w:r>
      <w:r w:rsidR="00C846D0">
        <w:rPr>
          <w:sz w:val="24"/>
          <w:szCs w:val="24"/>
        </w:rPr>
        <w:t xml:space="preserve"> </w:t>
      </w:r>
      <w:r w:rsidR="00A66350">
        <w:rPr>
          <w:sz w:val="24"/>
          <w:szCs w:val="24"/>
        </w:rPr>
        <w:t xml:space="preserve">(Mahler </w:t>
      </w:r>
      <w:r w:rsidR="00A66350" w:rsidRPr="00B41497">
        <w:rPr>
          <w:i/>
          <w:iCs/>
          <w:sz w:val="24"/>
          <w:szCs w:val="24"/>
        </w:rPr>
        <w:t>et al.,</w:t>
      </w:r>
      <w:r w:rsidR="00D314F3">
        <w:rPr>
          <w:sz w:val="24"/>
          <w:szCs w:val="24"/>
        </w:rPr>
        <w:t xml:space="preserve"> 1975)</w:t>
      </w:r>
      <w:r w:rsidR="00A66350">
        <w:rPr>
          <w:sz w:val="24"/>
          <w:szCs w:val="24"/>
        </w:rPr>
        <w:t xml:space="preserve"> </w:t>
      </w:r>
      <w:r w:rsidR="000C0106">
        <w:rPr>
          <w:sz w:val="24"/>
          <w:szCs w:val="24"/>
        </w:rPr>
        <w:t xml:space="preserve">that I could draw upon to </w:t>
      </w:r>
      <w:r w:rsidR="00B72E80">
        <w:rPr>
          <w:sz w:val="24"/>
          <w:szCs w:val="24"/>
        </w:rPr>
        <w:t xml:space="preserve">anchor and </w:t>
      </w:r>
      <w:r w:rsidR="003246D2">
        <w:rPr>
          <w:sz w:val="24"/>
          <w:szCs w:val="24"/>
        </w:rPr>
        <w:t xml:space="preserve">tell the literature review tale </w:t>
      </w:r>
      <w:r w:rsidR="004969EC">
        <w:rPr>
          <w:sz w:val="24"/>
          <w:szCs w:val="24"/>
        </w:rPr>
        <w:t xml:space="preserve">with </w:t>
      </w:r>
      <w:r w:rsidR="005C42DE">
        <w:rPr>
          <w:sz w:val="24"/>
          <w:szCs w:val="24"/>
        </w:rPr>
        <w:t xml:space="preserve">coherence, </w:t>
      </w:r>
      <w:r w:rsidR="00F87616">
        <w:rPr>
          <w:sz w:val="24"/>
          <w:szCs w:val="24"/>
        </w:rPr>
        <w:t xml:space="preserve">structure, </w:t>
      </w:r>
      <w:r w:rsidR="001E6E71">
        <w:rPr>
          <w:sz w:val="24"/>
          <w:szCs w:val="24"/>
        </w:rPr>
        <w:t xml:space="preserve">meaning, </w:t>
      </w:r>
      <w:r w:rsidR="004969EC">
        <w:rPr>
          <w:sz w:val="24"/>
          <w:szCs w:val="24"/>
        </w:rPr>
        <w:t>relevance</w:t>
      </w:r>
      <w:r w:rsidR="001E6E71">
        <w:rPr>
          <w:sz w:val="24"/>
          <w:szCs w:val="24"/>
        </w:rPr>
        <w:t>, flow</w:t>
      </w:r>
      <w:r w:rsidR="0054215E">
        <w:rPr>
          <w:sz w:val="24"/>
          <w:szCs w:val="24"/>
        </w:rPr>
        <w:t xml:space="preserve"> and passion.</w:t>
      </w:r>
    </w:p>
    <w:p w14:paraId="2356C506" w14:textId="119B4CB5" w:rsidR="007800ED" w:rsidRPr="003B7187" w:rsidRDefault="002E2ABD" w:rsidP="003B7187">
      <w:pPr>
        <w:spacing w:line="360" w:lineRule="auto"/>
        <w:rPr>
          <w:sz w:val="24"/>
          <w:szCs w:val="24"/>
        </w:rPr>
      </w:pPr>
      <w:r>
        <w:rPr>
          <w:sz w:val="24"/>
          <w:szCs w:val="24"/>
        </w:rPr>
        <w:t xml:space="preserve">A tale of two parts, in </w:t>
      </w:r>
      <w:r w:rsidR="00F82517">
        <w:rPr>
          <w:sz w:val="24"/>
          <w:szCs w:val="24"/>
        </w:rPr>
        <w:t>P</w:t>
      </w:r>
      <w:r>
        <w:rPr>
          <w:sz w:val="24"/>
          <w:szCs w:val="24"/>
        </w:rPr>
        <w:t xml:space="preserve">art </w:t>
      </w:r>
      <w:r w:rsidR="00F82517">
        <w:rPr>
          <w:sz w:val="24"/>
          <w:szCs w:val="24"/>
        </w:rPr>
        <w:t>O</w:t>
      </w:r>
      <w:r w:rsidR="001B160A">
        <w:rPr>
          <w:sz w:val="24"/>
          <w:szCs w:val="24"/>
        </w:rPr>
        <w:t>ne</w:t>
      </w:r>
      <w:r>
        <w:rPr>
          <w:sz w:val="24"/>
          <w:szCs w:val="24"/>
        </w:rPr>
        <w:t xml:space="preserve"> the refinement of the research questions is discussed, followed by an explanation of the meaning of a psychosocial approach to research</w:t>
      </w:r>
      <w:r w:rsidRPr="009151F1">
        <w:rPr>
          <w:sz w:val="24"/>
          <w:szCs w:val="24"/>
        </w:rPr>
        <w:t xml:space="preserve">. </w:t>
      </w:r>
      <w:r>
        <w:rPr>
          <w:sz w:val="24"/>
          <w:szCs w:val="24"/>
        </w:rPr>
        <w:t>T</w:t>
      </w:r>
      <w:r w:rsidRPr="009151F1">
        <w:rPr>
          <w:sz w:val="24"/>
          <w:szCs w:val="24"/>
        </w:rPr>
        <w:t xml:space="preserve">he perspective of other scholars on the need for psychosocial skills in pedagogy </w:t>
      </w:r>
      <w:r>
        <w:rPr>
          <w:sz w:val="24"/>
          <w:szCs w:val="24"/>
        </w:rPr>
        <w:t xml:space="preserve">ensues, </w:t>
      </w:r>
      <w:r w:rsidRPr="009151F1">
        <w:rPr>
          <w:sz w:val="24"/>
          <w:szCs w:val="24"/>
        </w:rPr>
        <w:t>and</w:t>
      </w:r>
      <w:r>
        <w:rPr>
          <w:sz w:val="24"/>
          <w:szCs w:val="24"/>
        </w:rPr>
        <w:t xml:space="preserve"> </w:t>
      </w:r>
      <w:r w:rsidRPr="009151F1">
        <w:rPr>
          <w:sz w:val="24"/>
          <w:szCs w:val="24"/>
        </w:rPr>
        <w:t>the role of emotions in student learning</w:t>
      </w:r>
      <w:r>
        <w:rPr>
          <w:sz w:val="24"/>
          <w:szCs w:val="24"/>
        </w:rPr>
        <w:t xml:space="preserve"> and teaching is examined</w:t>
      </w:r>
      <w:r w:rsidRPr="009151F1">
        <w:rPr>
          <w:sz w:val="24"/>
          <w:szCs w:val="24"/>
        </w:rPr>
        <w:t>.</w:t>
      </w:r>
      <w:r w:rsidRPr="00D94FEE">
        <w:rPr>
          <w:sz w:val="24"/>
          <w:szCs w:val="24"/>
        </w:rPr>
        <w:t xml:space="preserve"> </w:t>
      </w:r>
      <w:r w:rsidRPr="009151F1">
        <w:rPr>
          <w:sz w:val="24"/>
          <w:szCs w:val="24"/>
        </w:rPr>
        <w:t xml:space="preserve">Furthermore, mental </w:t>
      </w:r>
      <w:r w:rsidRPr="009151F1">
        <w:rPr>
          <w:sz w:val="24"/>
          <w:szCs w:val="24"/>
        </w:rPr>
        <w:lastRenderedPageBreak/>
        <w:t>health concerns aris</w:t>
      </w:r>
      <w:r>
        <w:rPr>
          <w:sz w:val="24"/>
          <w:szCs w:val="24"/>
        </w:rPr>
        <w:t>ing</w:t>
      </w:r>
      <w:r w:rsidRPr="009151F1">
        <w:rPr>
          <w:sz w:val="24"/>
          <w:szCs w:val="24"/>
        </w:rPr>
        <w:t xml:space="preserve"> for students and their teachers from challenges in </w:t>
      </w:r>
      <w:r>
        <w:rPr>
          <w:sz w:val="24"/>
          <w:szCs w:val="24"/>
        </w:rPr>
        <w:t xml:space="preserve">teaching and </w:t>
      </w:r>
      <w:r w:rsidRPr="009151F1">
        <w:rPr>
          <w:sz w:val="24"/>
          <w:szCs w:val="24"/>
        </w:rPr>
        <w:t>learning</w:t>
      </w:r>
      <w:r>
        <w:rPr>
          <w:sz w:val="24"/>
          <w:szCs w:val="24"/>
        </w:rPr>
        <w:t xml:space="preserve"> are explored</w:t>
      </w:r>
      <w:r w:rsidRPr="009151F1">
        <w:rPr>
          <w:sz w:val="24"/>
          <w:szCs w:val="24"/>
        </w:rPr>
        <w:t>.</w:t>
      </w:r>
      <w:r>
        <w:rPr>
          <w:sz w:val="24"/>
          <w:szCs w:val="24"/>
        </w:rPr>
        <w:t xml:space="preserve"> Drawing on the work of child psychoanalyst Donald </w:t>
      </w:r>
      <w:r w:rsidR="003F2540">
        <w:rPr>
          <w:sz w:val="24"/>
          <w:szCs w:val="24"/>
        </w:rPr>
        <w:t xml:space="preserve">Woods </w:t>
      </w:r>
      <w:r>
        <w:rPr>
          <w:sz w:val="24"/>
          <w:szCs w:val="24"/>
        </w:rPr>
        <w:t>Winnicott</w:t>
      </w:r>
      <w:r w:rsidRPr="009151F1">
        <w:rPr>
          <w:sz w:val="24"/>
          <w:szCs w:val="24"/>
        </w:rPr>
        <w:t xml:space="preserve"> </w:t>
      </w:r>
      <w:r>
        <w:rPr>
          <w:sz w:val="24"/>
          <w:szCs w:val="24"/>
        </w:rPr>
        <w:t xml:space="preserve">(1896-1971) the concept of “holding” (Winnicott, 1965, pp.43-44) is </w:t>
      </w:r>
      <w:r w:rsidR="003C470F">
        <w:rPr>
          <w:sz w:val="24"/>
          <w:szCs w:val="24"/>
        </w:rPr>
        <w:t>critically examined</w:t>
      </w:r>
      <w:r>
        <w:rPr>
          <w:sz w:val="24"/>
          <w:szCs w:val="24"/>
        </w:rPr>
        <w:t>, and thereafter reflective practice</w:t>
      </w:r>
      <w:r w:rsidR="001A7F05">
        <w:rPr>
          <w:sz w:val="24"/>
          <w:szCs w:val="24"/>
        </w:rPr>
        <w:t xml:space="preserve"> as </w:t>
      </w:r>
      <w:r>
        <w:rPr>
          <w:sz w:val="24"/>
          <w:szCs w:val="24"/>
        </w:rPr>
        <w:t>a form of holding</w:t>
      </w:r>
      <w:r w:rsidR="00757395">
        <w:rPr>
          <w:sz w:val="24"/>
          <w:szCs w:val="24"/>
        </w:rPr>
        <w:t xml:space="preserve"> is explored</w:t>
      </w:r>
      <w:r>
        <w:rPr>
          <w:sz w:val="24"/>
          <w:szCs w:val="24"/>
        </w:rPr>
        <w:t xml:space="preserve">. Part </w:t>
      </w:r>
      <w:r w:rsidR="00757395">
        <w:rPr>
          <w:sz w:val="24"/>
          <w:szCs w:val="24"/>
        </w:rPr>
        <w:t>Two</w:t>
      </w:r>
      <w:r>
        <w:rPr>
          <w:sz w:val="24"/>
          <w:szCs w:val="24"/>
        </w:rPr>
        <w:t xml:space="preserve"> </w:t>
      </w:r>
      <w:r w:rsidRPr="00F13161">
        <w:rPr>
          <w:sz w:val="24"/>
          <w:szCs w:val="24"/>
        </w:rPr>
        <w:t xml:space="preserve">justifies the chosen </w:t>
      </w:r>
      <w:r>
        <w:rPr>
          <w:sz w:val="24"/>
          <w:szCs w:val="24"/>
        </w:rPr>
        <w:t xml:space="preserve">depth pedagogy </w:t>
      </w:r>
      <w:r w:rsidRPr="00F13161">
        <w:rPr>
          <w:sz w:val="24"/>
          <w:szCs w:val="24"/>
        </w:rPr>
        <w:t xml:space="preserve">conceptual model and </w:t>
      </w:r>
      <w:r>
        <w:rPr>
          <w:sz w:val="24"/>
          <w:szCs w:val="24"/>
        </w:rPr>
        <w:t xml:space="preserve">psychosocial </w:t>
      </w:r>
      <w:r w:rsidRPr="00F13161">
        <w:rPr>
          <w:sz w:val="24"/>
          <w:szCs w:val="24"/>
        </w:rPr>
        <w:t>approaches adopted</w:t>
      </w:r>
      <w:r>
        <w:rPr>
          <w:sz w:val="24"/>
          <w:szCs w:val="24"/>
        </w:rPr>
        <w:t xml:space="preserve"> in this study.</w:t>
      </w:r>
    </w:p>
    <w:p w14:paraId="11B9B8AA" w14:textId="19F3C165" w:rsidR="000040B0" w:rsidRDefault="000040B0" w:rsidP="00146914">
      <w:pPr>
        <w:rPr>
          <w:b/>
          <w:bCs/>
          <w:sz w:val="24"/>
          <w:szCs w:val="24"/>
        </w:rPr>
      </w:pPr>
      <w:r>
        <w:rPr>
          <w:b/>
          <w:bCs/>
          <w:sz w:val="24"/>
          <w:szCs w:val="24"/>
        </w:rPr>
        <w:t>Part One</w:t>
      </w:r>
    </w:p>
    <w:p w14:paraId="792512BA" w14:textId="7B8E0098" w:rsidR="002E2ABD" w:rsidRPr="00146914" w:rsidRDefault="002E2ABD" w:rsidP="00146914">
      <w:pPr>
        <w:rPr>
          <w:b/>
          <w:bCs/>
          <w:sz w:val="24"/>
          <w:szCs w:val="24"/>
        </w:rPr>
      </w:pPr>
      <w:r w:rsidRPr="00146914">
        <w:rPr>
          <w:b/>
          <w:bCs/>
          <w:sz w:val="24"/>
          <w:szCs w:val="24"/>
        </w:rPr>
        <w:t>Reflecting on the research questions</w:t>
      </w:r>
    </w:p>
    <w:p w14:paraId="2876E06B" w14:textId="20DACB85" w:rsidR="00496285" w:rsidRPr="0034376F" w:rsidRDefault="002E2ABD" w:rsidP="0034376F">
      <w:pPr>
        <w:spacing w:line="360" w:lineRule="auto"/>
        <w:rPr>
          <w:sz w:val="24"/>
          <w:szCs w:val="24"/>
        </w:rPr>
      </w:pPr>
      <w:r w:rsidRPr="00146914">
        <w:rPr>
          <w:sz w:val="24"/>
          <w:szCs w:val="24"/>
        </w:rPr>
        <w:t xml:space="preserve">Research questions form part of the </w:t>
      </w:r>
      <w:r>
        <w:rPr>
          <w:sz w:val="24"/>
          <w:szCs w:val="24"/>
        </w:rPr>
        <w:t xml:space="preserve">research </w:t>
      </w:r>
      <w:r w:rsidRPr="00146914">
        <w:rPr>
          <w:sz w:val="24"/>
          <w:szCs w:val="24"/>
        </w:rPr>
        <w:t xml:space="preserve">contract (Rubin and Rubin, 2011) and preliminary questions </w:t>
      </w:r>
      <w:r>
        <w:rPr>
          <w:sz w:val="24"/>
          <w:szCs w:val="24"/>
        </w:rPr>
        <w:t xml:space="preserve">revealed </w:t>
      </w:r>
      <w:r w:rsidRPr="00146914">
        <w:rPr>
          <w:sz w:val="24"/>
          <w:szCs w:val="24"/>
        </w:rPr>
        <w:t xml:space="preserve">some wording bias. Wording bias influences the reader to produce a required response (Gerver and Sgroi, 2017; Hinders </w:t>
      </w:r>
      <w:r w:rsidR="00FB3A6E" w:rsidRPr="00FB3A6E">
        <w:rPr>
          <w:i/>
          <w:sz w:val="24"/>
          <w:szCs w:val="24"/>
        </w:rPr>
        <w:t>et al.</w:t>
      </w:r>
      <w:r w:rsidRPr="00146914">
        <w:rPr>
          <w:sz w:val="24"/>
          <w:szCs w:val="24"/>
        </w:rPr>
        <w:t xml:space="preserve">, 2019) and reflects the researcher’s unconscious positionality on the topic (Bennet, 2009). </w:t>
      </w:r>
      <w:r>
        <w:rPr>
          <w:sz w:val="24"/>
          <w:szCs w:val="24"/>
        </w:rPr>
        <w:t xml:space="preserve">These were reflected upon </w:t>
      </w:r>
      <w:r w:rsidRPr="00DD7997">
        <w:rPr>
          <w:sz w:val="24"/>
          <w:szCs w:val="24"/>
        </w:rPr>
        <w:t>with my research supervisors</w:t>
      </w:r>
      <w:r w:rsidRPr="00146914">
        <w:rPr>
          <w:sz w:val="24"/>
          <w:szCs w:val="24"/>
        </w:rPr>
        <w:t xml:space="preserve"> </w:t>
      </w:r>
      <w:r>
        <w:rPr>
          <w:sz w:val="24"/>
          <w:szCs w:val="24"/>
        </w:rPr>
        <w:t xml:space="preserve">which </w:t>
      </w:r>
      <w:r w:rsidRPr="00146914">
        <w:rPr>
          <w:sz w:val="24"/>
          <w:szCs w:val="24"/>
        </w:rPr>
        <w:t xml:space="preserve">led to the establishment of </w:t>
      </w:r>
      <w:r>
        <w:rPr>
          <w:sz w:val="24"/>
          <w:szCs w:val="24"/>
        </w:rPr>
        <w:t xml:space="preserve">the </w:t>
      </w:r>
      <w:r w:rsidRPr="00146914">
        <w:rPr>
          <w:sz w:val="24"/>
          <w:szCs w:val="24"/>
        </w:rPr>
        <w:t>revised research questions</w:t>
      </w:r>
      <w:r>
        <w:rPr>
          <w:sz w:val="24"/>
          <w:szCs w:val="24"/>
        </w:rPr>
        <w:t xml:space="preserve"> to increase local relevance</w:t>
      </w:r>
      <w:r w:rsidR="0023646A">
        <w:rPr>
          <w:sz w:val="24"/>
          <w:szCs w:val="24"/>
        </w:rPr>
        <w:t xml:space="preserve">, </w:t>
      </w:r>
      <w:r w:rsidR="00F97CC1">
        <w:rPr>
          <w:sz w:val="24"/>
          <w:szCs w:val="24"/>
        </w:rPr>
        <w:t>simplify the wording</w:t>
      </w:r>
      <w:r w:rsidR="008D2F44">
        <w:rPr>
          <w:sz w:val="24"/>
          <w:szCs w:val="24"/>
        </w:rPr>
        <w:t xml:space="preserve"> which </w:t>
      </w:r>
      <w:r w:rsidR="0009422A">
        <w:rPr>
          <w:sz w:val="24"/>
          <w:szCs w:val="24"/>
        </w:rPr>
        <w:t>was originally somewhat complex</w:t>
      </w:r>
      <w:r w:rsidR="00DA7C34">
        <w:rPr>
          <w:sz w:val="24"/>
          <w:szCs w:val="24"/>
        </w:rPr>
        <w:t>,</w:t>
      </w:r>
      <w:r w:rsidR="008165C0">
        <w:rPr>
          <w:sz w:val="24"/>
          <w:szCs w:val="24"/>
        </w:rPr>
        <w:t xml:space="preserve"> and </w:t>
      </w:r>
      <w:r w:rsidR="00377EBA">
        <w:rPr>
          <w:sz w:val="24"/>
          <w:szCs w:val="24"/>
        </w:rPr>
        <w:t>to aid in ease of understanding</w:t>
      </w:r>
      <w:r>
        <w:rPr>
          <w:sz w:val="24"/>
          <w:szCs w:val="24"/>
        </w:rPr>
        <w:t xml:space="preserve"> (</w:t>
      </w:r>
      <w:r w:rsidR="00C334ED">
        <w:rPr>
          <w:sz w:val="24"/>
          <w:szCs w:val="24"/>
        </w:rPr>
        <w:t>T</w:t>
      </w:r>
      <w:r>
        <w:rPr>
          <w:sz w:val="24"/>
          <w:szCs w:val="24"/>
        </w:rPr>
        <w:t>able</w:t>
      </w:r>
      <w:r w:rsidR="00C334ED">
        <w:rPr>
          <w:sz w:val="24"/>
          <w:szCs w:val="24"/>
        </w:rPr>
        <w:t xml:space="preserve"> 3</w:t>
      </w:r>
      <w:r>
        <w:rPr>
          <w:sz w:val="24"/>
          <w:szCs w:val="24"/>
        </w:rPr>
        <w:t>)</w:t>
      </w:r>
      <w:r w:rsidR="009A30BB">
        <w:rPr>
          <w:sz w:val="24"/>
          <w:szCs w:val="24"/>
        </w:rPr>
        <w:t>:</w:t>
      </w:r>
    </w:p>
    <w:p w14:paraId="309D2261" w14:textId="25B631C7" w:rsidR="002E2ABD" w:rsidRPr="00C334ED" w:rsidRDefault="002E2ABD" w:rsidP="001157CB">
      <w:pPr>
        <w:ind w:left="1440" w:firstLine="720"/>
        <w:rPr>
          <w:i/>
          <w:iCs/>
          <w:sz w:val="24"/>
          <w:szCs w:val="24"/>
        </w:rPr>
      </w:pPr>
      <w:r w:rsidRPr="00C334ED">
        <w:rPr>
          <w:i/>
          <w:iCs/>
          <w:sz w:val="24"/>
          <w:szCs w:val="24"/>
        </w:rPr>
        <w:t xml:space="preserve">Table </w:t>
      </w:r>
      <w:r w:rsidR="00C334ED" w:rsidRPr="00C334ED">
        <w:rPr>
          <w:i/>
          <w:iCs/>
          <w:sz w:val="24"/>
          <w:szCs w:val="24"/>
        </w:rPr>
        <w:t>3</w:t>
      </w:r>
      <w:r w:rsidRPr="00C334ED">
        <w:rPr>
          <w:i/>
          <w:iCs/>
          <w:sz w:val="24"/>
          <w:szCs w:val="24"/>
        </w:rPr>
        <w:t xml:space="preserve">: Preliminary and refined research questions </w:t>
      </w:r>
    </w:p>
    <w:tbl>
      <w:tblPr>
        <w:tblStyle w:val="TableGrid"/>
        <w:tblW w:w="0" w:type="auto"/>
        <w:tblLook w:val="04A0" w:firstRow="1" w:lastRow="0" w:firstColumn="1" w:lastColumn="0" w:noHBand="0" w:noVBand="1"/>
      </w:tblPr>
      <w:tblGrid>
        <w:gridCol w:w="4508"/>
        <w:gridCol w:w="4508"/>
      </w:tblGrid>
      <w:tr w:rsidR="002E2ABD" w:rsidRPr="001445F0" w14:paraId="171CF09E" w14:textId="77777777" w:rsidTr="009E0731">
        <w:tc>
          <w:tcPr>
            <w:tcW w:w="4508" w:type="dxa"/>
          </w:tcPr>
          <w:p w14:paraId="173CB750" w14:textId="4B007D2C" w:rsidR="002E2ABD" w:rsidRPr="001445F0" w:rsidRDefault="002E2ABD" w:rsidP="001445F0">
            <w:pPr>
              <w:spacing w:after="160" w:line="259" w:lineRule="auto"/>
              <w:rPr>
                <w:b/>
                <w:bCs/>
                <w:kern w:val="0"/>
                <w:sz w:val="24"/>
                <w:szCs w:val="24"/>
                <w14:ligatures w14:val="none"/>
              </w:rPr>
            </w:pPr>
            <w:r w:rsidRPr="001445F0">
              <w:rPr>
                <w:b/>
                <w:bCs/>
                <w:kern w:val="0"/>
                <w:sz w:val="24"/>
                <w:szCs w:val="24"/>
                <w14:ligatures w14:val="none"/>
              </w:rPr>
              <w:t xml:space="preserve">Preliminary </w:t>
            </w:r>
            <w:r w:rsidR="008A2AC9">
              <w:rPr>
                <w:b/>
                <w:bCs/>
                <w:kern w:val="0"/>
                <w:sz w:val="24"/>
                <w:szCs w:val="24"/>
                <w14:ligatures w14:val="none"/>
              </w:rPr>
              <w:t>r</w:t>
            </w:r>
            <w:r w:rsidRPr="001445F0">
              <w:rPr>
                <w:b/>
                <w:bCs/>
                <w:kern w:val="0"/>
                <w:sz w:val="24"/>
                <w:szCs w:val="24"/>
                <w14:ligatures w14:val="none"/>
              </w:rPr>
              <w:t xml:space="preserve">esearch </w:t>
            </w:r>
            <w:r w:rsidR="008A2AC9">
              <w:rPr>
                <w:b/>
                <w:bCs/>
                <w:kern w:val="0"/>
                <w:sz w:val="24"/>
                <w:szCs w:val="24"/>
                <w14:ligatures w14:val="none"/>
              </w:rPr>
              <w:t>q</w:t>
            </w:r>
            <w:r w:rsidRPr="001445F0">
              <w:rPr>
                <w:b/>
                <w:bCs/>
                <w:kern w:val="0"/>
                <w:sz w:val="24"/>
                <w:szCs w:val="24"/>
                <w14:ligatures w14:val="none"/>
              </w:rPr>
              <w:t>uestions</w:t>
            </w:r>
          </w:p>
          <w:p w14:paraId="0F5123E6" w14:textId="77777777" w:rsidR="002E2ABD" w:rsidRPr="001445F0" w:rsidRDefault="002E2ABD" w:rsidP="001445F0">
            <w:pPr>
              <w:spacing w:after="160" w:line="259" w:lineRule="auto"/>
              <w:rPr>
                <w:b/>
                <w:bCs/>
                <w:kern w:val="0"/>
                <w:sz w:val="24"/>
                <w:szCs w:val="24"/>
                <w14:ligatures w14:val="none"/>
              </w:rPr>
            </w:pPr>
          </w:p>
        </w:tc>
        <w:tc>
          <w:tcPr>
            <w:tcW w:w="4508" w:type="dxa"/>
          </w:tcPr>
          <w:p w14:paraId="36DAEBFF" w14:textId="6CCED4D4" w:rsidR="002E2ABD" w:rsidRPr="001445F0" w:rsidRDefault="002E2ABD" w:rsidP="001445F0">
            <w:pPr>
              <w:spacing w:after="160" w:line="259" w:lineRule="auto"/>
              <w:rPr>
                <w:b/>
                <w:bCs/>
                <w:kern w:val="0"/>
                <w:sz w:val="24"/>
                <w:szCs w:val="24"/>
                <w14:ligatures w14:val="none"/>
              </w:rPr>
            </w:pPr>
            <w:r>
              <w:rPr>
                <w:b/>
                <w:bCs/>
                <w:kern w:val="0"/>
                <w:sz w:val="24"/>
                <w:szCs w:val="24"/>
                <w14:ligatures w14:val="none"/>
              </w:rPr>
              <w:t xml:space="preserve">       </w:t>
            </w:r>
            <w:r w:rsidRPr="001445F0">
              <w:rPr>
                <w:b/>
                <w:bCs/>
                <w:kern w:val="0"/>
                <w:sz w:val="24"/>
                <w:szCs w:val="24"/>
                <w14:ligatures w14:val="none"/>
              </w:rPr>
              <w:t>Revised research questions</w:t>
            </w:r>
          </w:p>
          <w:p w14:paraId="079C6D62" w14:textId="77777777" w:rsidR="002E2ABD" w:rsidRPr="001445F0" w:rsidRDefault="002E2ABD" w:rsidP="001445F0">
            <w:pPr>
              <w:spacing w:after="160" w:line="259" w:lineRule="auto"/>
              <w:rPr>
                <w:b/>
                <w:bCs/>
                <w:kern w:val="0"/>
                <w:sz w:val="24"/>
                <w:szCs w:val="24"/>
                <w14:ligatures w14:val="none"/>
              </w:rPr>
            </w:pPr>
          </w:p>
        </w:tc>
      </w:tr>
      <w:tr w:rsidR="002E2ABD" w:rsidRPr="001445F0" w14:paraId="30CCE6B5" w14:textId="77777777" w:rsidTr="009E0731">
        <w:trPr>
          <w:trHeight w:val="1403"/>
        </w:trPr>
        <w:tc>
          <w:tcPr>
            <w:tcW w:w="4508" w:type="dxa"/>
          </w:tcPr>
          <w:p w14:paraId="7087F34E" w14:textId="48B88029" w:rsidR="002E2ABD" w:rsidRPr="001445F0" w:rsidRDefault="002E2ABD" w:rsidP="001445F0">
            <w:pPr>
              <w:spacing w:after="160" w:line="259" w:lineRule="auto"/>
              <w:rPr>
                <w:kern w:val="0"/>
                <w14:ligatures w14:val="none"/>
              </w:rPr>
            </w:pPr>
            <w:r w:rsidRPr="001445F0">
              <w:rPr>
                <w:kern w:val="0"/>
                <w14:ligatures w14:val="none"/>
              </w:rPr>
              <w:t>1. How can affect awareness improve and enhance the capacity of teachers to develop an ethic of self-care and care of and for their students in their teaching practices?</w:t>
            </w:r>
          </w:p>
        </w:tc>
        <w:tc>
          <w:tcPr>
            <w:tcW w:w="4508" w:type="dxa"/>
          </w:tcPr>
          <w:p w14:paraId="1EC96FA6" w14:textId="56C95EA7" w:rsidR="002E2ABD" w:rsidRPr="001445F0" w:rsidRDefault="003665A7" w:rsidP="003665A7">
            <w:pPr>
              <w:numPr>
                <w:ilvl w:val="0"/>
                <w:numId w:val="3"/>
              </w:numPr>
              <w:spacing w:after="160" w:line="259" w:lineRule="auto"/>
              <w:rPr>
                <w:kern w:val="0"/>
                <w14:ligatures w14:val="none"/>
              </w:rPr>
            </w:pPr>
            <w:r>
              <w:rPr>
                <w:kern w:val="0"/>
                <w:lang w:val="en-US"/>
                <w14:ligatures w14:val="none"/>
              </w:rPr>
              <w:t xml:space="preserve">What are the experiences, perspectives and reflections of HE teachers </w:t>
            </w:r>
            <w:r w:rsidR="00EE0BB1">
              <w:rPr>
                <w:kern w:val="0"/>
                <w:lang w:val="en-US"/>
                <w14:ligatures w14:val="none"/>
              </w:rPr>
              <w:t>on their teaching</w:t>
            </w:r>
            <w:r w:rsidR="00877E19">
              <w:rPr>
                <w:kern w:val="0"/>
                <w:lang w:val="en-US"/>
                <w14:ligatures w14:val="none"/>
              </w:rPr>
              <w:t>,</w:t>
            </w:r>
            <w:r w:rsidR="00EE0BB1">
              <w:rPr>
                <w:kern w:val="0"/>
                <w:lang w:val="en-US"/>
                <w14:ligatures w14:val="none"/>
              </w:rPr>
              <w:t xml:space="preserve"> and teacher training journeys?</w:t>
            </w:r>
          </w:p>
        </w:tc>
      </w:tr>
      <w:tr w:rsidR="002E2ABD" w:rsidRPr="001445F0" w14:paraId="60123967" w14:textId="77777777" w:rsidTr="009E0731">
        <w:tc>
          <w:tcPr>
            <w:tcW w:w="4508" w:type="dxa"/>
          </w:tcPr>
          <w:p w14:paraId="1608FE04" w14:textId="2690FFF3" w:rsidR="002E2ABD" w:rsidRPr="001445F0" w:rsidRDefault="002E2ABD" w:rsidP="001445F0">
            <w:pPr>
              <w:spacing w:after="160" w:line="259" w:lineRule="auto"/>
              <w:rPr>
                <w:kern w:val="0"/>
                <w14:ligatures w14:val="none"/>
              </w:rPr>
            </w:pPr>
            <w:r w:rsidRPr="001445F0">
              <w:rPr>
                <w:kern w:val="0"/>
                <w14:ligatures w14:val="none"/>
              </w:rPr>
              <w:t xml:space="preserve">2. </w:t>
            </w:r>
            <w:r w:rsidR="00106E6A" w:rsidRPr="00106E6A">
              <w:rPr>
                <w:kern w:val="0"/>
                <w14:ligatures w14:val="none"/>
              </w:rPr>
              <w:t>How impactful is the process of reflective practice in catalysing the teacher’s capacity to hold affect in the teaching and learning context?</w:t>
            </w:r>
            <w:r w:rsidR="00106E6A">
              <w:rPr>
                <w:kern w:val="0"/>
                <w14:ligatures w14:val="none"/>
              </w:rPr>
              <w:t xml:space="preserve"> </w:t>
            </w:r>
          </w:p>
        </w:tc>
        <w:tc>
          <w:tcPr>
            <w:tcW w:w="4508" w:type="dxa"/>
          </w:tcPr>
          <w:p w14:paraId="7205AD4D" w14:textId="79E4A34B" w:rsidR="002E2ABD" w:rsidRPr="001445F0" w:rsidRDefault="00EE0BB1" w:rsidP="00495434">
            <w:pPr>
              <w:numPr>
                <w:ilvl w:val="0"/>
                <w:numId w:val="3"/>
              </w:numPr>
              <w:spacing w:after="160" w:line="259" w:lineRule="auto"/>
              <w:rPr>
                <w:kern w:val="0"/>
                <w:lang w:val="en-US"/>
                <w14:ligatures w14:val="none"/>
              </w:rPr>
            </w:pPr>
            <w:r>
              <w:rPr>
                <w:kern w:val="0"/>
                <w:lang w:val="en-US"/>
                <w14:ligatures w14:val="none"/>
              </w:rPr>
              <w:t xml:space="preserve">What role </w:t>
            </w:r>
            <w:r w:rsidR="002E2ABD" w:rsidRPr="001445F0">
              <w:rPr>
                <w:kern w:val="0"/>
                <w:lang w:val="en-US"/>
                <w14:ligatures w14:val="none"/>
              </w:rPr>
              <w:t xml:space="preserve">does reflective practice </w:t>
            </w:r>
            <w:r w:rsidR="00C174F9">
              <w:rPr>
                <w:kern w:val="0"/>
                <w:lang w:val="en-US"/>
                <w14:ligatures w14:val="none"/>
              </w:rPr>
              <w:t xml:space="preserve">play in the </w:t>
            </w:r>
            <w:r w:rsidR="002E2ABD" w:rsidRPr="001445F0">
              <w:rPr>
                <w:kern w:val="0"/>
                <w:lang w:val="en-US"/>
                <w14:ligatures w14:val="none"/>
              </w:rPr>
              <w:t>teaching practices of HE teachers?</w:t>
            </w:r>
          </w:p>
          <w:p w14:paraId="5ED6589C" w14:textId="77777777" w:rsidR="002E2ABD" w:rsidRPr="001445F0" w:rsidRDefault="002E2ABD" w:rsidP="001445F0">
            <w:pPr>
              <w:spacing w:after="160" w:line="259" w:lineRule="auto"/>
              <w:rPr>
                <w:kern w:val="0"/>
                <w14:ligatures w14:val="none"/>
              </w:rPr>
            </w:pPr>
          </w:p>
        </w:tc>
      </w:tr>
      <w:tr w:rsidR="002E2ABD" w:rsidRPr="001445F0" w14:paraId="1D2FA699" w14:textId="77777777" w:rsidTr="009E0731">
        <w:tc>
          <w:tcPr>
            <w:tcW w:w="4508" w:type="dxa"/>
          </w:tcPr>
          <w:p w14:paraId="3631115D" w14:textId="69EB68A7" w:rsidR="002E2ABD" w:rsidRPr="001445F0" w:rsidRDefault="002E2ABD" w:rsidP="001445F0">
            <w:pPr>
              <w:spacing w:after="160" w:line="259" w:lineRule="auto"/>
              <w:rPr>
                <w:kern w:val="0"/>
                <w14:ligatures w14:val="none"/>
              </w:rPr>
            </w:pPr>
            <w:r w:rsidRPr="001445F0">
              <w:rPr>
                <w:kern w:val="0"/>
                <w14:ligatures w14:val="none"/>
              </w:rPr>
              <w:t xml:space="preserve">3. </w:t>
            </w:r>
            <w:r w:rsidR="00106E6A" w:rsidRPr="00106E6A">
              <w:rPr>
                <w:kern w:val="0"/>
                <w14:ligatures w14:val="none"/>
              </w:rPr>
              <w:t>How might knowledge of concepts of affect processes drawn from depth psychology impact on the emotional lives of student teachers and/or the teaching work?</w:t>
            </w:r>
          </w:p>
        </w:tc>
        <w:tc>
          <w:tcPr>
            <w:tcW w:w="4508" w:type="dxa"/>
          </w:tcPr>
          <w:p w14:paraId="1373FAAC" w14:textId="77777777" w:rsidR="002E2ABD" w:rsidRPr="001445F0" w:rsidRDefault="002E2ABD" w:rsidP="00495434">
            <w:pPr>
              <w:numPr>
                <w:ilvl w:val="0"/>
                <w:numId w:val="3"/>
              </w:numPr>
              <w:spacing w:after="160" w:line="259" w:lineRule="auto"/>
              <w:rPr>
                <w:kern w:val="0"/>
                <w:lang w:val="en-US"/>
                <w14:ligatures w14:val="none"/>
              </w:rPr>
            </w:pPr>
            <w:r w:rsidRPr="001445F0">
              <w:rPr>
                <w:kern w:val="0"/>
                <w:lang w:val="en-US"/>
                <w14:ligatures w14:val="none"/>
              </w:rPr>
              <w:t>How can HE teachers make use of Winnicott’s concept of holding?</w:t>
            </w:r>
          </w:p>
          <w:p w14:paraId="636462D0" w14:textId="77777777" w:rsidR="002E2ABD" w:rsidRPr="001445F0" w:rsidRDefault="002E2ABD" w:rsidP="001445F0">
            <w:pPr>
              <w:spacing w:after="160" w:line="259" w:lineRule="auto"/>
              <w:rPr>
                <w:kern w:val="0"/>
                <w14:ligatures w14:val="none"/>
              </w:rPr>
            </w:pPr>
          </w:p>
        </w:tc>
      </w:tr>
    </w:tbl>
    <w:p w14:paraId="4816F7AD" w14:textId="77777777" w:rsidR="002E2ABD" w:rsidRDefault="002E2ABD" w:rsidP="00636081">
      <w:pPr>
        <w:rPr>
          <w:b/>
          <w:bCs/>
        </w:rPr>
      </w:pPr>
    </w:p>
    <w:p w14:paraId="24061BE7" w14:textId="77777777" w:rsidR="00496285" w:rsidRDefault="00496285" w:rsidP="00636081">
      <w:pPr>
        <w:rPr>
          <w:b/>
          <w:bCs/>
          <w:sz w:val="24"/>
          <w:szCs w:val="24"/>
        </w:rPr>
      </w:pPr>
    </w:p>
    <w:p w14:paraId="758A60A1" w14:textId="77777777" w:rsidR="00496285" w:rsidRDefault="00496285" w:rsidP="00636081">
      <w:pPr>
        <w:rPr>
          <w:b/>
          <w:bCs/>
          <w:sz w:val="24"/>
          <w:szCs w:val="24"/>
        </w:rPr>
      </w:pPr>
    </w:p>
    <w:p w14:paraId="34287540" w14:textId="19693E5E" w:rsidR="002E2ABD" w:rsidRPr="008D2D7D" w:rsidRDefault="002E2ABD" w:rsidP="00636081">
      <w:pPr>
        <w:rPr>
          <w:b/>
          <w:bCs/>
          <w:sz w:val="24"/>
          <w:szCs w:val="24"/>
        </w:rPr>
      </w:pPr>
      <w:r w:rsidRPr="008D2D7D">
        <w:rPr>
          <w:b/>
          <w:bCs/>
          <w:sz w:val="24"/>
          <w:szCs w:val="24"/>
        </w:rPr>
        <w:lastRenderedPageBreak/>
        <w:t>The psychosocial</w:t>
      </w:r>
    </w:p>
    <w:p w14:paraId="0F26E415" w14:textId="210E8F4D" w:rsidR="002E2ABD" w:rsidRDefault="002E2ABD" w:rsidP="004137DF">
      <w:pPr>
        <w:spacing w:line="360" w:lineRule="auto"/>
        <w:rPr>
          <w:sz w:val="24"/>
          <w:szCs w:val="24"/>
        </w:rPr>
      </w:pPr>
      <w:r w:rsidRPr="003E53C5">
        <w:rPr>
          <w:sz w:val="24"/>
          <w:szCs w:val="24"/>
        </w:rPr>
        <w:t>In this study I am considering the combined influence of psychological factor</w:t>
      </w:r>
      <w:r>
        <w:rPr>
          <w:sz w:val="24"/>
          <w:szCs w:val="24"/>
        </w:rPr>
        <w:t>s</w:t>
      </w:r>
      <w:r w:rsidRPr="003E53C5">
        <w:rPr>
          <w:sz w:val="24"/>
          <w:szCs w:val="24"/>
        </w:rPr>
        <w:t xml:space="preserve"> and the social environment on an individual’s well-being</w:t>
      </w:r>
      <w:r>
        <w:rPr>
          <w:sz w:val="24"/>
          <w:szCs w:val="24"/>
        </w:rPr>
        <w:t xml:space="preserve"> and </w:t>
      </w:r>
      <w:r w:rsidRPr="003E53C5">
        <w:rPr>
          <w:sz w:val="24"/>
          <w:szCs w:val="24"/>
        </w:rPr>
        <w:t xml:space="preserve">cognitive and emotional functioning. </w:t>
      </w:r>
      <w:r>
        <w:rPr>
          <w:sz w:val="24"/>
          <w:szCs w:val="24"/>
        </w:rPr>
        <w:t xml:space="preserve">Psychiatrist Ian </w:t>
      </w:r>
      <w:r w:rsidRPr="002A1B64">
        <w:rPr>
          <w:sz w:val="24"/>
          <w:szCs w:val="24"/>
        </w:rPr>
        <w:t xml:space="preserve">Suttie </w:t>
      </w:r>
      <w:r>
        <w:rPr>
          <w:sz w:val="24"/>
          <w:szCs w:val="24"/>
        </w:rPr>
        <w:t xml:space="preserve">(1889-1935) coined the term “psychosocial” to denote </w:t>
      </w:r>
      <w:bookmarkStart w:id="19" w:name="_Hlk219290218"/>
      <w:r>
        <w:rPr>
          <w:sz w:val="24"/>
          <w:szCs w:val="24"/>
        </w:rPr>
        <w:t>processes which are inclusive of the mental, emotional and social domains of life (Suttie, 1922).</w:t>
      </w:r>
      <w:r w:rsidRPr="002A1B64">
        <w:rPr>
          <w:sz w:val="24"/>
          <w:szCs w:val="24"/>
        </w:rPr>
        <w:t xml:space="preserve"> </w:t>
      </w:r>
      <w:bookmarkEnd w:id="19"/>
      <w:r>
        <w:rPr>
          <w:sz w:val="24"/>
          <w:szCs w:val="24"/>
        </w:rPr>
        <w:t xml:space="preserve">Some 40 years later child psychoanalyst Erik </w:t>
      </w:r>
      <w:r w:rsidRPr="00B166E3">
        <w:rPr>
          <w:sz w:val="24"/>
          <w:szCs w:val="24"/>
        </w:rPr>
        <w:t xml:space="preserve">Erikson </w:t>
      </w:r>
      <w:r>
        <w:rPr>
          <w:sz w:val="24"/>
          <w:szCs w:val="24"/>
        </w:rPr>
        <w:t xml:space="preserve">(1902-1994) formulated a </w:t>
      </w:r>
      <w:r w:rsidRPr="00636081">
        <w:rPr>
          <w:sz w:val="24"/>
          <w:szCs w:val="24"/>
        </w:rPr>
        <w:t>psych</w:t>
      </w:r>
      <w:r>
        <w:rPr>
          <w:sz w:val="24"/>
          <w:szCs w:val="24"/>
        </w:rPr>
        <w:t>o</w:t>
      </w:r>
      <w:r w:rsidRPr="00636081">
        <w:rPr>
          <w:sz w:val="24"/>
          <w:szCs w:val="24"/>
        </w:rPr>
        <w:t>social de</w:t>
      </w:r>
      <w:r>
        <w:rPr>
          <w:sz w:val="24"/>
          <w:szCs w:val="24"/>
        </w:rPr>
        <w:t>velopmental theory delineating</w:t>
      </w:r>
      <w:r w:rsidRPr="002B2057">
        <w:rPr>
          <w:sz w:val="24"/>
          <w:szCs w:val="24"/>
        </w:rPr>
        <w:t xml:space="preserve"> </w:t>
      </w:r>
      <w:r>
        <w:rPr>
          <w:sz w:val="24"/>
          <w:szCs w:val="24"/>
        </w:rPr>
        <w:t>i</w:t>
      </w:r>
      <w:r w:rsidRPr="002B2057">
        <w:rPr>
          <w:sz w:val="24"/>
          <w:szCs w:val="24"/>
        </w:rPr>
        <w:t>nherent stages</w:t>
      </w:r>
      <w:r>
        <w:rPr>
          <w:sz w:val="24"/>
          <w:szCs w:val="24"/>
        </w:rPr>
        <w:t xml:space="preserve"> </w:t>
      </w:r>
      <w:r w:rsidRPr="002B2057">
        <w:rPr>
          <w:sz w:val="24"/>
          <w:szCs w:val="24"/>
        </w:rPr>
        <w:t xml:space="preserve">from birth </w:t>
      </w:r>
      <w:r>
        <w:rPr>
          <w:sz w:val="24"/>
          <w:szCs w:val="24"/>
        </w:rPr>
        <w:t xml:space="preserve">onwards </w:t>
      </w:r>
      <w:r w:rsidRPr="002B2057">
        <w:rPr>
          <w:sz w:val="24"/>
          <w:szCs w:val="24"/>
        </w:rPr>
        <w:t>that individuals negotiate progress</w:t>
      </w:r>
      <w:r>
        <w:rPr>
          <w:sz w:val="24"/>
          <w:szCs w:val="24"/>
        </w:rPr>
        <w:t>ively. For example, the first stage is trust versus mistrust (Erikson, 1963) the successful negotiation of which enables a child to internalise experiences of trust. Subsequent psychosocial stages are compromised if trust fails to be established. B</w:t>
      </w:r>
      <w:r w:rsidRPr="003206D4">
        <w:rPr>
          <w:sz w:val="24"/>
          <w:szCs w:val="24"/>
        </w:rPr>
        <w:t xml:space="preserve">asic psychosocial needs such as being seen, respected and loved </w:t>
      </w:r>
      <w:r>
        <w:rPr>
          <w:sz w:val="24"/>
          <w:szCs w:val="24"/>
        </w:rPr>
        <w:t xml:space="preserve">are </w:t>
      </w:r>
      <w:r w:rsidRPr="003206D4">
        <w:rPr>
          <w:sz w:val="24"/>
          <w:szCs w:val="24"/>
        </w:rPr>
        <w:t>met by the environmental provision (Rye, 2002)</w:t>
      </w:r>
      <w:r w:rsidR="00F86002">
        <w:rPr>
          <w:sz w:val="24"/>
          <w:szCs w:val="24"/>
        </w:rPr>
        <w:t>. D</w:t>
      </w:r>
      <w:r w:rsidRPr="006B2C7E">
        <w:rPr>
          <w:sz w:val="24"/>
          <w:szCs w:val="24"/>
        </w:rPr>
        <w:t xml:space="preserve">eficits in psychosocial functioning </w:t>
      </w:r>
      <w:r>
        <w:rPr>
          <w:sz w:val="24"/>
          <w:szCs w:val="24"/>
        </w:rPr>
        <w:t xml:space="preserve">and provision </w:t>
      </w:r>
      <w:r w:rsidRPr="006B2C7E">
        <w:rPr>
          <w:sz w:val="24"/>
          <w:szCs w:val="24"/>
        </w:rPr>
        <w:t>impact</w:t>
      </w:r>
      <w:r>
        <w:rPr>
          <w:sz w:val="24"/>
          <w:szCs w:val="24"/>
        </w:rPr>
        <w:t xml:space="preserve"> all aspects of </w:t>
      </w:r>
      <w:r w:rsidRPr="006B2C7E">
        <w:rPr>
          <w:sz w:val="24"/>
          <w:szCs w:val="24"/>
        </w:rPr>
        <w:t>social development</w:t>
      </w:r>
      <w:r>
        <w:rPr>
          <w:sz w:val="24"/>
          <w:szCs w:val="24"/>
        </w:rPr>
        <w:t xml:space="preserve">, which include </w:t>
      </w:r>
      <w:r w:rsidRPr="006B2C7E">
        <w:rPr>
          <w:sz w:val="24"/>
          <w:szCs w:val="24"/>
        </w:rPr>
        <w:t>learn</w:t>
      </w:r>
      <w:r>
        <w:rPr>
          <w:sz w:val="24"/>
          <w:szCs w:val="24"/>
        </w:rPr>
        <w:t>ing</w:t>
      </w:r>
      <w:r w:rsidRPr="006B2C7E">
        <w:rPr>
          <w:sz w:val="24"/>
          <w:szCs w:val="24"/>
        </w:rPr>
        <w:t>.</w:t>
      </w:r>
      <w:r>
        <w:rPr>
          <w:sz w:val="24"/>
          <w:szCs w:val="24"/>
        </w:rPr>
        <w:t xml:space="preserve"> </w:t>
      </w:r>
      <w:r w:rsidR="00DA7D0F">
        <w:rPr>
          <w:sz w:val="24"/>
          <w:szCs w:val="24"/>
        </w:rPr>
        <w:t>It is worth</w:t>
      </w:r>
      <w:r w:rsidR="006639DE">
        <w:rPr>
          <w:sz w:val="24"/>
          <w:szCs w:val="24"/>
        </w:rPr>
        <w:t>y of note that Erikson</w:t>
      </w:r>
      <w:r w:rsidR="00E61BA4">
        <w:rPr>
          <w:sz w:val="24"/>
          <w:szCs w:val="24"/>
        </w:rPr>
        <w:t xml:space="preserve"> (1963)</w:t>
      </w:r>
      <w:r w:rsidR="006A4E15">
        <w:rPr>
          <w:sz w:val="24"/>
          <w:szCs w:val="24"/>
        </w:rPr>
        <w:t>,</w:t>
      </w:r>
      <w:r w:rsidR="00E61BA4">
        <w:rPr>
          <w:sz w:val="24"/>
          <w:szCs w:val="24"/>
        </w:rPr>
        <w:t xml:space="preserve"> a psychoanalyst</w:t>
      </w:r>
      <w:r w:rsidR="006A4E15">
        <w:rPr>
          <w:sz w:val="24"/>
          <w:szCs w:val="24"/>
        </w:rPr>
        <w:t>,</w:t>
      </w:r>
      <w:r w:rsidR="006639DE">
        <w:rPr>
          <w:sz w:val="24"/>
          <w:szCs w:val="24"/>
        </w:rPr>
        <w:t xml:space="preserve"> emphasises</w:t>
      </w:r>
      <w:r w:rsidR="007B2C1D">
        <w:rPr>
          <w:sz w:val="24"/>
          <w:szCs w:val="24"/>
        </w:rPr>
        <w:t xml:space="preserve"> the </w:t>
      </w:r>
      <w:r w:rsidR="00EA6EB9">
        <w:rPr>
          <w:sz w:val="24"/>
          <w:szCs w:val="24"/>
        </w:rPr>
        <w:t>psycho</w:t>
      </w:r>
      <w:r w:rsidR="007B2C1D">
        <w:rPr>
          <w:sz w:val="24"/>
          <w:szCs w:val="24"/>
        </w:rPr>
        <w:t>social nature of development rather</w:t>
      </w:r>
      <w:r w:rsidR="00910D1F">
        <w:rPr>
          <w:sz w:val="24"/>
          <w:szCs w:val="24"/>
        </w:rPr>
        <w:t xml:space="preserve"> </w:t>
      </w:r>
      <w:r w:rsidR="00BA5FAA">
        <w:rPr>
          <w:sz w:val="24"/>
          <w:szCs w:val="24"/>
        </w:rPr>
        <w:t>than unconscious drivers</w:t>
      </w:r>
      <w:r w:rsidR="00214618">
        <w:rPr>
          <w:sz w:val="24"/>
          <w:szCs w:val="24"/>
        </w:rPr>
        <w:t>/dynamics</w:t>
      </w:r>
      <w:r w:rsidR="00BA5FAA">
        <w:rPr>
          <w:sz w:val="24"/>
          <w:szCs w:val="24"/>
        </w:rPr>
        <w:t xml:space="preserve"> favoured by </w:t>
      </w:r>
      <w:r w:rsidR="005844F8">
        <w:rPr>
          <w:sz w:val="24"/>
          <w:szCs w:val="24"/>
        </w:rPr>
        <w:t>psychoanalytic forefathers such as Freud</w:t>
      </w:r>
      <w:r w:rsidR="004F3AC6">
        <w:rPr>
          <w:sz w:val="24"/>
          <w:szCs w:val="24"/>
        </w:rPr>
        <w:t xml:space="preserve"> and Klein</w:t>
      </w:r>
      <w:r w:rsidR="00E749D5">
        <w:rPr>
          <w:sz w:val="24"/>
          <w:szCs w:val="24"/>
        </w:rPr>
        <w:t xml:space="preserve">. </w:t>
      </w:r>
      <w:r w:rsidR="00DE562E">
        <w:rPr>
          <w:sz w:val="24"/>
          <w:szCs w:val="24"/>
        </w:rPr>
        <w:t xml:space="preserve">Erikson’s </w:t>
      </w:r>
      <w:r w:rsidR="00EA6EB9">
        <w:rPr>
          <w:sz w:val="24"/>
          <w:szCs w:val="24"/>
        </w:rPr>
        <w:t>psycho</w:t>
      </w:r>
      <w:r w:rsidR="00E749D5">
        <w:rPr>
          <w:sz w:val="24"/>
          <w:szCs w:val="24"/>
        </w:rPr>
        <w:t>social nature of development</w:t>
      </w:r>
      <w:r w:rsidR="005B249F">
        <w:rPr>
          <w:sz w:val="24"/>
          <w:szCs w:val="24"/>
        </w:rPr>
        <w:t xml:space="preserve"> is in alignment with th</w:t>
      </w:r>
      <w:r w:rsidR="0089225F">
        <w:rPr>
          <w:sz w:val="24"/>
          <w:szCs w:val="24"/>
        </w:rPr>
        <w:t>e approach this study adopts.</w:t>
      </w:r>
    </w:p>
    <w:p w14:paraId="6208A636" w14:textId="10E37EAE" w:rsidR="002E2ABD" w:rsidRPr="00DA0592" w:rsidRDefault="002E2ABD" w:rsidP="004137DF">
      <w:pPr>
        <w:spacing w:line="360" w:lineRule="auto"/>
        <w:rPr>
          <w:sz w:val="24"/>
          <w:szCs w:val="24"/>
        </w:rPr>
      </w:pPr>
      <w:r w:rsidRPr="00483B2F">
        <w:rPr>
          <w:sz w:val="24"/>
          <w:szCs w:val="24"/>
        </w:rPr>
        <w:t xml:space="preserve">Frequently used by medical and social science researchers, a psychosocial approach is important in pedagogical research as it incorporates rationalistic and affect domains involved in </w:t>
      </w:r>
      <w:r w:rsidR="00E74C67" w:rsidRPr="00483B2F">
        <w:rPr>
          <w:sz w:val="24"/>
          <w:szCs w:val="24"/>
        </w:rPr>
        <w:t>learning</w:t>
      </w:r>
      <w:r w:rsidR="00E74C67">
        <w:rPr>
          <w:sz w:val="24"/>
          <w:szCs w:val="24"/>
        </w:rPr>
        <w:t xml:space="preserve"> and</w:t>
      </w:r>
      <w:r w:rsidRPr="00483B2F">
        <w:rPr>
          <w:sz w:val="24"/>
          <w:szCs w:val="24"/>
        </w:rPr>
        <w:t xml:space="preserve"> is an inclusive of the environmental provision. </w:t>
      </w:r>
      <w:r>
        <w:rPr>
          <w:sz w:val="24"/>
          <w:szCs w:val="24"/>
        </w:rPr>
        <w:t>I</w:t>
      </w:r>
      <w:r w:rsidRPr="00BE0F13">
        <w:rPr>
          <w:sz w:val="24"/>
          <w:szCs w:val="24"/>
        </w:rPr>
        <w:t xml:space="preserve">n recent times prominent psychosocial needs of university students have been identified as academic, financial, family and </w:t>
      </w:r>
      <w:r w:rsidR="00AC5A36" w:rsidRPr="00BE0F13">
        <w:rPr>
          <w:sz w:val="24"/>
          <w:szCs w:val="24"/>
        </w:rPr>
        <w:t>friends’</w:t>
      </w:r>
      <w:r w:rsidRPr="00BE0F13">
        <w:rPr>
          <w:sz w:val="24"/>
          <w:szCs w:val="24"/>
        </w:rPr>
        <w:t xml:space="preserve"> networks, </w:t>
      </w:r>
      <w:r w:rsidR="008B5E03">
        <w:rPr>
          <w:sz w:val="24"/>
          <w:szCs w:val="24"/>
        </w:rPr>
        <w:t xml:space="preserve">and </w:t>
      </w:r>
      <w:r w:rsidRPr="00BE0F13">
        <w:rPr>
          <w:sz w:val="24"/>
          <w:szCs w:val="24"/>
        </w:rPr>
        <w:t xml:space="preserve">practical and emotional support (Tindle, </w:t>
      </w:r>
      <w:r w:rsidR="00FB3A6E" w:rsidRPr="00FB3A6E">
        <w:rPr>
          <w:i/>
          <w:sz w:val="24"/>
          <w:szCs w:val="24"/>
        </w:rPr>
        <w:t>et al.</w:t>
      </w:r>
      <w:r w:rsidRPr="00BE0F13">
        <w:rPr>
          <w:sz w:val="24"/>
          <w:szCs w:val="24"/>
        </w:rPr>
        <w:t>, 2022). The</w:t>
      </w:r>
      <w:r>
        <w:rPr>
          <w:sz w:val="24"/>
          <w:szCs w:val="24"/>
        </w:rPr>
        <w:t xml:space="preserve"> learning environment, which </w:t>
      </w:r>
      <w:r w:rsidR="00A31C27">
        <w:rPr>
          <w:sz w:val="24"/>
          <w:szCs w:val="24"/>
        </w:rPr>
        <w:t xml:space="preserve">includes </w:t>
      </w:r>
      <w:r>
        <w:rPr>
          <w:sz w:val="24"/>
          <w:szCs w:val="24"/>
        </w:rPr>
        <w:t>the teacher</w:t>
      </w:r>
      <w:r w:rsidR="007F5481">
        <w:rPr>
          <w:sz w:val="24"/>
          <w:szCs w:val="24"/>
        </w:rPr>
        <w:t>,</w:t>
      </w:r>
      <w:r w:rsidR="005E4842">
        <w:rPr>
          <w:sz w:val="24"/>
          <w:szCs w:val="24"/>
        </w:rPr>
        <w:t xml:space="preserve"> </w:t>
      </w:r>
      <w:r>
        <w:rPr>
          <w:sz w:val="24"/>
          <w:szCs w:val="24"/>
        </w:rPr>
        <w:t>is increasingly required to</w:t>
      </w:r>
      <w:r w:rsidRPr="00BE0F13">
        <w:rPr>
          <w:sz w:val="24"/>
          <w:szCs w:val="24"/>
        </w:rPr>
        <w:t xml:space="preserve"> address some of th</w:t>
      </w:r>
      <w:r>
        <w:rPr>
          <w:sz w:val="24"/>
          <w:szCs w:val="24"/>
        </w:rPr>
        <w:t>e</w:t>
      </w:r>
      <w:r w:rsidRPr="00BE0F13">
        <w:rPr>
          <w:sz w:val="24"/>
          <w:szCs w:val="24"/>
        </w:rPr>
        <w:t>se needs</w:t>
      </w:r>
      <w:r>
        <w:rPr>
          <w:sz w:val="24"/>
          <w:szCs w:val="24"/>
        </w:rPr>
        <w:t xml:space="preserve">. </w:t>
      </w:r>
      <w:r w:rsidRPr="00BE0F13">
        <w:rPr>
          <w:sz w:val="24"/>
          <w:szCs w:val="24"/>
        </w:rPr>
        <w:t xml:space="preserve">Indeed, De Cordova </w:t>
      </w:r>
      <w:r w:rsidR="00FB3A6E" w:rsidRPr="00FB3A6E">
        <w:rPr>
          <w:i/>
          <w:sz w:val="24"/>
          <w:szCs w:val="24"/>
        </w:rPr>
        <w:t>et al.</w:t>
      </w:r>
      <w:r w:rsidRPr="00BE0F13">
        <w:rPr>
          <w:sz w:val="24"/>
          <w:szCs w:val="24"/>
        </w:rPr>
        <w:t xml:space="preserve"> (2019) identif</w:t>
      </w:r>
      <w:r>
        <w:rPr>
          <w:sz w:val="24"/>
          <w:szCs w:val="24"/>
        </w:rPr>
        <w:t>ied</w:t>
      </w:r>
      <w:r w:rsidRPr="00BE0F13">
        <w:rPr>
          <w:sz w:val="24"/>
          <w:szCs w:val="24"/>
        </w:rPr>
        <w:t xml:space="preserve"> that the teacher’s instructor role has extended to one of taking responsibility for their </w:t>
      </w:r>
      <w:r>
        <w:rPr>
          <w:sz w:val="24"/>
          <w:szCs w:val="24"/>
        </w:rPr>
        <w:t xml:space="preserve">students’ </w:t>
      </w:r>
      <w:r w:rsidRPr="00BE0F13">
        <w:rPr>
          <w:sz w:val="24"/>
          <w:szCs w:val="24"/>
        </w:rPr>
        <w:t>care.</w:t>
      </w:r>
      <w:r>
        <w:rPr>
          <w:sz w:val="24"/>
          <w:szCs w:val="24"/>
        </w:rPr>
        <w:t xml:space="preserve"> </w:t>
      </w:r>
    </w:p>
    <w:p w14:paraId="00DD4262" w14:textId="77777777" w:rsidR="002E2ABD" w:rsidRPr="005309CB" w:rsidRDefault="002E2ABD" w:rsidP="004137DF">
      <w:pPr>
        <w:spacing w:line="360" w:lineRule="auto"/>
        <w:rPr>
          <w:sz w:val="24"/>
          <w:szCs w:val="24"/>
        </w:rPr>
      </w:pPr>
      <w:r>
        <w:rPr>
          <w:b/>
          <w:bCs/>
          <w:sz w:val="24"/>
          <w:szCs w:val="24"/>
        </w:rPr>
        <w:t xml:space="preserve">A </w:t>
      </w:r>
      <w:r w:rsidRPr="00D83659">
        <w:rPr>
          <w:b/>
          <w:bCs/>
          <w:sz w:val="24"/>
          <w:szCs w:val="24"/>
        </w:rPr>
        <w:t xml:space="preserve">future </w:t>
      </w:r>
      <w:r>
        <w:rPr>
          <w:b/>
          <w:bCs/>
          <w:sz w:val="24"/>
          <w:szCs w:val="24"/>
        </w:rPr>
        <w:t>requirement</w:t>
      </w:r>
    </w:p>
    <w:p w14:paraId="43485822" w14:textId="3B71C2D7" w:rsidR="002E2ABD" w:rsidRPr="008A360E" w:rsidRDefault="002E2ABD" w:rsidP="004137DF">
      <w:pPr>
        <w:spacing w:line="360" w:lineRule="auto"/>
        <w:rPr>
          <w:sz w:val="24"/>
          <w:szCs w:val="24"/>
        </w:rPr>
      </w:pPr>
      <w:r>
        <w:rPr>
          <w:sz w:val="24"/>
          <w:szCs w:val="24"/>
        </w:rPr>
        <w:t>I</w:t>
      </w:r>
      <w:r w:rsidRPr="00C24940">
        <w:rPr>
          <w:sz w:val="24"/>
          <w:szCs w:val="24"/>
        </w:rPr>
        <w:t xml:space="preserve">n the UK </w:t>
      </w:r>
      <w:r>
        <w:rPr>
          <w:sz w:val="24"/>
          <w:szCs w:val="24"/>
        </w:rPr>
        <w:t>tertiary</w:t>
      </w:r>
      <w:r w:rsidRPr="00C24940">
        <w:rPr>
          <w:sz w:val="24"/>
          <w:szCs w:val="24"/>
        </w:rPr>
        <w:t xml:space="preserve"> context </w:t>
      </w:r>
      <w:r>
        <w:rPr>
          <w:sz w:val="24"/>
          <w:szCs w:val="24"/>
        </w:rPr>
        <w:t xml:space="preserve">there are indications </w:t>
      </w:r>
      <w:r w:rsidRPr="00C24940">
        <w:rPr>
          <w:sz w:val="24"/>
          <w:szCs w:val="24"/>
        </w:rPr>
        <w:t xml:space="preserve">that </w:t>
      </w:r>
      <w:r>
        <w:rPr>
          <w:sz w:val="24"/>
          <w:szCs w:val="24"/>
        </w:rPr>
        <w:t>psychosocial</w:t>
      </w:r>
      <w:r w:rsidRPr="00C24940">
        <w:rPr>
          <w:sz w:val="24"/>
          <w:szCs w:val="24"/>
        </w:rPr>
        <w:t xml:space="preserve"> skills</w:t>
      </w:r>
      <w:r>
        <w:rPr>
          <w:sz w:val="24"/>
          <w:szCs w:val="24"/>
        </w:rPr>
        <w:t xml:space="preserve"> are </w:t>
      </w:r>
      <w:r w:rsidRPr="00214D5A">
        <w:rPr>
          <w:sz w:val="24"/>
          <w:szCs w:val="24"/>
        </w:rPr>
        <w:t xml:space="preserve">required in educational praxis (Golbasi and Onder, 2017) </w:t>
      </w:r>
      <w:r>
        <w:rPr>
          <w:sz w:val="24"/>
          <w:szCs w:val="24"/>
        </w:rPr>
        <w:t>and will become increasingly important in classrooms (</w:t>
      </w:r>
      <w:r w:rsidRPr="00E17673">
        <w:rPr>
          <w:sz w:val="24"/>
          <w:szCs w:val="24"/>
        </w:rPr>
        <w:t xml:space="preserve">Bakshi </w:t>
      </w:r>
      <w:r w:rsidR="00FB3A6E" w:rsidRPr="00FB3A6E">
        <w:rPr>
          <w:i/>
          <w:sz w:val="24"/>
          <w:szCs w:val="24"/>
        </w:rPr>
        <w:t>et al.</w:t>
      </w:r>
      <w:r w:rsidRPr="00E17673">
        <w:rPr>
          <w:sz w:val="24"/>
          <w:szCs w:val="24"/>
        </w:rPr>
        <w:t>, 2017</w:t>
      </w:r>
      <w:r>
        <w:rPr>
          <w:sz w:val="24"/>
          <w:szCs w:val="24"/>
        </w:rPr>
        <w:t xml:space="preserve">). Skills include </w:t>
      </w:r>
      <w:r w:rsidRPr="00C24940">
        <w:rPr>
          <w:sz w:val="24"/>
          <w:szCs w:val="24"/>
        </w:rPr>
        <w:t>emotional awareness, reflexivity, psychological citizenship and collaboration</w:t>
      </w:r>
      <w:r>
        <w:rPr>
          <w:sz w:val="24"/>
          <w:szCs w:val="24"/>
        </w:rPr>
        <w:t xml:space="preserve"> (</w:t>
      </w:r>
      <w:r w:rsidR="00AB1ADC">
        <w:rPr>
          <w:sz w:val="24"/>
          <w:szCs w:val="24"/>
        </w:rPr>
        <w:t>ibid.</w:t>
      </w:r>
      <w:r w:rsidRPr="00C24940">
        <w:rPr>
          <w:sz w:val="24"/>
          <w:szCs w:val="24"/>
        </w:rPr>
        <w:t>)</w:t>
      </w:r>
      <w:bookmarkStart w:id="20" w:name="_Hlk132537367"/>
      <w:r>
        <w:rPr>
          <w:sz w:val="24"/>
          <w:szCs w:val="24"/>
        </w:rPr>
        <w:t>.</w:t>
      </w:r>
      <w:r w:rsidRPr="00C24940">
        <w:rPr>
          <w:sz w:val="24"/>
          <w:szCs w:val="24"/>
        </w:rPr>
        <w:t xml:space="preserve"> </w:t>
      </w:r>
      <w:bookmarkEnd w:id="20"/>
      <w:r w:rsidRPr="008A360E">
        <w:rPr>
          <w:sz w:val="24"/>
          <w:szCs w:val="24"/>
        </w:rPr>
        <w:t xml:space="preserve">Research conducted by Microsoft and McKinsey (2018) with 2000 students and 2000 teaching staff worldwide identified future </w:t>
      </w:r>
      <w:r w:rsidRPr="008A360E">
        <w:rPr>
          <w:sz w:val="24"/>
          <w:szCs w:val="24"/>
        </w:rPr>
        <w:lastRenderedPageBreak/>
        <w:t xml:space="preserve">skills important for learning as social and emotional skills, informed citizenship, and stress and anxiety management. </w:t>
      </w:r>
      <w:r>
        <w:rPr>
          <w:sz w:val="24"/>
          <w:szCs w:val="24"/>
        </w:rPr>
        <w:t>E</w:t>
      </w:r>
      <w:r w:rsidRPr="008A360E">
        <w:rPr>
          <w:sz w:val="24"/>
          <w:szCs w:val="24"/>
        </w:rPr>
        <w:t>mpathy, unconditional acceptance, compassion and self-awareness</w:t>
      </w:r>
      <w:r w:rsidR="000C1C36">
        <w:rPr>
          <w:sz w:val="24"/>
          <w:szCs w:val="24"/>
        </w:rPr>
        <w:t>,</w:t>
      </w:r>
      <w:r w:rsidRPr="008A360E">
        <w:rPr>
          <w:sz w:val="24"/>
          <w:szCs w:val="24"/>
        </w:rPr>
        <w:t xml:space="preserve"> </w:t>
      </w:r>
      <w:r>
        <w:rPr>
          <w:sz w:val="24"/>
          <w:szCs w:val="24"/>
        </w:rPr>
        <w:t>also known as soft skills (Runyon, 2022)</w:t>
      </w:r>
      <w:r w:rsidR="000C1C36">
        <w:rPr>
          <w:sz w:val="24"/>
          <w:szCs w:val="24"/>
        </w:rPr>
        <w:t>,</w:t>
      </w:r>
      <w:r>
        <w:rPr>
          <w:sz w:val="24"/>
          <w:szCs w:val="24"/>
        </w:rPr>
        <w:t xml:space="preserve"> fall under the remit of psychosocial skills. </w:t>
      </w:r>
      <w:r w:rsidR="00E63387">
        <w:rPr>
          <w:sz w:val="24"/>
          <w:szCs w:val="24"/>
        </w:rPr>
        <w:t>R</w:t>
      </w:r>
      <w:r>
        <w:rPr>
          <w:sz w:val="24"/>
          <w:szCs w:val="24"/>
        </w:rPr>
        <w:t>elational in acquisition and nature</w:t>
      </w:r>
      <w:r w:rsidR="00E63387">
        <w:rPr>
          <w:sz w:val="24"/>
          <w:szCs w:val="24"/>
        </w:rPr>
        <w:t>,</w:t>
      </w:r>
      <w:r>
        <w:rPr>
          <w:sz w:val="24"/>
          <w:szCs w:val="24"/>
        </w:rPr>
        <w:t xml:space="preserve"> </w:t>
      </w:r>
      <w:r w:rsidR="00E63387">
        <w:rPr>
          <w:sz w:val="24"/>
          <w:szCs w:val="24"/>
        </w:rPr>
        <w:t xml:space="preserve">they </w:t>
      </w:r>
      <w:r w:rsidRPr="008A360E">
        <w:rPr>
          <w:sz w:val="24"/>
          <w:szCs w:val="24"/>
        </w:rPr>
        <w:t>foster connectivity, community</w:t>
      </w:r>
      <w:r w:rsidR="00E63387">
        <w:rPr>
          <w:sz w:val="24"/>
          <w:szCs w:val="24"/>
        </w:rPr>
        <w:t xml:space="preserve"> </w:t>
      </w:r>
      <w:r w:rsidRPr="008A360E">
        <w:rPr>
          <w:sz w:val="24"/>
          <w:szCs w:val="24"/>
        </w:rPr>
        <w:t xml:space="preserve">and </w:t>
      </w:r>
      <w:r>
        <w:rPr>
          <w:sz w:val="24"/>
          <w:szCs w:val="24"/>
        </w:rPr>
        <w:t xml:space="preserve">an ethic of </w:t>
      </w:r>
      <w:r w:rsidRPr="008A360E">
        <w:rPr>
          <w:sz w:val="24"/>
          <w:szCs w:val="24"/>
        </w:rPr>
        <w:t>care</w:t>
      </w:r>
      <w:r>
        <w:rPr>
          <w:sz w:val="24"/>
          <w:szCs w:val="24"/>
        </w:rPr>
        <w:t xml:space="preserve"> (Noddings, 2002).</w:t>
      </w:r>
    </w:p>
    <w:p w14:paraId="4969E279" w14:textId="644DB069" w:rsidR="002E2ABD" w:rsidRPr="00E365ED" w:rsidRDefault="002E2ABD" w:rsidP="004137DF">
      <w:pPr>
        <w:spacing w:line="360" w:lineRule="auto"/>
        <w:rPr>
          <w:sz w:val="24"/>
          <w:szCs w:val="24"/>
        </w:rPr>
      </w:pPr>
      <w:r>
        <w:rPr>
          <w:sz w:val="24"/>
          <w:szCs w:val="24"/>
        </w:rPr>
        <w:t>R</w:t>
      </w:r>
      <w:r w:rsidRPr="00D748F2">
        <w:rPr>
          <w:sz w:val="24"/>
          <w:szCs w:val="24"/>
        </w:rPr>
        <w:t>elational skills are important for schools, the workplace, society and the economy</w:t>
      </w:r>
      <w:r>
        <w:rPr>
          <w:sz w:val="24"/>
          <w:szCs w:val="24"/>
        </w:rPr>
        <w:t xml:space="preserve"> (OECD, 2021)</w:t>
      </w:r>
      <w:r w:rsidR="007B35C1">
        <w:rPr>
          <w:sz w:val="24"/>
          <w:szCs w:val="24"/>
        </w:rPr>
        <w:t>,</w:t>
      </w:r>
      <w:r>
        <w:rPr>
          <w:sz w:val="24"/>
          <w:szCs w:val="24"/>
        </w:rPr>
        <w:t xml:space="preserve"> and </w:t>
      </w:r>
      <w:r w:rsidRPr="00E34C9C">
        <w:rPr>
          <w:sz w:val="24"/>
          <w:szCs w:val="24"/>
        </w:rPr>
        <w:t xml:space="preserve">future workers will require </w:t>
      </w:r>
      <w:r>
        <w:rPr>
          <w:sz w:val="24"/>
          <w:szCs w:val="24"/>
        </w:rPr>
        <w:t>these to promote personal agency (</w:t>
      </w:r>
      <w:r w:rsidR="00AB1ADC">
        <w:rPr>
          <w:sz w:val="24"/>
          <w:szCs w:val="24"/>
        </w:rPr>
        <w:t>ibid.</w:t>
      </w:r>
      <w:r>
        <w:rPr>
          <w:sz w:val="24"/>
          <w:szCs w:val="24"/>
        </w:rPr>
        <w:t xml:space="preserve">). </w:t>
      </w:r>
      <w:bookmarkStart w:id="21" w:name="_Hlk133145804"/>
      <w:bookmarkStart w:id="22" w:name="_Hlk132534310"/>
      <w:r>
        <w:rPr>
          <w:sz w:val="24"/>
          <w:szCs w:val="24"/>
        </w:rPr>
        <w:t xml:space="preserve">The explicit message in the </w:t>
      </w:r>
      <w:r w:rsidR="00160B68">
        <w:rPr>
          <w:sz w:val="24"/>
          <w:szCs w:val="24"/>
        </w:rPr>
        <w:t xml:space="preserve">OECD </w:t>
      </w:r>
      <w:r>
        <w:rPr>
          <w:sz w:val="24"/>
          <w:szCs w:val="24"/>
        </w:rPr>
        <w:t>report is couched in terms that declare a wider concern for people.</w:t>
      </w:r>
      <w:r w:rsidRPr="00333BCE">
        <w:rPr>
          <w:sz w:val="24"/>
          <w:szCs w:val="24"/>
        </w:rPr>
        <w:t xml:space="preserve"> </w:t>
      </w:r>
      <w:r w:rsidRPr="00461E52">
        <w:rPr>
          <w:sz w:val="24"/>
          <w:szCs w:val="24"/>
        </w:rPr>
        <w:t xml:space="preserve">Economically driven, the </w:t>
      </w:r>
      <w:r>
        <w:rPr>
          <w:sz w:val="24"/>
          <w:szCs w:val="24"/>
        </w:rPr>
        <w:t xml:space="preserve">implicit </w:t>
      </w:r>
      <w:r w:rsidRPr="00461E52">
        <w:rPr>
          <w:sz w:val="24"/>
          <w:szCs w:val="24"/>
        </w:rPr>
        <w:t xml:space="preserve">message centres around promoting new skills to increase competitiveness. </w:t>
      </w:r>
      <w:r>
        <w:rPr>
          <w:sz w:val="24"/>
          <w:szCs w:val="24"/>
        </w:rPr>
        <w:t xml:space="preserve"> </w:t>
      </w:r>
      <w:r w:rsidRPr="00333BCE">
        <w:rPr>
          <w:sz w:val="24"/>
          <w:szCs w:val="24"/>
        </w:rPr>
        <w:t xml:space="preserve">Given that psychosocial skills are </w:t>
      </w:r>
      <w:r>
        <w:rPr>
          <w:sz w:val="24"/>
          <w:szCs w:val="24"/>
        </w:rPr>
        <w:t xml:space="preserve">useful </w:t>
      </w:r>
      <w:r w:rsidRPr="00333BCE">
        <w:rPr>
          <w:sz w:val="24"/>
          <w:szCs w:val="24"/>
        </w:rPr>
        <w:t>for economic purpose (</w:t>
      </w:r>
      <w:r w:rsidRPr="00264E15">
        <w:rPr>
          <w:bCs/>
          <w:sz w:val="24"/>
          <w:szCs w:val="24"/>
        </w:rPr>
        <w:t>Maté</w:t>
      </w:r>
      <w:r w:rsidRPr="00333BCE">
        <w:rPr>
          <w:sz w:val="24"/>
          <w:szCs w:val="24"/>
        </w:rPr>
        <w:t>, 2019), these future skills m</w:t>
      </w:r>
      <w:r>
        <w:rPr>
          <w:sz w:val="24"/>
          <w:szCs w:val="24"/>
        </w:rPr>
        <w:t xml:space="preserve">ight </w:t>
      </w:r>
      <w:r w:rsidRPr="00333BCE">
        <w:rPr>
          <w:sz w:val="24"/>
          <w:szCs w:val="24"/>
        </w:rPr>
        <w:t xml:space="preserve">address </w:t>
      </w:r>
      <w:r>
        <w:rPr>
          <w:sz w:val="24"/>
          <w:szCs w:val="24"/>
        </w:rPr>
        <w:t>an economic deficit</w:t>
      </w:r>
      <w:r w:rsidRPr="00333BCE">
        <w:rPr>
          <w:sz w:val="24"/>
          <w:szCs w:val="24"/>
        </w:rPr>
        <w:t xml:space="preserve"> in </w:t>
      </w:r>
      <w:r>
        <w:rPr>
          <w:sz w:val="24"/>
          <w:szCs w:val="24"/>
        </w:rPr>
        <w:t xml:space="preserve">the </w:t>
      </w:r>
      <w:r w:rsidR="0039351A">
        <w:rPr>
          <w:sz w:val="24"/>
          <w:szCs w:val="24"/>
        </w:rPr>
        <w:t>marketplace</w:t>
      </w:r>
      <w:r w:rsidR="006E1967">
        <w:rPr>
          <w:sz w:val="24"/>
          <w:szCs w:val="24"/>
        </w:rPr>
        <w:t xml:space="preserve">, and </w:t>
      </w:r>
      <w:r w:rsidR="00FE16B7">
        <w:rPr>
          <w:sz w:val="24"/>
          <w:szCs w:val="24"/>
        </w:rPr>
        <w:t>workplace</w:t>
      </w:r>
      <w:r>
        <w:rPr>
          <w:sz w:val="24"/>
          <w:szCs w:val="24"/>
        </w:rPr>
        <w:t>.</w:t>
      </w:r>
      <w:bookmarkEnd w:id="21"/>
      <w:bookmarkEnd w:id="22"/>
      <w:r w:rsidRPr="00555E6E">
        <w:rPr>
          <w:sz w:val="24"/>
          <w:szCs w:val="24"/>
        </w:rPr>
        <w:t xml:space="preserve"> In a World Economic Forum report (WEF, 2019) creativity, critical thinking, emotional intelligence, communication, collaboration, curiosity</w:t>
      </w:r>
      <w:r>
        <w:rPr>
          <w:sz w:val="24"/>
          <w:szCs w:val="24"/>
        </w:rPr>
        <w:t xml:space="preserve"> </w:t>
      </w:r>
      <w:r w:rsidRPr="00555E6E">
        <w:rPr>
          <w:sz w:val="24"/>
          <w:szCs w:val="24"/>
        </w:rPr>
        <w:t xml:space="preserve">and social/cultural awareness were identified as some of the key skills needed in the workplace. </w:t>
      </w:r>
      <w:r>
        <w:rPr>
          <w:sz w:val="24"/>
          <w:szCs w:val="24"/>
        </w:rPr>
        <w:t xml:space="preserve"> It is noteworthy that the WEF promotes future investment in people and, although claiming not to be aligned to any political or national interests, investment in people ultimately serves the economic interests of society (</w:t>
      </w:r>
      <w:r w:rsidRPr="00867790">
        <w:rPr>
          <w:bCs/>
          <w:sz w:val="24"/>
          <w:szCs w:val="24"/>
        </w:rPr>
        <w:t>Maté</w:t>
      </w:r>
      <w:r w:rsidRPr="00867790">
        <w:rPr>
          <w:sz w:val="24"/>
          <w:szCs w:val="24"/>
        </w:rPr>
        <w:t>, 2019</w:t>
      </w:r>
      <w:r>
        <w:rPr>
          <w:sz w:val="24"/>
          <w:szCs w:val="24"/>
        </w:rPr>
        <w:t>).</w:t>
      </w:r>
    </w:p>
    <w:p w14:paraId="0DE5C39E" w14:textId="77777777" w:rsidR="007F7FF5" w:rsidRDefault="002E2ABD" w:rsidP="004137DF">
      <w:pPr>
        <w:spacing w:line="360" w:lineRule="auto"/>
        <w:rPr>
          <w:sz w:val="24"/>
          <w:szCs w:val="24"/>
        </w:rPr>
      </w:pPr>
      <w:r>
        <w:rPr>
          <w:sz w:val="24"/>
          <w:szCs w:val="24"/>
        </w:rPr>
        <w:t xml:space="preserve">Soft skills are applicable to all professions (NACE, 2022). </w:t>
      </w:r>
      <w:r w:rsidRPr="0099751D">
        <w:rPr>
          <w:sz w:val="24"/>
          <w:szCs w:val="24"/>
        </w:rPr>
        <w:t>Centring around the notion of career readiness, research findings identified eight key soft skill competencies: career and self-development, communication, critical thinking, equity and inclusion, leadership, professionalism, teamwork and technology</w:t>
      </w:r>
      <w:r>
        <w:rPr>
          <w:sz w:val="24"/>
          <w:szCs w:val="24"/>
        </w:rPr>
        <w:t xml:space="preserve"> (</w:t>
      </w:r>
      <w:r w:rsidR="00AB1ADC">
        <w:rPr>
          <w:sz w:val="24"/>
          <w:szCs w:val="24"/>
        </w:rPr>
        <w:t>ibid.</w:t>
      </w:r>
      <w:r>
        <w:rPr>
          <w:sz w:val="24"/>
          <w:szCs w:val="24"/>
        </w:rPr>
        <w:t>)</w:t>
      </w:r>
      <w:r w:rsidRPr="0099751D">
        <w:rPr>
          <w:sz w:val="24"/>
          <w:szCs w:val="24"/>
        </w:rPr>
        <w:t>. Contextually transferable</w:t>
      </w:r>
      <w:r>
        <w:rPr>
          <w:sz w:val="24"/>
          <w:szCs w:val="24"/>
        </w:rPr>
        <w:t>,</w:t>
      </w:r>
      <w:r w:rsidRPr="0099751D">
        <w:rPr>
          <w:sz w:val="24"/>
          <w:szCs w:val="24"/>
        </w:rPr>
        <w:t xml:space="preserve"> </w:t>
      </w:r>
      <w:r>
        <w:rPr>
          <w:sz w:val="24"/>
          <w:szCs w:val="24"/>
        </w:rPr>
        <w:t xml:space="preserve">employers identified career readiness </w:t>
      </w:r>
      <w:r w:rsidRPr="0099751D">
        <w:rPr>
          <w:sz w:val="24"/>
          <w:szCs w:val="24"/>
        </w:rPr>
        <w:t xml:space="preserve">skills </w:t>
      </w:r>
      <w:r>
        <w:rPr>
          <w:sz w:val="24"/>
          <w:szCs w:val="24"/>
        </w:rPr>
        <w:t xml:space="preserve">such as </w:t>
      </w:r>
      <w:r w:rsidRPr="0099751D">
        <w:rPr>
          <w:sz w:val="24"/>
          <w:szCs w:val="24"/>
        </w:rPr>
        <w:t>professionalism, ethics, social responsibility, lifelong learning and “an ability to work with and learn from people representing diverse cultures” (</w:t>
      </w:r>
      <w:r w:rsidR="00AB1ADC">
        <w:rPr>
          <w:sz w:val="24"/>
          <w:szCs w:val="24"/>
        </w:rPr>
        <w:t>ibid.</w:t>
      </w:r>
      <w:r w:rsidRPr="0099751D">
        <w:rPr>
          <w:sz w:val="24"/>
          <w:szCs w:val="24"/>
        </w:rPr>
        <w:t xml:space="preserve">, pp.6 -7). </w:t>
      </w:r>
    </w:p>
    <w:p w14:paraId="7E222441" w14:textId="1D778994" w:rsidR="002E2ABD" w:rsidRPr="004E0122" w:rsidRDefault="002E2ABD" w:rsidP="004137DF">
      <w:pPr>
        <w:spacing w:line="360" w:lineRule="auto"/>
        <w:rPr>
          <w:color w:val="FF0000"/>
          <w:sz w:val="24"/>
          <w:szCs w:val="24"/>
        </w:rPr>
      </w:pPr>
      <w:r>
        <w:rPr>
          <w:sz w:val="24"/>
          <w:szCs w:val="24"/>
        </w:rPr>
        <w:t>Psychosocial skills are predicted to improve work practices, have the potential to facilitate learning, improve relationships and can be determinants of the economy. From a relational perspective, the socioeconomic incorporates the psychosocial, mental health, well-being and emotions</w:t>
      </w:r>
      <w:r w:rsidR="006F7601">
        <w:rPr>
          <w:sz w:val="24"/>
          <w:szCs w:val="24"/>
        </w:rPr>
        <w:t>, and referring to research question 1</w:t>
      </w:r>
      <w:r w:rsidR="00AE666C">
        <w:rPr>
          <w:sz w:val="24"/>
          <w:szCs w:val="24"/>
        </w:rPr>
        <w:t xml:space="preserve"> (Table 3)</w:t>
      </w:r>
      <w:r w:rsidR="006F7601">
        <w:rPr>
          <w:sz w:val="24"/>
          <w:szCs w:val="24"/>
        </w:rPr>
        <w:t>, a lived experience of the same.</w:t>
      </w:r>
    </w:p>
    <w:p w14:paraId="1F107F50" w14:textId="77777777" w:rsidR="00067243" w:rsidRDefault="00067243" w:rsidP="004137DF">
      <w:pPr>
        <w:spacing w:line="360" w:lineRule="auto"/>
        <w:rPr>
          <w:b/>
          <w:bCs/>
          <w:sz w:val="24"/>
          <w:szCs w:val="24"/>
        </w:rPr>
      </w:pPr>
    </w:p>
    <w:p w14:paraId="7ED5CBD1" w14:textId="3A21002D" w:rsidR="002E2ABD" w:rsidRPr="00D83659" w:rsidRDefault="002E2ABD" w:rsidP="004137DF">
      <w:pPr>
        <w:spacing w:line="360" w:lineRule="auto"/>
        <w:rPr>
          <w:b/>
          <w:bCs/>
          <w:sz w:val="24"/>
          <w:szCs w:val="24"/>
        </w:rPr>
      </w:pPr>
      <w:r>
        <w:rPr>
          <w:b/>
          <w:bCs/>
          <w:sz w:val="24"/>
          <w:szCs w:val="24"/>
        </w:rPr>
        <w:lastRenderedPageBreak/>
        <w:t xml:space="preserve">Learning and </w:t>
      </w:r>
      <w:r w:rsidR="00EE24E9">
        <w:rPr>
          <w:b/>
          <w:bCs/>
          <w:sz w:val="24"/>
          <w:szCs w:val="24"/>
        </w:rPr>
        <w:t>e</w:t>
      </w:r>
      <w:r>
        <w:rPr>
          <w:b/>
          <w:bCs/>
          <w:sz w:val="24"/>
          <w:szCs w:val="24"/>
        </w:rPr>
        <w:t>motions</w:t>
      </w:r>
    </w:p>
    <w:p w14:paraId="6AF91B04" w14:textId="6DD153BE" w:rsidR="002E2ABD" w:rsidRDefault="002E2ABD" w:rsidP="004137DF">
      <w:pPr>
        <w:spacing w:line="360" w:lineRule="auto"/>
        <w:rPr>
          <w:sz w:val="24"/>
          <w:szCs w:val="24"/>
        </w:rPr>
      </w:pPr>
      <w:r>
        <w:rPr>
          <w:sz w:val="24"/>
          <w:szCs w:val="24"/>
        </w:rPr>
        <w:t xml:space="preserve">Emotions </w:t>
      </w:r>
      <w:r w:rsidRPr="00D10D40">
        <w:rPr>
          <w:sz w:val="24"/>
          <w:szCs w:val="24"/>
        </w:rPr>
        <w:t>influence a student’s engagement with a particular educational programme, relationships with their teachers and</w:t>
      </w:r>
      <w:r>
        <w:rPr>
          <w:sz w:val="24"/>
          <w:szCs w:val="24"/>
        </w:rPr>
        <w:t xml:space="preserve"> </w:t>
      </w:r>
      <w:r w:rsidRPr="00D10D40">
        <w:rPr>
          <w:sz w:val="24"/>
          <w:szCs w:val="24"/>
        </w:rPr>
        <w:t>fellow students (Dirkx, 2006)</w:t>
      </w:r>
      <w:r w:rsidR="006A7878">
        <w:rPr>
          <w:sz w:val="24"/>
          <w:szCs w:val="24"/>
        </w:rPr>
        <w:t>.</w:t>
      </w:r>
      <w:r w:rsidRPr="001272A2">
        <w:rPr>
          <w:sz w:val="24"/>
          <w:szCs w:val="24"/>
        </w:rPr>
        <w:t xml:space="preserve"> </w:t>
      </w:r>
      <w:r>
        <w:rPr>
          <w:sz w:val="24"/>
          <w:szCs w:val="24"/>
        </w:rPr>
        <w:t>T</w:t>
      </w:r>
      <w:r w:rsidRPr="00D10D40">
        <w:rPr>
          <w:sz w:val="24"/>
          <w:szCs w:val="24"/>
        </w:rPr>
        <w:t xml:space="preserve">heir emotions reflect subtle dynamics that are in unconscious awareness (Salzberger-Wittenberg </w:t>
      </w:r>
      <w:r w:rsidR="00FB3A6E" w:rsidRPr="00FB3A6E">
        <w:rPr>
          <w:i/>
          <w:sz w:val="24"/>
          <w:szCs w:val="24"/>
        </w:rPr>
        <w:t>et al.</w:t>
      </w:r>
      <w:r w:rsidRPr="00D10D40">
        <w:rPr>
          <w:sz w:val="24"/>
          <w:szCs w:val="24"/>
        </w:rPr>
        <w:t>, 1983)</w:t>
      </w:r>
      <w:r>
        <w:rPr>
          <w:sz w:val="24"/>
          <w:szCs w:val="24"/>
        </w:rPr>
        <w:t xml:space="preserve"> and b</w:t>
      </w:r>
      <w:r w:rsidRPr="00D10D40">
        <w:rPr>
          <w:sz w:val="24"/>
          <w:szCs w:val="24"/>
        </w:rPr>
        <w:t>y implication</w:t>
      </w:r>
      <w:r w:rsidR="00AB4DC2">
        <w:rPr>
          <w:sz w:val="24"/>
          <w:szCs w:val="24"/>
        </w:rPr>
        <w:t xml:space="preserve"> </w:t>
      </w:r>
      <w:r w:rsidRPr="00D10D40">
        <w:rPr>
          <w:sz w:val="24"/>
          <w:szCs w:val="24"/>
        </w:rPr>
        <w:t xml:space="preserve">emotions that unconsciously drive motivation prompt an interest in a particular subject. </w:t>
      </w:r>
      <w:r w:rsidR="005E67B7" w:rsidRPr="005E67B7">
        <w:rPr>
          <w:sz w:val="24"/>
          <w:szCs w:val="24"/>
        </w:rPr>
        <w:t xml:space="preserve">Furthermore, students </w:t>
      </w:r>
      <w:r w:rsidR="005E67B7" w:rsidRPr="00945DF9">
        <w:rPr>
          <w:sz w:val="24"/>
          <w:szCs w:val="24"/>
        </w:rPr>
        <w:t>need</w:t>
      </w:r>
      <w:r w:rsidR="005E67B7" w:rsidRPr="005E67B7">
        <w:rPr>
          <w:sz w:val="24"/>
          <w:szCs w:val="24"/>
        </w:rPr>
        <w:t xml:space="preserve"> to feel emotionally connected to the chosen subject (Price, 2002). </w:t>
      </w:r>
      <w:r>
        <w:rPr>
          <w:sz w:val="24"/>
          <w:szCs w:val="24"/>
        </w:rPr>
        <w:t>A</w:t>
      </w:r>
      <w:r w:rsidRPr="008376B2">
        <w:rPr>
          <w:sz w:val="24"/>
          <w:szCs w:val="24"/>
        </w:rPr>
        <w:t>lthough students may be emotionally involved in their chosen area of study, Ecclestone and Hayes (2009) consider intellectual work is to be pursued in a “</w:t>
      </w:r>
      <w:r w:rsidRPr="008376B2">
        <w:rPr>
          <w:i/>
          <w:iCs/>
          <w:sz w:val="24"/>
          <w:szCs w:val="24"/>
        </w:rPr>
        <w:t xml:space="preserve">disinterested </w:t>
      </w:r>
      <w:r w:rsidRPr="008376B2">
        <w:rPr>
          <w:sz w:val="24"/>
          <w:szCs w:val="24"/>
        </w:rPr>
        <w:t>way” (</w:t>
      </w:r>
      <w:r w:rsidR="00AB1ADC">
        <w:rPr>
          <w:sz w:val="24"/>
          <w:szCs w:val="24"/>
        </w:rPr>
        <w:t>ibid.</w:t>
      </w:r>
      <w:r w:rsidRPr="008376B2">
        <w:rPr>
          <w:sz w:val="24"/>
          <w:szCs w:val="24"/>
        </w:rPr>
        <w:t>, p.97) t</w:t>
      </w:r>
      <w:r w:rsidR="00433F4A">
        <w:rPr>
          <w:sz w:val="24"/>
          <w:szCs w:val="24"/>
        </w:rPr>
        <w:t xml:space="preserve">o </w:t>
      </w:r>
      <w:r w:rsidRPr="008376B2">
        <w:rPr>
          <w:sz w:val="24"/>
          <w:szCs w:val="24"/>
        </w:rPr>
        <w:t>reduc</w:t>
      </w:r>
      <w:r w:rsidR="00433F4A">
        <w:rPr>
          <w:sz w:val="24"/>
          <w:szCs w:val="24"/>
        </w:rPr>
        <w:t>e</w:t>
      </w:r>
      <w:r w:rsidRPr="008376B2">
        <w:rPr>
          <w:sz w:val="24"/>
          <w:szCs w:val="24"/>
        </w:rPr>
        <w:t xml:space="preserve"> bias. </w:t>
      </w:r>
      <w:r>
        <w:rPr>
          <w:sz w:val="24"/>
          <w:szCs w:val="24"/>
        </w:rPr>
        <w:t>Thus, the argument can go round and round</w:t>
      </w:r>
      <w:r w:rsidR="00E33EA1">
        <w:rPr>
          <w:sz w:val="24"/>
          <w:szCs w:val="24"/>
        </w:rPr>
        <w:t xml:space="preserve"> in a solipsistic loop</w:t>
      </w:r>
      <w:r>
        <w:rPr>
          <w:sz w:val="24"/>
          <w:szCs w:val="24"/>
        </w:rPr>
        <w:t xml:space="preserve">. </w:t>
      </w:r>
    </w:p>
    <w:p w14:paraId="718E5FA9" w14:textId="518C3539" w:rsidR="002E2ABD" w:rsidRPr="00E411E2" w:rsidRDefault="002E2ABD" w:rsidP="004137DF">
      <w:pPr>
        <w:spacing w:line="360" w:lineRule="auto"/>
        <w:rPr>
          <w:sz w:val="24"/>
          <w:szCs w:val="24"/>
        </w:rPr>
      </w:pPr>
      <w:r w:rsidRPr="00987ED3">
        <w:rPr>
          <w:sz w:val="24"/>
          <w:szCs w:val="24"/>
        </w:rPr>
        <w:t xml:space="preserve">Emotions </w:t>
      </w:r>
      <w:r>
        <w:rPr>
          <w:sz w:val="24"/>
          <w:szCs w:val="24"/>
        </w:rPr>
        <w:t>are identified as</w:t>
      </w:r>
      <w:r w:rsidRPr="00987ED3">
        <w:rPr>
          <w:sz w:val="24"/>
          <w:szCs w:val="24"/>
        </w:rPr>
        <w:t xml:space="preserve"> important determinants of successful student outcomes (Lizzio </w:t>
      </w:r>
      <w:r w:rsidR="00FB3A6E" w:rsidRPr="00FB3A6E">
        <w:rPr>
          <w:i/>
          <w:sz w:val="24"/>
          <w:szCs w:val="24"/>
        </w:rPr>
        <w:t>et al.</w:t>
      </w:r>
      <w:r w:rsidRPr="00987ED3">
        <w:rPr>
          <w:sz w:val="24"/>
          <w:szCs w:val="24"/>
        </w:rPr>
        <w:t xml:space="preserve">, 2002; Rowe </w:t>
      </w:r>
      <w:r w:rsidR="00FB3A6E" w:rsidRPr="00FB3A6E">
        <w:rPr>
          <w:i/>
          <w:sz w:val="24"/>
          <w:szCs w:val="24"/>
        </w:rPr>
        <w:t>et al.</w:t>
      </w:r>
      <w:r w:rsidRPr="00987ED3">
        <w:rPr>
          <w:sz w:val="24"/>
          <w:szCs w:val="24"/>
        </w:rPr>
        <w:t>, 2015; Su and Chung, 2015)</w:t>
      </w:r>
      <w:r>
        <w:rPr>
          <w:sz w:val="24"/>
          <w:szCs w:val="24"/>
        </w:rPr>
        <w:t xml:space="preserve"> and there is evidence that s</w:t>
      </w:r>
      <w:r w:rsidRPr="0046621E">
        <w:rPr>
          <w:sz w:val="24"/>
          <w:szCs w:val="24"/>
        </w:rPr>
        <w:t xml:space="preserve">tudents who have positive learning experiences are more likely to achieve high scores (Trigwell </w:t>
      </w:r>
      <w:r w:rsidR="00FB3A6E" w:rsidRPr="00FB3A6E">
        <w:rPr>
          <w:i/>
          <w:sz w:val="24"/>
          <w:szCs w:val="24"/>
        </w:rPr>
        <w:t>et al.</w:t>
      </w:r>
      <w:r w:rsidRPr="0046621E">
        <w:rPr>
          <w:sz w:val="24"/>
          <w:szCs w:val="24"/>
        </w:rPr>
        <w:t xml:space="preserve">, 2011). </w:t>
      </w:r>
      <w:r>
        <w:rPr>
          <w:sz w:val="24"/>
          <w:szCs w:val="24"/>
        </w:rPr>
        <w:t>Furthermore, t</w:t>
      </w:r>
      <w:r w:rsidRPr="0046621E">
        <w:rPr>
          <w:sz w:val="24"/>
          <w:szCs w:val="24"/>
        </w:rPr>
        <w:t xml:space="preserve">he </w:t>
      </w:r>
      <w:r w:rsidR="0014320E">
        <w:rPr>
          <w:sz w:val="24"/>
          <w:szCs w:val="24"/>
        </w:rPr>
        <w:t xml:space="preserve">positive </w:t>
      </w:r>
      <w:r w:rsidRPr="0046621E">
        <w:rPr>
          <w:sz w:val="24"/>
          <w:szCs w:val="24"/>
        </w:rPr>
        <w:t>learning experience enhances achievement prospects</w:t>
      </w:r>
      <w:r>
        <w:rPr>
          <w:sz w:val="24"/>
          <w:szCs w:val="24"/>
        </w:rPr>
        <w:t xml:space="preserve"> and results in the adoption of a deeper approach to learning (</w:t>
      </w:r>
      <w:r w:rsidR="00D941F3">
        <w:rPr>
          <w:sz w:val="24"/>
          <w:szCs w:val="24"/>
        </w:rPr>
        <w:t>ibid.</w:t>
      </w:r>
      <w:r>
        <w:rPr>
          <w:sz w:val="24"/>
          <w:szCs w:val="24"/>
        </w:rPr>
        <w:t>)</w:t>
      </w:r>
      <w:r w:rsidRPr="0046621E">
        <w:rPr>
          <w:sz w:val="24"/>
          <w:szCs w:val="24"/>
        </w:rPr>
        <w:t>.</w:t>
      </w:r>
      <w:r w:rsidRPr="00E411E2">
        <w:rPr>
          <w:sz w:val="24"/>
          <w:szCs w:val="24"/>
        </w:rPr>
        <w:t xml:space="preserve"> By contrast, a learning environment perceived as threatening causes</w:t>
      </w:r>
      <w:r>
        <w:rPr>
          <w:sz w:val="24"/>
          <w:szCs w:val="24"/>
        </w:rPr>
        <w:t xml:space="preserve"> </w:t>
      </w:r>
      <w:r w:rsidRPr="00E411E2">
        <w:rPr>
          <w:sz w:val="24"/>
          <w:szCs w:val="24"/>
        </w:rPr>
        <w:t xml:space="preserve">anxiety and stress resulting in a surface approach to learning (Wass </w:t>
      </w:r>
      <w:r w:rsidR="00FB3A6E" w:rsidRPr="00FB3A6E">
        <w:rPr>
          <w:i/>
          <w:sz w:val="24"/>
          <w:szCs w:val="24"/>
        </w:rPr>
        <w:t>et al.</w:t>
      </w:r>
      <w:r w:rsidRPr="00E411E2">
        <w:rPr>
          <w:sz w:val="24"/>
          <w:szCs w:val="24"/>
        </w:rPr>
        <w:t xml:space="preserve">, 2018). </w:t>
      </w:r>
    </w:p>
    <w:p w14:paraId="7DF8D64B" w14:textId="50158ADF" w:rsidR="002E2ABD" w:rsidRDefault="002E2ABD" w:rsidP="004137DF">
      <w:pPr>
        <w:spacing w:line="360" w:lineRule="auto"/>
        <w:rPr>
          <w:sz w:val="24"/>
          <w:szCs w:val="24"/>
        </w:rPr>
      </w:pPr>
      <w:r>
        <w:rPr>
          <w:sz w:val="24"/>
          <w:szCs w:val="24"/>
        </w:rPr>
        <w:t xml:space="preserve">The knowledge acquisition process can involve and engage </w:t>
      </w:r>
      <w:r w:rsidR="00DC0F3D">
        <w:rPr>
          <w:sz w:val="24"/>
          <w:szCs w:val="24"/>
        </w:rPr>
        <w:t>difficult</w:t>
      </w:r>
      <w:r>
        <w:rPr>
          <w:sz w:val="24"/>
          <w:szCs w:val="24"/>
        </w:rPr>
        <w:t xml:space="preserve"> emotions. </w:t>
      </w:r>
      <w:r w:rsidRPr="00B96F2F">
        <w:rPr>
          <w:sz w:val="24"/>
          <w:szCs w:val="24"/>
        </w:rPr>
        <w:t>When acquiring new knowledge students enter a “zone of proximal development” (Vygotsky, 1978, p. 86)</w:t>
      </w:r>
      <w:r w:rsidR="00E263B0">
        <w:rPr>
          <w:sz w:val="24"/>
          <w:szCs w:val="24"/>
        </w:rPr>
        <w:t xml:space="preserve"> whereby</w:t>
      </w:r>
      <w:r>
        <w:rPr>
          <w:sz w:val="24"/>
          <w:szCs w:val="24"/>
        </w:rPr>
        <w:t xml:space="preserve"> n</w:t>
      </w:r>
      <w:r w:rsidRPr="00B96F2F">
        <w:rPr>
          <w:sz w:val="24"/>
          <w:szCs w:val="24"/>
        </w:rPr>
        <w:t>ew frames of reference</w:t>
      </w:r>
      <w:r>
        <w:rPr>
          <w:sz w:val="24"/>
          <w:szCs w:val="24"/>
        </w:rPr>
        <w:t xml:space="preserve"> are </w:t>
      </w:r>
      <w:r w:rsidR="00CD2063" w:rsidRPr="00B96F2F">
        <w:rPr>
          <w:sz w:val="24"/>
          <w:szCs w:val="24"/>
        </w:rPr>
        <w:t>adopted</w:t>
      </w:r>
      <w:r w:rsidRPr="00B96F2F">
        <w:rPr>
          <w:sz w:val="24"/>
          <w:szCs w:val="24"/>
        </w:rPr>
        <w:t xml:space="preserve"> </w:t>
      </w:r>
      <w:r>
        <w:rPr>
          <w:sz w:val="24"/>
          <w:szCs w:val="24"/>
        </w:rPr>
        <w:t xml:space="preserve">and </w:t>
      </w:r>
      <w:r w:rsidRPr="00B96F2F">
        <w:rPr>
          <w:sz w:val="24"/>
          <w:szCs w:val="24"/>
        </w:rPr>
        <w:t>learners modify</w:t>
      </w:r>
      <w:r>
        <w:rPr>
          <w:sz w:val="24"/>
          <w:szCs w:val="24"/>
        </w:rPr>
        <w:t xml:space="preserve"> </w:t>
      </w:r>
      <w:r w:rsidRPr="00B96F2F">
        <w:rPr>
          <w:sz w:val="24"/>
          <w:szCs w:val="24"/>
        </w:rPr>
        <w:t>their inherited ways of thinking and learning (Abercrombie, 1993). At these transitional junctures, the ego strength of the student is challenged</w:t>
      </w:r>
      <w:r w:rsidR="00F302E5">
        <w:rPr>
          <w:sz w:val="24"/>
          <w:szCs w:val="24"/>
        </w:rPr>
        <w:t>. A</w:t>
      </w:r>
      <w:r w:rsidRPr="00B96F2F">
        <w:rPr>
          <w:sz w:val="24"/>
          <w:szCs w:val="24"/>
        </w:rPr>
        <w:t xml:space="preserve">nxiety and stress </w:t>
      </w:r>
      <w:r>
        <w:rPr>
          <w:sz w:val="24"/>
          <w:szCs w:val="24"/>
        </w:rPr>
        <w:t xml:space="preserve">experienced at these times </w:t>
      </w:r>
      <w:r w:rsidRPr="00B96F2F">
        <w:rPr>
          <w:sz w:val="24"/>
          <w:szCs w:val="24"/>
        </w:rPr>
        <w:t>can threaten to overwhelm (Hirblinger, 2017)</w:t>
      </w:r>
      <w:r>
        <w:rPr>
          <w:sz w:val="24"/>
          <w:szCs w:val="24"/>
        </w:rPr>
        <w:t>,</w:t>
      </w:r>
      <w:r w:rsidRPr="00F66FA3">
        <w:rPr>
          <w:sz w:val="24"/>
          <w:szCs w:val="24"/>
        </w:rPr>
        <w:t xml:space="preserve"> decrease motivation</w:t>
      </w:r>
      <w:r w:rsidR="00CD2063">
        <w:rPr>
          <w:sz w:val="24"/>
          <w:szCs w:val="24"/>
        </w:rPr>
        <w:t xml:space="preserve"> </w:t>
      </w:r>
      <w:r w:rsidRPr="00F66FA3">
        <w:rPr>
          <w:sz w:val="24"/>
          <w:szCs w:val="24"/>
        </w:rPr>
        <w:t xml:space="preserve">and negatively impact cognitive processing (Falchikov and Boud, 2007). </w:t>
      </w:r>
      <w:r>
        <w:rPr>
          <w:sz w:val="24"/>
          <w:szCs w:val="24"/>
        </w:rPr>
        <w:t>These factors are particularly important to hold in mind in the current clime where s</w:t>
      </w:r>
      <w:r w:rsidRPr="00EC30B3">
        <w:rPr>
          <w:sz w:val="24"/>
          <w:szCs w:val="24"/>
        </w:rPr>
        <w:t xml:space="preserve">tudents are observed to be lacking in confidence, and uncertainty characterises their presentations (Lavoie, 2018). </w:t>
      </w:r>
    </w:p>
    <w:p w14:paraId="4E41FDD8" w14:textId="72ACDF90" w:rsidR="002E2ABD" w:rsidRPr="00EC30B3" w:rsidRDefault="002E2ABD" w:rsidP="004137DF">
      <w:pPr>
        <w:spacing w:line="360" w:lineRule="auto"/>
        <w:rPr>
          <w:sz w:val="24"/>
          <w:szCs w:val="24"/>
        </w:rPr>
      </w:pPr>
      <w:r>
        <w:rPr>
          <w:sz w:val="24"/>
          <w:szCs w:val="24"/>
        </w:rPr>
        <w:t>A</w:t>
      </w:r>
      <w:r w:rsidRPr="00DB1740">
        <w:rPr>
          <w:sz w:val="24"/>
          <w:szCs w:val="24"/>
        </w:rPr>
        <w:t xml:space="preserve">nxiousness, loneliness, frustration, stress and depression are commonly reported among undergraduate students (Andrews and Wilding, 2004; Beiter </w:t>
      </w:r>
      <w:r w:rsidR="00FB3A6E" w:rsidRPr="00FB3A6E">
        <w:rPr>
          <w:i/>
          <w:sz w:val="24"/>
          <w:szCs w:val="24"/>
        </w:rPr>
        <w:t>et al.</w:t>
      </w:r>
      <w:r w:rsidRPr="00DB1740">
        <w:rPr>
          <w:sz w:val="24"/>
          <w:szCs w:val="24"/>
        </w:rPr>
        <w:t xml:space="preserve">, 2015; Eisenberg </w:t>
      </w:r>
      <w:r w:rsidR="00FB3A6E" w:rsidRPr="00FB3A6E">
        <w:rPr>
          <w:i/>
          <w:sz w:val="24"/>
          <w:szCs w:val="24"/>
        </w:rPr>
        <w:t>et al.</w:t>
      </w:r>
      <w:r w:rsidRPr="00DB1740">
        <w:rPr>
          <w:sz w:val="24"/>
          <w:szCs w:val="24"/>
        </w:rPr>
        <w:t>, 2007; Sharp and Theiler, 2018)</w:t>
      </w:r>
      <w:r>
        <w:rPr>
          <w:sz w:val="24"/>
          <w:szCs w:val="24"/>
        </w:rPr>
        <w:t xml:space="preserve">. </w:t>
      </w:r>
      <w:r w:rsidRPr="00686425">
        <w:rPr>
          <w:sz w:val="24"/>
          <w:szCs w:val="24"/>
        </w:rPr>
        <w:t xml:space="preserve">University students are four times more likely to experience elevated levels of psychological distress compared to their non-university peers of the same </w:t>
      </w:r>
      <w:r w:rsidRPr="00686425">
        <w:rPr>
          <w:sz w:val="24"/>
          <w:szCs w:val="24"/>
        </w:rPr>
        <w:lastRenderedPageBreak/>
        <w:t xml:space="preserve">age (Leahy </w:t>
      </w:r>
      <w:r w:rsidR="00FB3A6E" w:rsidRPr="00FB3A6E">
        <w:rPr>
          <w:i/>
          <w:sz w:val="24"/>
          <w:szCs w:val="24"/>
        </w:rPr>
        <w:t>et al.</w:t>
      </w:r>
      <w:r w:rsidRPr="00686425">
        <w:rPr>
          <w:sz w:val="24"/>
          <w:szCs w:val="24"/>
        </w:rPr>
        <w:t xml:space="preserve">, 2010; Sharp and Theiler, 2018). </w:t>
      </w:r>
      <w:r>
        <w:rPr>
          <w:sz w:val="24"/>
          <w:szCs w:val="24"/>
        </w:rPr>
        <w:t>High levels of psychological distress</w:t>
      </w:r>
      <w:r w:rsidRPr="00686425">
        <w:rPr>
          <w:sz w:val="24"/>
          <w:szCs w:val="24"/>
        </w:rPr>
        <w:t xml:space="preserve"> can </w:t>
      </w:r>
      <w:r w:rsidRPr="00B91854">
        <w:rPr>
          <w:sz w:val="24"/>
          <w:szCs w:val="24"/>
        </w:rPr>
        <w:t xml:space="preserve"> impact learning and well-being (Bore </w:t>
      </w:r>
      <w:r w:rsidR="00FB3A6E" w:rsidRPr="00FB3A6E">
        <w:rPr>
          <w:i/>
          <w:sz w:val="24"/>
          <w:szCs w:val="24"/>
        </w:rPr>
        <w:t>et al.</w:t>
      </w:r>
      <w:r w:rsidRPr="00B91854">
        <w:rPr>
          <w:sz w:val="24"/>
          <w:szCs w:val="24"/>
        </w:rPr>
        <w:t>, 2016; Wyatt and Oswalt, 2013)</w:t>
      </w:r>
      <w:r>
        <w:rPr>
          <w:sz w:val="24"/>
          <w:szCs w:val="24"/>
        </w:rPr>
        <w:t xml:space="preserve">, </w:t>
      </w:r>
      <w:r w:rsidRPr="00686425">
        <w:rPr>
          <w:sz w:val="24"/>
          <w:szCs w:val="24"/>
        </w:rPr>
        <w:t>lead to a reduction in academic performance (</w:t>
      </w:r>
      <w:r w:rsidRPr="00833C37">
        <w:rPr>
          <w:sz w:val="24"/>
          <w:szCs w:val="24"/>
        </w:rPr>
        <w:t xml:space="preserve">Andrews and Wilding 2004; Austin </w:t>
      </w:r>
      <w:r w:rsidR="00FB3A6E" w:rsidRPr="00FB3A6E">
        <w:rPr>
          <w:i/>
          <w:sz w:val="24"/>
          <w:szCs w:val="24"/>
        </w:rPr>
        <w:t>et al.</w:t>
      </w:r>
      <w:r w:rsidRPr="00833C37">
        <w:rPr>
          <w:sz w:val="24"/>
          <w:szCs w:val="24"/>
        </w:rPr>
        <w:t>,</w:t>
      </w:r>
      <w:r w:rsidRPr="00833C37">
        <w:rPr>
          <w:i/>
          <w:iCs/>
          <w:sz w:val="24"/>
          <w:szCs w:val="24"/>
        </w:rPr>
        <w:t xml:space="preserve"> </w:t>
      </w:r>
      <w:r w:rsidRPr="00833C37">
        <w:rPr>
          <w:sz w:val="24"/>
          <w:szCs w:val="24"/>
        </w:rPr>
        <w:t>2010</w:t>
      </w:r>
      <w:r>
        <w:rPr>
          <w:sz w:val="24"/>
          <w:szCs w:val="24"/>
        </w:rPr>
        <w:t xml:space="preserve">; </w:t>
      </w:r>
      <w:r w:rsidRPr="00686425">
        <w:rPr>
          <w:sz w:val="24"/>
          <w:szCs w:val="24"/>
        </w:rPr>
        <w:t>Sharp and Theiler, 2018) and an increased risk of developing mental health problems (</w:t>
      </w:r>
      <w:r w:rsidRPr="00B84450">
        <w:rPr>
          <w:sz w:val="24"/>
          <w:szCs w:val="24"/>
        </w:rPr>
        <w:t xml:space="preserve">Eisenberg </w:t>
      </w:r>
      <w:r w:rsidR="00FB3A6E" w:rsidRPr="00FB3A6E">
        <w:rPr>
          <w:i/>
          <w:sz w:val="24"/>
          <w:szCs w:val="24"/>
        </w:rPr>
        <w:t>et al.</w:t>
      </w:r>
      <w:r w:rsidRPr="00B84450">
        <w:rPr>
          <w:sz w:val="24"/>
          <w:szCs w:val="24"/>
        </w:rPr>
        <w:t xml:space="preserve">, 2009; Green </w:t>
      </w:r>
      <w:r w:rsidR="00FB3A6E" w:rsidRPr="00FB3A6E">
        <w:rPr>
          <w:i/>
          <w:sz w:val="24"/>
          <w:szCs w:val="24"/>
        </w:rPr>
        <w:t>et al.</w:t>
      </w:r>
      <w:r w:rsidRPr="00B84450">
        <w:rPr>
          <w:sz w:val="24"/>
          <w:szCs w:val="24"/>
        </w:rPr>
        <w:t>, 2021</w:t>
      </w:r>
      <w:r>
        <w:rPr>
          <w:sz w:val="24"/>
          <w:szCs w:val="24"/>
        </w:rPr>
        <w:t xml:space="preserve">; </w:t>
      </w:r>
      <w:r w:rsidRPr="00686425">
        <w:rPr>
          <w:sz w:val="24"/>
          <w:szCs w:val="24"/>
        </w:rPr>
        <w:t>Stallman and Shochet, 2009).</w:t>
      </w:r>
      <w:r>
        <w:rPr>
          <w:sz w:val="24"/>
          <w:szCs w:val="24"/>
        </w:rPr>
        <w:t xml:space="preserve"> </w:t>
      </w:r>
      <w:r w:rsidRPr="00A61EA5">
        <w:rPr>
          <w:sz w:val="24"/>
          <w:szCs w:val="24"/>
        </w:rPr>
        <w:t xml:space="preserve">With a fivefold increase in university students’ poor mental health </w:t>
      </w:r>
      <w:r>
        <w:rPr>
          <w:sz w:val="24"/>
          <w:szCs w:val="24"/>
        </w:rPr>
        <w:t xml:space="preserve">reported </w:t>
      </w:r>
      <w:r w:rsidRPr="00A61EA5">
        <w:rPr>
          <w:sz w:val="24"/>
          <w:szCs w:val="24"/>
        </w:rPr>
        <w:t>between 2007</w:t>
      </w:r>
      <w:r w:rsidR="00231A31">
        <w:rPr>
          <w:sz w:val="24"/>
          <w:szCs w:val="24"/>
        </w:rPr>
        <w:t xml:space="preserve"> and </w:t>
      </w:r>
      <w:r w:rsidRPr="00A61EA5">
        <w:rPr>
          <w:sz w:val="24"/>
          <w:szCs w:val="24"/>
        </w:rPr>
        <w:t xml:space="preserve">2017 (Thorley, 2017), </w:t>
      </w:r>
      <w:r w:rsidR="009A2E15">
        <w:rPr>
          <w:sz w:val="24"/>
          <w:szCs w:val="24"/>
        </w:rPr>
        <w:t xml:space="preserve">it is thought that </w:t>
      </w:r>
      <w:r w:rsidRPr="00A61EA5">
        <w:rPr>
          <w:sz w:val="24"/>
          <w:szCs w:val="24"/>
        </w:rPr>
        <w:t xml:space="preserve">those impaired by poor mental health are at risk of reduced educational outcomes (Cornaglia </w:t>
      </w:r>
      <w:r w:rsidR="00FB3A6E" w:rsidRPr="00FB3A6E">
        <w:rPr>
          <w:i/>
          <w:sz w:val="24"/>
          <w:szCs w:val="24"/>
        </w:rPr>
        <w:t>et al.</w:t>
      </w:r>
      <w:r w:rsidRPr="00A61EA5">
        <w:rPr>
          <w:sz w:val="24"/>
          <w:szCs w:val="24"/>
        </w:rPr>
        <w:t>, 2015).</w:t>
      </w:r>
      <w:r w:rsidRPr="00DB1740">
        <w:rPr>
          <w:sz w:val="24"/>
          <w:szCs w:val="24"/>
        </w:rPr>
        <w:t xml:space="preserve"> </w:t>
      </w:r>
      <w:r w:rsidRPr="00637E43">
        <w:rPr>
          <w:sz w:val="24"/>
          <w:szCs w:val="24"/>
        </w:rPr>
        <w:t xml:space="preserve">A student overwhelmed by anxiety </w:t>
      </w:r>
      <w:r>
        <w:rPr>
          <w:sz w:val="24"/>
          <w:szCs w:val="24"/>
        </w:rPr>
        <w:t xml:space="preserve">or stress </w:t>
      </w:r>
      <w:r w:rsidRPr="00637E43">
        <w:rPr>
          <w:sz w:val="24"/>
          <w:szCs w:val="24"/>
        </w:rPr>
        <w:t>is less capable of cognitive learning (Sriv</w:t>
      </w:r>
      <w:r>
        <w:rPr>
          <w:sz w:val="24"/>
          <w:szCs w:val="24"/>
        </w:rPr>
        <w:t>ed</w:t>
      </w:r>
      <w:r w:rsidRPr="00637E43">
        <w:rPr>
          <w:sz w:val="24"/>
          <w:szCs w:val="24"/>
        </w:rPr>
        <w:t xml:space="preserve">i, 2013) and is </w:t>
      </w:r>
      <w:r>
        <w:rPr>
          <w:sz w:val="24"/>
          <w:szCs w:val="24"/>
        </w:rPr>
        <w:t xml:space="preserve">therefore </w:t>
      </w:r>
      <w:r w:rsidRPr="00637E43">
        <w:rPr>
          <w:sz w:val="24"/>
          <w:szCs w:val="24"/>
        </w:rPr>
        <w:t>rendered vulnerable.</w:t>
      </w:r>
      <w:r w:rsidRPr="00C761E5">
        <w:rPr>
          <w:sz w:val="24"/>
          <w:szCs w:val="24"/>
        </w:rPr>
        <w:t xml:space="preserve"> </w:t>
      </w:r>
    </w:p>
    <w:p w14:paraId="54B43862" w14:textId="30B857E1" w:rsidR="002E2ABD" w:rsidRPr="005C7FF9" w:rsidRDefault="002E2ABD" w:rsidP="004137DF">
      <w:pPr>
        <w:spacing w:line="360" w:lineRule="auto"/>
        <w:rPr>
          <w:sz w:val="24"/>
          <w:szCs w:val="24"/>
        </w:rPr>
      </w:pPr>
      <w:r w:rsidRPr="005362B5">
        <w:rPr>
          <w:sz w:val="24"/>
          <w:szCs w:val="24"/>
        </w:rPr>
        <w:t>There is increasing realisation of the psychological vulnerability of HE students</w:t>
      </w:r>
      <w:r>
        <w:rPr>
          <w:sz w:val="24"/>
          <w:szCs w:val="24"/>
        </w:rPr>
        <w:t xml:space="preserve"> as </w:t>
      </w:r>
      <w:r w:rsidRPr="005362B5">
        <w:rPr>
          <w:sz w:val="24"/>
          <w:szCs w:val="24"/>
        </w:rPr>
        <w:t xml:space="preserve">voiced by </w:t>
      </w:r>
      <w:r>
        <w:rPr>
          <w:sz w:val="24"/>
          <w:szCs w:val="24"/>
        </w:rPr>
        <w:t xml:space="preserve">a </w:t>
      </w:r>
      <w:r w:rsidRPr="005362B5">
        <w:rPr>
          <w:sz w:val="24"/>
          <w:szCs w:val="24"/>
        </w:rPr>
        <w:t>Royal College of Psychiatrists report (</w:t>
      </w:r>
      <w:r>
        <w:rPr>
          <w:sz w:val="24"/>
          <w:szCs w:val="24"/>
        </w:rPr>
        <w:t xml:space="preserve">RCPsych, </w:t>
      </w:r>
      <w:r w:rsidRPr="005362B5">
        <w:rPr>
          <w:sz w:val="24"/>
          <w:szCs w:val="24"/>
        </w:rPr>
        <w:t>2011)</w:t>
      </w:r>
      <w:r>
        <w:rPr>
          <w:sz w:val="24"/>
          <w:szCs w:val="24"/>
        </w:rPr>
        <w:t xml:space="preserve"> which</w:t>
      </w:r>
      <w:r w:rsidRPr="005362B5">
        <w:rPr>
          <w:sz w:val="24"/>
          <w:szCs w:val="24"/>
        </w:rPr>
        <w:t xml:space="preserve"> highlighted </w:t>
      </w:r>
      <w:r>
        <w:rPr>
          <w:sz w:val="24"/>
          <w:szCs w:val="24"/>
        </w:rPr>
        <w:t xml:space="preserve">students </w:t>
      </w:r>
      <w:r w:rsidRPr="005362B5">
        <w:rPr>
          <w:sz w:val="24"/>
          <w:szCs w:val="24"/>
        </w:rPr>
        <w:t xml:space="preserve">are </w:t>
      </w:r>
      <w:r>
        <w:rPr>
          <w:sz w:val="24"/>
          <w:szCs w:val="24"/>
        </w:rPr>
        <w:t xml:space="preserve">negotiating </w:t>
      </w:r>
      <w:r w:rsidRPr="005362B5">
        <w:rPr>
          <w:sz w:val="24"/>
          <w:szCs w:val="24"/>
        </w:rPr>
        <w:t xml:space="preserve">transitions </w:t>
      </w:r>
      <w:r>
        <w:rPr>
          <w:sz w:val="24"/>
          <w:szCs w:val="24"/>
        </w:rPr>
        <w:t xml:space="preserve">such as </w:t>
      </w:r>
      <w:r w:rsidRPr="005362B5">
        <w:rPr>
          <w:sz w:val="24"/>
          <w:szCs w:val="24"/>
        </w:rPr>
        <w:t xml:space="preserve">leaving home, joining new peer groups and taking on academic demands. </w:t>
      </w:r>
      <w:r w:rsidR="00825B9B">
        <w:rPr>
          <w:sz w:val="24"/>
          <w:szCs w:val="24"/>
        </w:rPr>
        <w:t>Furthermore s</w:t>
      </w:r>
      <w:r>
        <w:rPr>
          <w:sz w:val="24"/>
          <w:szCs w:val="24"/>
        </w:rPr>
        <w:t xml:space="preserve">tudents face </w:t>
      </w:r>
      <w:r w:rsidRPr="005362B5">
        <w:rPr>
          <w:sz w:val="24"/>
          <w:szCs w:val="24"/>
        </w:rPr>
        <w:t xml:space="preserve">a harsh economic climate </w:t>
      </w:r>
      <w:r>
        <w:rPr>
          <w:sz w:val="24"/>
          <w:szCs w:val="24"/>
        </w:rPr>
        <w:t xml:space="preserve">with </w:t>
      </w:r>
      <w:r w:rsidRPr="005362B5">
        <w:rPr>
          <w:sz w:val="24"/>
          <w:szCs w:val="24"/>
        </w:rPr>
        <w:t>increasingly uncertain job prospects</w:t>
      </w:r>
      <w:r>
        <w:rPr>
          <w:sz w:val="24"/>
          <w:szCs w:val="24"/>
        </w:rPr>
        <w:t xml:space="preserve"> and some</w:t>
      </w:r>
      <w:r w:rsidR="007C4DE5">
        <w:rPr>
          <w:sz w:val="24"/>
          <w:szCs w:val="24"/>
        </w:rPr>
        <w:t xml:space="preserve"> students</w:t>
      </w:r>
      <w:r>
        <w:rPr>
          <w:sz w:val="24"/>
          <w:szCs w:val="24"/>
        </w:rPr>
        <w:t xml:space="preserve"> </w:t>
      </w:r>
      <w:r w:rsidRPr="005362B5">
        <w:rPr>
          <w:sz w:val="24"/>
          <w:szCs w:val="24"/>
        </w:rPr>
        <w:t xml:space="preserve">need to work </w:t>
      </w:r>
      <w:r>
        <w:rPr>
          <w:sz w:val="24"/>
          <w:szCs w:val="24"/>
        </w:rPr>
        <w:t xml:space="preserve">whilst studying </w:t>
      </w:r>
      <w:r w:rsidRPr="005362B5">
        <w:rPr>
          <w:sz w:val="24"/>
          <w:szCs w:val="24"/>
        </w:rPr>
        <w:t>which increases pressures to meet academic deadlines</w:t>
      </w:r>
      <w:r>
        <w:rPr>
          <w:sz w:val="24"/>
          <w:szCs w:val="24"/>
        </w:rPr>
        <w:t xml:space="preserve"> (</w:t>
      </w:r>
      <w:r w:rsidR="00AB1ADC">
        <w:rPr>
          <w:sz w:val="24"/>
          <w:szCs w:val="24"/>
        </w:rPr>
        <w:t>ibid.</w:t>
      </w:r>
      <w:r>
        <w:rPr>
          <w:sz w:val="24"/>
          <w:szCs w:val="24"/>
        </w:rPr>
        <w:t>)</w:t>
      </w:r>
      <w:r w:rsidRPr="005362B5">
        <w:rPr>
          <w:sz w:val="24"/>
          <w:szCs w:val="24"/>
        </w:rPr>
        <w:t xml:space="preserve">. </w:t>
      </w:r>
      <w:r>
        <w:rPr>
          <w:sz w:val="24"/>
          <w:szCs w:val="24"/>
        </w:rPr>
        <w:t xml:space="preserve">An update to these findings identifies these areas as risks for </w:t>
      </w:r>
      <w:r w:rsidR="00D9368C">
        <w:rPr>
          <w:sz w:val="24"/>
          <w:szCs w:val="24"/>
        </w:rPr>
        <w:t xml:space="preserve">impaired </w:t>
      </w:r>
      <w:r>
        <w:rPr>
          <w:sz w:val="24"/>
          <w:szCs w:val="24"/>
        </w:rPr>
        <w:t xml:space="preserve">student mental health (RCPsych, 2018). </w:t>
      </w:r>
      <w:r w:rsidRPr="005362B5">
        <w:rPr>
          <w:sz w:val="24"/>
          <w:szCs w:val="24"/>
        </w:rPr>
        <w:t>More recently, climate anxiety (</w:t>
      </w:r>
      <w:r w:rsidRPr="00467391">
        <w:rPr>
          <w:sz w:val="24"/>
          <w:szCs w:val="24"/>
        </w:rPr>
        <w:t>Deloitte Global, 2021</w:t>
      </w:r>
      <w:r>
        <w:rPr>
          <w:sz w:val="24"/>
          <w:szCs w:val="24"/>
        </w:rPr>
        <w:t xml:space="preserve">; </w:t>
      </w:r>
      <w:r w:rsidRPr="005362B5">
        <w:rPr>
          <w:sz w:val="24"/>
          <w:szCs w:val="24"/>
        </w:rPr>
        <w:t xml:space="preserve">Mental Health UK, 2023) </w:t>
      </w:r>
      <w:r>
        <w:rPr>
          <w:sz w:val="24"/>
          <w:szCs w:val="24"/>
        </w:rPr>
        <w:t xml:space="preserve">and neurodiversity (Unite, 2023) can be added </w:t>
      </w:r>
      <w:r w:rsidRPr="005362B5">
        <w:rPr>
          <w:sz w:val="24"/>
          <w:szCs w:val="24"/>
        </w:rPr>
        <w:t xml:space="preserve">to the burgeoning list of </w:t>
      </w:r>
      <w:r>
        <w:rPr>
          <w:sz w:val="24"/>
          <w:szCs w:val="24"/>
        </w:rPr>
        <w:t>difficulties</w:t>
      </w:r>
      <w:r w:rsidRPr="005362B5">
        <w:rPr>
          <w:sz w:val="24"/>
          <w:szCs w:val="24"/>
        </w:rPr>
        <w:t xml:space="preserve"> students are </w:t>
      </w:r>
      <w:r>
        <w:rPr>
          <w:sz w:val="24"/>
          <w:szCs w:val="24"/>
        </w:rPr>
        <w:t>navigating.</w:t>
      </w:r>
      <w:r w:rsidRPr="00F70215">
        <w:rPr>
          <w:sz w:val="24"/>
          <w:szCs w:val="24"/>
        </w:rPr>
        <w:t xml:space="preserve"> In a survey of 23,000 students in 45 countries (Deloitte Global, 2021) it was identified that for Generations Y (Millennials) and Z</w:t>
      </w:r>
      <w:r w:rsidR="00E444F1">
        <w:rPr>
          <w:sz w:val="24"/>
          <w:szCs w:val="24"/>
        </w:rPr>
        <w:t xml:space="preserve"> </w:t>
      </w:r>
      <w:r w:rsidR="00623477">
        <w:rPr>
          <w:sz w:val="24"/>
          <w:szCs w:val="24"/>
        </w:rPr>
        <w:t xml:space="preserve">(Zoomers) </w:t>
      </w:r>
      <w:r w:rsidRPr="00F70215">
        <w:rPr>
          <w:sz w:val="24"/>
          <w:szCs w:val="24"/>
        </w:rPr>
        <w:t xml:space="preserve">financial insecurity, climate change and healthcare are the three biggest pressures. </w:t>
      </w:r>
      <w:r w:rsidRPr="00B071CE">
        <w:rPr>
          <w:rFonts w:ascii="Calibri" w:eastAsia="Aptos" w:hAnsi="Calibri" w:cs="Calibri"/>
          <w:kern w:val="2"/>
          <w:sz w:val="24"/>
          <w:szCs w:val="24"/>
          <w14:ligatures w14:val="standardContextual"/>
        </w:rPr>
        <w:t>These pressures</w:t>
      </w:r>
      <w:r>
        <w:rPr>
          <w:rFonts w:ascii="Calibri" w:eastAsia="Aptos" w:hAnsi="Calibri" w:cs="Calibri"/>
          <w:kern w:val="2"/>
          <w:sz w:val="24"/>
          <w:szCs w:val="24"/>
          <w14:ligatures w14:val="standardContextual"/>
        </w:rPr>
        <w:t xml:space="preserve"> </w:t>
      </w:r>
      <w:r w:rsidRPr="00B071CE">
        <w:rPr>
          <w:rFonts w:ascii="Calibri" w:eastAsia="Aptos" w:hAnsi="Calibri" w:cs="Calibri"/>
          <w:kern w:val="2"/>
          <w:sz w:val="24"/>
          <w:szCs w:val="24"/>
          <w14:ligatures w14:val="standardContextual"/>
        </w:rPr>
        <w:t xml:space="preserve">can cause students’ mental health and future thinking to suffer (Croley </w:t>
      </w:r>
      <w:r w:rsidR="00FB3A6E" w:rsidRPr="00FB3A6E">
        <w:rPr>
          <w:rFonts w:ascii="Calibri" w:eastAsia="Aptos" w:hAnsi="Calibri" w:cs="Calibri"/>
          <w:i/>
          <w:kern w:val="2"/>
          <w:sz w:val="24"/>
          <w:szCs w:val="24"/>
          <w14:ligatures w14:val="standardContextual"/>
        </w:rPr>
        <w:t>et al.</w:t>
      </w:r>
      <w:r w:rsidRPr="00B071CE">
        <w:rPr>
          <w:rFonts w:ascii="Calibri" w:eastAsia="Aptos" w:hAnsi="Calibri" w:cs="Calibri"/>
          <w:kern w:val="2"/>
          <w:sz w:val="24"/>
          <w:szCs w:val="24"/>
          <w14:ligatures w14:val="standardContextual"/>
        </w:rPr>
        <w:t>, 2022) and contribute to a student vulnerability narrative.</w:t>
      </w:r>
      <w:r w:rsidRPr="00605869">
        <w:rPr>
          <w:sz w:val="24"/>
          <w:szCs w:val="24"/>
        </w:rPr>
        <w:t xml:space="preserve"> </w:t>
      </w:r>
      <w:r>
        <w:rPr>
          <w:rFonts w:ascii="Calibri" w:eastAsia="Aptos" w:hAnsi="Calibri" w:cs="Calibri"/>
          <w:kern w:val="2"/>
          <w:sz w:val="24"/>
          <w:szCs w:val="24"/>
          <w14:ligatures w14:val="standardContextual"/>
        </w:rPr>
        <w:t>Generically, h</w:t>
      </w:r>
      <w:r w:rsidRPr="00605869">
        <w:rPr>
          <w:rFonts w:ascii="Calibri" w:eastAsia="Aptos" w:hAnsi="Calibri" w:cs="Calibri"/>
          <w:kern w:val="2"/>
          <w:sz w:val="24"/>
          <w:szCs w:val="24"/>
          <w14:ligatures w14:val="standardContextual"/>
        </w:rPr>
        <w:t>uman vulnerability is an increasingly significant prism through which human experiences are read</w:t>
      </w:r>
      <w:r>
        <w:rPr>
          <w:rFonts w:ascii="Calibri" w:eastAsia="Aptos" w:hAnsi="Calibri" w:cs="Calibri"/>
          <w:kern w:val="2"/>
          <w:sz w:val="24"/>
          <w:szCs w:val="24"/>
          <w14:ligatures w14:val="standardContextual"/>
        </w:rPr>
        <w:t xml:space="preserve"> (Calcutt, 1998; Heartfield, 2006), although some would </w:t>
      </w:r>
      <w:r w:rsidR="00892330">
        <w:rPr>
          <w:rFonts w:ascii="Calibri" w:eastAsia="Aptos" w:hAnsi="Calibri" w:cs="Calibri"/>
          <w:kern w:val="2"/>
          <w:sz w:val="24"/>
          <w:szCs w:val="24"/>
          <w14:ligatures w14:val="standardContextual"/>
        </w:rPr>
        <w:t xml:space="preserve">suggest </w:t>
      </w:r>
      <w:r>
        <w:rPr>
          <w:rFonts w:ascii="Calibri" w:eastAsia="Aptos" w:hAnsi="Calibri" w:cs="Calibri"/>
          <w:kern w:val="2"/>
          <w:sz w:val="24"/>
          <w:szCs w:val="24"/>
          <w14:ligatures w14:val="standardContextual"/>
        </w:rPr>
        <w:t>otherwise.</w:t>
      </w:r>
    </w:p>
    <w:p w14:paraId="20E3FD8A" w14:textId="56491A4E" w:rsidR="002E2ABD" w:rsidRDefault="002E2ABD" w:rsidP="004137DF">
      <w:pPr>
        <w:spacing w:line="360" w:lineRule="auto"/>
        <w:rPr>
          <w:sz w:val="24"/>
          <w:szCs w:val="24"/>
        </w:rPr>
      </w:pPr>
      <w:r w:rsidRPr="008D742C">
        <w:rPr>
          <w:sz w:val="24"/>
          <w:szCs w:val="24"/>
        </w:rPr>
        <w:t>Furedi (1997) argues that a</w:t>
      </w:r>
      <w:r w:rsidR="00D96B71">
        <w:rPr>
          <w:sz w:val="24"/>
          <w:szCs w:val="24"/>
        </w:rPr>
        <w:t xml:space="preserve">n </w:t>
      </w:r>
      <w:r w:rsidR="008F0A26">
        <w:rPr>
          <w:sz w:val="24"/>
          <w:szCs w:val="24"/>
        </w:rPr>
        <w:t xml:space="preserve">increasing trend towards </w:t>
      </w:r>
      <w:r>
        <w:rPr>
          <w:sz w:val="24"/>
          <w:szCs w:val="24"/>
        </w:rPr>
        <w:t>introspectio</w:t>
      </w:r>
      <w:r w:rsidR="006E5562">
        <w:rPr>
          <w:sz w:val="24"/>
          <w:szCs w:val="24"/>
        </w:rPr>
        <w:t>n</w:t>
      </w:r>
      <w:r w:rsidRPr="008D742C">
        <w:rPr>
          <w:sz w:val="24"/>
          <w:szCs w:val="24"/>
        </w:rPr>
        <w:t xml:space="preserve"> fosters </w:t>
      </w:r>
      <w:r>
        <w:rPr>
          <w:sz w:val="24"/>
          <w:szCs w:val="24"/>
        </w:rPr>
        <w:t>a vulnerability paradigm</w:t>
      </w:r>
      <w:r w:rsidRPr="008D742C">
        <w:rPr>
          <w:sz w:val="24"/>
          <w:szCs w:val="24"/>
        </w:rPr>
        <w:t xml:space="preserve">. </w:t>
      </w:r>
      <w:r>
        <w:rPr>
          <w:sz w:val="24"/>
          <w:szCs w:val="24"/>
        </w:rPr>
        <w:t xml:space="preserve">Some scholars are of the view that by focussing on vulnerability educators </w:t>
      </w:r>
      <w:r w:rsidRPr="00536EC1">
        <w:rPr>
          <w:sz w:val="24"/>
          <w:szCs w:val="24"/>
        </w:rPr>
        <w:t>are colluding in a fragile</w:t>
      </w:r>
      <w:r>
        <w:rPr>
          <w:sz w:val="24"/>
          <w:szCs w:val="24"/>
        </w:rPr>
        <w:t>, infantalising</w:t>
      </w:r>
      <w:r w:rsidRPr="00536EC1">
        <w:rPr>
          <w:sz w:val="24"/>
          <w:szCs w:val="24"/>
        </w:rPr>
        <w:t xml:space="preserve"> </w:t>
      </w:r>
      <w:r>
        <w:rPr>
          <w:sz w:val="24"/>
          <w:szCs w:val="24"/>
        </w:rPr>
        <w:t xml:space="preserve">and diminished </w:t>
      </w:r>
      <w:r w:rsidRPr="00536EC1">
        <w:rPr>
          <w:sz w:val="24"/>
          <w:szCs w:val="24"/>
        </w:rPr>
        <w:t>view of the student</w:t>
      </w:r>
      <w:r w:rsidRPr="005C0333">
        <w:rPr>
          <w:sz w:val="24"/>
          <w:szCs w:val="24"/>
        </w:rPr>
        <w:t xml:space="preserve"> </w:t>
      </w:r>
      <w:r>
        <w:rPr>
          <w:sz w:val="24"/>
          <w:szCs w:val="24"/>
        </w:rPr>
        <w:t>(</w:t>
      </w:r>
      <w:r w:rsidRPr="005C0333">
        <w:rPr>
          <w:sz w:val="24"/>
          <w:szCs w:val="24"/>
        </w:rPr>
        <w:t>Furedi,</w:t>
      </w:r>
      <w:r w:rsidR="00EF1EA2">
        <w:rPr>
          <w:sz w:val="24"/>
          <w:szCs w:val="24"/>
        </w:rPr>
        <w:t xml:space="preserve"> </w:t>
      </w:r>
      <w:r w:rsidR="009B3FD9">
        <w:rPr>
          <w:sz w:val="24"/>
          <w:szCs w:val="24"/>
        </w:rPr>
        <w:t>ibid.</w:t>
      </w:r>
      <w:r>
        <w:rPr>
          <w:sz w:val="24"/>
          <w:szCs w:val="24"/>
        </w:rPr>
        <w:t>)</w:t>
      </w:r>
      <w:r w:rsidR="008108CD">
        <w:rPr>
          <w:sz w:val="24"/>
          <w:szCs w:val="24"/>
        </w:rPr>
        <w:t xml:space="preserve">, and viewing students as needing </w:t>
      </w:r>
      <w:r w:rsidRPr="00536EC1">
        <w:rPr>
          <w:sz w:val="24"/>
          <w:szCs w:val="24"/>
        </w:rPr>
        <w:t xml:space="preserve">extensive emotional support undermines the </w:t>
      </w:r>
      <w:r>
        <w:rPr>
          <w:sz w:val="24"/>
          <w:szCs w:val="24"/>
        </w:rPr>
        <w:t xml:space="preserve">critical rigour </w:t>
      </w:r>
      <w:r w:rsidRPr="00536EC1">
        <w:rPr>
          <w:sz w:val="24"/>
          <w:szCs w:val="24"/>
        </w:rPr>
        <w:t>function of universities</w:t>
      </w:r>
      <w:r>
        <w:rPr>
          <w:sz w:val="24"/>
          <w:szCs w:val="24"/>
        </w:rPr>
        <w:t xml:space="preserve"> </w:t>
      </w:r>
      <w:r w:rsidRPr="00E72E20">
        <w:rPr>
          <w:sz w:val="24"/>
          <w:szCs w:val="24"/>
        </w:rPr>
        <w:t>(Ecclestone and Hayes, 2009)</w:t>
      </w:r>
      <w:r w:rsidRPr="00536EC1">
        <w:rPr>
          <w:sz w:val="24"/>
          <w:szCs w:val="24"/>
        </w:rPr>
        <w:t xml:space="preserve">. </w:t>
      </w:r>
      <w:r>
        <w:rPr>
          <w:sz w:val="24"/>
          <w:szCs w:val="24"/>
        </w:rPr>
        <w:t xml:space="preserve">Not only do attitudes and practices that </w:t>
      </w:r>
      <w:r w:rsidR="008108CD">
        <w:rPr>
          <w:sz w:val="24"/>
          <w:szCs w:val="24"/>
        </w:rPr>
        <w:t>extol</w:t>
      </w:r>
      <w:r>
        <w:rPr>
          <w:sz w:val="24"/>
          <w:szCs w:val="24"/>
        </w:rPr>
        <w:t xml:space="preserve"> the student vulnerability narrative infantalise the student, but the university itself </w:t>
      </w:r>
      <w:r>
        <w:rPr>
          <w:sz w:val="24"/>
          <w:szCs w:val="24"/>
        </w:rPr>
        <w:lastRenderedPageBreak/>
        <w:t xml:space="preserve">is infantalised (Furedi, 2017). According to Hermanowicz (2024) anything outside of infants that is </w:t>
      </w:r>
      <w:r w:rsidR="005F4F23">
        <w:rPr>
          <w:sz w:val="24"/>
          <w:szCs w:val="24"/>
        </w:rPr>
        <w:t>infantalised “</w:t>
      </w:r>
      <w:r>
        <w:rPr>
          <w:sz w:val="24"/>
          <w:szCs w:val="24"/>
        </w:rPr>
        <w:t>is compromised in its legitimacy” (p.506). The organisational form that ensues out of this infantalisation narrative is a therapeutic university whose chief objects are the students (</w:t>
      </w:r>
      <w:r w:rsidR="00AB1ADC">
        <w:rPr>
          <w:sz w:val="24"/>
          <w:szCs w:val="24"/>
        </w:rPr>
        <w:t>ibid.</w:t>
      </w:r>
      <w:r>
        <w:rPr>
          <w:sz w:val="24"/>
          <w:szCs w:val="24"/>
        </w:rPr>
        <w:t>).</w:t>
      </w:r>
    </w:p>
    <w:p w14:paraId="65826D39" w14:textId="12A0C424" w:rsidR="002E2ABD" w:rsidRDefault="002E2ABD" w:rsidP="004137DF">
      <w:pPr>
        <w:spacing w:line="360" w:lineRule="auto"/>
        <w:rPr>
          <w:sz w:val="24"/>
          <w:szCs w:val="24"/>
        </w:rPr>
      </w:pPr>
      <w:r>
        <w:rPr>
          <w:sz w:val="24"/>
          <w:szCs w:val="24"/>
        </w:rPr>
        <w:t>The quest of therapeutic university practices is seemingly to keep students safe (Furedi, 2017) and to provide safe spaces on campus that protect them from emotional and physical risks (Slater, 2016).</w:t>
      </w:r>
      <w:r w:rsidRPr="00B337AC">
        <w:rPr>
          <w:sz w:val="24"/>
          <w:szCs w:val="24"/>
        </w:rPr>
        <w:t xml:space="preserve"> </w:t>
      </w:r>
      <w:r>
        <w:rPr>
          <w:sz w:val="24"/>
          <w:szCs w:val="24"/>
        </w:rPr>
        <w:t xml:space="preserve">Indeed, Universities UK (UUK, 2017; </w:t>
      </w:r>
      <w:r w:rsidR="00DA7FBC">
        <w:rPr>
          <w:sz w:val="24"/>
          <w:szCs w:val="24"/>
        </w:rPr>
        <w:t xml:space="preserve">UUK, </w:t>
      </w:r>
      <w:r>
        <w:rPr>
          <w:sz w:val="24"/>
          <w:szCs w:val="24"/>
        </w:rPr>
        <w:t>2025) encourage</w:t>
      </w:r>
      <w:r w:rsidR="009975AF">
        <w:rPr>
          <w:sz w:val="24"/>
          <w:szCs w:val="24"/>
        </w:rPr>
        <w:t>s</w:t>
      </w:r>
      <w:r>
        <w:rPr>
          <w:sz w:val="24"/>
          <w:szCs w:val="24"/>
        </w:rPr>
        <w:t xml:space="preserve"> all student unions to develop policies to ensure their campuses are safe spaces for students.  Within a safe space paradigm university staff and faculty are cast in the role of protecting students from academic demands and microaggressions (Campbell and Manning, 2018). </w:t>
      </w:r>
      <w:r w:rsidR="000A5C15">
        <w:rPr>
          <w:sz w:val="24"/>
          <w:szCs w:val="24"/>
        </w:rPr>
        <w:t xml:space="preserve">HE teachers </w:t>
      </w:r>
      <w:r>
        <w:rPr>
          <w:sz w:val="24"/>
          <w:szCs w:val="24"/>
        </w:rPr>
        <w:t>are expected to provide students with pleasant teaching experiences (Arum and Roska, 2011) and to utilise accommodating discourse and language (Goldberg, 2024). In summary, students are to be treated as sensitive beings (Hermanowicz, 2024).</w:t>
      </w:r>
    </w:p>
    <w:p w14:paraId="52889225" w14:textId="03BDA49C" w:rsidR="00A17B08" w:rsidRPr="00433386" w:rsidRDefault="002E2ABD" w:rsidP="00433386">
      <w:pPr>
        <w:spacing w:line="360" w:lineRule="auto"/>
        <w:rPr>
          <w:sz w:val="24"/>
          <w:szCs w:val="24"/>
        </w:rPr>
      </w:pPr>
      <w:r>
        <w:rPr>
          <w:sz w:val="24"/>
          <w:szCs w:val="24"/>
        </w:rPr>
        <w:t xml:space="preserve">According to </w:t>
      </w:r>
      <w:r w:rsidRPr="00E7228E">
        <w:rPr>
          <w:sz w:val="24"/>
          <w:szCs w:val="24"/>
        </w:rPr>
        <w:t>Wallace</w:t>
      </w:r>
      <w:r>
        <w:rPr>
          <w:sz w:val="24"/>
          <w:szCs w:val="24"/>
        </w:rPr>
        <w:t xml:space="preserve"> (2012) </w:t>
      </w:r>
      <w:r w:rsidRPr="00E7228E">
        <w:rPr>
          <w:sz w:val="24"/>
          <w:szCs w:val="24"/>
        </w:rPr>
        <w:t xml:space="preserve">students are </w:t>
      </w:r>
      <w:r>
        <w:rPr>
          <w:sz w:val="24"/>
          <w:szCs w:val="24"/>
        </w:rPr>
        <w:t xml:space="preserve">increasingly arriving at </w:t>
      </w:r>
      <w:r w:rsidRPr="00E7228E">
        <w:rPr>
          <w:sz w:val="24"/>
          <w:szCs w:val="24"/>
        </w:rPr>
        <w:t>university with pre-existing mental health issues</w:t>
      </w:r>
      <w:r>
        <w:rPr>
          <w:sz w:val="24"/>
          <w:szCs w:val="24"/>
        </w:rPr>
        <w:t xml:space="preserve"> which create complexity of need, and more support is </w:t>
      </w:r>
      <w:bookmarkStart w:id="23" w:name="_Hlk133234017"/>
      <w:r>
        <w:rPr>
          <w:sz w:val="24"/>
          <w:szCs w:val="24"/>
        </w:rPr>
        <w:t>required (</w:t>
      </w:r>
      <w:r w:rsidR="00AB1ADC">
        <w:rPr>
          <w:sz w:val="24"/>
          <w:szCs w:val="24"/>
        </w:rPr>
        <w:t>ibid.</w:t>
      </w:r>
      <w:r>
        <w:rPr>
          <w:sz w:val="24"/>
          <w:szCs w:val="24"/>
        </w:rPr>
        <w:t>).</w:t>
      </w:r>
      <w:r w:rsidRPr="0058421E">
        <w:rPr>
          <w:sz w:val="24"/>
          <w:szCs w:val="24"/>
        </w:rPr>
        <w:t xml:space="preserve"> Educational researchers Ippolito and Kingsbury (2024) attest that newly arriving university students lack appropriate disciplinary knowledge and “emotional competence to cope and thrive at university” (p.2). </w:t>
      </w:r>
      <w:r>
        <w:rPr>
          <w:color w:val="FF0000"/>
          <w:sz w:val="24"/>
          <w:szCs w:val="24"/>
        </w:rPr>
        <w:t xml:space="preserve"> </w:t>
      </w:r>
      <w:r w:rsidRPr="00D81CD7">
        <w:rPr>
          <w:sz w:val="24"/>
          <w:szCs w:val="24"/>
        </w:rPr>
        <w:t xml:space="preserve">Although the pre-existence of </w:t>
      </w:r>
      <w:r>
        <w:rPr>
          <w:sz w:val="24"/>
          <w:szCs w:val="24"/>
        </w:rPr>
        <w:t xml:space="preserve">emotional sensitivities </w:t>
      </w:r>
      <w:r w:rsidRPr="00D81CD7">
        <w:rPr>
          <w:sz w:val="24"/>
          <w:szCs w:val="24"/>
        </w:rPr>
        <w:t xml:space="preserve">may not be the responsibility of </w:t>
      </w:r>
      <w:r>
        <w:rPr>
          <w:sz w:val="24"/>
          <w:szCs w:val="24"/>
        </w:rPr>
        <w:t>the university</w:t>
      </w:r>
      <w:r w:rsidRPr="00D81CD7">
        <w:rPr>
          <w:sz w:val="24"/>
          <w:szCs w:val="24"/>
        </w:rPr>
        <w:t xml:space="preserve">, </w:t>
      </w:r>
      <w:r>
        <w:rPr>
          <w:sz w:val="24"/>
          <w:szCs w:val="24"/>
        </w:rPr>
        <w:t>student mental health</w:t>
      </w:r>
      <w:r w:rsidRPr="00D81CD7">
        <w:rPr>
          <w:sz w:val="24"/>
          <w:szCs w:val="24"/>
        </w:rPr>
        <w:t xml:space="preserve"> become</w:t>
      </w:r>
      <w:r>
        <w:rPr>
          <w:sz w:val="24"/>
          <w:szCs w:val="24"/>
        </w:rPr>
        <w:t>s</w:t>
      </w:r>
      <w:r w:rsidRPr="00D81CD7">
        <w:rPr>
          <w:sz w:val="24"/>
          <w:szCs w:val="24"/>
        </w:rPr>
        <w:t xml:space="preserve"> </w:t>
      </w:r>
      <w:r>
        <w:rPr>
          <w:sz w:val="24"/>
          <w:szCs w:val="24"/>
        </w:rPr>
        <w:t xml:space="preserve">a pastoral </w:t>
      </w:r>
      <w:r w:rsidRPr="00D81CD7">
        <w:rPr>
          <w:sz w:val="24"/>
          <w:szCs w:val="24"/>
        </w:rPr>
        <w:t xml:space="preserve">responsibility of the </w:t>
      </w:r>
      <w:r>
        <w:rPr>
          <w:sz w:val="24"/>
          <w:szCs w:val="24"/>
        </w:rPr>
        <w:t xml:space="preserve">university administration </w:t>
      </w:r>
      <w:r w:rsidRPr="00D81CD7">
        <w:rPr>
          <w:sz w:val="24"/>
          <w:szCs w:val="24"/>
        </w:rPr>
        <w:t xml:space="preserve">when </w:t>
      </w:r>
      <w:r>
        <w:rPr>
          <w:sz w:val="24"/>
          <w:szCs w:val="24"/>
        </w:rPr>
        <w:t xml:space="preserve">complex needs </w:t>
      </w:r>
      <w:r w:rsidRPr="00D81CD7">
        <w:rPr>
          <w:sz w:val="24"/>
          <w:szCs w:val="24"/>
        </w:rPr>
        <w:t>prevent the student from learn</w:t>
      </w:r>
      <w:r>
        <w:rPr>
          <w:sz w:val="24"/>
          <w:szCs w:val="24"/>
        </w:rPr>
        <w:t>ing</w:t>
      </w:r>
      <w:r w:rsidRPr="00D81CD7">
        <w:rPr>
          <w:sz w:val="24"/>
          <w:szCs w:val="24"/>
        </w:rPr>
        <w:t>.</w:t>
      </w:r>
      <w:r>
        <w:rPr>
          <w:sz w:val="24"/>
          <w:szCs w:val="24"/>
        </w:rPr>
        <w:t xml:space="preserve"> </w:t>
      </w:r>
      <w:bookmarkEnd w:id="23"/>
      <w:r w:rsidRPr="00346498">
        <w:rPr>
          <w:sz w:val="24"/>
          <w:szCs w:val="24"/>
        </w:rPr>
        <w:t>Despite criticism that the scales of the scholar’s role are tipped in favour of the pastoral</w:t>
      </w:r>
      <w:r w:rsidR="00F83BC1">
        <w:rPr>
          <w:sz w:val="24"/>
          <w:szCs w:val="24"/>
        </w:rPr>
        <w:t xml:space="preserve"> </w:t>
      </w:r>
      <w:r w:rsidR="00140F01">
        <w:rPr>
          <w:sz w:val="24"/>
          <w:szCs w:val="24"/>
        </w:rPr>
        <w:t>(</w:t>
      </w:r>
      <w:r w:rsidRPr="009316F3">
        <w:rPr>
          <w:sz w:val="24"/>
          <w:szCs w:val="24"/>
        </w:rPr>
        <w:t>Ecclestone and Hayes</w:t>
      </w:r>
      <w:r>
        <w:rPr>
          <w:sz w:val="24"/>
          <w:szCs w:val="24"/>
        </w:rPr>
        <w:t xml:space="preserve">, </w:t>
      </w:r>
      <w:r w:rsidRPr="009316F3">
        <w:rPr>
          <w:sz w:val="24"/>
          <w:szCs w:val="24"/>
        </w:rPr>
        <w:t>2009</w:t>
      </w:r>
      <w:r w:rsidR="002D1D64">
        <w:rPr>
          <w:sz w:val="24"/>
          <w:szCs w:val="24"/>
        </w:rPr>
        <w:t>;</w:t>
      </w:r>
      <w:r w:rsidR="002D1D64" w:rsidRPr="002D1D64">
        <w:rPr>
          <w:sz w:val="24"/>
          <w:szCs w:val="24"/>
        </w:rPr>
        <w:t xml:space="preserve"> Furedi, 1997</w:t>
      </w:r>
      <w:r w:rsidRPr="009316F3">
        <w:rPr>
          <w:sz w:val="24"/>
          <w:szCs w:val="24"/>
        </w:rPr>
        <w:t>)</w:t>
      </w:r>
      <w:r>
        <w:rPr>
          <w:sz w:val="24"/>
          <w:szCs w:val="24"/>
        </w:rPr>
        <w:t xml:space="preserve">, </w:t>
      </w:r>
      <w:r w:rsidRPr="00346498">
        <w:rPr>
          <w:sz w:val="24"/>
          <w:szCs w:val="24"/>
        </w:rPr>
        <w:t>students in HE</w:t>
      </w:r>
      <w:r w:rsidRPr="00346498">
        <w:rPr>
          <w:i/>
          <w:iCs/>
          <w:sz w:val="24"/>
          <w:szCs w:val="24"/>
        </w:rPr>
        <w:t xml:space="preserve"> are</w:t>
      </w:r>
      <w:r w:rsidRPr="00346498">
        <w:rPr>
          <w:sz w:val="24"/>
          <w:szCs w:val="24"/>
        </w:rPr>
        <w:t xml:space="preserve"> presenting with pastoral support</w:t>
      </w:r>
      <w:r>
        <w:rPr>
          <w:sz w:val="24"/>
          <w:szCs w:val="24"/>
        </w:rPr>
        <w:t xml:space="preserve"> </w:t>
      </w:r>
      <w:r w:rsidR="007578F3">
        <w:rPr>
          <w:sz w:val="24"/>
          <w:szCs w:val="24"/>
        </w:rPr>
        <w:t xml:space="preserve">needs </w:t>
      </w:r>
      <w:r>
        <w:rPr>
          <w:sz w:val="24"/>
          <w:szCs w:val="24"/>
        </w:rPr>
        <w:t>and t</w:t>
      </w:r>
      <w:r w:rsidRPr="00346498">
        <w:rPr>
          <w:sz w:val="24"/>
          <w:szCs w:val="24"/>
        </w:rPr>
        <w:t xml:space="preserve">he facts and statistics </w:t>
      </w:r>
      <w:r>
        <w:rPr>
          <w:sz w:val="24"/>
          <w:szCs w:val="24"/>
        </w:rPr>
        <w:t xml:space="preserve">on student well-being </w:t>
      </w:r>
      <w:r w:rsidRPr="00346498">
        <w:rPr>
          <w:sz w:val="24"/>
          <w:szCs w:val="24"/>
        </w:rPr>
        <w:t xml:space="preserve">prove to be </w:t>
      </w:r>
      <w:r>
        <w:rPr>
          <w:sz w:val="24"/>
          <w:szCs w:val="24"/>
        </w:rPr>
        <w:t>revelatory</w:t>
      </w:r>
      <w:r w:rsidRPr="00346498">
        <w:rPr>
          <w:sz w:val="24"/>
          <w:szCs w:val="24"/>
        </w:rPr>
        <w:t>.</w:t>
      </w:r>
      <w:r>
        <w:rPr>
          <w:sz w:val="24"/>
          <w:szCs w:val="24"/>
        </w:rPr>
        <w:t xml:space="preserve"> </w:t>
      </w:r>
    </w:p>
    <w:p w14:paraId="73AD66D7" w14:textId="7DE197C6" w:rsidR="002E2ABD" w:rsidRPr="00D83659" w:rsidRDefault="002E2ABD" w:rsidP="002853F9">
      <w:pPr>
        <w:rPr>
          <w:b/>
          <w:bCs/>
          <w:sz w:val="24"/>
          <w:szCs w:val="24"/>
        </w:rPr>
      </w:pPr>
      <w:r w:rsidRPr="00D83659">
        <w:rPr>
          <w:b/>
          <w:bCs/>
          <w:sz w:val="24"/>
          <w:szCs w:val="24"/>
        </w:rPr>
        <w:t>Student well-being</w:t>
      </w:r>
    </w:p>
    <w:p w14:paraId="5E4F4E53" w14:textId="4942790A" w:rsidR="002E2ABD" w:rsidRPr="00973F86" w:rsidRDefault="002E2ABD" w:rsidP="00C93E77">
      <w:pPr>
        <w:spacing w:line="360" w:lineRule="auto"/>
        <w:rPr>
          <w:sz w:val="24"/>
          <w:szCs w:val="24"/>
        </w:rPr>
      </w:pPr>
      <w:bookmarkStart w:id="24" w:name="_Hlk133147276"/>
      <w:r w:rsidRPr="001A53FE">
        <w:rPr>
          <w:sz w:val="24"/>
          <w:szCs w:val="24"/>
        </w:rPr>
        <w:t xml:space="preserve">As defined in </w:t>
      </w:r>
      <w:r w:rsidRPr="001A53FE">
        <w:rPr>
          <w:i/>
          <w:iCs/>
          <w:sz w:val="24"/>
          <w:szCs w:val="24"/>
        </w:rPr>
        <w:t>The University Mental Health Charter</w:t>
      </w:r>
      <w:r w:rsidRPr="001A53FE">
        <w:rPr>
          <w:sz w:val="24"/>
          <w:szCs w:val="24"/>
        </w:rPr>
        <w:t xml:space="preserve"> (Hughes and Spanner, 2019) student well-being incorporates physical, mental and social well-being and student engagement with academic learning. </w:t>
      </w:r>
      <w:r w:rsidRPr="00EB62D4">
        <w:rPr>
          <w:sz w:val="24"/>
          <w:szCs w:val="24"/>
        </w:rPr>
        <w:t>Mental health conditions reported by students in recent years</w:t>
      </w:r>
      <w:r w:rsidR="00A605E7">
        <w:rPr>
          <w:sz w:val="24"/>
          <w:szCs w:val="24"/>
        </w:rPr>
        <w:t xml:space="preserve"> which impact their well-being</w:t>
      </w:r>
      <w:r w:rsidRPr="00EB62D4">
        <w:rPr>
          <w:sz w:val="24"/>
          <w:szCs w:val="24"/>
        </w:rPr>
        <w:t xml:space="preserve"> have dramatically increased (Student Minds, 2023)</w:t>
      </w:r>
      <w:r>
        <w:rPr>
          <w:sz w:val="24"/>
          <w:szCs w:val="24"/>
        </w:rPr>
        <w:t xml:space="preserve">. </w:t>
      </w:r>
      <w:r w:rsidRPr="002C511D">
        <w:rPr>
          <w:sz w:val="24"/>
          <w:szCs w:val="24"/>
        </w:rPr>
        <w:t xml:space="preserve">It follows that </w:t>
      </w:r>
      <w:r>
        <w:rPr>
          <w:sz w:val="24"/>
          <w:szCs w:val="24"/>
        </w:rPr>
        <w:t xml:space="preserve">if </w:t>
      </w:r>
      <w:r w:rsidRPr="002C511D">
        <w:rPr>
          <w:sz w:val="24"/>
          <w:szCs w:val="24"/>
        </w:rPr>
        <w:t xml:space="preserve">the well-being of students </w:t>
      </w:r>
      <w:r>
        <w:rPr>
          <w:sz w:val="24"/>
          <w:szCs w:val="24"/>
        </w:rPr>
        <w:t xml:space="preserve">is </w:t>
      </w:r>
      <w:r w:rsidRPr="002C511D">
        <w:rPr>
          <w:sz w:val="24"/>
          <w:szCs w:val="24"/>
        </w:rPr>
        <w:t xml:space="preserve">on the decline, their functional abilities and resilience </w:t>
      </w:r>
      <w:r w:rsidR="00051393">
        <w:rPr>
          <w:sz w:val="24"/>
          <w:szCs w:val="24"/>
        </w:rPr>
        <w:t>are</w:t>
      </w:r>
      <w:r w:rsidRPr="002C511D">
        <w:rPr>
          <w:sz w:val="24"/>
          <w:szCs w:val="24"/>
        </w:rPr>
        <w:t xml:space="preserve"> </w:t>
      </w:r>
      <w:r w:rsidR="00153B84">
        <w:rPr>
          <w:sz w:val="24"/>
          <w:szCs w:val="24"/>
        </w:rPr>
        <w:t xml:space="preserve">negatively </w:t>
      </w:r>
      <w:r w:rsidR="00F80957">
        <w:rPr>
          <w:sz w:val="24"/>
          <w:szCs w:val="24"/>
        </w:rPr>
        <w:t>impacted</w:t>
      </w:r>
      <w:r>
        <w:rPr>
          <w:sz w:val="24"/>
          <w:szCs w:val="24"/>
        </w:rPr>
        <w:t xml:space="preserve">. </w:t>
      </w:r>
      <w:r w:rsidRPr="004D0F2D">
        <w:rPr>
          <w:sz w:val="24"/>
          <w:szCs w:val="24"/>
        </w:rPr>
        <w:t xml:space="preserve">The notion of a lack of resilience is worthy of note. </w:t>
      </w:r>
      <w:r>
        <w:rPr>
          <w:sz w:val="24"/>
          <w:szCs w:val="24"/>
        </w:rPr>
        <w:t>S</w:t>
      </w:r>
      <w:r w:rsidRPr="0093779C">
        <w:rPr>
          <w:sz w:val="24"/>
          <w:szCs w:val="24"/>
        </w:rPr>
        <w:t xml:space="preserve">tudent </w:t>
      </w:r>
      <w:r w:rsidRPr="0093779C">
        <w:rPr>
          <w:sz w:val="24"/>
          <w:szCs w:val="24"/>
        </w:rPr>
        <w:lastRenderedPageBreak/>
        <w:t>resilience is conceptualised as the ability to cope with setbacks and difficulties in their learning environment (Price, 2022).</w:t>
      </w:r>
      <w:r>
        <w:rPr>
          <w:sz w:val="24"/>
          <w:szCs w:val="24"/>
        </w:rPr>
        <w:t xml:space="preserve"> </w:t>
      </w:r>
      <w:r w:rsidRPr="0051518D">
        <w:rPr>
          <w:sz w:val="24"/>
          <w:szCs w:val="24"/>
        </w:rPr>
        <w:t xml:space="preserve">One of the shifts in the </w:t>
      </w:r>
      <w:r>
        <w:rPr>
          <w:sz w:val="24"/>
          <w:szCs w:val="24"/>
        </w:rPr>
        <w:t xml:space="preserve">HE </w:t>
      </w:r>
      <w:r w:rsidRPr="0051518D">
        <w:rPr>
          <w:sz w:val="24"/>
          <w:szCs w:val="24"/>
        </w:rPr>
        <w:t xml:space="preserve">cultural landscape </w:t>
      </w:r>
      <w:r w:rsidR="00201BFA">
        <w:rPr>
          <w:sz w:val="24"/>
          <w:szCs w:val="24"/>
        </w:rPr>
        <w:t>is</w:t>
      </w:r>
      <w:r w:rsidRPr="0051518D">
        <w:rPr>
          <w:sz w:val="24"/>
          <w:szCs w:val="24"/>
        </w:rPr>
        <w:t xml:space="preserve"> identified as a declining resilience in students which borders on an epidemic (Makhubela, 2021; Morrish, 2019; </w:t>
      </w:r>
      <w:r w:rsidRPr="00973F86">
        <w:rPr>
          <w:sz w:val="24"/>
          <w:szCs w:val="24"/>
        </w:rPr>
        <w:t xml:space="preserve">Usher </w:t>
      </w:r>
      <w:r w:rsidR="00FB3A6E" w:rsidRPr="00FB3A6E">
        <w:rPr>
          <w:i/>
          <w:sz w:val="24"/>
          <w:szCs w:val="24"/>
        </w:rPr>
        <w:t>et al.</w:t>
      </w:r>
      <w:r w:rsidRPr="00973F86">
        <w:rPr>
          <w:sz w:val="24"/>
          <w:szCs w:val="24"/>
        </w:rPr>
        <w:t xml:space="preserve">, 2020). This decline has worsened during the global pandemic where students have faced significant challenges (Lederer </w:t>
      </w:r>
      <w:r w:rsidR="00FB3A6E" w:rsidRPr="00FB3A6E">
        <w:rPr>
          <w:i/>
          <w:sz w:val="24"/>
          <w:szCs w:val="24"/>
        </w:rPr>
        <w:t>et al.</w:t>
      </w:r>
      <w:r w:rsidRPr="00973F86">
        <w:rPr>
          <w:sz w:val="24"/>
          <w:szCs w:val="24"/>
        </w:rPr>
        <w:t>, </w:t>
      </w:r>
      <w:hyperlink r:id="rId21" w:history="1">
        <w:r w:rsidRPr="005F4F23">
          <w:rPr>
            <w:rStyle w:val="Hyperlink"/>
            <w:color w:val="auto"/>
            <w:sz w:val="24"/>
            <w:szCs w:val="24"/>
            <w:u w:val="none"/>
          </w:rPr>
          <w:t>2021</w:t>
        </w:r>
      </w:hyperlink>
      <w:r w:rsidRPr="00973F86">
        <w:rPr>
          <w:sz w:val="24"/>
          <w:szCs w:val="24"/>
        </w:rPr>
        <w:t xml:space="preserve">) that perpetuate </w:t>
      </w:r>
      <w:r w:rsidR="003A24F9">
        <w:rPr>
          <w:sz w:val="24"/>
          <w:szCs w:val="24"/>
        </w:rPr>
        <w:t xml:space="preserve">a </w:t>
      </w:r>
      <w:r>
        <w:rPr>
          <w:sz w:val="24"/>
          <w:szCs w:val="24"/>
        </w:rPr>
        <w:t>well-being deficit narrative</w:t>
      </w:r>
      <w:r w:rsidRPr="00973F86">
        <w:rPr>
          <w:sz w:val="24"/>
          <w:szCs w:val="24"/>
        </w:rPr>
        <w:t>.</w:t>
      </w:r>
    </w:p>
    <w:p w14:paraId="237CA8AF" w14:textId="2CDB8438" w:rsidR="002E2ABD" w:rsidRPr="00497A45" w:rsidRDefault="002E2ABD" w:rsidP="00926176">
      <w:pPr>
        <w:spacing w:line="360" w:lineRule="auto"/>
        <w:rPr>
          <w:sz w:val="24"/>
          <w:szCs w:val="24"/>
        </w:rPr>
      </w:pPr>
      <w:r w:rsidRPr="00315795">
        <w:rPr>
          <w:sz w:val="24"/>
          <w:szCs w:val="24"/>
        </w:rPr>
        <w:t>The model of optimum well-being is defined as “the ability of an individual to fully exercise their cognitive, emotional, physical and social powers, leading to flourishing” (Kraut, in Hughes and Spanner, 2019, p.9).  By flourishing I read growth. A</w:t>
      </w:r>
      <w:r w:rsidRPr="00315795">
        <w:rPr>
          <w:i/>
          <w:iCs/>
          <w:sz w:val="24"/>
          <w:szCs w:val="24"/>
        </w:rPr>
        <w:t xml:space="preserve"> Guardian </w:t>
      </w:r>
      <w:r w:rsidRPr="00315795">
        <w:rPr>
          <w:sz w:val="24"/>
          <w:szCs w:val="24"/>
        </w:rPr>
        <w:t>article (Shackle, 2019) critically ex</w:t>
      </w:r>
      <w:r w:rsidR="00BB6235">
        <w:rPr>
          <w:sz w:val="24"/>
          <w:szCs w:val="24"/>
        </w:rPr>
        <w:t>amined</w:t>
      </w:r>
      <w:r w:rsidRPr="00315795">
        <w:rPr>
          <w:sz w:val="24"/>
          <w:szCs w:val="24"/>
        </w:rPr>
        <w:t xml:space="preserve"> the recent surge in university student anxiety, mental breakdowns </w:t>
      </w:r>
      <w:r w:rsidRPr="00E46D1C">
        <w:rPr>
          <w:sz w:val="24"/>
          <w:szCs w:val="24"/>
        </w:rPr>
        <w:t>and depression</w:t>
      </w:r>
      <w:r w:rsidRPr="00E46D1C">
        <w:rPr>
          <w:i/>
          <w:iCs/>
          <w:sz w:val="24"/>
          <w:szCs w:val="24"/>
        </w:rPr>
        <w:t xml:space="preserve"> </w:t>
      </w:r>
      <w:r w:rsidRPr="00E46D1C">
        <w:rPr>
          <w:sz w:val="24"/>
          <w:szCs w:val="24"/>
        </w:rPr>
        <w:t xml:space="preserve">to </w:t>
      </w:r>
      <w:r>
        <w:rPr>
          <w:sz w:val="24"/>
          <w:szCs w:val="24"/>
        </w:rPr>
        <w:t>ascertain</w:t>
      </w:r>
      <w:r w:rsidRPr="00E46D1C">
        <w:rPr>
          <w:sz w:val="24"/>
          <w:szCs w:val="24"/>
        </w:rPr>
        <w:t xml:space="preserve"> if </w:t>
      </w:r>
      <w:r>
        <w:rPr>
          <w:sz w:val="24"/>
          <w:szCs w:val="24"/>
        </w:rPr>
        <w:t xml:space="preserve">universities are offering </w:t>
      </w:r>
      <w:r w:rsidRPr="00E46D1C">
        <w:rPr>
          <w:sz w:val="24"/>
          <w:szCs w:val="24"/>
        </w:rPr>
        <w:t xml:space="preserve">students a model of optimum </w:t>
      </w:r>
      <w:r>
        <w:rPr>
          <w:sz w:val="24"/>
          <w:szCs w:val="24"/>
        </w:rPr>
        <w:t xml:space="preserve">of </w:t>
      </w:r>
      <w:r w:rsidRPr="00E46D1C">
        <w:rPr>
          <w:sz w:val="24"/>
          <w:szCs w:val="24"/>
        </w:rPr>
        <w:t>well-being that includes flourishing (Kraut, 20</w:t>
      </w:r>
      <w:r>
        <w:rPr>
          <w:sz w:val="24"/>
          <w:szCs w:val="24"/>
        </w:rPr>
        <w:t>0</w:t>
      </w:r>
      <w:r w:rsidRPr="00E46D1C">
        <w:rPr>
          <w:sz w:val="24"/>
          <w:szCs w:val="24"/>
        </w:rPr>
        <w:t>9)</w:t>
      </w:r>
      <w:r w:rsidR="003A24F9">
        <w:rPr>
          <w:sz w:val="24"/>
          <w:szCs w:val="24"/>
        </w:rPr>
        <w:t xml:space="preserve">. The article concluded </w:t>
      </w:r>
      <w:r>
        <w:rPr>
          <w:sz w:val="24"/>
          <w:szCs w:val="24"/>
        </w:rPr>
        <w:t>that i</w:t>
      </w:r>
      <w:r w:rsidRPr="00E46D1C">
        <w:rPr>
          <w:sz w:val="24"/>
          <w:szCs w:val="24"/>
        </w:rPr>
        <w:t>t appears students are being shortchanged in the flourishing stakes.</w:t>
      </w:r>
      <w:r>
        <w:rPr>
          <w:sz w:val="24"/>
          <w:szCs w:val="24"/>
        </w:rPr>
        <w:t xml:space="preserve"> If students are not flourishing, they may well be wilting and require more support. </w:t>
      </w:r>
    </w:p>
    <w:p w14:paraId="78109742" w14:textId="77777777" w:rsidR="00CD601D" w:rsidRDefault="002E2ABD" w:rsidP="00926176">
      <w:pPr>
        <w:spacing w:line="360" w:lineRule="auto"/>
        <w:rPr>
          <w:sz w:val="24"/>
          <w:szCs w:val="24"/>
        </w:rPr>
      </w:pPr>
      <w:r>
        <w:rPr>
          <w:sz w:val="24"/>
          <w:szCs w:val="24"/>
        </w:rPr>
        <w:t>S</w:t>
      </w:r>
      <w:r w:rsidRPr="00803231">
        <w:rPr>
          <w:sz w:val="24"/>
          <w:szCs w:val="24"/>
        </w:rPr>
        <w:t>tatistics highlight a need for universities to improve support services for undergraduates (</w:t>
      </w:r>
      <w:r w:rsidR="00AA2FA7" w:rsidRPr="00AA2FA7">
        <w:rPr>
          <w:sz w:val="24"/>
          <w:szCs w:val="24"/>
        </w:rPr>
        <w:t xml:space="preserve">Bobrowski </w:t>
      </w:r>
      <w:r w:rsidR="00AA2FA7" w:rsidRPr="00AA2FA7">
        <w:rPr>
          <w:i/>
          <w:sz w:val="24"/>
          <w:szCs w:val="24"/>
        </w:rPr>
        <w:t>et al.</w:t>
      </w:r>
      <w:r w:rsidR="00AA2FA7" w:rsidRPr="00AA2FA7">
        <w:rPr>
          <w:sz w:val="24"/>
          <w:szCs w:val="24"/>
        </w:rPr>
        <w:t>, 2017</w:t>
      </w:r>
      <w:r w:rsidR="00AA2FA7">
        <w:rPr>
          <w:sz w:val="24"/>
          <w:szCs w:val="24"/>
        </w:rPr>
        <w:t xml:space="preserve">; </w:t>
      </w:r>
      <w:r w:rsidRPr="00803231">
        <w:rPr>
          <w:sz w:val="24"/>
          <w:szCs w:val="24"/>
        </w:rPr>
        <w:t>McKenzie and Schweitzer, 2001;</w:t>
      </w:r>
      <w:r>
        <w:rPr>
          <w:sz w:val="24"/>
          <w:szCs w:val="24"/>
        </w:rPr>
        <w:t xml:space="preserve"> Sharp and Theiler, 2018</w:t>
      </w:r>
      <w:r w:rsidRPr="00803231">
        <w:rPr>
          <w:sz w:val="24"/>
          <w:szCs w:val="24"/>
        </w:rPr>
        <w:t xml:space="preserve">), to reduce their levels of psychological distress and enhance their university experience (McGaha and Fitzpatrick, 2005). </w:t>
      </w:r>
      <w:r>
        <w:rPr>
          <w:sz w:val="24"/>
          <w:szCs w:val="24"/>
        </w:rPr>
        <w:t>One source of student support is in-house counselling provision.</w:t>
      </w:r>
      <w:bookmarkEnd w:id="24"/>
      <w:r>
        <w:rPr>
          <w:sz w:val="24"/>
          <w:szCs w:val="24"/>
        </w:rPr>
        <w:t xml:space="preserve"> </w:t>
      </w:r>
      <w:r w:rsidRPr="00EC39D6">
        <w:rPr>
          <w:sz w:val="24"/>
          <w:szCs w:val="24"/>
        </w:rPr>
        <w:t>A survey conducted by the Heads of University Counselling Services (</w:t>
      </w:r>
      <w:r>
        <w:rPr>
          <w:sz w:val="24"/>
          <w:szCs w:val="24"/>
        </w:rPr>
        <w:t xml:space="preserve">Broglia </w:t>
      </w:r>
      <w:r w:rsidR="00FB3A6E" w:rsidRPr="00FB3A6E">
        <w:rPr>
          <w:i/>
          <w:sz w:val="24"/>
          <w:szCs w:val="24"/>
        </w:rPr>
        <w:t>et al.</w:t>
      </w:r>
      <w:r>
        <w:rPr>
          <w:sz w:val="24"/>
          <w:szCs w:val="24"/>
        </w:rPr>
        <w:t>, 2017</w:t>
      </w:r>
      <w:r w:rsidRPr="00EC39D6">
        <w:rPr>
          <w:sz w:val="24"/>
          <w:szCs w:val="24"/>
        </w:rPr>
        <w:t xml:space="preserve">) reported the number of students seeking counselling </w:t>
      </w:r>
      <w:r>
        <w:rPr>
          <w:sz w:val="24"/>
          <w:szCs w:val="24"/>
        </w:rPr>
        <w:t xml:space="preserve">at university </w:t>
      </w:r>
      <w:r w:rsidRPr="00EC39D6">
        <w:rPr>
          <w:sz w:val="24"/>
          <w:szCs w:val="24"/>
        </w:rPr>
        <w:t xml:space="preserve">rose 16% between 2010 and 2013. </w:t>
      </w:r>
      <w:r w:rsidRPr="00C57C41">
        <w:rPr>
          <w:sz w:val="24"/>
          <w:szCs w:val="24"/>
        </w:rPr>
        <w:t xml:space="preserve">A </w:t>
      </w:r>
      <w:r>
        <w:rPr>
          <w:sz w:val="24"/>
          <w:szCs w:val="24"/>
        </w:rPr>
        <w:t xml:space="preserve">recent </w:t>
      </w:r>
      <w:r w:rsidRPr="00C57C41">
        <w:rPr>
          <w:sz w:val="24"/>
          <w:szCs w:val="24"/>
        </w:rPr>
        <w:t>survey of students from 10 universities in the UK</w:t>
      </w:r>
      <w:r>
        <w:rPr>
          <w:sz w:val="24"/>
          <w:szCs w:val="24"/>
        </w:rPr>
        <w:t xml:space="preserve"> </w:t>
      </w:r>
      <w:r w:rsidRPr="002E70FC">
        <w:rPr>
          <w:sz w:val="24"/>
          <w:szCs w:val="24"/>
        </w:rPr>
        <w:t>(The Insight Network, 2019)</w:t>
      </w:r>
      <w:r>
        <w:rPr>
          <w:sz w:val="24"/>
          <w:szCs w:val="24"/>
        </w:rPr>
        <w:t xml:space="preserve"> </w:t>
      </w:r>
      <w:r w:rsidRPr="00C57C41">
        <w:rPr>
          <w:sz w:val="24"/>
          <w:szCs w:val="24"/>
        </w:rPr>
        <w:t>found that 33.9% of respondents</w:t>
      </w:r>
      <w:r>
        <w:rPr>
          <w:sz w:val="24"/>
          <w:szCs w:val="24"/>
        </w:rPr>
        <w:t>, approximately 12, 920 students,</w:t>
      </w:r>
      <w:r w:rsidRPr="00C57C41">
        <w:rPr>
          <w:sz w:val="24"/>
          <w:szCs w:val="24"/>
        </w:rPr>
        <w:t xml:space="preserve"> had sought help for a serious personal, emotional, behavioural, or mental health problem. Some 38,000 students provided responses to the survey and 9 out of 10 students reported struggling with feelings of anxiety. </w:t>
      </w:r>
    </w:p>
    <w:p w14:paraId="006015F3" w14:textId="3EC18054" w:rsidR="002E2ABD" w:rsidRDefault="002E2ABD" w:rsidP="00926176">
      <w:pPr>
        <w:spacing w:line="360" w:lineRule="auto"/>
        <w:rPr>
          <w:sz w:val="24"/>
          <w:szCs w:val="24"/>
        </w:rPr>
      </w:pPr>
      <w:r w:rsidRPr="00C57C41">
        <w:rPr>
          <w:sz w:val="24"/>
          <w:szCs w:val="24"/>
        </w:rPr>
        <w:t xml:space="preserve">Worldwide the results </w:t>
      </w:r>
      <w:r>
        <w:rPr>
          <w:sz w:val="24"/>
          <w:szCs w:val="24"/>
        </w:rPr>
        <w:t>chime with this needs analysis</w:t>
      </w:r>
      <w:r w:rsidRPr="00C57C41">
        <w:rPr>
          <w:sz w:val="24"/>
          <w:szCs w:val="24"/>
        </w:rPr>
        <w:t>. In a global investigation of 14,000 students in 19 countries</w:t>
      </w:r>
      <w:r>
        <w:rPr>
          <w:sz w:val="24"/>
          <w:szCs w:val="24"/>
        </w:rPr>
        <w:t xml:space="preserve"> (Auerbach </w:t>
      </w:r>
      <w:r w:rsidR="00FB3A6E" w:rsidRPr="00FB3A6E">
        <w:rPr>
          <w:i/>
          <w:sz w:val="24"/>
          <w:szCs w:val="24"/>
        </w:rPr>
        <w:t>et al.</w:t>
      </w:r>
      <w:r>
        <w:rPr>
          <w:sz w:val="24"/>
          <w:szCs w:val="24"/>
        </w:rPr>
        <w:t>, 2018)</w:t>
      </w:r>
      <w:r w:rsidRPr="00C57C41">
        <w:rPr>
          <w:sz w:val="24"/>
          <w:szCs w:val="24"/>
        </w:rPr>
        <w:t xml:space="preserve"> researchers from the American Psychology Association (APA) found that 35% had experienced at least one of six mental health disorders noted in the Diagnostic and Statistical Manual of Mental Disorders (DSM). Contributing factors included demanding workloads, the pressure to excel and financial </w:t>
      </w:r>
      <w:r w:rsidRPr="00C57C41">
        <w:rPr>
          <w:sz w:val="24"/>
          <w:szCs w:val="24"/>
        </w:rPr>
        <w:lastRenderedPageBreak/>
        <w:t>worries.</w:t>
      </w:r>
      <w:r w:rsidRPr="00EC39D6">
        <w:rPr>
          <w:sz w:val="24"/>
          <w:szCs w:val="24"/>
        </w:rPr>
        <w:t xml:space="preserve"> </w:t>
      </w:r>
      <w:r>
        <w:rPr>
          <w:sz w:val="24"/>
          <w:szCs w:val="24"/>
        </w:rPr>
        <w:t>Notably, T</w:t>
      </w:r>
      <w:r w:rsidRPr="00FF215B">
        <w:rPr>
          <w:sz w:val="24"/>
          <w:szCs w:val="24"/>
        </w:rPr>
        <w:t xml:space="preserve">he Insight Network is a leading private healthcare provider in the UK and stands to gain in customer base from universities given that counselling services are frequently outsourced. </w:t>
      </w:r>
      <w:r>
        <w:rPr>
          <w:sz w:val="24"/>
          <w:szCs w:val="24"/>
        </w:rPr>
        <w:t>T</w:t>
      </w:r>
      <w:r w:rsidRPr="00C57C41">
        <w:rPr>
          <w:sz w:val="24"/>
          <w:szCs w:val="24"/>
        </w:rPr>
        <w:t>he APA</w:t>
      </w:r>
      <w:r>
        <w:rPr>
          <w:sz w:val="24"/>
          <w:szCs w:val="24"/>
        </w:rPr>
        <w:t>, a member organisation for psychologists,</w:t>
      </w:r>
      <w:r w:rsidRPr="00C57C41">
        <w:rPr>
          <w:sz w:val="24"/>
          <w:szCs w:val="24"/>
        </w:rPr>
        <w:t xml:space="preserve"> enjoys an income stream from professional indemnity insurance sources</w:t>
      </w:r>
      <w:r>
        <w:rPr>
          <w:sz w:val="24"/>
          <w:szCs w:val="24"/>
        </w:rPr>
        <w:t xml:space="preserve">, </w:t>
      </w:r>
      <w:r w:rsidRPr="00C57C41">
        <w:rPr>
          <w:sz w:val="24"/>
          <w:szCs w:val="24"/>
        </w:rPr>
        <w:t xml:space="preserve">accreditation and training </w:t>
      </w:r>
      <w:bookmarkStart w:id="25" w:name="_Hlk150790367"/>
      <w:r w:rsidRPr="00C57C41">
        <w:rPr>
          <w:sz w:val="24"/>
          <w:szCs w:val="24"/>
        </w:rPr>
        <w:t>programmes rendering it</w:t>
      </w:r>
      <w:r>
        <w:rPr>
          <w:sz w:val="24"/>
          <w:szCs w:val="24"/>
        </w:rPr>
        <w:t>s research result</w:t>
      </w:r>
      <w:r w:rsidR="00D13698">
        <w:rPr>
          <w:sz w:val="24"/>
          <w:szCs w:val="24"/>
        </w:rPr>
        <w:t>s potentially</w:t>
      </w:r>
      <w:r>
        <w:rPr>
          <w:sz w:val="24"/>
          <w:szCs w:val="24"/>
        </w:rPr>
        <w:t xml:space="preserve"> biased</w:t>
      </w:r>
      <w:r w:rsidRPr="00C57C41">
        <w:rPr>
          <w:sz w:val="24"/>
          <w:szCs w:val="24"/>
        </w:rPr>
        <w:t xml:space="preserve">. </w:t>
      </w:r>
      <w:bookmarkEnd w:id="25"/>
    </w:p>
    <w:p w14:paraId="0136ACA0" w14:textId="53493805" w:rsidR="002E2ABD" w:rsidRPr="00B4084F" w:rsidRDefault="002E2ABD" w:rsidP="00926176">
      <w:pPr>
        <w:spacing w:line="360" w:lineRule="auto"/>
        <w:rPr>
          <w:sz w:val="24"/>
          <w:szCs w:val="24"/>
        </w:rPr>
      </w:pPr>
      <w:r>
        <w:rPr>
          <w:sz w:val="24"/>
          <w:szCs w:val="24"/>
        </w:rPr>
        <w:t xml:space="preserve">There is clearly an increased need to provide emotional support for students, however </w:t>
      </w:r>
      <w:r w:rsidRPr="00B4084F">
        <w:rPr>
          <w:sz w:val="24"/>
          <w:szCs w:val="24"/>
        </w:rPr>
        <w:t>Percy</w:t>
      </w:r>
      <w:r>
        <w:rPr>
          <w:sz w:val="24"/>
          <w:szCs w:val="24"/>
        </w:rPr>
        <w:t xml:space="preserve"> </w:t>
      </w:r>
      <w:r w:rsidRPr="00B4084F">
        <w:rPr>
          <w:sz w:val="24"/>
          <w:szCs w:val="24"/>
        </w:rPr>
        <w:t>(in Pointon, 2014) suggests that th</w:t>
      </w:r>
      <w:r>
        <w:rPr>
          <w:sz w:val="24"/>
          <w:szCs w:val="24"/>
        </w:rPr>
        <w:t>is</w:t>
      </w:r>
      <w:r w:rsidRPr="00B4084F">
        <w:rPr>
          <w:sz w:val="24"/>
          <w:szCs w:val="24"/>
        </w:rPr>
        <w:t xml:space="preserve"> rising demand</w:t>
      </w:r>
      <w:r>
        <w:rPr>
          <w:sz w:val="24"/>
          <w:szCs w:val="24"/>
        </w:rPr>
        <w:t xml:space="preserve"> </w:t>
      </w:r>
      <w:r w:rsidRPr="00B4084F">
        <w:rPr>
          <w:sz w:val="24"/>
          <w:szCs w:val="24"/>
        </w:rPr>
        <w:t>signifies an over-medicalisation of student distress</w:t>
      </w:r>
      <w:r>
        <w:rPr>
          <w:sz w:val="24"/>
          <w:szCs w:val="24"/>
        </w:rPr>
        <w:t>.</w:t>
      </w:r>
      <w:r w:rsidRPr="00B4084F">
        <w:rPr>
          <w:sz w:val="24"/>
          <w:szCs w:val="24"/>
        </w:rPr>
        <w:t xml:space="preserve"> Percy </w:t>
      </w:r>
      <w:r>
        <w:rPr>
          <w:sz w:val="24"/>
          <w:szCs w:val="24"/>
        </w:rPr>
        <w:t xml:space="preserve">postulates </w:t>
      </w:r>
      <w:r w:rsidRPr="00B4084F">
        <w:rPr>
          <w:sz w:val="24"/>
          <w:szCs w:val="24"/>
        </w:rPr>
        <w:t xml:space="preserve">that experiencing difficulties is a normal </w:t>
      </w:r>
      <w:r>
        <w:rPr>
          <w:sz w:val="24"/>
          <w:szCs w:val="24"/>
        </w:rPr>
        <w:t xml:space="preserve">developmental </w:t>
      </w:r>
      <w:r w:rsidRPr="00B4084F">
        <w:rPr>
          <w:sz w:val="24"/>
          <w:szCs w:val="24"/>
        </w:rPr>
        <w:t xml:space="preserve">process and by </w:t>
      </w:r>
      <w:r>
        <w:rPr>
          <w:sz w:val="24"/>
          <w:szCs w:val="24"/>
        </w:rPr>
        <w:t xml:space="preserve">reframing difficulties as </w:t>
      </w:r>
      <w:r w:rsidRPr="00B4084F">
        <w:rPr>
          <w:sz w:val="24"/>
          <w:szCs w:val="24"/>
        </w:rPr>
        <w:t xml:space="preserve">mental health issues “it becomes a way of objectifying the person, making them feel passive, </w:t>
      </w:r>
      <w:r>
        <w:rPr>
          <w:sz w:val="24"/>
          <w:szCs w:val="24"/>
        </w:rPr>
        <w:t xml:space="preserve">and </w:t>
      </w:r>
      <w:r w:rsidRPr="00B4084F">
        <w:rPr>
          <w:sz w:val="24"/>
          <w:szCs w:val="24"/>
        </w:rPr>
        <w:t>undermin</w:t>
      </w:r>
      <w:r>
        <w:rPr>
          <w:sz w:val="24"/>
          <w:szCs w:val="24"/>
        </w:rPr>
        <w:t>es</w:t>
      </w:r>
      <w:r w:rsidRPr="00B4084F">
        <w:rPr>
          <w:sz w:val="24"/>
          <w:szCs w:val="24"/>
        </w:rPr>
        <w:t xml:space="preserve"> their self-agency</w:t>
      </w:r>
      <w:r>
        <w:rPr>
          <w:sz w:val="24"/>
          <w:szCs w:val="24"/>
        </w:rPr>
        <w:t>” (</w:t>
      </w:r>
      <w:r w:rsidR="00AB1ADC">
        <w:rPr>
          <w:sz w:val="24"/>
          <w:szCs w:val="24"/>
        </w:rPr>
        <w:t>ibid.</w:t>
      </w:r>
      <w:r>
        <w:rPr>
          <w:sz w:val="24"/>
          <w:szCs w:val="24"/>
        </w:rPr>
        <w:t xml:space="preserve">, p.16). In this reframing, there is an expectation that </w:t>
      </w:r>
      <w:r w:rsidRPr="00B4084F">
        <w:rPr>
          <w:sz w:val="24"/>
          <w:szCs w:val="24"/>
        </w:rPr>
        <w:t xml:space="preserve">someone </w:t>
      </w:r>
      <w:r>
        <w:rPr>
          <w:sz w:val="24"/>
          <w:szCs w:val="24"/>
        </w:rPr>
        <w:t xml:space="preserve">such as </w:t>
      </w:r>
      <w:r w:rsidRPr="00B4084F">
        <w:rPr>
          <w:sz w:val="24"/>
          <w:szCs w:val="24"/>
        </w:rPr>
        <w:t xml:space="preserve">a doctor or a counsellor </w:t>
      </w:r>
      <w:r>
        <w:rPr>
          <w:sz w:val="24"/>
          <w:szCs w:val="24"/>
        </w:rPr>
        <w:t xml:space="preserve">will fix the problem </w:t>
      </w:r>
      <w:r w:rsidRPr="00B4084F">
        <w:rPr>
          <w:sz w:val="24"/>
          <w:szCs w:val="24"/>
        </w:rPr>
        <w:t>(</w:t>
      </w:r>
      <w:r w:rsidR="00AB1ADC">
        <w:rPr>
          <w:sz w:val="24"/>
          <w:szCs w:val="24"/>
        </w:rPr>
        <w:t>ibid.</w:t>
      </w:r>
      <w:r w:rsidRPr="00B4084F">
        <w:rPr>
          <w:sz w:val="24"/>
          <w:szCs w:val="24"/>
        </w:rPr>
        <w:t>)</w:t>
      </w:r>
      <w:r>
        <w:rPr>
          <w:sz w:val="24"/>
          <w:szCs w:val="24"/>
        </w:rPr>
        <w:t xml:space="preserve"> implying that without someone fixing the problem, there are consequences for the student. </w:t>
      </w:r>
    </w:p>
    <w:p w14:paraId="29892316" w14:textId="61BA73AF" w:rsidR="002E2ABD" w:rsidRPr="00E207C8" w:rsidRDefault="002E2ABD" w:rsidP="00926176">
      <w:pPr>
        <w:spacing w:line="360" w:lineRule="auto"/>
        <w:rPr>
          <w:sz w:val="24"/>
          <w:szCs w:val="24"/>
        </w:rPr>
      </w:pPr>
      <w:r>
        <w:rPr>
          <w:sz w:val="24"/>
          <w:szCs w:val="24"/>
        </w:rPr>
        <w:t xml:space="preserve">In a study conducted by Croley </w:t>
      </w:r>
      <w:r w:rsidRPr="00D47B47">
        <w:rPr>
          <w:i/>
          <w:iCs/>
          <w:sz w:val="24"/>
          <w:szCs w:val="24"/>
        </w:rPr>
        <w:t>et al</w:t>
      </w:r>
      <w:r w:rsidR="00D47B47">
        <w:rPr>
          <w:sz w:val="24"/>
          <w:szCs w:val="24"/>
        </w:rPr>
        <w:t>.</w:t>
      </w:r>
      <w:r>
        <w:rPr>
          <w:sz w:val="24"/>
          <w:szCs w:val="24"/>
        </w:rPr>
        <w:t xml:space="preserve"> (2022) it was noted that n</w:t>
      </w:r>
      <w:r w:rsidRPr="00CA5CF9">
        <w:rPr>
          <w:sz w:val="24"/>
          <w:szCs w:val="24"/>
        </w:rPr>
        <w:t>eglect of the physical, emotional, and mental well-being of students can have “harmful effects”</w:t>
      </w:r>
      <w:r>
        <w:rPr>
          <w:sz w:val="24"/>
          <w:szCs w:val="24"/>
        </w:rPr>
        <w:t xml:space="preserve"> (p.17)</w:t>
      </w:r>
      <w:r w:rsidRPr="00CA5CF9">
        <w:rPr>
          <w:sz w:val="24"/>
          <w:szCs w:val="24"/>
        </w:rPr>
        <w:t xml:space="preserve">, although these harmful effects are not named and clustered under the </w:t>
      </w:r>
      <w:r w:rsidR="00D47B47">
        <w:rPr>
          <w:sz w:val="24"/>
          <w:szCs w:val="24"/>
        </w:rPr>
        <w:t xml:space="preserve">generic </w:t>
      </w:r>
      <w:r>
        <w:rPr>
          <w:sz w:val="24"/>
          <w:szCs w:val="24"/>
        </w:rPr>
        <w:t xml:space="preserve">remit </w:t>
      </w:r>
      <w:r w:rsidRPr="00CA5CF9">
        <w:rPr>
          <w:sz w:val="24"/>
          <w:szCs w:val="24"/>
        </w:rPr>
        <w:t>of stress and anxiety</w:t>
      </w:r>
      <w:r>
        <w:rPr>
          <w:sz w:val="24"/>
          <w:szCs w:val="24"/>
        </w:rPr>
        <w:t xml:space="preserve"> (</w:t>
      </w:r>
      <w:r w:rsidR="00D941F3">
        <w:rPr>
          <w:sz w:val="24"/>
          <w:szCs w:val="24"/>
        </w:rPr>
        <w:t>ibid.</w:t>
      </w:r>
      <w:r>
        <w:rPr>
          <w:sz w:val="24"/>
          <w:szCs w:val="24"/>
        </w:rPr>
        <w:t>)</w:t>
      </w:r>
      <w:r w:rsidRPr="00CA5CF9">
        <w:rPr>
          <w:sz w:val="24"/>
          <w:szCs w:val="24"/>
        </w:rPr>
        <w:t xml:space="preserve">. </w:t>
      </w:r>
      <w:r>
        <w:rPr>
          <w:sz w:val="24"/>
          <w:szCs w:val="24"/>
        </w:rPr>
        <w:t xml:space="preserve">Suggested actions to </w:t>
      </w:r>
      <w:r w:rsidRPr="002853F9">
        <w:rPr>
          <w:sz w:val="24"/>
          <w:szCs w:val="24"/>
        </w:rPr>
        <w:t xml:space="preserve">support the mental health needs </w:t>
      </w:r>
      <w:r>
        <w:rPr>
          <w:sz w:val="24"/>
          <w:szCs w:val="24"/>
        </w:rPr>
        <w:t xml:space="preserve">of students included the </w:t>
      </w:r>
      <w:r w:rsidRPr="002853F9">
        <w:rPr>
          <w:sz w:val="24"/>
          <w:szCs w:val="24"/>
        </w:rPr>
        <w:t>employ</w:t>
      </w:r>
      <w:r>
        <w:rPr>
          <w:sz w:val="24"/>
          <w:szCs w:val="24"/>
        </w:rPr>
        <w:t>ment of</w:t>
      </w:r>
      <w:r w:rsidRPr="002853F9">
        <w:rPr>
          <w:sz w:val="24"/>
          <w:szCs w:val="24"/>
        </w:rPr>
        <w:t xml:space="preserve"> culturally diverse mental health profession</w:t>
      </w:r>
      <w:r>
        <w:rPr>
          <w:sz w:val="24"/>
          <w:szCs w:val="24"/>
        </w:rPr>
        <w:t>als</w:t>
      </w:r>
      <w:r w:rsidRPr="002853F9">
        <w:rPr>
          <w:sz w:val="24"/>
          <w:szCs w:val="24"/>
        </w:rPr>
        <w:t xml:space="preserve"> and culturally relevant mental health practices</w:t>
      </w:r>
      <w:r>
        <w:rPr>
          <w:sz w:val="24"/>
          <w:szCs w:val="24"/>
        </w:rPr>
        <w:t>. This eclectic professional offering</w:t>
      </w:r>
      <w:r w:rsidRPr="002853F9">
        <w:rPr>
          <w:sz w:val="24"/>
          <w:szCs w:val="24"/>
        </w:rPr>
        <w:t xml:space="preserve"> </w:t>
      </w:r>
      <w:r>
        <w:rPr>
          <w:sz w:val="24"/>
          <w:szCs w:val="24"/>
        </w:rPr>
        <w:t xml:space="preserve">would provide </w:t>
      </w:r>
      <w:r w:rsidRPr="002853F9">
        <w:rPr>
          <w:sz w:val="24"/>
          <w:szCs w:val="24"/>
        </w:rPr>
        <w:t>community-and system-centred approaches to therapy, survey students o</w:t>
      </w:r>
      <w:r>
        <w:rPr>
          <w:sz w:val="24"/>
          <w:szCs w:val="24"/>
        </w:rPr>
        <w:t>n their needs</w:t>
      </w:r>
      <w:r w:rsidRPr="002853F9">
        <w:rPr>
          <w:sz w:val="24"/>
          <w:szCs w:val="24"/>
        </w:rPr>
        <w:t xml:space="preserve">, and </w:t>
      </w:r>
      <w:r>
        <w:rPr>
          <w:sz w:val="24"/>
          <w:szCs w:val="24"/>
        </w:rPr>
        <w:t>train all operational and teaching staff</w:t>
      </w:r>
      <w:r w:rsidRPr="002853F9">
        <w:rPr>
          <w:sz w:val="24"/>
          <w:szCs w:val="24"/>
        </w:rPr>
        <w:t xml:space="preserve"> </w:t>
      </w:r>
      <w:r>
        <w:rPr>
          <w:sz w:val="24"/>
          <w:szCs w:val="24"/>
        </w:rPr>
        <w:t xml:space="preserve">in </w:t>
      </w:r>
      <w:r w:rsidRPr="002853F9">
        <w:rPr>
          <w:sz w:val="24"/>
          <w:szCs w:val="24"/>
        </w:rPr>
        <w:t>mental health crisis</w:t>
      </w:r>
      <w:r>
        <w:rPr>
          <w:sz w:val="24"/>
          <w:szCs w:val="24"/>
        </w:rPr>
        <w:t xml:space="preserve"> interventions (</w:t>
      </w:r>
      <w:r w:rsidR="00AB1ADC">
        <w:rPr>
          <w:sz w:val="24"/>
          <w:szCs w:val="24"/>
        </w:rPr>
        <w:t>ibid.</w:t>
      </w:r>
      <w:r>
        <w:rPr>
          <w:sz w:val="24"/>
          <w:szCs w:val="24"/>
        </w:rPr>
        <w:t>). Strikingly, suggestions as to how faculty leaders might support staff to implement this approach were noticeable by their absence.</w:t>
      </w:r>
    </w:p>
    <w:p w14:paraId="0D13C43F" w14:textId="751EC79C" w:rsidR="002E2ABD" w:rsidRDefault="00831EB2" w:rsidP="00926176">
      <w:pPr>
        <w:spacing w:line="360" w:lineRule="auto"/>
        <w:rPr>
          <w:sz w:val="24"/>
          <w:szCs w:val="24"/>
        </w:rPr>
      </w:pPr>
      <w:r>
        <w:rPr>
          <w:sz w:val="24"/>
          <w:szCs w:val="24"/>
        </w:rPr>
        <w:t xml:space="preserve">Although not yet a legal requirement, </w:t>
      </w:r>
      <w:r w:rsidR="002E2ABD" w:rsidRPr="00C573C5">
        <w:rPr>
          <w:sz w:val="24"/>
          <w:szCs w:val="24"/>
        </w:rPr>
        <w:t>universit</w:t>
      </w:r>
      <w:r>
        <w:rPr>
          <w:sz w:val="24"/>
          <w:szCs w:val="24"/>
        </w:rPr>
        <w:t>ies</w:t>
      </w:r>
      <w:r w:rsidR="002E2ABD" w:rsidRPr="00C573C5">
        <w:rPr>
          <w:sz w:val="24"/>
          <w:szCs w:val="24"/>
        </w:rPr>
        <w:t xml:space="preserve"> ha</w:t>
      </w:r>
      <w:r>
        <w:rPr>
          <w:sz w:val="24"/>
          <w:szCs w:val="24"/>
        </w:rPr>
        <w:t>ve</w:t>
      </w:r>
      <w:r w:rsidR="002E2ABD" w:rsidRPr="00C573C5">
        <w:rPr>
          <w:sz w:val="24"/>
          <w:szCs w:val="24"/>
        </w:rPr>
        <w:t xml:space="preserve"> a </w:t>
      </w:r>
      <w:r w:rsidR="002E2ABD">
        <w:rPr>
          <w:sz w:val="24"/>
          <w:szCs w:val="24"/>
        </w:rPr>
        <w:t xml:space="preserve">role to play in </w:t>
      </w:r>
      <w:r w:rsidR="002E2ABD" w:rsidRPr="00C573C5">
        <w:rPr>
          <w:sz w:val="24"/>
          <w:szCs w:val="24"/>
        </w:rPr>
        <w:t xml:space="preserve">the </w:t>
      </w:r>
      <w:r w:rsidR="002E2ABD">
        <w:rPr>
          <w:sz w:val="24"/>
          <w:szCs w:val="24"/>
        </w:rPr>
        <w:t>well-being</w:t>
      </w:r>
      <w:r w:rsidR="002E2ABD" w:rsidRPr="00C573C5">
        <w:rPr>
          <w:sz w:val="24"/>
          <w:szCs w:val="24"/>
        </w:rPr>
        <w:t xml:space="preserve"> and flourishing of their students, which includes their social and emotional welfare, and support for their academic ventures. This need has increased in recent decades with </w:t>
      </w:r>
      <w:r w:rsidR="002E2ABD">
        <w:rPr>
          <w:sz w:val="24"/>
          <w:szCs w:val="24"/>
        </w:rPr>
        <w:t xml:space="preserve">the advent of </w:t>
      </w:r>
      <w:r w:rsidR="002E2ABD" w:rsidRPr="00F4778B">
        <w:rPr>
          <w:i/>
          <w:iCs/>
          <w:sz w:val="24"/>
          <w:szCs w:val="24"/>
        </w:rPr>
        <w:t>The Student Mental Health Charter</w:t>
      </w:r>
      <w:r w:rsidR="002E2ABD">
        <w:rPr>
          <w:sz w:val="24"/>
          <w:szCs w:val="24"/>
        </w:rPr>
        <w:t xml:space="preserve"> (Hughes and Spanner, 2019) and </w:t>
      </w:r>
      <w:r w:rsidR="002E2ABD" w:rsidRPr="00C573C5">
        <w:rPr>
          <w:sz w:val="24"/>
          <w:szCs w:val="24"/>
        </w:rPr>
        <w:t xml:space="preserve">the rising tide of psychological vulnerability </w:t>
      </w:r>
      <w:r w:rsidR="002E2ABD">
        <w:rPr>
          <w:sz w:val="24"/>
          <w:szCs w:val="24"/>
        </w:rPr>
        <w:t>in</w:t>
      </w:r>
      <w:r w:rsidR="002E2ABD" w:rsidRPr="00C573C5">
        <w:rPr>
          <w:sz w:val="24"/>
          <w:szCs w:val="24"/>
        </w:rPr>
        <w:t xml:space="preserve"> student</w:t>
      </w:r>
      <w:r w:rsidR="002E2ABD">
        <w:rPr>
          <w:sz w:val="24"/>
          <w:szCs w:val="24"/>
        </w:rPr>
        <w:t>s.</w:t>
      </w:r>
      <w:r w:rsidR="002E2ABD" w:rsidRPr="00C573C5">
        <w:rPr>
          <w:sz w:val="24"/>
          <w:szCs w:val="24"/>
        </w:rPr>
        <w:t xml:space="preserve"> I shall now </w:t>
      </w:r>
      <w:r w:rsidR="002E2ABD">
        <w:rPr>
          <w:sz w:val="24"/>
          <w:szCs w:val="24"/>
        </w:rPr>
        <w:t>explore</w:t>
      </w:r>
      <w:r w:rsidR="002E2ABD" w:rsidRPr="00C573C5">
        <w:rPr>
          <w:sz w:val="24"/>
          <w:szCs w:val="24"/>
        </w:rPr>
        <w:t xml:space="preserve"> </w:t>
      </w:r>
      <w:r w:rsidR="002E2ABD">
        <w:rPr>
          <w:sz w:val="24"/>
          <w:szCs w:val="24"/>
        </w:rPr>
        <w:t>expectations and responsibilities these matters place on the HE teacher.</w:t>
      </w:r>
    </w:p>
    <w:p w14:paraId="1F6340F5" w14:textId="77777777" w:rsidR="002B5A6E" w:rsidRDefault="002B5A6E" w:rsidP="00A42D87">
      <w:pPr>
        <w:rPr>
          <w:b/>
          <w:bCs/>
          <w:sz w:val="24"/>
          <w:szCs w:val="24"/>
        </w:rPr>
      </w:pPr>
    </w:p>
    <w:p w14:paraId="4A5C54FE" w14:textId="6B11A7E7" w:rsidR="002E2ABD" w:rsidRPr="00D83659" w:rsidRDefault="002E2ABD" w:rsidP="00A42D87">
      <w:pPr>
        <w:rPr>
          <w:b/>
          <w:bCs/>
          <w:sz w:val="24"/>
          <w:szCs w:val="24"/>
        </w:rPr>
      </w:pPr>
      <w:r>
        <w:rPr>
          <w:b/>
          <w:bCs/>
          <w:sz w:val="24"/>
          <w:szCs w:val="24"/>
        </w:rPr>
        <w:lastRenderedPageBreak/>
        <w:t>Pastoral Responsibility</w:t>
      </w:r>
    </w:p>
    <w:p w14:paraId="53355F47" w14:textId="46EDC459" w:rsidR="002E2ABD" w:rsidRPr="005C7289" w:rsidRDefault="002E2ABD" w:rsidP="00A12268">
      <w:pPr>
        <w:spacing w:line="360" w:lineRule="auto"/>
        <w:rPr>
          <w:sz w:val="24"/>
          <w:szCs w:val="24"/>
        </w:rPr>
      </w:pPr>
      <w:r w:rsidRPr="00C21DDF">
        <w:rPr>
          <w:sz w:val="24"/>
          <w:szCs w:val="24"/>
        </w:rPr>
        <w:t>Student mental health and well-being are</w:t>
      </w:r>
      <w:r>
        <w:rPr>
          <w:sz w:val="24"/>
          <w:szCs w:val="24"/>
        </w:rPr>
        <w:t xml:space="preserve"> </w:t>
      </w:r>
      <w:r w:rsidRPr="00C21DDF">
        <w:rPr>
          <w:sz w:val="24"/>
          <w:szCs w:val="24"/>
        </w:rPr>
        <w:t xml:space="preserve">conditions for learning and achievement (Seligman, 2012), and educators are being called upon to improve </w:t>
      </w:r>
      <w:r>
        <w:rPr>
          <w:sz w:val="24"/>
          <w:szCs w:val="24"/>
        </w:rPr>
        <w:t xml:space="preserve">and support </w:t>
      </w:r>
      <w:r w:rsidRPr="00C21DDF">
        <w:rPr>
          <w:sz w:val="24"/>
          <w:szCs w:val="24"/>
        </w:rPr>
        <w:t>student mental health (</w:t>
      </w:r>
      <w:r>
        <w:rPr>
          <w:sz w:val="24"/>
          <w:szCs w:val="24"/>
        </w:rPr>
        <w:t xml:space="preserve">Douwes, </w:t>
      </w:r>
      <w:r w:rsidR="00FB3A6E" w:rsidRPr="00FB3A6E">
        <w:rPr>
          <w:i/>
          <w:sz w:val="24"/>
          <w:szCs w:val="24"/>
        </w:rPr>
        <w:t>et al.</w:t>
      </w:r>
      <w:r>
        <w:rPr>
          <w:sz w:val="24"/>
          <w:szCs w:val="24"/>
        </w:rPr>
        <w:t>, 2023; Hughes and Spanner, 2019</w:t>
      </w:r>
      <w:r w:rsidRPr="00C21DDF">
        <w:rPr>
          <w:sz w:val="24"/>
          <w:szCs w:val="24"/>
        </w:rPr>
        <w:t xml:space="preserve">). A case study exploring staff and students’ perspectives of support </w:t>
      </w:r>
      <w:r>
        <w:rPr>
          <w:sz w:val="24"/>
          <w:szCs w:val="24"/>
        </w:rPr>
        <w:t xml:space="preserve">provided by staff </w:t>
      </w:r>
      <w:r w:rsidRPr="00C21DDF">
        <w:rPr>
          <w:sz w:val="24"/>
          <w:szCs w:val="24"/>
        </w:rPr>
        <w:t xml:space="preserve">in a university </w:t>
      </w:r>
      <w:r>
        <w:rPr>
          <w:sz w:val="24"/>
          <w:szCs w:val="24"/>
        </w:rPr>
        <w:t xml:space="preserve">(Payne, 2022) </w:t>
      </w:r>
      <w:r w:rsidRPr="00C21DDF">
        <w:rPr>
          <w:sz w:val="24"/>
          <w:szCs w:val="24"/>
        </w:rPr>
        <w:t>found that students in distress often turn to academic staff they can relate to</w:t>
      </w:r>
      <w:r>
        <w:rPr>
          <w:sz w:val="24"/>
          <w:szCs w:val="24"/>
        </w:rPr>
        <w:t>.</w:t>
      </w:r>
      <w:r w:rsidRPr="00C21DDF">
        <w:rPr>
          <w:sz w:val="24"/>
          <w:szCs w:val="24"/>
        </w:rPr>
        <w:t xml:space="preserve"> </w:t>
      </w:r>
      <w:r>
        <w:rPr>
          <w:sz w:val="24"/>
          <w:szCs w:val="24"/>
        </w:rPr>
        <w:t>H</w:t>
      </w:r>
      <w:r w:rsidRPr="00C21DDF">
        <w:rPr>
          <w:sz w:val="24"/>
          <w:szCs w:val="24"/>
        </w:rPr>
        <w:t xml:space="preserve">owever, staff were </w:t>
      </w:r>
      <w:r>
        <w:rPr>
          <w:sz w:val="24"/>
          <w:szCs w:val="24"/>
        </w:rPr>
        <w:t xml:space="preserve">often </w:t>
      </w:r>
      <w:r w:rsidRPr="00C21DDF">
        <w:rPr>
          <w:sz w:val="24"/>
          <w:szCs w:val="24"/>
        </w:rPr>
        <w:t xml:space="preserve">ill-equipped to offer effective help due to weak mental health literacy, lack of training, confusion of role boundaries, lack of signposting information and/or their own mental health needs. </w:t>
      </w:r>
      <w:r>
        <w:rPr>
          <w:sz w:val="24"/>
          <w:szCs w:val="24"/>
        </w:rPr>
        <w:t>R</w:t>
      </w:r>
      <w:r w:rsidRPr="00C21DDF">
        <w:rPr>
          <w:sz w:val="24"/>
          <w:szCs w:val="24"/>
        </w:rPr>
        <w:t>esults indicated that staff required training in mental health literac</w:t>
      </w:r>
      <w:r>
        <w:rPr>
          <w:sz w:val="24"/>
          <w:szCs w:val="24"/>
        </w:rPr>
        <w:t xml:space="preserve">y and preferred </w:t>
      </w:r>
      <w:r w:rsidRPr="00C21DDF">
        <w:rPr>
          <w:sz w:val="24"/>
          <w:szCs w:val="24"/>
        </w:rPr>
        <w:t xml:space="preserve">mental health supportive practice </w:t>
      </w:r>
      <w:r>
        <w:rPr>
          <w:sz w:val="24"/>
          <w:szCs w:val="24"/>
        </w:rPr>
        <w:t xml:space="preserve">to be </w:t>
      </w:r>
      <w:r w:rsidRPr="00C21DDF">
        <w:rPr>
          <w:sz w:val="24"/>
          <w:szCs w:val="24"/>
        </w:rPr>
        <w:t xml:space="preserve">embedded into the curriculum </w:t>
      </w:r>
      <w:r>
        <w:rPr>
          <w:sz w:val="24"/>
          <w:szCs w:val="24"/>
        </w:rPr>
        <w:t xml:space="preserve">rather than an </w:t>
      </w:r>
      <w:r w:rsidRPr="00C21DDF">
        <w:rPr>
          <w:sz w:val="24"/>
          <w:szCs w:val="24"/>
        </w:rPr>
        <w:t xml:space="preserve">add-on service. </w:t>
      </w:r>
      <w:r w:rsidRPr="009324A8">
        <w:rPr>
          <w:sz w:val="24"/>
          <w:szCs w:val="24"/>
        </w:rPr>
        <w:t>A small-scale case study with 17 staff participants and 7 student participants, the researcher freely identified that the sensitivity of the topic</w:t>
      </w:r>
      <w:r w:rsidR="004F4F88">
        <w:rPr>
          <w:sz w:val="24"/>
          <w:szCs w:val="24"/>
        </w:rPr>
        <w:t xml:space="preserve"> </w:t>
      </w:r>
      <w:r w:rsidRPr="009324A8">
        <w:rPr>
          <w:sz w:val="24"/>
          <w:szCs w:val="24"/>
        </w:rPr>
        <w:t xml:space="preserve">and its exploratory nature may </w:t>
      </w:r>
      <w:r>
        <w:rPr>
          <w:sz w:val="24"/>
          <w:szCs w:val="24"/>
        </w:rPr>
        <w:t xml:space="preserve">have </w:t>
      </w:r>
      <w:r w:rsidRPr="009324A8">
        <w:rPr>
          <w:sz w:val="24"/>
          <w:szCs w:val="24"/>
        </w:rPr>
        <w:t>account</w:t>
      </w:r>
      <w:r>
        <w:rPr>
          <w:sz w:val="24"/>
          <w:szCs w:val="24"/>
        </w:rPr>
        <w:t>ed</w:t>
      </w:r>
      <w:r w:rsidRPr="009324A8">
        <w:rPr>
          <w:sz w:val="24"/>
          <w:szCs w:val="24"/>
        </w:rPr>
        <w:t xml:space="preserve"> for </w:t>
      </w:r>
      <w:r>
        <w:rPr>
          <w:sz w:val="24"/>
          <w:szCs w:val="24"/>
        </w:rPr>
        <w:t xml:space="preserve">a </w:t>
      </w:r>
      <w:r w:rsidRPr="009324A8">
        <w:rPr>
          <w:sz w:val="24"/>
          <w:szCs w:val="24"/>
        </w:rPr>
        <w:t>low response rate (</w:t>
      </w:r>
      <w:r w:rsidR="00AB1ADC">
        <w:rPr>
          <w:sz w:val="24"/>
          <w:szCs w:val="24"/>
        </w:rPr>
        <w:t>ibid.</w:t>
      </w:r>
      <w:r w:rsidRPr="009324A8">
        <w:rPr>
          <w:sz w:val="24"/>
          <w:szCs w:val="24"/>
        </w:rPr>
        <w:t xml:space="preserve">). </w:t>
      </w:r>
      <w:r>
        <w:rPr>
          <w:sz w:val="24"/>
          <w:szCs w:val="24"/>
        </w:rPr>
        <w:t xml:space="preserve">In a similar study by Whyte </w:t>
      </w:r>
      <w:r w:rsidR="00FB3A6E" w:rsidRPr="00FB3A6E">
        <w:rPr>
          <w:i/>
          <w:sz w:val="24"/>
          <w:szCs w:val="24"/>
        </w:rPr>
        <w:t>et al.</w:t>
      </w:r>
      <w:r>
        <w:rPr>
          <w:sz w:val="24"/>
          <w:szCs w:val="24"/>
        </w:rPr>
        <w:t xml:space="preserve"> (2024) academics reported lacking confidence in dealing with student mental health concerns, ambiguous expectations of the pastoral role and weak support by employers. </w:t>
      </w:r>
      <w:r w:rsidRPr="00ED3E8B">
        <w:rPr>
          <w:sz w:val="24"/>
          <w:szCs w:val="24"/>
        </w:rPr>
        <w:t xml:space="preserve">If academic staff are not prepared for a </w:t>
      </w:r>
      <w:r w:rsidR="00E754FC">
        <w:rPr>
          <w:sz w:val="24"/>
          <w:szCs w:val="24"/>
        </w:rPr>
        <w:t>pastoral</w:t>
      </w:r>
      <w:r w:rsidR="007F296B">
        <w:rPr>
          <w:sz w:val="24"/>
          <w:szCs w:val="24"/>
        </w:rPr>
        <w:t xml:space="preserve"> role</w:t>
      </w:r>
      <w:r w:rsidRPr="00ED3E8B">
        <w:rPr>
          <w:sz w:val="24"/>
          <w:szCs w:val="24"/>
        </w:rPr>
        <w:t xml:space="preserve">, </w:t>
      </w:r>
      <w:r>
        <w:rPr>
          <w:sz w:val="24"/>
          <w:szCs w:val="24"/>
        </w:rPr>
        <w:t>the support they can provide may be limited.</w:t>
      </w:r>
      <w:r w:rsidRPr="00ED3E8B">
        <w:rPr>
          <w:sz w:val="24"/>
          <w:szCs w:val="24"/>
        </w:rPr>
        <w:t xml:space="preserve"> </w:t>
      </w:r>
    </w:p>
    <w:p w14:paraId="4194F9D0" w14:textId="4A6091C0" w:rsidR="002E2ABD" w:rsidRDefault="002E2ABD" w:rsidP="00A12268">
      <w:pPr>
        <w:spacing w:line="360" w:lineRule="auto"/>
        <w:rPr>
          <w:sz w:val="24"/>
          <w:szCs w:val="24"/>
        </w:rPr>
      </w:pPr>
      <w:r>
        <w:rPr>
          <w:sz w:val="24"/>
          <w:szCs w:val="24"/>
        </w:rPr>
        <w:t xml:space="preserve">Pastoral and academic support are interlinked. </w:t>
      </w:r>
      <w:r w:rsidRPr="008E3392">
        <w:rPr>
          <w:sz w:val="24"/>
          <w:szCs w:val="24"/>
        </w:rPr>
        <w:t xml:space="preserve">Academic support is an important factor in </w:t>
      </w:r>
      <w:r>
        <w:rPr>
          <w:sz w:val="24"/>
          <w:szCs w:val="24"/>
        </w:rPr>
        <w:t xml:space="preserve">the student’s </w:t>
      </w:r>
      <w:r w:rsidRPr="008E3392">
        <w:rPr>
          <w:sz w:val="24"/>
          <w:szCs w:val="24"/>
        </w:rPr>
        <w:t>psychological well-being (</w:t>
      </w:r>
      <w:r w:rsidRPr="00E062B2">
        <w:rPr>
          <w:sz w:val="24"/>
          <w:szCs w:val="24"/>
        </w:rPr>
        <w:t xml:space="preserve">Hagenauer and Volet, 2014; </w:t>
      </w:r>
      <w:r w:rsidRPr="008E3392">
        <w:rPr>
          <w:sz w:val="24"/>
          <w:szCs w:val="24"/>
        </w:rPr>
        <w:t>McKenzie and Schweitzer 2001;</w:t>
      </w:r>
      <w:r>
        <w:rPr>
          <w:sz w:val="24"/>
          <w:szCs w:val="24"/>
        </w:rPr>
        <w:t xml:space="preserve"> </w:t>
      </w:r>
      <w:r w:rsidR="004F4F88" w:rsidRPr="004F4F88">
        <w:rPr>
          <w:sz w:val="24"/>
          <w:szCs w:val="24"/>
        </w:rPr>
        <w:t>Wibrowkski</w:t>
      </w:r>
      <w:r w:rsidR="004F4F88" w:rsidRPr="004F4F88">
        <w:rPr>
          <w:i/>
          <w:iCs/>
          <w:sz w:val="24"/>
          <w:szCs w:val="24"/>
        </w:rPr>
        <w:t xml:space="preserve">, </w:t>
      </w:r>
      <w:r w:rsidR="004F4F88" w:rsidRPr="004F4F88">
        <w:rPr>
          <w:i/>
          <w:sz w:val="24"/>
          <w:szCs w:val="24"/>
        </w:rPr>
        <w:t>et al.</w:t>
      </w:r>
      <w:r w:rsidR="004F4F88" w:rsidRPr="004F4F88">
        <w:rPr>
          <w:sz w:val="24"/>
          <w:szCs w:val="24"/>
        </w:rPr>
        <w:t>, 2017</w:t>
      </w:r>
      <w:r w:rsidR="004F4F88">
        <w:rPr>
          <w:sz w:val="24"/>
          <w:szCs w:val="24"/>
        </w:rPr>
        <w:t xml:space="preserve">; </w:t>
      </w:r>
      <w:r w:rsidRPr="00625829">
        <w:rPr>
          <w:sz w:val="24"/>
          <w:szCs w:val="24"/>
        </w:rPr>
        <w:t>W</w:t>
      </w:r>
      <w:r w:rsidR="00C67020">
        <w:rPr>
          <w:sz w:val="24"/>
          <w:szCs w:val="24"/>
        </w:rPr>
        <w:t xml:space="preserve">orld </w:t>
      </w:r>
      <w:r w:rsidRPr="00625829">
        <w:rPr>
          <w:sz w:val="24"/>
          <w:szCs w:val="24"/>
        </w:rPr>
        <w:t>H</w:t>
      </w:r>
      <w:r w:rsidR="00C67020">
        <w:rPr>
          <w:sz w:val="24"/>
          <w:szCs w:val="24"/>
        </w:rPr>
        <w:t xml:space="preserve">ealth </w:t>
      </w:r>
      <w:r w:rsidRPr="00625829">
        <w:rPr>
          <w:sz w:val="24"/>
          <w:szCs w:val="24"/>
        </w:rPr>
        <w:t>O</w:t>
      </w:r>
      <w:r w:rsidR="00C67020">
        <w:rPr>
          <w:sz w:val="24"/>
          <w:szCs w:val="24"/>
        </w:rPr>
        <w:t>rganisation</w:t>
      </w:r>
      <w:r w:rsidRPr="00625829">
        <w:rPr>
          <w:sz w:val="24"/>
          <w:szCs w:val="24"/>
        </w:rPr>
        <w:t>, 2022</w:t>
      </w:r>
      <w:r w:rsidRPr="008E3392">
        <w:rPr>
          <w:sz w:val="24"/>
          <w:szCs w:val="24"/>
        </w:rPr>
        <w:t>)</w:t>
      </w:r>
      <w:r>
        <w:rPr>
          <w:sz w:val="24"/>
          <w:szCs w:val="24"/>
        </w:rPr>
        <w:t>. Teachers are an important source of support for students and satisfaction</w:t>
      </w:r>
      <w:r w:rsidRPr="00FC4444">
        <w:rPr>
          <w:sz w:val="24"/>
          <w:szCs w:val="24"/>
        </w:rPr>
        <w:t xml:space="preserve"> with the student-academic relationship is related to </w:t>
      </w:r>
      <w:r>
        <w:rPr>
          <w:sz w:val="24"/>
          <w:szCs w:val="24"/>
        </w:rPr>
        <w:t xml:space="preserve">study progress (Hagenauer and Volet, 2014), </w:t>
      </w:r>
      <w:r w:rsidRPr="00FC4444">
        <w:rPr>
          <w:sz w:val="24"/>
          <w:szCs w:val="24"/>
        </w:rPr>
        <w:t>academic performance, life satisfaction and dispositional traits (Krumrei-Ma</w:t>
      </w:r>
      <w:r>
        <w:rPr>
          <w:sz w:val="24"/>
          <w:szCs w:val="24"/>
        </w:rPr>
        <w:t>n</w:t>
      </w:r>
      <w:r w:rsidRPr="00FC4444">
        <w:rPr>
          <w:sz w:val="24"/>
          <w:szCs w:val="24"/>
        </w:rPr>
        <w:t xml:space="preserve">cuso </w:t>
      </w:r>
      <w:r w:rsidR="00FB3A6E" w:rsidRPr="00FB3A6E">
        <w:rPr>
          <w:i/>
          <w:sz w:val="24"/>
          <w:szCs w:val="24"/>
        </w:rPr>
        <w:t>et al.</w:t>
      </w:r>
      <w:r w:rsidRPr="00FB528B">
        <w:rPr>
          <w:sz w:val="24"/>
          <w:szCs w:val="24"/>
        </w:rPr>
        <w:t>,</w:t>
      </w:r>
      <w:r w:rsidRPr="00FC4444">
        <w:rPr>
          <w:i/>
          <w:iCs/>
          <w:sz w:val="24"/>
          <w:szCs w:val="24"/>
        </w:rPr>
        <w:t xml:space="preserve"> </w:t>
      </w:r>
      <w:r w:rsidRPr="00FC4444">
        <w:rPr>
          <w:sz w:val="24"/>
          <w:szCs w:val="24"/>
        </w:rPr>
        <w:t>2013</w:t>
      </w:r>
      <w:r>
        <w:rPr>
          <w:sz w:val="24"/>
          <w:szCs w:val="24"/>
        </w:rPr>
        <w:t>;</w:t>
      </w:r>
      <w:r w:rsidRPr="00B13213">
        <w:rPr>
          <w:sz w:val="24"/>
          <w:szCs w:val="24"/>
        </w:rPr>
        <w:t xml:space="preserve"> Retna, </w:t>
      </w:r>
      <w:r w:rsidR="00FB3A6E" w:rsidRPr="00FB3A6E">
        <w:rPr>
          <w:i/>
          <w:sz w:val="24"/>
          <w:szCs w:val="24"/>
        </w:rPr>
        <w:t>et al.</w:t>
      </w:r>
      <w:r w:rsidRPr="00B13213">
        <w:rPr>
          <w:sz w:val="24"/>
          <w:szCs w:val="24"/>
        </w:rPr>
        <w:t>, 2009</w:t>
      </w:r>
      <w:r w:rsidRPr="00FC4444">
        <w:rPr>
          <w:sz w:val="24"/>
          <w:szCs w:val="24"/>
        </w:rPr>
        <w:t xml:space="preserve">). </w:t>
      </w:r>
      <w:r>
        <w:rPr>
          <w:sz w:val="24"/>
          <w:szCs w:val="24"/>
        </w:rPr>
        <w:t>S</w:t>
      </w:r>
      <w:r w:rsidRPr="00FC4444">
        <w:rPr>
          <w:sz w:val="24"/>
          <w:szCs w:val="24"/>
        </w:rPr>
        <w:t>tudents report</w:t>
      </w:r>
      <w:r>
        <w:rPr>
          <w:sz w:val="24"/>
          <w:szCs w:val="24"/>
        </w:rPr>
        <w:t>ed</w:t>
      </w:r>
      <w:r w:rsidRPr="00FC4444">
        <w:rPr>
          <w:sz w:val="24"/>
          <w:szCs w:val="24"/>
        </w:rPr>
        <w:t xml:space="preserve"> greater satisfaction when they experience</w:t>
      </w:r>
      <w:r>
        <w:rPr>
          <w:sz w:val="24"/>
          <w:szCs w:val="24"/>
        </w:rPr>
        <w:t>d</w:t>
      </w:r>
      <w:r w:rsidRPr="00FC4444">
        <w:rPr>
          <w:sz w:val="24"/>
          <w:szCs w:val="24"/>
        </w:rPr>
        <w:t xml:space="preserve"> academics </w:t>
      </w:r>
      <w:r>
        <w:rPr>
          <w:sz w:val="24"/>
          <w:szCs w:val="24"/>
        </w:rPr>
        <w:t xml:space="preserve">to be </w:t>
      </w:r>
      <w:r w:rsidRPr="00FC4444">
        <w:rPr>
          <w:sz w:val="24"/>
          <w:szCs w:val="24"/>
        </w:rPr>
        <w:t>conscientious, open, approachable and stable (Furnham and Chamorro-Premuzic, 2005)</w:t>
      </w:r>
      <w:r>
        <w:rPr>
          <w:sz w:val="24"/>
          <w:szCs w:val="24"/>
        </w:rPr>
        <w:t>. I</w:t>
      </w:r>
      <w:r w:rsidRPr="00FC4444">
        <w:rPr>
          <w:sz w:val="24"/>
          <w:szCs w:val="24"/>
        </w:rPr>
        <w:t xml:space="preserve">n a </w:t>
      </w:r>
      <w:r>
        <w:rPr>
          <w:sz w:val="24"/>
          <w:szCs w:val="24"/>
        </w:rPr>
        <w:t xml:space="preserve">recent UK </w:t>
      </w:r>
      <w:r w:rsidRPr="00FC4444">
        <w:rPr>
          <w:sz w:val="24"/>
          <w:szCs w:val="24"/>
        </w:rPr>
        <w:t>student academic experience survey (Neves and Hillman, 2019)</w:t>
      </w:r>
      <w:r>
        <w:rPr>
          <w:sz w:val="24"/>
          <w:szCs w:val="24"/>
        </w:rPr>
        <w:t xml:space="preserve"> </w:t>
      </w:r>
      <w:r w:rsidRPr="00F36BE2">
        <w:rPr>
          <w:sz w:val="24"/>
          <w:szCs w:val="24"/>
        </w:rPr>
        <w:t>14,000 full time undergraduate students were surveyed on their experience of teaching quality, their well-being and how prepared they felt for university</w:t>
      </w:r>
      <w:r>
        <w:rPr>
          <w:sz w:val="24"/>
          <w:szCs w:val="24"/>
        </w:rPr>
        <w:t>. O</w:t>
      </w:r>
      <w:r w:rsidRPr="00FC4444">
        <w:rPr>
          <w:sz w:val="24"/>
          <w:szCs w:val="24"/>
        </w:rPr>
        <w:t xml:space="preserve">nly 37% of students reported being able to </w:t>
      </w:r>
      <w:r>
        <w:rPr>
          <w:sz w:val="24"/>
          <w:szCs w:val="24"/>
        </w:rPr>
        <w:t xml:space="preserve">engage </w:t>
      </w:r>
      <w:r w:rsidRPr="00FC4444">
        <w:rPr>
          <w:sz w:val="24"/>
          <w:szCs w:val="24"/>
        </w:rPr>
        <w:t>with academic staff</w:t>
      </w:r>
      <w:r>
        <w:rPr>
          <w:sz w:val="24"/>
          <w:szCs w:val="24"/>
        </w:rPr>
        <w:t xml:space="preserve">, and </w:t>
      </w:r>
      <w:r>
        <w:rPr>
          <w:rFonts w:ascii="Calibri" w:hAnsi="Calibri" w:cs="Calibri"/>
          <w:color w:val="000000"/>
          <w:sz w:val="24"/>
        </w:rPr>
        <w:t xml:space="preserve">those </w:t>
      </w:r>
      <w:r w:rsidRPr="00D3229F">
        <w:rPr>
          <w:rFonts w:ascii="Calibri" w:hAnsi="Calibri" w:cs="Calibri"/>
          <w:color w:val="000000"/>
          <w:sz w:val="24"/>
        </w:rPr>
        <w:t xml:space="preserve">who </w:t>
      </w:r>
      <w:r>
        <w:rPr>
          <w:rFonts w:ascii="Calibri" w:hAnsi="Calibri" w:cs="Calibri"/>
          <w:color w:val="000000"/>
          <w:sz w:val="24"/>
        </w:rPr>
        <w:t xml:space="preserve">felt unsupported </w:t>
      </w:r>
      <w:r w:rsidRPr="00D3229F">
        <w:rPr>
          <w:rFonts w:ascii="Calibri" w:hAnsi="Calibri" w:cs="Calibri"/>
          <w:color w:val="000000"/>
          <w:sz w:val="24"/>
        </w:rPr>
        <w:t>academic</w:t>
      </w:r>
      <w:r>
        <w:rPr>
          <w:rFonts w:ascii="Calibri" w:hAnsi="Calibri" w:cs="Calibri"/>
          <w:color w:val="000000"/>
          <w:sz w:val="24"/>
        </w:rPr>
        <w:t>ally</w:t>
      </w:r>
      <w:r w:rsidRPr="00D3229F">
        <w:rPr>
          <w:rFonts w:ascii="Calibri" w:hAnsi="Calibri" w:cs="Calibri"/>
          <w:color w:val="000000"/>
          <w:sz w:val="24"/>
        </w:rPr>
        <w:t xml:space="preserve"> experienced higher levels of anxiety when facing course challenges.</w:t>
      </w:r>
      <w:r>
        <w:rPr>
          <w:rFonts w:ascii="Calibri" w:hAnsi="Calibri" w:cs="Calibri"/>
          <w:color w:val="000000"/>
          <w:sz w:val="24"/>
        </w:rPr>
        <w:t xml:space="preserve"> </w:t>
      </w:r>
      <w:r>
        <w:rPr>
          <w:sz w:val="24"/>
          <w:szCs w:val="24"/>
        </w:rPr>
        <w:t xml:space="preserve"> In short, these students were struggling. </w:t>
      </w:r>
    </w:p>
    <w:p w14:paraId="0B40844C" w14:textId="274133FC" w:rsidR="002E2ABD" w:rsidRDefault="002E2ABD" w:rsidP="00A12268">
      <w:pPr>
        <w:spacing w:line="360" w:lineRule="auto"/>
        <w:rPr>
          <w:sz w:val="24"/>
          <w:szCs w:val="24"/>
        </w:rPr>
      </w:pPr>
      <w:r>
        <w:rPr>
          <w:sz w:val="24"/>
          <w:szCs w:val="24"/>
        </w:rPr>
        <w:lastRenderedPageBreak/>
        <w:t>As an immediate interface in the teaching environment the teacher is perhaps best placed to notice and appraise students’ struggles arising from the learning experience.</w:t>
      </w:r>
      <w:r w:rsidRPr="00FC4444">
        <w:rPr>
          <w:sz w:val="24"/>
          <w:szCs w:val="24"/>
        </w:rPr>
        <w:t xml:space="preserve"> </w:t>
      </w:r>
      <w:r w:rsidRPr="00BF2464">
        <w:rPr>
          <w:sz w:val="24"/>
          <w:szCs w:val="24"/>
        </w:rPr>
        <w:t xml:space="preserve">As reported by participants in a study by Moeller and Chung-Yan (2013), students wanted a realistic appraisal from someone who would listen without judgement and </w:t>
      </w:r>
      <w:r>
        <w:rPr>
          <w:sz w:val="24"/>
          <w:szCs w:val="24"/>
        </w:rPr>
        <w:t xml:space="preserve">emotionally </w:t>
      </w:r>
      <w:r w:rsidRPr="00BF2464">
        <w:rPr>
          <w:sz w:val="24"/>
          <w:szCs w:val="24"/>
        </w:rPr>
        <w:t xml:space="preserve">support </w:t>
      </w:r>
      <w:r>
        <w:rPr>
          <w:sz w:val="24"/>
          <w:szCs w:val="24"/>
        </w:rPr>
        <w:t xml:space="preserve">them </w:t>
      </w:r>
      <w:r w:rsidRPr="00BF2464">
        <w:rPr>
          <w:sz w:val="24"/>
          <w:szCs w:val="24"/>
        </w:rPr>
        <w:t xml:space="preserve">with </w:t>
      </w:r>
      <w:r w:rsidR="0002294E" w:rsidRPr="00BF2464">
        <w:rPr>
          <w:sz w:val="24"/>
          <w:szCs w:val="24"/>
        </w:rPr>
        <w:t>processing</w:t>
      </w:r>
      <w:r w:rsidR="0002294E">
        <w:rPr>
          <w:sz w:val="24"/>
          <w:szCs w:val="24"/>
        </w:rPr>
        <w:t xml:space="preserve"> and</w:t>
      </w:r>
      <w:r w:rsidRPr="00BF2464">
        <w:rPr>
          <w:sz w:val="24"/>
          <w:szCs w:val="24"/>
        </w:rPr>
        <w:t xml:space="preserve"> learning from stressful situations.</w:t>
      </w:r>
      <w:r>
        <w:rPr>
          <w:sz w:val="24"/>
          <w:szCs w:val="24"/>
        </w:rPr>
        <w:t xml:space="preserve"> The teacher’s disposition has therefore an important role to play in the emotional welfare of the student which </w:t>
      </w:r>
      <w:r w:rsidRPr="00514756">
        <w:rPr>
          <w:sz w:val="24"/>
          <w:szCs w:val="24"/>
        </w:rPr>
        <w:t>can be derided or improved by the teacher’s capacity for</w:t>
      </w:r>
      <w:r>
        <w:rPr>
          <w:sz w:val="24"/>
          <w:szCs w:val="24"/>
        </w:rPr>
        <w:t xml:space="preserve"> </w:t>
      </w:r>
      <w:r w:rsidRPr="00514756">
        <w:rPr>
          <w:sz w:val="24"/>
          <w:szCs w:val="24"/>
        </w:rPr>
        <w:t>“attunement” (</w:t>
      </w:r>
      <w:r w:rsidRPr="00D85D81">
        <w:rPr>
          <w:sz w:val="24"/>
          <w:szCs w:val="24"/>
        </w:rPr>
        <w:t>Erskine and Trautman</w:t>
      </w:r>
      <w:r>
        <w:rPr>
          <w:sz w:val="24"/>
          <w:szCs w:val="24"/>
        </w:rPr>
        <w:t xml:space="preserve">, </w:t>
      </w:r>
      <w:r w:rsidRPr="00D85D81">
        <w:rPr>
          <w:sz w:val="24"/>
          <w:szCs w:val="24"/>
        </w:rPr>
        <w:t>199</w:t>
      </w:r>
      <w:r>
        <w:rPr>
          <w:sz w:val="24"/>
          <w:szCs w:val="24"/>
        </w:rPr>
        <w:t>6,</w:t>
      </w:r>
      <w:r w:rsidRPr="00D85D81">
        <w:rPr>
          <w:sz w:val="24"/>
          <w:szCs w:val="24"/>
        </w:rPr>
        <w:t xml:space="preserve"> </w:t>
      </w:r>
      <w:r w:rsidRPr="00514756">
        <w:rPr>
          <w:sz w:val="24"/>
          <w:szCs w:val="24"/>
        </w:rPr>
        <w:t>p.90)</w:t>
      </w:r>
      <w:r>
        <w:rPr>
          <w:sz w:val="24"/>
          <w:szCs w:val="24"/>
        </w:rPr>
        <w:t xml:space="preserve">. Attunement </w:t>
      </w:r>
      <w:r w:rsidRPr="00514756">
        <w:rPr>
          <w:sz w:val="24"/>
          <w:szCs w:val="24"/>
        </w:rPr>
        <w:t xml:space="preserve">involves </w:t>
      </w:r>
      <w:r>
        <w:rPr>
          <w:sz w:val="24"/>
          <w:szCs w:val="24"/>
        </w:rPr>
        <w:t xml:space="preserve">the teacher </w:t>
      </w:r>
      <w:r w:rsidRPr="00514756">
        <w:rPr>
          <w:sz w:val="24"/>
          <w:szCs w:val="24"/>
        </w:rPr>
        <w:t xml:space="preserve">being fully open to the other person’s needs and </w:t>
      </w:r>
      <w:r>
        <w:rPr>
          <w:sz w:val="24"/>
          <w:szCs w:val="24"/>
        </w:rPr>
        <w:t xml:space="preserve">relaying that responsive </w:t>
      </w:r>
      <w:r w:rsidRPr="00514756">
        <w:rPr>
          <w:sz w:val="24"/>
          <w:szCs w:val="24"/>
        </w:rPr>
        <w:t>awareness</w:t>
      </w:r>
      <w:r>
        <w:rPr>
          <w:sz w:val="24"/>
          <w:szCs w:val="24"/>
        </w:rPr>
        <w:t xml:space="preserve"> to the other</w:t>
      </w:r>
      <w:r w:rsidRPr="00514756">
        <w:rPr>
          <w:sz w:val="24"/>
          <w:szCs w:val="24"/>
        </w:rPr>
        <w:t xml:space="preserve"> (Jerak, </w:t>
      </w:r>
      <w:r w:rsidR="00FB3A6E" w:rsidRPr="00FB3A6E">
        <w:rPr>
          <w:i/>
          <w:sz w:val="24"/>
          <w:szCs w:val="24"/>
        </w:rPr>
        <w:t>et al.</w:t>
      </w:r>
      <w:r w:rsidRPr="00E65178">
        <w:rPr>
          <w:sz w:val="24"/>
          <w:szCs w:val="24"/>
        </w:rPr>
        <w:t>,</w:t>
      </w:r>
      <w:r w:rsidRPr="00514756">
        <w:rPr>
          <w:i/>
          <w:iCs/>
          <w:sz w:val="24"/>
          <w:szCs w:val="24"/>
        </w:rPr>
        <w:t xml:space="preserve"> </w:t>
      </w:r>
      <w:r w:rsidRPr="00514756">
        <w:rPr>
          <w:sz w:val="24"/>
          <w:szCs w:val="24"/>
        </w:rPr>
        <w:t xml:space="preserve">2018). </w:t>
      </w:r>
      <w:r>
        <w:rPr>
          <w:sz w:val="24"/>
          <w:szCs w:val="24"/>
        </w:rPr>
        <w:t>S</w:t>
      </w:r>
      <w:r w:rsidRPr="00514756">
        <w:rPr>
          <w:sz w:val="24"/>
          <w:szCs w:val="24"/>
        </w:rPr>
        <w:t xml:space="preserve">uccessful </w:t>
      </w:r>
      <w:r>
        <w:rPr>
          <w:sz w:val="24"/>
          <w:szCs w:val="24"/>
        </w:rPr>
        <w:t xml:space="preserve">attunement </w:t>
      </w:r>
      <w:r w:rsidRPr="00514756">
        <w:rPr>
          <w:sz w:val="24"/>
          <w:szCs w:val="24"/>
        </w:rPr>
        <w:t>lea</w:t>
      </w:r>
      <w:r>
        <w:rPr>
          <w:sz w:val="24"/>
          <w:szCs w:val="24"/>
        </w:rPr>
        <w:t xml:space="preserve">ves </w:t>
      </w:r>
      <w:r w:rsidRPr="00514756">
        <w:rPr>
          <w:sz w:val="24"/>
          <w:szCs w:val="24"/>
        </w:rPr>
        <w:t>individuals feeling safe</w:t>
      </w:r>
      <w:r>
        <w:rPr>
          <w:sz w:val="24"/>
          <w:szCs w:val="24"/>
        </w:rPr>
        <w:t xml:space="preserve">, </w:t>
      </w:r>
      <w:r w:rsidRPr="00514756">
        <w:rPr>
          <w:sz w:val="24"/>
          <w:szCs w:val="24"/>
        </w:rPr>
        <w:t>understood and with a strong ability to connect relationally (Deveraux, 2017)</w:t>
      </w:r>
      <w:r>
        <w:rPr>
          <w:sz w:val="24"/>
          <w:szCs w:val="24"/>
        </w:rPr>
        <w:t xml:space="preserve">. </w:t>
      </w:r>
    </w:p>
    <w:p w14:paraId="1BB20932" w14:textId="4D1D1BDD" w:rsidR="00C10FC2" w:rsidRPr="001C423E" w:rsidRDefault="002E2ABD" w:rsidP="001C423E">
      <w:pPr>
        <w:spacing w:line="360" w:lineRule="auto"/>
        <w:rPr>
          <w:sz w:val="24"/>
          <w:szCs w:val="24"/>
        </w:rPr>
      </w:pPr>
      <w:r>
        <w:rPr>
          <w:sz w:val="24"/>
          <w:szCs w:val="24"/>
        </w:rPr>
        <w:t xml:space="preserve">Attuning to and supporting students with well-being concerns can have emotional and well-being consequences for the teacher </w:t>
      </w:r>
      <w:r w:rsidRPr="00BF0424">
        <w:rPr>
          <w:sz w:val="24"/>
          <w:szCs w:val="24"/>
        </w:rPr>
        <w:t xml:space="preserve">such as compassion fatigue and/ or vicarious traumatisation (Hayden </w:t>
      </w:r>
      <w:r w:rsidR="00FB3A6E" w:rsidRPr="00FB3A6E">
        <w:rPr>
          <w:i/>
          <w:sz w:val="24"/>
          <w:szCs w:val="24"/>
        </w:rPr>
        <w:t>et al.</w:t>
      </w:r>
      <w:r w:rsidRPr="00E65178">
        <w:rPr>
          <w:sz w:val="24"/>
          <w:szCs w:val="24"/>
        </w:rPr>
        <w:t>,</w:t>
      </w:r>
      <w:r w:rsidRPr="00BF0424">
        <w:rPr>
          <w:i/>
          <w:iCs/>
          <w:sz w:val="24"/>
          <w:szCs w:val="24"/>
        </w:rPr>
        <w:t xml:space="preserve"> </w:t>
      </w:r>
      <w:r w:rsidRPr="00BF0424">
        <w:rPr>
          <w:sz w:val="24"/>
          <w:szCs w:val="24"/>
        </w:rPr>
        <w:t>2015)</w:t>
      </w:r>
      <w:r>
        <w:rPr>
          <w:sz w:val="24"/>
          <w:szCs w:val="24"/>
        </w:rPr>
        <w:t xml:space="preserve">. </w:t>
      </w:r>
      <w:r w:rsidRPr="00BF0424">
        <w:rPr>
          <w:sz w:val="24"/>
          <w:szCs w:val="24"/>
        </w:rPr>
        <w:t xml:space="preserve">Evidence </w:t>
      </w:r>
      <w:r>
        <w:rPr>
          <w:sz w:val="24"/>
          <w:szCs w:val="24"/>
        </w:rPr>
        <w:t xml:space="preserve">suggests that </w:t>
      </w:r>
      <w:r w:rsidRPr="00BF0424">
        <w:rPr>
          <w:sz w:val="24"/>
          <w:szCs w:val="24"/>
        </w:rPr>
        <w:t xml:space="preserve">helping students in distress </w:t>
      </w:r>
      <w:r>
        <w:rPr>
          <w:sz w:val="24"/>
          <w:szCs w:val="24"/>
        </w:rPr>
        <w:t xml:space="preserve">and mental health difficulties </w:t>
      </w:r>
      <w:r w:rsidRPr="00BF0424">
        <w:rPr>
          <w:sz w:val="24"/>
          <w:szCs w:val="24"/>
        </w:rPr>
        <w:t>can negatively impact staff well-being</w:t>
      </w:r>
      <w:r>
        <w:rPr>
          <w:sz w:val="24"/>
          <w:szCs w:val="24"/>
        </w:rPr>
        <w:t xml:space="preserve"> </w:t>
      </w:r>
      <w:r w:rsidRPr="00BF0424">
        <w:rPr>
          <w:sz w:val="24"/>
          <w:szCs w:val="24"/>
        </w:rPr>
        <w:t xml:space="preserve">(Hughes </w:t>
      </w:r>
      <w:r w:rsidR="00FB3A6E" w:rsidRPr="00FB3A6E">
        <w:rPr>
          <w:i/>
          <w:sz w:val="24"/>
          <w:szCs w:val="24"/>
        </w:rPr>
        <w:t>et al.</w:t>
      </w:r>
      <w:r w:rsidRPr="00F32A50">
        <w:rPr>
          <w:sz w:val="24"/>
          <w:szCs w:val="24"/>
        </w:rPr>
        <w:t xml:space="preserve">, </w:t>
      </w:r>
      <w:r w:rsidRPr="00BF0424">
        <w:rPr>
          <w:sz w:val="24"/>
          <w:szCs w:val="24"/>
        </w:rPr>
        <w:t>2018; Jayman and Lyneham</w:t>
      </w:r>
      <w:r>
        <w:rPr>
          <w:sz w:val="24"/>
          <w:szCs w:val="24"/>
        </w:rPr>
        <w:t>,</w:t>
      </w:r>
      <w:r w:rsidRPr="00BF0424">
        <w:rPr>
          <w:sz w:val="24"/>
          <w:szCs w:val="24"/>
        </w:rPr>
        <w:t xml:space="preserve"> 2020;</w:t>
      </w:r>
      <w:r w:rsidRPr="00837BB0">
        <w:rPr>
          <w:sz w:val="24"/>
          <w:szCs w:val="24"/>
        </w:rPr>
        <w:t xml:space="preserve"> Margrove, </w:t>
      </w:r>
      <w:r w:rsidR="00FB3A6E" w:rsidRPr="00FB3A6E">
        <w:rPr>
          <w:i/>
          <w:sz w:val="24"/>
          <w:szCs w:val="24"/>
        </w:rPr>
        <w:t>et al.</w:t>
      </w:r>
      <w:r w:rsidRPr="00837BB0">
        <w:rPr>
          <w:sz w:val="24"/>
          <w:szCs w:val="24"/>
        </w:rPr>
        <w:t xml:space="preserve">, 2014; </w:t>
      </w:r>
      <w:r w:rsidRPr="00BF0424">
        <w:rPr>
          <w:sz w:val="24"/>
          <w:szCs w:val="24"/>
        </w:rPr>
        <w:t>Payne, 2022</w:t>
      </w:r>
      <w:r>
        <w:rPr>
          <w:sz w:val="24"/>
          <w:szCs w:val="24"/>
        </w:rPr>
        <w:t xml:space="preserve">; Whyte </w:t>
      </w:r>
      <w:r w:rsidR="00FB3A6E" w:rsidRPr="00FB3A6E">
        <w:rPr>
          <w:i/>
          <w:sz w:val="24"/>
          <w:szCs w:val="24"/>
        </w:rPr>
        <w:t>et al.</w:t>
      </w:r>
      <w:r>
        <w:rPr>
          <w:sz w:val="24"/>
          <w:szCs w:val="24"/>
        </w:rPr>
        <w:t>, 2024</w:t>
      </w:r>
      <w:r w:rsidRPr="00BF0424">
        <w:rPr>
          <w:sz w:val="24"/>
          <w:szCs w:val="24"/>
        </w:rPr>
        <w:t xml:space="preserve">). </w:t>
      </w:r>
      <w:r>
        <w:rPr>
          <w:sz w:val="24"/>
          <w:szCs w:val="24"/>
        </w:rPr>
        <w:t xml:space="preserve">If HE teachers are expected to </w:t>
      </w:r>
      <w:r w:rsidRPr="00BF0424">
        <w:rPr>
          <w:sz w:val="24"/>
          <w:szCs w:val="24"/>
        </w:rPr>
        <w:t>effectively manage student mental health, a factor that benefits th</w:t>
      </w:r>
      <w:r>
        <w:rPr>
          <w:sz w:val="24"/>
          <w:szCs w:val="24"/>
        </w:rPr>
        <w:t xml:space="preserve">e student’s </w:t>
      </w:r>
      <w:r w:rsidRPr="00BF0424">
        <w:rPr>
          <w:sz w:val="24"/>
          <w:szCs w:val="24"/>
        </w:rPr>
        <w:t>learning, it follows that the pastoral care</w:t>
      </w:r>
      <w:r>
        <w:rPr>
          <w:sz w:val="24"/>
          <w:szCs w:val="24"/>
        </w:rPr>
        <w:t>, emotions</w:t>
      </w:r>
      <w:r w:rsidRPr="00BF0424">
        <w:rPr>
          <w:sz w:val="24"/>
          <w:szCs w:val="24"/>
        </w:rPr>
        <w:t xml:space="preserve"> and well-being of teaching staff require attention.</w:t>
      </w:r>
    </w:p>
    <w:p w14:paraId="77FA4C4F" w14:textId="0712AA14" w:rsidR="002E2ABD" w:rsidRDefault="002E2ABD" w:rsidP="00E14FBA">
      <w:pPr>
        <w:rPr>
          <w:b/>
          <w:bCs/>
          <w:sz w:val="24"/>
          <w:szCs w:val="24"/>
        </w:rPr>
      </w:pPr>
      <w:r w:rsidRPr="00D83659">
        <w:rPr>
          <w:b/>
          <w:bCs/>
          <w:sz w:val="24"/>
          <w:szCs w:val="24"/>
        </w:rPr>
        <w:t>T</w:t>
      </w:r>
      <w:r>
        <w:rPr>
          <w:b/>
          <w:bCs/>
          <w:sz w:val="24"/>
          <w:szCs w:val="24"/>
        </w:rPr>
        <w:t>eacher Well-being</w:t>
      </w:r>
      <w:r w:rsidR="00027F0D">
        <w:rPr>
          <w:b/>
          <w:bCs/>
          <w:sz w:val="24"/>
          <w:szCs w:val="24"/>
        </w:rPr>
        <w:t xml:space="preserve"> Role</w:t>
      </w:r>
    </w:p>
    <w:p w14:paraId="584E7260" w14:textId="4447642D" w:rsidR="002E2ABD" w:rsidRPr="00EC261D" w:rsidRDefault="002E2ABD" w:rsidP="00B41E3D">
      <w:pPr>
        <w:spacing w:line="360" w:lineRule="auto"/>
        <w:rPr>
          <w:b/>
          <w:bCs/>
          <w:sz w:val="24"/>
          <w:szCs w:val="24"/>
        </w:rPr>
      </w:pPr>
      <w:r w:rsidRPr="00934D04">
        <w:rPr>
          <w:sz w:val="24"/>
          <w:szCs w:val="24"/>
        </w:rPr>
        <w:t xml:space="preserve">Some scholars are of the view that teaching is an emotional practice (Bleakley </w:t>
      </w:r>
      <w:r w:rsidR="00FB3A6E" w:rsidRPr="00FB3A6E">
        <w:rPr>
          <w:i/>
          <w:sz w:val="24"/>
          <w:szCs w:val="24"/>
        </w:rPr>
        <w:t>et al.</w:t>
      </w:r>
      <w:r w:rsidRPr="00934D04">
        <w:rPr>
          <w:sz w:val="24"/>
          <w:szCs w:val="24"/>
        </w:rPr>
        <w:t>, 2020)</w:t>
      </w:r>
      <w:r>
        <w:rPr>
          <w:sz w:val="24"/>
          <w:szCs w:val="24"/>
        </w:rPr>
        <w:t>, and that t</w:t>
      </w:r>
      <w:r w:rsidRPr="0046074C">
        <w:rPr>
          <w:sz w:val="24"/>
          <w:szCs w:val="24"/>
        </w:rPr>
        <w:t xml:space="preserve">he teacher’s pedagogical ardour </w:t>
      </w:r>
      <w:r>
        <w:rPr>
          <w:sz w:val="24"/>
          <w:szCs w:val="24"/>
        </w:rPr>
        <w:t xml:space="preserve">is </w:t>
      </w:r>
      <w:r w:rsidRPr="0046074C">
        <w:rPr>
          <w:sz w:val="24"/>
          <w:szCs w:val="24"/>
        </w:rPr>
        <w:t xml:space="preserve">emotionally driven and necessary for their effectiveness as a teacher (Yin </w:t>
      </w:r>
      <w:r w:rsidR="00FB3A6E" w:rsidRPr="00FB3A6E">
        <w:rPr>
          <w:i/>
          <w:sz w:val="24"/>
          <w:szCs w:val="24"/>
        </w:rPr>
        <w:t>et al.</w:t>
      </w:r>
      <w:r w:rsidRPr="00386DC7">
        <w:rPr>
          <w:sz w:val="24"/>
          <w:szCs w:val="24"/>
        </w:rPr>
        <w:t>,</w:t>
      </w:r>
      <w:r w:rsidRPr="0046074C">
        <w:rPr>
          <w:sz w:val="24"/>
          <w:szCs w:val="24"/>
        </w:rPr>
        <w:t xml:space="preserve"> 2017)</w:t>
      </w:r>
      <w:r>
        <w:rPr>
          <w:sz w:val="24"/>
          <w:szCs w:val="24"/>
        </w:rPr>
        <w:t>.</w:t>
      </w:r>
      <w:r w:rsidRPr="0046074C">
        <w:rPr>
          <w:sz w:val="24"/>
          <w:szCs w:val="24"/>
        </w:rPr>
        <w:t xml:space="preserve"> </w:t>
      </w:r>
      <w:r>
        <w:rPr>
          <w:sz w:val="24"/>
          <w:szCs w:val="24"/>
        </w:rPr>
        <w:t>Although not a singular factor, t</w:t>
      </w:r>
      <w:r w:rsidRPr="0046074C">
        <w:rPr>
          <w:sz w:val="24"/>
          <w:szCs w:val="24"/>
        </w:rPr>
        <w:t xml:space="preserve">eachers’ emotions </w:t>
      </w:r>
      <w:r>
        <w:rPr>
          <w:sz w:val="24"/>
          <w:szCs w:val="24"/>
        </w:rPr>
        <w:t xml:space="preserve">can </w:t>
      </w:r>
      <w:r w:rsidRPr="0046074C">
        <w:rPr>
          <w:sz w:val="24"/>
          <w:szCs w:val="24"/>
        </w:rPr>
        <w:t>shape</w:t>
      </w:r>
      <w:r>
        <w:rPr>
          <w:sz w:val="24"/>
          <w:szCs w:val="24"/>
        </w:rPr>
        <w:t xml:space="preserve"> part of</w:t>
      </w:r>
      <w:r w:rsidRPr="0046074C">
        <w:rPr>
          <w:sz w:val="24"/>
          <w:szCs w:val="24"/>
        </w:rPr>
        <w:t xml:space="preserve"> their professional identities</w:t>
      </w:r>
      <w:r>
        <w:rPr>
          <w:sz w:val="24"/>
          <w:szCs w:val="24"/>
        </w:rPr>
        <w:t xml:space="preserve"> (</w:t>
      </w:r>
      <w:r w:rsidR="00AB1ADC">
        <w:rPr>
          <w:sz w:val="24"/>
          <w:szCs w:val="24"/>
        </w:rPr>
        <w:t>ibid.</w:t>
      </w:r>
      <w:r>
        <w:rPr>
          <w:sz w:val="24"/>
          <w:szCs w:val="24"/>
        </w:rPr>
        <w:t xml:space="preserve">) </w:t>
      </w:r>
      <w:r w:rsidRPr="0046074C">
        <w:rPr>
          <w:sz w:val="24"/>
          <w:szCs w:val="24"/>
        </w:rPr>
        <w:t xml:space="preserve">and those of their students (Waldbuesser </w:t>
      </w:r>
      <w:r w:rsidR="00FB3A6E" w:rsidRPr="00FB3A6E">
        <w:rPr>
          <w:i/>
          <w:sz w:val="24"/>
          <w:szCs w:val="24"/>
        </w:rPr>
        <w:t>et al.</w:t>
      </w:r>
      <w:r w:rsidRPr="00386DC7">
        <w:rPr>
          <w:sz w:val="24"/>
          <w:szCs w:val="24"/>
        </w:rPr>
        <w:t>,</w:t>
      </w:r>
      <w:r w:rsidRPr="0046074C">
        <w:rPr>
          <w:i/>
          <w:iCs/>
          <w:sz w:val="24"/>
          <w:szCs w:val="24"/>
        </w:rPr>
        <w:t xml:space="preserve"> </w:t>
      </w:r>
      <w:r w:rsidRPr="0046074C">
        <w:rPr>
          <w:sz w:val="24"/>
          <w:szCs w:val="24"/>
        </w:rPr>
        <w:t xml:space="preserve">2021). </w:t>
      </w:r>
      <w:r>
        <w:rPr>
          <w:sz w:val="24"/>
          <w:szCs w:val="24"/>
        </w:rPr>
        <w:t>Further shaping comes from t</w:t>
      </w:r>
      <w:r w:rsidRPr="0046074C">
        <w:rPr>
          <w:sz w:val="24"/>
          <w:szCs w:val="24"/>
        </w:rPr>
        <w:t xml:space="preserve">eachers </w:t>
      </w:r>
      <w:r>
        <w:rPr>
          <w:sz w:val="24"/>
          <w:szCs w:val="24"/>
        </w:rPr>
        <w:t xml:space="preserve">being </w:t>
      </w:r>
      <w:r w:rsidRPr="0046074C">
        <w:rPr>
          <w:sz w:val="24"/>
          <w:szCs w:val="24"/>
        </w:rPr>
        <w:t>important attachment figures who</w:t>
      </w:r>
      <w:r>
        <w:rPr>
          <w:sz w:val="24"/>
          <w:szCs w:val="24"/>
        </w:rPr>
        <w:t xml:space="preserve"> provide </w:t>
      </w:r>
      <w:r w:rsidRPr="0046074C">
        <w:rPr>
          <w:sz w:val="24"/>
          <w:szCs w:val="24"/>
        </w:rPr>
        <w:t xml:space="preserve">corrective relationship experiences that </w:t>
      </w:r>
      <w:r>
        <w:rPr>
          <w:sz w:val="24"/>
          <w:szCs w:val="24"/>
        </w:rPr>
        <w:t>change</w:t>
      </w:r>
      <w:r w:rsidRPr="0046074C">
        <w:rPr>
          <w:sz w:val="24"/>
          <w:szCs w:val="24"/>
        </w:rPr>
        <w:t xml:space="preserve"> the entire life trajectory </w:t>
      </w:r>
      <w:r>
        <w:rPr>
          <w:sz w:val="24"/>
          <w:szCs w:val="24"/>
        </w:rPr>
        <w:t xml:space="preserve">of their students </w:t>
      </w:r>
      <w:r w:rsidRPr="0046074C">
        <w:rPr>
          <w:sz w:val="24"/>
          <w:szCs w:val="24"/>
        </w:rPr>
        <w:t>(Howes and Spieker, 2016; Zimmerman, 2016)</w:t>
      </w:r>
      <w:r>
        <w:rPr>
          <w:sz w:val="24"/>
          <w:szCs w:val="24"/>
        </w:rPr>
        <w:t xml:space="preserve">. </w:t>
      </w:r>
      <w:r w:rsidRPr="006C6493">
        <w:rPr>
          <w:sz w:val="24"/>
          <w:szCs w:val="24"/>
        </w:rPr>
        <w:t>According to Yalom (1989)</w:t>
      </w:r>
      <w:r>
        <w:rPr>
          <w:sz w:val="24"/>
          <w:szCs w:val="24"/>
        </w:rPr>
        <w:t xml:space="preserve"> </w:t>
      </w:r>
      <w:r w:rsidR="00EE38A9">
        <w:rPr>
          <w:sz w:val="24"/>
          <w:szCs w:val="24"/>
        </w:rPr>
        <w:t xml:space="preserve">relationality </w:t>
      </w:r>
      <w:r>
        <w:rPr>
          <w:sz w:val="24"/>
          <w:szCs w:val="24"/>
        </w:rPr>
        <w:t>is of prime importance</w:t>
      </w:r>
      <w:r w:rsidR="00330B31">
        <w:rPr>
          <w:sz w:val="24"/>
          <w:szCs w:val="24"/>
        </w:rPr>
        <w:t xml:space="preserve"> in life</w:t>
      </w:r>
      <w:r>
        <w:rPr>
          <w:sz w:val="24"/>
          <w:szCs w:val="24"/>
        </w:rPr>
        <w:t>, and in the classroom</w:t>
      </w:r>
      <w:r w:rsidRPr="006C6493">
        <w:rPr>
          <w:sz w:val="24"/>
          <w:szCs w:val="24"/>
        </w:rPr>
        <w:t xml:space="preserve"> </w:t>
      </w:r>
      <w:r>
        <w:rPr>
          <w:sz w:val="24"/>
          <w:szCs w:val="24"/>
        </w:rPr>
        <w:t>t</w:t>
      </w:r>
      <w:r w:rsidRPr="00D839F0">
        <w:rPr>
          <w:sz w:val="24"/>
          <w:szCs w:val="24"/>
        </w:rPr>
        <w:t>he teacher has the responsibility to manage</w:t>
      </w:r>
      <w:r>
        <w:rPr>
          <w:sz w:val="24"/>
          <w:szCs w:val="24"/>
        </w:rPr>
        <w:t xml:space="preserve"> the student/teacher relationship, </w:t>
      </w:r>
      <w:r w:rsidRPr="00D839F0">
        <w:rPr>
          <w:sz w:val="24"/>
          <w:szCs w:val="24"/>
        </w:rPr>
        <w:t>their own feelings and those of their students.</w:t>
      </w:r>
      <w:r>
        <w:rPr>
          <w:sz w:val="24"/>
          <w:szCs w:val="24"/>
        </w:rPr>
        <w:t xml:space="preserve"> </w:t>
      </w:r>
      <w:r w:rsidRPr="00381988">
        <w:rPr>
          <w:sz w:val="24"/>
          <w:szCs w:val="24"/>
        </w:rPr>
        <w:t>Ecclestone and Hayes (2009) believe tha</w:t>
      </w:r>
      <w:r>
        <w:rPr>
          <w:sz w:val="24"/>
          <w:szCs w:val="24"/>
        </w:rPr>
        <w:t xml:space="preserve">t attending to students’ emotions </w:t>
      </w:r>
      <w:r w:rsidRPr="00381988">
        <w:rPr>
          <w:sz w:val="24"/>
          <w:szCs w:val="24"/>
        </w:rPr>
        <w:t>encourages negative introspection in the teacher</w:t>
      </w:r>
      <w:r>
        <w:rPr>
          <w:sz w:val="24"/>
          <w:szCs w:val="24"/>
        </w:rPr>
        <w:t xml:space="preserve"> and students have too much </w:t>
      </w:r>
      <w:r>
        <w:rPr>
          <w:sz w:val="24"/>
          <w:szCs w:val="24"/>
        </w:rPr>
        <w:lastRenderedPageBreak/>
        <w:t>emotional freedom to express themselves and their feelings. Indeed, Mortiboys (2005) suggests that</w:t>
      </w:r>
      <w:r w:rsidR="00A30A52">
        <w:rPr>
          <w:sz w:val="24"/>
          <w:szCs w:val="24"/>
        </w:rPr>
        <w:t xml:space="preserve">: </w:t>
      </w:r>
      <w:r w:rsidRPr="0081216D">
        <w:rPr>
          <w:sz w:val="24"/>
          <w:szCs w:val="24"/>
        </w:rPr>
        <w:t>“</w:t>
      </w:r>
      <w:r w:rsidR="00F723DA">
        <w:rPr>
          <w:sz w:val="24"/>
          <w:szCs w:val="24"/>
        </w:rPr>
        <w:t xml:space="preserve"> </w:t>
      </w:r>
      <w:r w:rsidRPr="0081216D">
        <w:rPr>
          <w:sz w:val="24"/>
          <w:szCs w:val="24"/>
        </w:rPr>
        <w:t>‘I think therefore I am’ should be replaced by ’I feel therefore I am’</w:t>
      </w:r>
      <w:r w:rsidR="00F723DA">
        <w:rPr>
          <w:sz w:val="24"/>
          <w:szCs w:val="24"/>
        </w:rPr>
        <w:t xml:space="preserve"> </w:t>
      </w:r>
      <w:r w:rsidRPr="0081216D">
        <w:rPr>
          <w:sz w:val="24"/>
          <w:szCs w:val="24"/>
        </w:rPr>
        <w:t>” (p.142) as a slogan of our time</w:t>
      </w:r>
      <w:r w:rsidR="00805047">
        <w:rPr>
          <w:sz w:val="24"/>
          <w:szCs w:val="24"/>
        </w:rPr>
        <w:t xml:space="preserve">. </w:t>
      </w:r>
      <w:r w:rsidR="00DA4B6B">
        <w:rPr>
          <w:sz w:val="24"/>
          <w:szCs w:val="24"/>
        </w:rPr>
        <w:t xml:space="preserve">Seemingly </w:t>
      </w:r>
      <w:r>
        <w:rPr>
          <w:sz w:val="24"/>
          <w:szCs w:val="24"/>
        </w:rPr>
        <w:t>feelings are running amok</w:t>
      </w:r>
      <w:r w:rsidR="00D756F3">
        <w:rPr>
          <w:sz w:val="24"/>
          <w:szCs w:val="24"/>
        </w:rPr>
        <w:t xml:space="preserve"> in universities</w:t>
      </w:r>
      <w:r w:rsidR="00BE6CB3">
        <w:rPr>
          <w:sz w:val="24"/>
          <w:szCs w:val="24"/>
        </w:rPr>
        <w:t xml:space="preserve"> and </w:t>
      </w:r>
      <w:r>
        <w:rPr>
          <w:sz w:val="24"/>
          <w:szCs w:val="24"/>
        </w:rPr>
        <w:t xml:space="preserve"> making a mockery of the scholarship.</w:t>
      </w:r>
    </w:p>
    <w:p w14:paraId="5486BA7F" w14:textId="06A440A7" w:rsidR="002E2ABD" w:rsidRPr="001E218B" w:rsidRDefault="002E2ABD" w:rsidP="00B41E3D">
      <w:pPr>
        <w:spacing w:line="360" w:lineRule="auto"/>
        <w:rPr>
          <w:sz w:val="24"/>
          <w:szCs w:val="24"/>
        </w:rPr>
      </w:pPr>
      <w:r>
        <w:rPr>
          <w:sz w:val="24"/>
          <w:szCs w:val="24"/>
        </w:rPr>
        <w:t>M</w:t>
      </w:r>
      <w:r w:rsidRPr="001E218B">
        <w:rPr>
          <w:sz w:val="24"/>
          <w:szCs w:val="24"/>
        </w:rPr>
        <w:t xml:space="preserve">ental health </w:t>
      </w:r>
      <w:r>
        <w:rPr>
          <w:sz w:val="24"/>
          <w:szCs w:val="24"/>
        </w:rPr>
        <w:t xml:space="preserve">presentations in students </w:t>
      </w:r>
      <w:r w:rsidRPr="001E218B">
        <w:rPr>
          <w:sz w:val="24"/>
          <w:szCs w:val="24"/>
        </w:rPr>
        <w:t>be they pre-existing</w:t>
      </w:r>
      <w:r>
        <w:rPr>
          <w:sz w:val="24"/>
          <w:szCs w:val="24"/>
        </w:rPr>
        <w:t xml:space="preserve"> or </w:t>
      </w:r>
      <w:r w:rsidRPr="001E218B">
        <w:rPr>
          <w:sz w:val="24"/>
          <w:szCs w:val="24"/>
        </w:rPr>
        <w:t xml:space="preserve">caused by </w:t>
      </w:r>
      <w:r>
        <w:rPr>
          <w:sz w:val="24"/>
          <w:szCs w:val="24"/>
        </w:rPr>
        <w:t>new learning situations</w:t>
      </w:r>
      <w:r w:rsidRPr="001E218B">
        <w:rPr>
          <w:sz w:val="24"/>
          <w:szCs w:val="24"/>
        </w:rPr>
        <w:t xml:space="preserve"> require university staff</w:t>
      </w:r>
      <w:r>
        <w:rPr>
          <w:sz w:val="24"/>
          <w:szCs w:val="24"/>
        </w:rPr>
        <w:t>, if not yet legally then morally</w:t>
      </w:r>
      <w:r w:rsidR="00D425C6">
        <w:rPr>
          <w:sz w:val="24"/>
          <w:szCs w:val="24"/>
        </w:rPr>
        <w:t>,</w:t>
      </w:r>
      <w:r w:rsidRPr="001E218B">
        <w:rPr>
          <w:sz w:val="24"/>
          <w:szCs w:val="24"/>
        </w:rPr>
        <w:t xml:space="preserve"> to fulfil a well-being role.</w:t>
      </w:r>
      <w:r>
        <w:rPr>
          <w:sz w:val="24"/>
          <w:szCs w:val="24"/>
        </w:rPr>
        <w:t xml:space="preserve"> </w:t>
      </w:r>
      <w:r w:rsidRPr="001E218B">
        <w:rPr>
          <w:sz w:val="24"/>
          <w:szCs w:val="24"/>
        </w:rPr>
        <w:t xml:space="preserve">Emotions can be awoken in </w:t>
      </w:r>
      <w:r>
        <w:rPr>
          <w:sz w:val="24"/>
          <w:szCs w:val="24"/>
        </w:rPr>
        <w:t xml:space="preserve">learning </w:t>
      </w:r>
      <w:r w:rsidRPr="001E218B">
        <w:rPr>
          <w:sz w:val="24"/>
          <w:szCs w:val="24"/>
        </w:rPr>
        <w:t>situations</w:t>
      </w:r>
      <w:r>
        <w:rPr>
          <w:sz w:val="24"/>
          <w:szCs w:val="24"/>
        </w:rPr>
        <w:t xml:space="preserve"> which impact </w:t>
      </w:r>
      <w:r w:rsidRPr="001E218B">
        <w:rPr>
          <w:sz w:val="24"/>
          <w:szCs w:val="24"/>
        </w:rPr>
        <w:t xml:space="preserve">the </w:t>
      </w:r>
      <w:r>
        <w:rPr>
          <w:sz w:val="24"/>
          <w:szCs w:val="24"/>
        </w:rPr>
        <w:t xml:space="preserve">student, </w:t>
      </w:r>
      <w:r w:rsidR="004E4EB9">
        <w:rPr>
          <w:sz w:val="24"/>
          <w:szCs w:val="24"/>
        </w:rPr>
        <w:t xml:space="preserve">the </w:t>
      </w:r>
      <w:r w:rsidRPr="001E218B">
        <w:rPr>
          <w:sz w:val="24"/>
          <w:szCs w:val="24"/>
        </w:rPr>
        <w:t>teacher</w:t>
      </w:r>
      <w:r>
        <w:rPr>
          <w:sz w:val="24"/>
          <w:szCs w:val="24"/>
        </w:rPr>
        <w:t xml:space="preserve"> and teaching praxis. T</w:t>
      </w:r>
      <w:r w:rsidRPr="001E218B">
        <w:rPr>
          <w:sz w:val="24"/>
          <w:szCs w:val="24"/>
        </w:rPr>
        <w:t xml:space="preserve">eachers </w:t>
      </w:r>
      <w:r>
        <w:rPr>
          <w:sz w:val="24"/>
          <w:szCs w:val="24"/>
        </w:rPr>
        <w:t>are required to</w:t>
      </w:r>
      <w:r w:rsidRPr="001E218B">
        <w:rPr>
          <w:sz w:val="24"/>
          <w:szCs w:val="24"/>
        </w:rPr>
        <w:t xml:space="preserve"> </w:t>
      </w:r>
      <w:r>
        <w:rPr>
          <w:sz w:val="24"/>
          <w:szCs w:val="24"/>
        </w:rPr>
        <w:t>adopt</w:t>
      </w:r>
      <w:r w:rsidRPr="001E218B">
        <w:rPr>
          <w:sz w:val="24"/>
          <w:szCs w:val="24"/>
        </w:rPr>
        <w:t xml:space="preserve"> </w:t>
      </w:r>
      <w:r w:rsidR="00D425C6">
        <w:rPr>
          <w:sz w:val="24"/>
          <w:szCs w:val="24"/>
        </w:rPr>
        <w:t>a</w:t>
      </w:r>
      <w:r w:rsidRPr="001E218B">
        <w:rPr>
          <w:sz w:val="24"/>
          <w:szCs w:val="24"/>
        </w:rPr>
        <w:t xml:space="preserve"> </w:t>
      </w:r>
      <w:r w:rsidR="005627C5">
        <w:rPr>
          <w:sz w:val="24"/>
          <w:szCs w:val="24"/>
        </w:rPr>
        <w:t xml:space="preserve">pastoral </w:t>
      </w:r>
      <w:r>
        <w:rPr>
          <w:sz w:val="24"/>
          <w:szCs w:val="24"/>
        </w:rPr>
        <w:t>caretak</w:t>
      </w:r>
      <w:r w:rsidR="002A6EBD">
        <w:rPr>
          <w:sz w:val="24"/>
          <w:szCs w:val="24"/>
        </w:rPr>
        <w:t>ing</w:t>
      </w:r>
      <w:r>
        <w:rPr>
          <w:sz w:val="24"/>
          <w:szCs w:val="24"/>
        </w:rPr>
        <w:t xml:space="preserve"> </w:t>
      </w:r>
      <w:r w:rsidRPr="001E218B">
        <w:rPr>
          <w:sz w:val="24"/>
          <w:szCs w:val="24"/>
        </w:rPr>
        <w:t>role</w:t>
      </w:r>
      <w:r>
        <w:rPr>
          <w:sz w:val="24"/>
          <w:szCs w:val="24"/>
        </w:rPr>
        <w:t xml:space="preserve"> without adequate preparation and support</w:t>
      </w:r>
      <w:r w:rsidR="004E4EB9">
        <w:rPr>
          <w:sz w:val="24"/>
          <w:szCs w:val="24"/>
        </w:rPr>
        <w:t xml:space="preserve"> </w:t>
      </w:r>
      <w:r>
        <w:rPr>
          <w:sz w:val="24"/>
          <w:szCs w:val="24"/>
        </w:rPr>
        <w:t>and</w:t>
      </w:r>
      <w:r w:rsidR="00F345C8">
        <w:rPr>
          <w:sz w:val="24"/>
          <w:szCs w:val="24"/>
        </w:rPr>
        <w:t xml:space="preserve">, </w:t>
      </w:r>
      <w:r>
        <w:rPr>
          <w:sz w:val="24"/>
          <w:szCs w:val="24"/>
        </w:rPr>
        <w:t xml:space="preserve"> w</w:t>
      </w:r>
      <w:r w:rsidRPr="001E218B">
        <w:rPr>
          <w:sz w:val="24"/>
          <w:szCs w:val="24"/>
        </w:rPr>
        <w:t>ith this in mind I now turn my attention to the mental health of HE staff.</w:t>
      </w:r>
    </w:p>
    <w:p w14:paraId="4FAD6A02" w14:textId="21FD7239" w:rsidR="002E2ABD" w:rsidRPr="003D7EC5" w:rsidRDefault="002E2ABD" w:rsidP="00B41EF9">
      <w:r w:rsidRPr="00B41EF9">
        <w:rPr>
          <w:rFonts w:ascii="Calibri" w:hAnsi="Calibri" w:cs="Calibri"/>
          <w:b/>
          <w:color w:val="000000"/>
          <w:sz w:val="24"/>
        </w:rPr>
        <w:t xml:space="preserve">Mental health among </w:t>
      </w:r>
      <w:r w:rsidR="00CF7B32">
        <w:rPr>
          <w:rFonts w:ascii="Calibri" w:hAnsi="Calibri" w:cs="Calibri"/>
          <w:b/>
          <w:color w:val="000000"/>
          <w:sz w:val="24"/>
        </w:rPr>
        <w:t xml:space="preserve">HE </w:t>
      </w:r>
      <w:r w:rsidRPr="00B41EF9">
        <w:rPr>
          <w:rFonts w:ascii="Calibri" w:hAnsi="Calibri" w:cs="Calibri"/>
          <w:b/>
          <w:color w:val="000000"/>
          <w:sz w:val="24"/>
        </w:rPr>
        <w:t>staff</w:t>
      </w:r>
    </w:p>
    <w:p w14:paraId="4AC8C0B1" w14:textId="516FC0FF" w:rsidR="002E2ABD" w:rsidRPr="001D6B7E" w:rsidRDefault="002E2ABD" w:rsidP="00240F07">
      <w:pPr>
        <w:spacing w:line="360" w:lineRule="auto"/>
        <w:rPr>
          <w:sz w:val="24"/>
          <w:szCs w:val="24"/>
        </w:rPr>
      </w:pPr>
      <w:r w:rsidRPr="00CE4971">
        <w:rPr>
          <w:sz w:val="24"/>
          <w:szCs w:val="24"/>
        </w:rPr>
        <w:t>There has been a significant increase in the number of staff accessing support for poor mental health (</w:t>
      </w:r>
      <w:r>
        <w:rPr>
          <w:sz w:val="24"/>
          <w:szCs w:val="24"/>
        </w:rPr>
        <w:t xml:space="preserve">Morrish, 2019; </w:t>
      </w:r>
      <w:r w:rsidRPr="00CE4971">
        <w:rPr>
          <w:sz w:val="24"/>
          <w:szCs w:val="24"/>
        </w:rPr>
        <w:t>Watts and Roberston, 2011)</w:t>
      </w:r>
      <w:r>
        <w:rPr>
          <w:sz w:val="24"/>
          <w:szCs w:val="24"/>
        </w:rPr>
        <w:t>.</w:t>
      </w:r>
      <w:r w:rsidRPr="000A6FB0">
        <w:rPr>
          <w:color w:val="EE0000"/>
          <w:sz w:val="24"/>
          <w:szCs w:val="24"/>
        </w:rPr>
        <w:t xml:space="preserve"> </w:t>
      </w:r>
      <w:r w:rsidRPr="00A40CF6">
        <w:rPr>
          <w:sz w:val="24"/>
          <w:szCs w:val="24"/>
        </w:rPr>
        <w:t xml:space="preserve">Academic counselling referrals have increased by 73% </w:t>
      </w:r>
      <w:r w:rsidR="00DD2EA5">
        <w:rPr>
          <w:sz w:val="24"/>
          <w:szCs w:val="24"/>
        </w:rPr>
        <w:t>between 2009</w:t>
      </w:r>
      <w:r w:rsidR="00C70181">
        <w:rPr>
          <w:sz w:val="24"/>
          <w:szCs w:val="24"/>
        </w:rPr>
        <w:t xml:space="preserve"> and </w:t>
      </w:r>
      <w:r w:rsidR="00DD2EA5">
        <w:rPr>
          <w:sz w:val="24"/>
          <w:szCs w:val="24"/>
        </w:rPr>
        <w:t>2019</w:t>
      </w:r>
      <w:r w:rsidRPr="00A40CF6">
        <w:rPr>
          <w:sz w:val="24"/>
          <w:szCs w:val="24"/>
        </w:rPr>
        <w:t xml:space="preserve"> in UK universities (Morrish, 2019). </w:t>
      </w:r>
      <w:r w:rsidRPr="001D6B7E">
        <w:rPr>
          <w:sz w:val="24"/>
          <w:szCs w:val="24"/>
        </w:rPr>
        <w:t>Between 2009</w:t>
      </w:r>
      <w:r w:rsidR="00925EF0">
        <w:rPr>
          <w:sz w:val="24"/>
          <w:szCs w:val="24"/>
        </w:rPr>
        <w:t xml:space="preserve"> and </w:t>
      </w:r>
      <w:r w:rsidRPr="001D6B7E">
        <w:rPr>
          <w:sz w:val="24"/>
          <w:szCs w:val="24"/>
        </w:rPr>
        <w:t>2016 some 59 HE institutions report</w:t>
      </w:r>
      <w:r>
        <w:rPr>
          <w:sz w:val="24"/>
          <w:szCs w:val="24"/>
        </w:rPr>
        <w:t>ed</w:t>
      </w:r>
      <w:r w:rsidRPr="001D6B7E">
        <w:rPr>
          <w:sz w:val="24"/>
          <w:szCs w:val="24"/>
        </w:rPr>
        <w:t xml:space="preserve"> increases in counselling referrals with an average of 77%. For example, </w:t>
      </w:r>
      <w:r>
        <w:rPr>
          <w:sz w:val="24"/>
          <w:szCs w:val="24"/>
        </w:rPr>
        <w:t>at t</w:t>
      </w:r>
      <w:r w:rsidRPr="001D6B7E">
        <w:rPr>
          <w:sz w:val="24"/>
          <w:szCs w:val="24"/>
        </w:rPr>
        <w:t>he University of Warwick referrals rose by 316%</w:t>
      </w:r>
      <w:r w:rsidR="00925EF0">
        <w:rPr>
          <w:sz w:val="24"/>
          <w:szCs w:val="24"/>
        </w:rPr>
        <w:t xml:space="preserve"> </w:t>
      </w:r>
      <w:r w:rsidRPr="001D6B7E">
        <w:rPr>
          <w:sz w:val="24"/>
          <w:szCs w:val="24"/>
        </w:rPr>
        <w:t xml:space="preserve">and De Montfort University </w:t>
      </w:r>
      <w:r>
        <w:rPr>
          <w:sz w:val="24"/>
          <w:szCs w:val="24"/>
        </w:rPr>
        <w:t xml:space="preserve">figures rose </w:t>
      </w:r>
      <w:r w:rsidRPr="001D6B7E">
        <w:rPr>
          <w:sz w:val="24"/>
          <w:szCs w:val="24"/>
        </w:rPr>
        <w:t>by 304%. Respondents cited excessive workloads, the imposition of metric surveillance, outcomes-based performance management</w:t>
      </w:r>
      <w:r w:rsidR="00925EF0">
        <w:rPr>
          <w:sz w:val="24"/>
          <w:szCs w:val="24"/>
        </w:rPr>
        <w:t xml:space="preserve"> </w:t>
      </w:r>
      <w:r w:rsidRPr="001D6B7E">
        <w:rPr>
          <w:sz w:val="24"/>
          <w:szCs w:val="24"/>
        </w:rPr>
        <w:t xml:space="preserve">and employment precarity. Occupational health referrals </w:t>
      </w:r>
      <w:r w:rsidR="00543747">
        <w:rPr>
          <w:sz w:val="24"/>
          <w:szCs w:val="24"/>
        </w:rPr>
        <w:t xml:space="preserve">between </w:t>
      </w:r>
      <w:r w:rsidRPr="001D6B7E">
        <w:rPr>
          <w:sz w:val="24"/>
          <w:szCs w:val="24"/>
        </w:rPr>
        <w:t>2011</w:t>
      </w:r>
      <w:r w:rsidR="00543747">
        <w:rPr>
          <w:sz w:val="24"/>
          <w:szCs w:val="24"/>
        </w:rPr>
        <w:t xml:space="preserve"> and </w:t>
      </w:r>
      <w:r w:rsidRPr="001D6B7E">
        <w:rPr>
          <w:sz w:val="24"/>
          <w:szCs w:val="24"/>
        </w:rPr>
        <w:t xml:space="preserve">2015 increased by 80% at Nottingham Trent, 85% at Leeds Beckett and 166% at Keele University. </w:t>
      </w:r>
      <w:r>
        <w:rPr>
          <w:sz w:val="24"/>
          <w:szCs w:val="24"/>
        </w:rPr>
        <w:t>Between</w:t>
      </w:r>
      <w:r w:rsidRPr="001D6B7E">
        <w:rPr>
          <w:sz w:val="24"/>
          <w:szCs w:val="24"/>
        </w:rPr>
        <w:t xml:space="preserve"> 2009</w:t>
      </w:r>
      <w:r w:rsidR="00682BDC">
        <w:rPr>
          <w:sz w:val="24"/>
          <w:szCs w:val="24"/>
        </w:rPr>
        <w:t xml:space="preserve"> and </w:t>
      </w:r>
      <w:r w:rsidRPr="001D6B7E">
        <w:rPr>
          <w:sz w:val="24"/>
          <w:szCs w:val="24"/>
        </w:rPr>
        <w:t xml:space="preserve">2015 </w:t>
      </w:r>
      <w:r>
        <w:rPr>
          <w:sz w:val="24"/>
          <w:szCs w:val="24"/>
        </w:rPr>
        <w:t xml:space="preserve">they </w:t>
      </w:r>
      <w:r w:rsidRPr="001D6B7E">
        <w:rPr>
          <w:sz w:val="24"/>
          <w:szCs w:val="24"/>
        </w:rPr>
        <w:t xml:space="preserve">rose by 102% at De Montford, 142% at the University of Bristol, 159% at the University of Essex, 179% at the University of Cambridge and 424% at </w:t>
      </w:r>
      <w:r>
        <w:rPr>
          <w:sz w:val="24"/>
          <w:szCs w:val="24"/>
        </w:rPr>
        <w:t xml:space="preserve">the </w:t>
      </w:r>
      <w:r w:rsidRPr="001D6B7E">
        <w:rPr>
          <w:sz w:val="24"/>
          <w:szCs w:val="24"/>
        </w:rPr>
        <w:t>University of Kent</w:t>
      </w:r>
      <w:r>
        <w:rPr>
          <w:sz w:val="24"/>
          <w:szCs w:val="24"/>
        </w:rPr>
        <w:t xml:space="preserve"> (</w:t>
      </w:r>
      <w:r w:rsidR="00AB1ADC">
        <w:rPr>
          <w:sz w:val="24"/>
          <w:szCs w:val="24"/>
        </w:rPr>
        <w:t>ibid.</w:t>
      </w:r>
      <w:r>
        <w:rPr>
          <w:sz w:val="24"/>
          <w:szCs w:val="24"/>
        </w:rPr>
        <w:t>)</w:t>
      </w:r>
      <w:r w:rsidRPr="001D6B7E">
        <w:rPr>
          <w:sz w:val="24"/>
          <w:szCs w:val="24"/>
        </w:rPr>
        <w:t>. The institutional miasma (Gabriel, 2012)</w:t>
      </w:r>
      <w:r>
        <w:rPr>
          <w:sz w:val="24"/>
          <w:szCs w:val="24"/>
        </w:rPr>
        <w:t xml:space="preserve"> and </w:t>
      </w:r>
      <w:r w:rsidRPr="001D6B7E">
        <w:rPr>
          <w:sz w:val="24"/>
          <w:szCs w:val="24"/>
        </w:rPr>
        <w:t>anxiety machine (Hall and Bowles, 2016) of the university may be producing anxious academics (Loveday, 2018)</w:t>
      </w:r>
      <w:r>
        <w:rPr>
          <w:sz w:val="24"/>
          <w:szCs w:val="24"/>
        </w:rPr>
        <w:t xml:space="preserve">, and an analysis of attitudes towards support might shed light on this phenomenon. </w:t>
      </w:r>
    </w:p>
    <w:p w14:paraId="12952AB5" w14:textId="1F364DA7" w:rsidR="002E2ABD" w:rsidRDefault="00354F4B" w:rsidP="00240F07">
      <w:pPr>
        <w:spacing w:line="360" w:lineRule="auto"/>
        <w:rPr>
          <w:sz w:val="24"/>
          <w:szCs w:val="24"/>
        </w:rPr>
      </w:pPr>
      <w:r>
        <w:rPr>
          <w:sz w:val="24"/>
          <w:szCs w:val="24"/>
        </w:rPr>
        <w:t xml:space="preserve">In a survey some </w:t>
      </w:r>
      <w:r w:rsidR="002E2ABD" w:rsidRPr="00DA6B60">
        <w:rPr>
          <w:sz w:val="24"/>
          <w:szCs w:val="24"/>
        </w:rPr>
        <w:t>2046 academic and academic-related staff</w:t>
      </w:r>
      <w:r w:rsidR="002E2ABD" w:rsidRPr="00530100">
        <w:rPr>
          <w:sz w:val="24"/>
          <w:szCs w:val="24"/>
        </w:rPr>
        <w:t xml:space="preserve"> </w:t>
      </w:r>
      <w:r w:rsidR="002E2ABD">
        <w:rPr>
          <w:sz w:val="24"/>
          <w:szCs w:val="24"/>
        </w:rPr>
        <w:t xml:space="preserve">reported </w:t>
      </w:r>
      <w:r w:rsidR="002E2ABD" w:rsidRPr="00720ADC">
        <w:rPr>
          <w:sz w:val="24"/>
          <w:szCs w:val="24"/>
        </w:rPr>
        <w:t>concerns about well-being, workload, burnout in education and the support provided by employers</w:t>
      </w:r>
      <w:r w:rsidR="002E2ABD">
        <w:rPr>
          <w:sz w:val="24"/>
          <w:szCs w:val="24"/>
        </w:rPr>
        <w:t xml:space="preserve"> (</w:t>
      </w:r>
      <w:r w:rsidR="002E2ABD" w:rsidRPr="00BA15FF">
        <w:rPr>
          <w:sz w:val="24"/>
          <w:szCs w:val="24"/>
        </w:rPr>
        <w:t>Wray and Kinman</w:t>
      </w:r>
      <w:r w:rsidR="002E2ABD">
        <w:rPr>
          <w:sz w:val="24"/>
          <w:szCs w:val="24"/>
        </w:rPr>
        <w:t xml:space="preserve">, 2021). </w:t>
      </w:r>
      <w:r w:rsidR="002E2ABD" w:rsidRPr="001D6B7E">
        <w:rPr>
          <w:sz w:val="24"/>
          <w:szCs w:val="24"/>
        </w:rPr>
        <w:t>Seventy-one per cent of respondents fear</w:t>
      </w:r>
      <w:r w:rsidR="002E2ABD">
        <w:rPr>
          <w:sz w:val="24"/>
          <w:szCs w:val="24"/>
        </w:rPr>
        <w:t>ed</w:t>
      </w:r>
      <w:r w:rsidR="002E2ABD" w:rsidRPr="001D6B7E">
        <w:rPr>
          <w:sz w:val="24"/>
          <w:szCs w:val="24"/>
        </w:rPr>
        <w:t xml:space="preserve"> their career </w:t>
      </w:r>
      <w:r w:rsidR="002E2ABD">
        <w:rPr>
          <w:sz w:val="24"/>
          <w:szCs w:val="24"/>
        </w:rPr>
        <w:t xml:space="preserve">might </w:t>
      </w:r>
      <w:r w:rsidR="002E2ABD" w:rsidRPr="001D6B7E">
        <w:rPr>
          <w:sz w:val="24"/>
          <w:szCs w:val="24"/>
        </w:rPr>
        <w:t>be harmed</w:t>
      </w:r>
      <w:r w:rsidR="002E2ABD">
        <w:rPr>
          <w:sz w:val="24"/>
          <w:szCs w:val="24"/>
        </w:rPr>
        <w:t xml:space="preserve"> if they sought mental health support</w:t>
      </w:r>
      <w:r w:rsidR="002E2ABD" w:rsidRPr="001D6B7E">
        <w:rPr>
          <w:sz w:val="24"/>
          <w:szCs w:val="24"/>
        </w:rPr>
        <w:t xml:space="preserve"> and 59% </w:t>
      </w:r>
      <w:r w:rsidR="002E2ABD">
        <w:rPr>
          <w:sz w:val="24"/>
          <w:szCs w:val="24"/>
        </w:rPr>
        <w:t xml:space="preserve">feared seeking support </w:t>
      </w:r>
      <w:r w:rsidR="002E2ABD" w:rsidRPr="001D6B7E">
        <w:rPr>
          <w:sz w:val="24"/>
          <w:szCs w:val="24"/>
        </w:rPr>
        <w:t xml:space="preserve">would </w:t>
      </w:r>
      <w:r w:rsidR="002E2ABD">
        <w:rPr>
          <w:sz w:val="24"/>
          <w:szCs w:val="24"/>
        </w:rPr>
        <w:t xml:space="preserve">result in being </w:t>
      </w:r>
      <w:r w:rsidR="002E2ABD" w:rsidRPr="001D6B7E">
        <w:rPr>
          <w:sz w:val="24"/>
          <w:szCs w:val="24"/>
        </w:rPr>
        <w:t xml:space="preserve">perceived as weak. </w:t>
      </w:r>
      <w:r w:rsidR="002E2ABD">
        <w:rPr>
          <w:sz w:val="24"/>
          <w:szCs w:val="24"/>
        </w:rPr>
        <w:t xml:space="preserve">Some </w:t>
      </w:r>
      <w:r w:rsidR="002E2ABD" w:rsidRPr="001D6B7E">
        <w:rPr>
          <w:sz w:val="24"/>
          <w:szCs w:val="24"/>
        </w:rPr>
        <w:t xml:space="preserve">78% </w:t>
      </w:r>
      <w:r w:rsidR="002E2ABD">
        <w:rPr>
          <w:sz w:val="24"/>
          <w:szCs w:val="24"/>
        </w:rPr>
        <w:t xml:space="preserve">of respondents felt </w:t>
      </w:r>
      <w:r w:rsidR="002E2ABD" w:rsidRPr="001D6B7E">
        <w:rPr>
          <w:sz w:val="24"/>
          <w:szCs w:val="24"/>
        </w:rPr>
        <w:t xml:space="preserve">that senior managers </w:t>
      </w:r>
      <w:r w:rsidR="002E2ABD">
        <w:rPr>
          <w:sz w:val="24"/>
          <w:szCs w:val="24"/>
        </w:rPr>
        <w:t xml:space="preserve">prioritised </w:t>
      </w:r>
      <w:r w:rsidR="002E2ABD" w:rsidRPr="001D6B7E">
        <w:rPr>
          <w:sz w:val="24"/>
          <w:szCs w:val="24"/>
        </w:rPr>
        <w:lastRenderedPageBreak/>
        <w:t>productivity</w:t>
      </w:r>
      <w:r w:rsidR="002E2ABD">
        <w:rPr>
          <w:sz w:val="24"/>
          <w:szCs w:val="24"/>
        </w:rPr>
        <w:t xml:space="preserve"> over staff well-being</w:t>
      </w:r>
      <w:r w:rsidR="002E2ABD" w:rsidRPr="001D6B7E">
        <w:rPr>
          <w:sz w:val="24"/>
          <w:szCs w:val="24"/>
        </w:rPr>
        <w:t xml:space="preserve">. </w:t>
      </w:r>
      <w:r w:rsidR="002E2ABD">
        <w:rPr>
          <w:sz w:val="24"/>
          <w:szCs w:val="24"/>
        </w:rPr>
        <w:t>Participants overall believed</w:t>
      </w:r>
      <w:r w:rsidR="002E2ABD" w:rsidRPr="001D6B7E">
        <w:rPr>
          <w:sz w:val="24"/>
          <w:szCs w:val="24"/>
        </w:rPr>
        <w:t xml:space="preserve"> that management efforts to improve staff well-being w</w:t>
      </w:r>
      <w:r w:rsidR="002E2ABD">
        <w:rPr>
          <w:sz w:val="24"/>
          <w:szCs w:val="24"/>
        </w:rPr>
        <w:t>ere</w:t>
      </w:r>
      <w:r w:rsidR="002E2ABD" w:rsidRPr="001D6B7E">
        <w:rPr>
          <w:sz w:val="24"/>
          <w:szCs w:val="24"/>
        </w:rPr>
        <w:t xml:space="preserve"> futile if the issue of workload remained unaddressed. The report concluded that universities could provide a better systemic approach to well-being which included reducing demands on staff, increasing support provision and </w:t>
      </w:r>
      <w:r w:rsidR="002E2ABD">
        <w:rPr>
          <w:sz w:val="24"/>
          <w:szCs w:val="24"/>
        </w:rPr>
        <w:t xml:space="preserve">promoting a </w:t>
      </w:r>
      <w:r w:rsidR="002E2ABD" w:rsidRPr="001D6B7E">
        <w:rPr>
          <w:sz w:val="24"/>
          <w:szCs w:val="24"/>
        </w:rPr>
        <w:t>culture where seeking support was not stigmatised</w:t>
      </w:r>
      <w:r w:rsidR="000F5B2A">
        <w:rPr>
          <w:sz w:val="24"/>
          <w:szCs w:val="24"/>
        </w:rPr>
        <w:t xml:space="preserve"> (</w:t>
      </w:r>
      <w:r w:rsidR="00AB1ADC">
        <w:rPr>
          <w:sz w:val="24"/>
          <w:szCs w:val="24"/>
        </w:rPr>
        <w:t>ibid.</w:t>
      </w:r>
      <w:r w:rsidR="000F5B2A">
        <w:rPr>
          <w:sz w:val="24"/>
          <w:szCs w:val="24"/>
        </w:rPr>
        <w:t>)</w:t>
      </w:r>
      <w:r w:rsidR="002E2ABD">
        <w:rPr>
          <w:sz w:val="24"/>
          <w:szCs w:val="24"/>
        </w:rPr>
        <w:t xml:space="preserve">. </w:t>
      </w:r>
      <w:r w:rsidR="002E2ABD" w:rsidRPr="000325ED">
        <w:rPr>
          <w:sz w:val="24"/>
          <w:szCs w:val="24"/>
        </w:rPr>
        <w:t>S</w:t>
      </w:r>
      <w:r w:rsidR="002E2ABD">
        <w:rPr>
          <w:sz w:val="24"/>
          <w:szCs w:val="24"/>
        </w:rPr>
        <w:t xml:space="preserve">tatistics on poor mental health </w:t>
      </w:r>
      <w:r w:rsidR="002E2ABD" w:rsidRPr="000325ED">
        <w:rPr>
          <w:sz w:val="24"/>
          <w:szCs w:val="24"/>
        </w:rPr>
        <w:t xml:space="preserve">are potentially higher than those reported because emotionally exhausted staff are less likely to </w:t>
      </w:r>
      <w:r w:rsidR="002E2ABD">
        <w:rPr>
          <w:sz w:val="24"/>
          <w:szCs w:val="24"/>
        </w:rPr>
        <w:t xml:space="preserve">engage </w:t>
      </w:r>
      <w:r w:rsidR="002E2ABD" w:rsidRPr="000325ED">
        <w:rPr>
          <w:sz w:val="24"/>
          <w:szCs w:val="24"/>
        </w:rPr>
        <w:t xml:space="preserve">in surveys. Furthermore, some staff may have left the profession causing a positive bias towards more resilient staff taking part in studies (Kinman </w:t>
      </w:r>
      <w:r w:rsidR="00FB3A6E" w:rsidRPr="00FB3A6E">
        <w:rPr>
          <w:i/>
          <w:sz w:val="24"/>
          <w:szCs w:val="24"/>
        </w:rPr>
        <w:t>et al.</w:t>
      </w:r>
      <w:r w:rsidR="002E2ABD" w:rsidRPr="000325ED">
        <w:rPr>
          <w:sz w:val="24"/>
          <w:szCs w:val="24"/>
        </w:rPr>
        <w:t>, 2020).</w:t>
      </w:r>
      <w:bookmarkStart w:id="26" w:name="_Hlk132628792"/>
      <w:bookmarkStart w:id="27" w:name="_Hlk132628735"/>
      <w:r w:rsidR="002E2ABD">
        <w:rPr>
          <w:sz w:val="24"/>
          <w:szCs w:val="24"/>
        </w:rPr>
        <w:t xml:space="preserve"> Regardless of these speculations, the impact of pressures academics face in the workplace was ubiquitously identified.</w:t>
      </w:r>
    </w:p>
    <w:p w14:paraId="7F942483" w14:textId="77777777" w:rsidR="002E2ABD" w:rsidRPr="00A06915" w:rsidRDefault="002E2ABD" w:rsidP="001D6B7E">
      <w:pPr>
        <w:rPr>
          <w:b/>
          <w:bCs/>
          <w:sz w:val="24"/>
          <w:szCs w:val="24"/>
        </w:rPr>
      </w:pPr>
      <w:r w:rsidRPr="00A06915">
        <w:rPr>
          <w:b/>
          <w:bCs/>
          <w:sz w:val="24"/>
          <w:szCs w:val="24"/>
        </w:rPr>
        <w:t>A compromised environ</w:t>
      </w:r>
    </w:p>
    <w:p w14:paraId="7149AFB8" w14:textId="3CCCFD06" w:rsidR="002E2ABD" w:rsidRDefault="002E2ABD" w:rsidP="005856A4">
      <w:pPr>
        <w:spacing w:line="360" w:lineRule="auto"/>
        <w:rPr>
          <w:sz w:val="24"/>
          <w:szCs w:val="24"/>
        </w:rPr>
      </w:pPr>
      <w:r w:rsidRPr="001D6B7E">
        <w:rPr>
          <w:sz w:val="24"/>
          <w:szCs w:val="24"/>
        </w:rPr>
        <w:t>Organisational settings have a substantial effect on our psychological well-</w:t>
      </w:r>
      <w:bookmarkStart w:id="28" w:name="_Hlk132630903"/>
      <w:r w:rsidRPr="001D6B7E">
        <w:rPr>
          <w:sz w:val="24"/>
          <w:szCs w:val="24"/>
        </w:rPr>
        <w:t>being (</w:t>
      </w:r>
      <w:r>
        <w:rPr>
          <w:sz w:val="24"/>
          <w:szCs w:val="24"/>
        </w:rPr>
        <w:t xml:space="preserve">Belloni </w:t>
      </w:r>
      <w:r w:rsidR="00FB3A6E" w:rsidRPr="00FB3A6E">
        <w:rPr>
          <w:i/>
          <w:sz w:val="24"/>
          <w:szCs w:val="24"/>
        </w:rPr>
        <w:t>et al.</w:t>
      </w:r>
      <w:r>
        <w:rPr>
          <w:sz w:val="24"/>
          <w:szCs w:val="24"/>
        </w:rPr>
        <w:t>, 2022)</w:t>
      </w:r>
      <w:r w:rsidRPr="001D6B7E">
        <w:rPr>
          <w:sz w:val="24"/>
          <w:szCs w:val="24"/>
        </w:rPr>
        <w:t>, and Fleming (2021) identifies that protective mechanisms are eroded when the boundaries between the self and work are breached</w:t>
      </w:r>
      <w:bookmarkEnd w:id="26"/>
      <w:bookmarkEnd w:id="27"/>
      <w:bookmarkEnd w:id="28"/>
      <w:r w:rsidRPr="001D6B7E">
        <w:rPr>
          <w:sz w:val="24"/>
          <w:szCs w:val="24"/>
        </w:rPr>
        <w:t xml:space="preserve">. </w:t>
      </w:r>
      <w:r w:rsidR="00AA633E">
        <w:rPr>
          <w:sz w:val="24"/>
          <w:szCs w:val="24"/>
        </w:rPr>
        <w:t xml:space="preserve">I take this to mean </w:t>
      </w:r>
      <w:r w:rsidRPr="001D6B7E">
        <w:rPr>
          <w:sz w:val="24"/>
          <w:szCs w:val="24"/>
        </w:rPr>
        <w:t xml:space="preserve">the boundaries of the teacher </w:t>
      </w:r>
      <w:r>
        <w:rPr>
          <w:sz w:val="24"/>
          <w:szCs w:val="24"/>
        </w:rPr>
        <w:t xml:space="preserve">role </w:t>
      </w:r>
      <w:r w:rsidRPr="001D6B7E">
        <w:rPr>
          <w:sz w:val="24"/>
          <w:szCs w:val="24"/>
        </w:rPr>
        <w:t xml:space="preserve">being impinged upon by </w:t>
      </w:r>
      <w:r>
        <w:rPr>
          <w:sz w:val="24"/>
          <w:szCs w:val="24"/>
        </w:rPr>
        <w:t xml:space="preserve">factors such as </w:t>
      </w:r>
      <w:r w:rsidRPr="001D6B7E">
        <w:rPr>
          <w:sz w:val="24"/>
          <w:szCs w:val="24"/>
        </w:rPr>
        <w:t xml:space="preserve">the inclusion of a mental health role. Lurking underneath these dynamics are drivers of </w:t>
      </w:r>
      <w:r>
        <w:rPr>
          <w:sz w:val="24"/>
          <w:szCs w:val="24"/>
        </w:rPr>
        <w:t xml:space="preserve">institutional and student-as-customer </w:t>
      </w:r>
      <w:r w:rsidRPr="001D6B7E">
        <w:rPr>
          <w:sz w:val="24"/>
          <w:szCs w:val="24"/>
        </w:rPr>
        <w:t>power</w:t>
      </w:r>
      <w:r>
        <w:rPr>
          <w:sz w:val="24"/>
          <w:szCs w:val="24"/>
        </w:rPr>
        <w:t xml:space="preserve"> which result in the teacher feeling more powerless</w:t>
      </w:r>
      <w:r w:rsidR="007B61AC">
        <w:rPr>
          <w:sz w:val="24"/>
          <w:szCs w:val="24"/>
        </w:rPr>
        <w:t>,</w:t>
      </w:r>
      <w:r>
        <w:rPr>
          <w:sz w:val="24"/>
          <w:szCs w:val="24"/>
        </w:rPr>
        <w:t xml:space="preserve"> </w:t>
      </w:r>
      <w:r w:rsidR="0053238B">
        <w:rPr>
          <w:sz w:val="24"/>
          <w:szCs w:val="24"/>
        </w:rPr>
        <w:t>which</w:t>
      </w:r>
      <w:r w:rsidR="004D02E6">
        <w:rPr>
          <w:sz w:val="24"/>
          <w:szCs w:val="24"/>
        </w:rPr>
        <w:t xml:space="preserve">, </w:t>
      </w:r>
      <w:r>
        <w:rPr>
          <w:sz w:val="24"/>
          <w:szCs w:val="24"/>
        </w:rPr>
        <w:t>according to Fleming (</w:t>
      </w:r>
      <w:r w:rsidR="00AB1ADC">
        <w:rPr>
          <w:sz w:val="24"/>
          <w:szCs w:val="24"/>
        </w:rPr>
        <w:t>ibid.</w:t>
      </w:r>
      <w:r>
        <w:rPr>
          <w:sz w:val="24"/>
          <w:szCs w:val="24"/>
        </w:rPr>
        <w:t>)</w:t>
      </w:r>
      <w:r w:rsidR="007D16A2">
        <w:rPr>
          <w:sz w:val="24"/>
          <w:szCs w:val="24"/>
        </w:rPr>
        <w:t xml:space="preserve"> </w:t>
      </w:r>
      <w:r>
        <w:rPr>
          <w:sz w:val="24"/>
          <w:szCs w:val="24"/>
        </w:rPr>
        <w:t>“</w:t>
      </w:r>
      <w:r w:rsidRPr="001D6B7E">
        <w:rPr>
          <w:sz w:val="24"/>
          <w:szCs w:val="24"/>
        </w:rPr>
        <w:t>slowly chips away at our psychic foundations” (p.91)</w:t>
      </w:r>
      <w:bookmarkStart w:id="29" w:name="_Hlk133152843"/>
      <w:r w:rsidR="000F365D">
        <w:rPr>
          <w:sz w:val="24"/>
          <w:szCs w:val="24"/>
        </w:rPr>
        <w:t xml:space="preserve">. </w:t>
      </w:r>
      <w:r w:rsidR="00614F70">
        <w:rPr>
          <w:sz w:val="24"/>
          <w:szCs w:val="24"/>
        </w:rPr>
        <w:t>When</w:t>
      </w:r>
      <w:r>
        <w:rPr>
          <w:sz w:val="24"/>
          <w:szCs w:val="24"/>
        </w:rPr>
        <w:t xml:space="preserve"> </w:t>
      </w:r>
      <w:r w:rsidR="00E755E8">
        <w:rPr>
          <w:sz w:val="24"/>
          <w:szCs w:val="24"/>
        </w:rPr>
        <w:t>feeling powerless</w:t>
      </w:r>
      <w:r>
        <w:rPr>
          <w:sz w:val="24"/>
          <w:szCs w:val="24"/>
        </w:rPr>
        <w:t xml:space="preserve">, the </w:t>
      </w:r>
      <w:r w:rsidRPr="001D6B7E">
        <w:rPr>
          <w:sz w:val="24"/>
          <w:szCs w:val="24"/>
        </w:rPr>
        <w:t>teachers</w:t>
      </w:r>
      <w:r>
        <w:rPr>
          <w:sz w:val="24"/>
          <w:szCs w:val="24"/>
        </w:rPr>
        <w:t xml:space="preserve">’ sense of their identity, </w:t>
      </w:r>
      <w:r w:rsidRPr="001D6B7E">
        <w:rPr>
          <w:sz w:val="24"/>
          <w:szCs w:val="24"/>
        </w:rPr>
        <w:t xml:space="preserve">personal </w:t>
      </w:r>
      <w:r>
        <w:rPr>
          <w:sz w:val="24"/>
          <w:szCs w:val="24"/>
        </w:rPr>
        <w:t>security</w:t>
      </w:r>
      <w:r w:rsidRPr="001D6B7E">
        <w:rPr>
          <w:sz w:val="24"/>
          <w:szCs w:val="24"/>
        </w:rPr>
        <w:t xml:space="preserve"> and confidence</w:t>
      </w:r>
      <w:bookmarkEnd w:id="29"/>
      <w:r>
        <w:rPr>
          <w:sz w:val="24"/>
          <w:szCs w:val="24"/>
        </w:rPr>
        <w:t xml:space="preserve"> are undermined.</w:t>
      </w:r>
    </w:p>
    <w:p w14:paraId="32E7290B" w14:textId="60454FAC" w:rsidR="002E2ABD" w:rsidRDefault="002E2ABD" w:rsidP="005856A4">
      <w:pPr>
        <w:spacing w:line="360" w:lineRule="auto"/>
        <w:rPr>
          <w:sz w:val="24"/>
          <w:szCs w:val="24"/>
        </w:rPr>
      </w:pPr>
      <w:r>
        <w:rPr>
          <w:sz w:val="24"/>
          <w:szCs w:val="24"/>
        </w:rPr>
        <w:t>Beyond tangible, e</w:t>
      </w:r>
      <w:r w:rsidRPr="001D6B7E">
        <w:rPr>
          <w:sz w:val="24"/>
          <w:szCs w:val="24"/>
        </w:rPr>
        <w:t>xternal threats</w:t>
      </w:r>
      <w:r>
        <w:rPr>
          <w:sz w:val="24"/>
          <w:szCs w:val="24"/>
        </w:rPr>
        <w:t xml:space="preserve">, </w:t>
      </w:r>
      <w:r w:rsidRPr="001D6B7E">
        <w:rPr>
          <w:sz w:val="24"/>
          <w:szCs w:val="24"/>
        </w:rPr>
        <w:t>internal turmoil associated with existential insecurity (Furedi, 2021)</w:t>
      </w:r>
      <w:r>
        <w:rPr>
          <w:sz w:val="24"/>
          <w:szCs w:val="24"/>
        </w:rPr>
        <w:t xml:space="preserve"> is increased </w:t>
      </w:r>
      <w:r w:rsidRPr="001D6B7E">
        <w:rPr>
          <w:sz w:val="24"/>
          <w:szCs w:val="24"/>
        </w:rPr>
        <w:t>by a culturally induced sense of helplessness</w:t>
      </w:r>
      <w:r>
        <w:rPr>
          <w:sz w:val="24"/>
          <w:szCs w:val="24"/>
        </w:rPr>
        <w:t>.</w:t>
      </w:r>
      <w:r w:rsidRPr="001D6B7E">
        <w:rPr>
          <w:sz w:val="24"/>
          <w:szCs w:val="24"/>
        </w:rPr>
        <w:t xml:space="preserve"> </w:t>
      </w:r>
      <w:r>
        <w:rPr>
          <w:sz w:val="24"/>
          <w:szCs w:val="24"/>
        </w:rPr>
        <w:t xml:space="preserve"> I</w:t>
      </w:r>
      <w:r w:rsidRPr="00CC732D">
        <w:rPr>
          <w:sz w:val="24"/>
          <w:szCs w:val="24"/>
        </w:rPr>
        <w:t xml:space="preserve">n the face of job insecurity and lack of support </w:t>
      </w:r>
      <w:r>
        <w:rPr>
          <w:sz w:val="24"/>
          <w:szCs w:val="24"/>
        </w:rPr>
        <w:t>perhaps existential insecurity</w:t>
      </w:r>
      <w:r w:rsidR="00065DAD">
        <w:rPr>
          <w:sz w:val="24"/>
          <w:szCs w:val="24"/>
        </w:rPr>
        <w:t>, powerlessness and</w:t>
      </w:r>
      <w:r>
        <w:rPr>
          <w:sz w:val="24"/>
          <w:szCs w:val="24"/>
        </w:rPr>
        <w:t xml:space="preserve"> vulnerability are predictable responses to an environment and culture that is experienced as unsupportive. </w:t>
      </w:r>
      <w:r w:rsidRPr="007C4F61">
        <w:rPr>
          <w:sz w:val="24"/>
          <w:szCs w:val="24"/>
        </w:rPr>
        <w:t>Halvorsen (in Po</w:t>
      </w:r>
      <w:r>
        <w:rPr>
          <w:sz w:val="24"/>
          <w:szCs w:val="24"/>
        </w:rPr>
        <w:t>i</w:t>
      </w:r>
      <w:r w:rsidRPr="007C4F61">
        <w:rPr>
          <w:sz w:val="24"/>
          <w:szCs w:val="24"/>
        </w:rPr>
        <w:t xml:space="preserve">nton, 2014) observed that some institutions </w:t>
      </w:r>
      <w:r>
        <w:rPr>
          <w:sz w:val="24"/>
          <w:szCs w:val="24"/>
        </w:rPr>
        <w:t xml:space="preserve">compromise </w:t>
      </w:r>
      <w:r w:rsidRPr="007C4F61">
        <w:rPr>
          <w:sz w:val="24"/>
          <w:szCs w:val="24"/>
        </w:rPr>
        <w:t xml:space="preserve">on investment in support structures for staff and </w:t>
      </w:r>
      <w:r>
        <w:rPr>
          <w:sz w:val="24"/>
          <w:szCs w:val="24"/>
        </w:rPr>
        <w:t xml:space="preserve">are instead </w:t>
      </w:r>
      <w:r w:rsidRPr="007C4F61">
        <w:rPr>
          <w:sz w:val="24"/>
          <w:szCs w:val="24"/>
        </w:rPr>
        <w:t xml:space="preserve">prioritising </w:t>
      </w:r>
      <w:r>
        <w:rPr>
          <w:sz w:val="24"/>
          <w:szCs w:val="24"/>
        </w:rPr>
        <w:t xml:space="preserve">fiscally driven </w:t>
      </w:r>
      <w:r w:rsidRPr="007C4F61">
        <w:rPr>
          <w:sz w:val="24"/>
          <w:szCs w:val="24"/>
        </w:rPr>
        <w:t>business needs. The cost of providing mental health interventions is counterintuitive in a business clime</w:t>
      </w:r>
      <w:r>
        <w:rPr>
          <w:sz w:val="24"/>
          <w:szCs w:val="24"/>
        </w:rPr>
        <w:t xml:space="preserve"> and </w:t>
      </w:r>
      <w:r w:rsidRPr="00C01B2D">
        <w:rPr>
          <w:sz w:val="24"/>
          <w:szCs w:val="24"/>
        </w:rPr>
        <w:t>there is a paucity of evidence for the effectiveness and validity of specific mental well-being interventions</w:t>
      </w:r>
      <w:r w:rsidRPr="007C4F61">
        <w:rPr>
          <w:sz w:val="24"/>
          <w:szCs w:val="24"/>
        </w:rPr>
        <w:t xml:space="preserve">. Despite resources </w:t>
      </w:r>
      <w:r>
        <w:rPr>
          <w:sz w:val="24"/>
          <w:szCs w:val="24"/>
        </w:rPr>
        <w:t xml:space="preserve">suggested by </w:t>
      </w:r>
      <w:r w:rsidR="000A487A">
        <w:rPr>
          <w:sz w:val="24"/>
          <w:szCs w:val="24"/>
        </w:rPr>
        <w:t>a</w:t>
      </w:r>
      <w:r w:rsidRPr="007C4F61">
        <w:rPr>
          <w:sz w:val="24"/>
          <w:szCs w:val="24"/>
        </w:rPr>
        <w:t xml:space="preserve"> </w:t>
      </w:r>
      <w:r w:rsidRPr="007C4F61">
        <w:rPr>
          <w:i/>
          <w:iCs/>
          <w:sz w:val="24"/>
          <w:szCs w:val="24"/>
        </w:rPr>
        <w:t xml:space="preserve">Workplace </w:t>
      </w:r>
      <w:r>
        <w:rPr>
          <w:i/>
          <w:iCs/>
          <w:sz w:val="24"/>
          <w:szCs w:val="24"/>
        </w:rPr>
        <w:t>Well-being</w:t>
      </w:r>
      <w:r w:rsidRPr="007C4F61">
        <w:rPr>
          <w:i/>
          <w:iCs/>
          <w:sz w:val="24"/>
          <w:szCs w:val="24"/>
        </w:rPr>
        <w:t xml:space="preserve"> Index Insights 2021/22</w:t>
      </w:r>
      <w:r w:rsidRPr="007C4F61">
        <w:rPr>
          <w:sz w:val="24"/>
          <w:szCs w:val="24"/>
        </w:rPr>
        <w:t xml:space="preserve"> report</w:t>
      </w:r>
      <w:r>
        <w:rPr>
          <w:sz w:val="24"/>
          <w:szCs w:val="24"/>
        </w:rPr>
        <w:t xml:space="preserve"> (Mind, 2021)</w:t>
      </w:r>
      <w:r w:rsidRPr="007C4F61">
        <w:rPr>
          <w:sz w:val="24"/>
          <w:szCs w:val="24"/>
        </w:rPr>
        <w:t xml:space="preserve">, staff well-being support </w:t>
      </w:r>
      <w:r>
        <w:rPr>
          <w:sz w:val="24"/>
          <w:szCs w:val="24"/>
        </w:rPr>
        <w:t xml:space="preserve">provision </w:t>
      </w:r>
      <w:r w:rsidRPr="007C4F61">
        <w:rPr>
          <w:sz w:val="24"/>
          <w:szCs w:val="24"/>
        </w:rPr>
        <w:t>across the HE sector is inconsistent.</w:t>
      </w:r>
      <w:r w:rsidRPr="00EC7EFD">
        <w:rPr>
          <w:color w:val="EE0000"/>
          <w:sz w:val="24"/>
          <w:szCs w:val="24"/>
        </w:rPr>
        <w:t xml:space="preserve"> </w:t>
      </w:r>
      <w:r w:rsidRPr="00EC7EFD">
        <w:rPr>
          <w:sz w:val="24"/>
          <w:szCs w:val="24"/>
        </w:rPr>
        <w:t xml:space="preserve">While there is a </w:t>
      </w:r>
      <w:r w:rsidR="00E47F62">
        <w:rPr>
          <w:sz w:val="24"/>
          <w:szCs w:val="24"/>
        </w:rPr>
        <w:t xml:space="preserve">student </w:t>
      </w:r>
      <w:r w:rsidRPr="00EC7EFD">
        <w:rPr>
          <w:sz w:val="24"/>
          <w:szCs w:val="24"/>
        </w:rPr>
        <w:t>mental health charter</w:t>
      </w:r>
      <w:r w:rsidR="00E47F62">
        <w:rPr>
          <w:sz w:val="24"/>
          <w:szCs w:val="24"/>
        </w:rPr>
        <w:t xml:space="preserve"> </w:t>
      </w:r>
      <w:r w:rsidRPr="00EC7EFD">
        <w:rPr>
          <w:sz w:val="24"/>
          <w:szCs w:val="24"/>
        </w:rPr>
        <w:t xml:space="preserve">(Hughes and Spanner, </w:t>
      </w:r>
      <w:r w:rsidRPr="00EC7EFD">
        <w:rPr>
          <w:sz w:val="24"/>
          <w:szCs w:val="24"/>
        </w:rPr>
        <w:lastRenderedPageBreak/>
        <w:t xml:space="preserve">2019), a standalone mental health charter for teachers does not exist. Only four pages </w:t>
      </w:r>
      <w:r w:rsidR="00285A85">
        <w:rPr>
          <w:sz w:val="24"/>
          <w:szCs w:val="24"/>
        </w:rPr>
        <w:t>out of the 118 page</w:t>
      </w:r>
      <w:r w:rsidR="005B1CF7">
        <w:rPr>
          <w:sz w:val="24"/>
          <w:szCs w:val="24"/>
        </w:rPr>
        <w:t xml:space="preserve">-long </w:t>
      </w:r>
      <w:r w:rsidRPr="00EC7EFD">
        <w:rPr>
          <w:sz w:val="24"/>
          <w:szCs w:val="24"/>
        </w:rPr>
        <w:t>charter acknowledge the importance of staff well-being</w:t>
      </w:r>
      <w:r w:rsidR="001C7C55">
        <w:rPr>
          <w:sz w:val="24"/>
          <w:szCs w:val="24"/>
        </w:rPr>
        <w:t xml:space="preserve"> (</w:t>
      </w:r>
      <w:r w:rsidR="00AB1ADC">
        <w:rPr>
          <w:sz w:val="24"/>
          <w:szCs w:val="24"/>
        </w:rPr>
        <w:t>ibid.</w:t>
      </w:r>
      <w:r w:rsidR="001C7C55">
        <w:rPr>
          <w:sz w:val="24"/>
          <w:szCs w:val="24"/>
        </w:rPr>
        <w:t>)</w:t>
      </w:r>
      <w:r>
        <w:rPr>
          <w:sz w:val="24"/>
          <w:szCs w:val="24"/>
        </w:rPr>
        <w:t>.</w:t>
      </w:r>
      <w:r w:rsidRPr="00EC7EFD">
        <w:rPr>
          <w:sz w:val="24"/>
          <w:szCs w:val="24"/>
        </w:rPr>
        <w:t xml:space="preserve"> </w:t>
      </w:r>
    </w:p>
    <w:p w14:paraId="691E66EE" w14:textId="4B217F77" w:rsidR="002E2ABD" w:rsidRDefault="002E2ABD" w:rsidP="005856A4">
      <w:pPr>
        <w:spacing w:line="360" w:lineRule="auto"/>
        <w:rPr>
          <w:sz w:val="24"/>
          <w:szCs w:val="24"/>
        </w:rPr>
      </w:pPr>
      <w:r w:rsidRPr="007C4F61">
        <w:rPr>
          <w:sz w:val="24"/>
          <w:szCs w:val="24"/>
        </w:rPr>
        <w:t>In the current culture a supportive working environment may be a rhetorical ideal</w:t>
      </w:r>
      <w:r>
        <w:rPr>
          <w:sz w:val="24"/>
          <w:szCs w:val="24"/>
        </w:rPr>
        <w:t xml:space="preserve">. </w:t>
      </w:r>
      <w:r w:rsidRPr="00F378F2">
        <w:rPr>
          <w:sz w:val="24"/>
          <w:szCs w:val="24"/>
        </w:rPr>
        <w:t>A healthy working environment enables open conversations about mental health experiences without fear of judgement or negative consequences</w:t>
      </w:r>
      <w:r>
        <w:rPr>
          <w:sz w:val="24"/>
          <w:szCs w:val="24"/>
        </w:rPr>
        <w:t xml:space="preserve"> </w:t>
      </w:r>
      <w:r w:rsidRPr="00F378F2">
        <w:rPr>
          <w:sz w:val="24"/>
          <w:szCs w:val="24"/>
        </w:rPr>
        <w:t>(O’Brien and Guiney, 2018</w:t>
      </w:r>
      <w:r>
        <w:rPr>
          <w:sz w:val="24"/>
          <w:szCs w:val="24"/>
        </w:rPr>
        <w:t xml:space="preserve">; </w:t>
      </w:r>
      <w:r w:rsidRPr="00300058">
        <w:rPr>
          <w:sz w:val="24"/>
          <w:szCs w:val="24"/>
        </w:rPr>
        <w:t>Stevenson and Farmer, 2017</w:t>
      </w:r>
      <w:r>
        <w:rPr>
          <w:sz w:val="24"/>
          <w:szCs w:val="24"/>
        </w:rPr>
        <w:t>)</w:t>
      </w:r>
      <w:r w:rsidRPr="00F378F2">
        <w:rPr>
          <w:sz w:val="24"/>
          <w:szCs w:val="24"/>
        </w:rPr>
        <w:t>.</w:t>
      </w:r>
      <w:r>
        <w:rPr>
          <w:sz w:val="24"/>
          <w:szCs w:val="24"/>
        </w:rPr>
        <w:t xml:space="preserve"> </w:t>
      </w:r>
      <w:r w:rsidRPr="001D6B7E">
        <w:rPr>
          <w:sz w:val="24"/>
          <w:szCs w:val="24"/>
        </w:rPr>
        <w:t xml:space="preserve">A healthy culture and specific </w:t>
      </w:r>
      <w:r>
        <w:rPr>
          <w:sz w:val="24"/>
          <w:szCs w:val="24"/>
        </w:rPr>
        <w:t xml:space="preserve">practice </w:t>
      </w:r>
      <w:r w:rsidRPr="001D6B7E">
        <w:rPr>
          <w:sz w:val="24"/>
          <w:szCs w:val="24"/>
        </w:rPr>
        <w:t xml:space="preserve">structures </w:t>
      </w:r>
      <w:r>
        <w:rPr>
          <w:sz w:val="24"/>
          <w:szCs w:val="24"/>
        </w:rPr>
        <w:t xml:space="preserve">are </w:t>
      </w:r>
      <w:r w:rsidRPr="001D6B7E">
        <w:rPr>
          <w:sz w:val="24"/>
          <w:szCs w:val="24"/>
        </w:rPr>
        <w:t>recommended to ensure managers support good well-being and respond appropriately to staff experiencing poor mental health</w:t>
      </w:r>
      <w:r>
        <w:rPr>
          <w:sz w:val="24"/>
          <w:szCs w:val="24"/>
        </w:rPr>
        <w:t xml:space="preserve"> (</w:t>
      </w:r>
      <w:r w:rsidR="00AB1ADC">
        <w:rPr>
          <w:sz w:val="24"/>
          <w:szCs w:val="24"/>
        </w:rPr>
        <w:t>ibid.</w:t>
      </w:r>
      <w:r>
        <w:rPr>
          <w:sz w:val="24"/>
          <w:szCs w:val="24"/>
        </w:rPr>
        <w:t>)</w:t>
      </w:r>
      <w:r w:rsidRPr="001D6B7E">
        <w:rPr>
          <w:sz w:val="24"/>
          <w:szCs w:val="24"/>
        </w:rPr>
        <w:t xml:space="preserve">. </w:t>
      </w:r>
      <w:r w:rsidRPr="00AB0E36">
        <w:rPr>
          <w:sz w:val="24"/>
          <w:szCs w:val="24"/>
        </w:rPr>
        <w:t>Managers have a moral duty to emotionally support their staff and</w:t>
      </w:r>
      <w:r w:rsidR="00942B40">
        <w:rPr>
          <w:sz w:val="24"/>
          <w:szCs w:val="24"/>
        </w:rPr>
        <w:t>,</w:t>
      </w:r>
      <w:r w:rsidRPr="00AB0E36">
        <w:rPr>
          <w:sz w:val="24"/>
          <w:szCs w:val="24"/>
        </w:rPr>
        <w:t xml:space="preserve"> given the findings of Wray and Kinman (2021)</w:t>
      </w:r>
      <w:r w:rsidR="00942B40">
        <w:rPr>
          <w:sz w:val="24"/>
          <w:szCs w:val="24"/>
        </w:rPr>
        <w:t xml:space="preserve">, </w:t>
      </w:r>
      <w:r w:rsidRPr="00AB0E36">
        <w:rPr>
          <w:sz w:val="24"/>
          <w:szCs w:val="24"/>
        </w:rPr>
        <w:t>this may be a procedural utility rather than an actuality</w:t>
      </w:r>
      <w:r w:rsidRPr="00021F0A">
        <w:rPr>
          <w:sz w:val="24"/>
          <w:szCs w:val="24"/>
        </w:rPr>
        <w:t xml:space="preserve"> if the general culture of the university does not prioritise well-being (Hughes and Spanner, 2019). </w:t>
      </w:r>
      <w:r>
        <w:rPr>
          <w:sz w:val="24"/>
          <w:szCs w:val="24"/>
        </w:rPr>
        <w:t>S</w:t>
      </w:r>
      <w:r w:rsidRPr="007178CD">
        <w:rPr>
          <w:sz w:val="24"/>
          <w:szCs w:val="24"/>
        </w:rPr>
        <w:t xml:space="preserve">ystemic self-preservation dynamics in the neoliberal clime </w:t>
      </w:r>
      <w:r>
        <w:rPr>
          <w:sz w:val="24"/>
          <w:szCs w:val="24"/>
        </w:rPr>
        <w:t xml:space="preserve">may further </w:t>
      </w:r>
      <w:r w:rsidRPr="007178CD">
        <w:rPr>
          <w:sz w:val="24"/>
          <w:szCs w:val="24"/>
        </w:rPr>
        <w:t xml:space="preserve">hinder action beyond generic and declarative mission statements of care. </w:t>
      </w:r>
      <w:r w:rsidRPr="00F76C7A">
        <w:rPr>
          <w:sz w:val="24"/>
          <w:szCs w:val="24"/>
        </w:rPr>
        <w:t xml:space="preserve">As Beale (2022) attests: </w:t>
      </w:r>
      <w:r>
        <w:rPr>
          <w:sz w:val="24"/>
          <w:szCs w:val="24"/>
        </w:rPr>
        <w:t>“</w:t>
      </w:r>
      <w:r w:rsidRPr="00F76C7A">
        <w:rPr>
          <w:sz w:val="24"/>
          <w:szCs w:val="24"/>
        </w:rPr>
        <w:t xml:space="preserve">Moral judgement and focus on self-preservation are both ways in which we make the case for denying people care” (p.17). </w:t>
      </w:r>
      <w:r>
        <w:rPr>
          <w:sz w:val="24"/>
          <w:szCs w:val="24"/>
        </w:rPr>
        <w:t>There is clearly a disparity in the phenomenology of how the university appears and how it behaves (Ahmed, 2021).</w:t>
      </w:r>
    </w:p>
    <w:p w14:paraId="6C1050A3" w14:textId="62A6B7A5" w:rsidR="00E46920" w:rsidRPr="001F227C" w:rsidRDefault="002E2ABD" w:rsidP="001F227C">
      <w:pPr>
        <w:spacing w:line="360" w:lineRule="auto"/>
        <w:rPr>
          <w:sz w:val="24"/>
          <w:szCs w:val="24"/>
        </w:rPr>
      </w:pPr>
      <w:r w:rsidRPr="001D6B7E">
        <w:rPr>
          <w:sz w:val="24"/>
          <w:szCs w:val="24"/>
        </w:rPr>
        <w:t xml:space="preserve">In the light of findings thus far, </w:t>
      </w:r>
      <w:r>
        <w:rPr>
          <w:sz w:val="24"/>
          <w:szCs w:val="24"/>
        </w:rPr>
        <w:t>there is a need for teachers to attend to the student’s mental health concerns which, alongside other contextual and operational pressures may</w:t>
      </w:r>
      <w:r w:rsidRPr="00233DFA">
        <w:rPr>
          <w:sz w:val="24"/>
          <w:szCs w:val="24"/>
        </w:rPr>
        <w:t xml:space="preserve"> render them in emotionally precarious positions</w:t>
      </w:r>
      <w:r>
        <w:rPr>
          <w:sz w:val="24"/>
          <w:szCs w:val="24"/>
        </w:rPr>
        <w:t>. T</w:t>
      </w:r>
      <w:r w:rsidRPr="00B62F30">
        <w:rPr>
          <w:sz w:val="24"/>
          <w:szCs w:val="24"/>
        </w:rPr>
        <w:t>eacher</w:t>
      </w:r>
      <w:r>
        <w:rPr>
          <w:sz w:val="24"/>
          <w:szCs w:val="24"/>
        </w:rPr>
        <w:t>s</w:t>
      </w:r>
      <w:r w:rsidRPr="00B62F30">
        <w:rPr>
          <w:sz w:val="24"/>
          <w:szCs w:val="24"/>
        </w:rPr>
        <w:t xml:space="preserve"> </w:t>
      </w:r>
      <w:r>
        <w:rPr>
          <w:sz w:val="24"/>
          <w:szCs w:val="24"/>
        </w:rPr>
        <w:t>are</w:t>
      </w:r>
      <w:r w:rsidRPr="00B62F30">
        <w:rPr>
          <w:sz w:val="24"/>
          <w:szCs w:val="24"/>
        </w:rPr>
        <w:t xml:space="preserve"> </w:t>
      </w:r>
      <w:r>
        <w:rPr>
          <w:sz w:val="24"/>
          <w:szCs w:val="24"/>
        </w:rPr>
        <w:t xml:space="preserve">increasingly </w:t>
      </w:r>
      <w:r w:rsidRPr="00B62F30">
        <w:rPr>
          <w:sz w:val="24"/>
          <w:szCs w:val="24"/>
        </w:rPr>
        <w:t>supporting the</w:t>
      </w:r>
      <w:r>
        <w:rPr>
          <w:sz w:val="24"/>
          <w:szCs w:val="24"/>
        </w:rPr>
        <w:t>ir students</w:t>
      </w:r>
      <w:r w:rsidRPr="00B62F30">
        <w:rPr>
          <w:sz w:val="24"/>
          <w:szCs w:val="24"/>
        </w:rPr>
        <w:t xml:space="preserve"> </w:t>
      </w:r>
      <w:r w:rsidR="004666DF">
        <w:rPr>
          <w:sz w:val="24"/>
          <w:szCs w:val="24"/>
        </w:rPr>
        <w:t>pastorall</w:t>
      </w:r>
      <w:r w:rsidR="00B62782">
        <w:rPr>
          <w:sz w:val="24"/>
          <w:szCs w:val="24"/>
        </w:rPr>
        <w:t>y</w:t>
      </w:r>
      <w:r w:rsidRPr="00B62F30">
        <w:rPr>
          <w:sz w:val="24"/>
          <w:szCs w:val="24"/>
        </w:rPr>
        <w:t xml:space="preserve"> </w:t>
      </w:r>
      <w:r w:rsidRPr="00F87878">
        <w:rPr>
          <w:i/>
          <w:iCs/>
          <w:sz w:val="24"/>
          <w:szCs w:val="24"/>
        </w:rPr>
        <w:t>and</w:t>
      </w:r>
      <w:r w:rsidRPr="00B62F30">
        <w:rPr>
          <w:sz w:val="24"/>
          <w:szCs w:val="24"/>
        </w:rPr>
        <w:t xml:space="preserve"> academically, </w:t>
      </w:r>
      <w:r>
        <w:rPr>
          <w:sz w:val="24"/>
          <w:szCs w:val="24"/>
        </w:rPr>
        <w:t xml:space="preserve">and </w:t>
      </w:r>
      <w:r w:rsidRPr="00B62F30">
        <w:rPr>
          <w:sz w:val="24"/>
          <w:szCs w:val="24"/>
        </w:rPr>
        <w:t>the context</w:t>
      </w:r>
      <w:r>
        <w:rPr>
          <w:sz w:val="24"/>
          <w:szCs w:val="24"/>
        </w:rPr>
        <w:t xml:space="preserve"> </w:t>
      </w:r>
      <w:r w:rsidRPr="00233DFA">
        <w:rPr>
          <w:sz w:val="24"/>
          <w:szCs w:val="24"/>
        </w:rPr>
        <w:t xml:space="preserve">support response </w:t>
      </w:r>
      <w:r>
        <w:rPr>
          <w:sz w:val="24"/>
          <w:szCs w:val="24"/>
        </w:rPr>
        <w:t xml:space="preserve">for teachers </w:t>
      </w:r>
      <w:r w:rsidRPr="00233DFA">
        <w:rPr>
          <w:sz w:val="24"/>
          <w:szCs w:val="24"/>
        </w:rPr>
        <w:t xml:space="preserve">is predominantly a procedural one. </w:t>
      </w:r>
      <w:r w:rsidRPr="001D6B7E">
        <w:rPr>
          <w:sz w:val="24"/>
          <w:szCs w:val="24"/>
        </w:rPr>
        <w:t>In the words of Winnicott (1965): “The development of the self may involve a sophisticated game of hide and seek in which it is a joy to be hidden but a disaster not to be found” (p.183), and the current well-being provision for university teachers is neither finding nor supporting the teacher</w:t>
      </w:r>
      <w:r>
        <w:rPr>
          <w:sz w:val="24"/>
          <w:szCs w:val="24"/>
        </w:rPr>
        <w:t>, emotionally</w:t>
      </w:r>
      <w:r w:rsidRPr="001D6B7E">
        <w:rPr>
          <w:sz w:val="24"/>
          <w:szCs w:val="24"/>
        </w:rPr>
        <w:t xml:space="preserve">. It is to </w:t>
      </w:r>
      <w:r>
        <w:rPr>
          <w:sz w:val="24"/>
          <w:szCs w:val="24"/>
        </w:rPr>
        <w:t>this gap</w:t>
      </w:r>
      <w:r w:rsidRPr="001D6B7E">
        <w:rPr>
          <w:sz w:val="24"/>
          <w:szCs w:val="24"/>
        </w:rPr>
        <w:t xml:space="preserve"> that I turn my attention next.</w:t>
      </w:r>
    </w:p>
    <w:p w14:paraId="48814BD6" w14:textId="39DA7A29" w:rsidR="002E2ABD" w:rsidRPr="0086463F" w:rsidRDefault="002E2ABD" w:rsidP="001D6B7E">
      <w:pPr>
        <w:rPr>
          <w:b/>
          <w:bCs/>
          <w:sz w:val="24"/>
          <w:szCs w:val="24"/>
        </w:rPr>
      </w:pPr>
      <w:r w:rsidRPr="0086463F">
        <w:rPr>
          <w:b/>
          <w:bCs/>
          <w:sz w:val="24"/>
          <w:szCs w:val="24"/>
        </w:rPr>
        <w:t>Lacks in well-being provision</w:t>
      </w:r>
      <w:r>
        <w:rPr>
          <w:b/>
          <w:bCs/>
          <w:sz w:val="24"/>
          <w:szCs w:val="24"/>
        </w:rPr>
        <w:t xml:space="preserve"> for</w:t>
      </w:r>
      <w:r w:rsidR="0013302C">
        <w:rPr>
          <w:b/>
          <w:bCs/>
          <w:sz w:val="24"/>
          <w:szCs w:val="24"/>
        </w:rPr>
        <w:t xml:space="preserve"> HE</w:t>
      </w:r>
      <w:r>
        <w:rPr>
          <w:b/>
          <w:bCs/>
          <w:sz w:val="24"/>
          <w:szCs w:val="24"/>
        </w:rPr>
        <w:t xml:space="preserve"> staff</w:t>
      </w:r>
    </w:p>
    <w:p w14:paraId="23472976" w14:textId="6113812B" w:rsidR="002E2ABD" w:rsidRDefault="002E2ABD" w:rsidP="00FF0DB7">
      <w:pPr>
        <w:spacing w:line="360" w:lineRule="auto"/>
        <w:rPr>
          <w:sz w:val="24"/>
          <w:szCs w:val="24"/>
        </w:rPr>
      </w:pPr>
      <w:r>
        <w:rPr>
          <w:sz w:val="24"/>
          <w:szCs w:val="24"/>
        </w:rPr>
        <w:t>U</w:t>
      </w:r>
      <w:r w:rsidRPr="00E8624A">
        <w:rPr>
          <w:sz w:val="24"/>
          <w:szCs w:val="24"/>
        </w:rPr>
        <w:t xml:space="preserve">niversities </w:t>
      </w:r>
      <w:r>
        <w:rPr>
          <w:sz w:val="24"/>
          <w:szCs w:val="24"/>
        </w:rPr>
        <w:t xml:space="preserve">must </w:t>
      </w:r>
      <w:r w:rsidRPr="00E8624A">
        <w:rPr>
          <w:sz w:val="24"/>
          <w:szCs w:val="24"/>
        </w:rPr>
        <w:t xml:space="preserve">ensure </w:t>
      </w:r>
      <w:r>
        <w:rPr>
          <w:sz w:val="24"/>
          <w:szCs w:val="24"/>
        </w:rPr>
        <w:t xml:space="preserve">that </w:t>
      </w:r>
      <w:r w:rsidRPr="00E8624A">
        <w:rPr>
          <w:sz w:val="24"/>
          <w:szCs w:val="24"/>
        </w:rPr>
        <w:t>all staff are prepared and supported to respond appropriately to presentations of poor mental health</w:t>
      </w:r>
      <w:r>
        <w:rPr>
          <w:sz w:val="24"/>
          <w:szCs w:val="24"/>
        </w:rPr>
        <w:t xml:space="preserve"> in students (Hughes and Spanner, 2019). It was recommended that</w:t>
      </w:r>
      <w:r w:rsidRPr="00E8624A">
        <w:rPr>
          <w:sz w:val="24"/>
          <w:szCs w:val="24"/>
        </w:rPr>
        <w:t xml:space="preserve"> staff have space to develop through reflection and support from others</w:t>
      </w:r>
      <w:r>
        <w:rPr>
          <w:sz w:val="24"/>
          <w:szCs w:val="24"/>
        </w:rPr>
        <w:t xml:space="preserve"> within teams and with peers, and to receive </w:t>
      </w:r>
      <w:r w:rsidRPr="00E8624A">
        <w:rPr>
          <w:sz w:val="24"/>
          <w:szCs w:val="24"/>
        </w:rPr>
        <w:t>support such as counselling</w:t>
      </w:r>
      <w:r>
        <w:rPr>
          <w:sz w:val="24"/>
          <w:szCs w:val="24"/>
        </w:rPr>
        <w:t xml:space="preserve"> (</w:t>
      </w:r>
      <w:r w:rsidR="00AB1ADC">
        <w:rPr>
          <w:sz w:val="24"/>
          <w:szCs w:val="24"/>
        </w:rPr>
        <w:t>ibid.</w:t>
      </w:r>
      <w:r>
        <w:rPr>
          <w:sz w:val="24"/>
          <w:szCs w:val="24"/>
        </w:rPr>
        <w:t>)</w:t>
      </w:r>
      <w:r w:rsidRPr="00E8624A">
        <w:rPr>
          <w:sz w:val="24"/>
          <w:szCs w:val="24"/>
        </w:rPr>
        <w:t>.</w:t>
      </w:r>
      <w:r w:rsidRPr="0047710E">
        <w:rPr>
          <w:sz w:val="24"/>
          <w:szCs w:val="24"/>
        </w:rPr>
        <w:t xml:space="preserve"> </w:t>
      </w:r>
      <w:r w:rsidRPr="00E8624A">
        <w:rPr>
          <w:sz w:val="24"/>
          <w:szCs w:val="24"/>
        </w:rPr>
        <w:t xml:space="preserve">Burgess </w:t>
      </w:r>
      <w:r w:rsidR="00FB3A6E" w:rsidRPr="00FB3A6E">
        <w:rPr>
          <w:i/>
          <w:sz w:val="24"/>
          <w:szCs w:val="24"/>
        </w:rPr>
        <w:t>et al.</w:t>
      </w:r>
      <w:r>
        <w:rPr>
          <w:sz w:val="24"/>
          <w:szCs w:val="24"/>
        </w:rPr>
        <w:t xml:space="preserve"> </w:t>
      </w:r>
      <w:r w:rsidRPr="00E8624A">
        <w:rPr>
          <w:sz w:val="24"/>
          <w:szCs w:val="24"/>
        </w:rPr>
        <w:t xml:space="preserve">(2012) believe there is a need for more funding for counselling, staff training and mental </w:t>
      </w:r>
      <w:r w:rsidRPr="00E8624A">
        <w:rPr>
          <w:sz w:val="24"/>
          <w:szCs w:val="24"/>
        </w:rPr>
        <w:lastRenderedPageBreak/>
        <w:t>health</w:t>
      </w:r>
      <w:r w:rsidR="00415197">
        <w:rPr>
          <w:sz w:val="24"/>
          <w:szCs w:val="24"/>
        </w:rPr>
        <w:t>,</w:t>
      </w:r>
      <w:r>
        <w:rPr>
          <w:sz w:val="24"/>
          <w:szCs w:val="24"/>
        </w:rPr>
        <w:t xml:space="preserve"> and the sector would be better served if c</w:t>
      </w:r>
      <w:r w:rsidRPr="00E8624A">
        <w:rPr>
          <w:sz w:val="24"/>
          <w:szCs w:val="24"/>
        </w:rPr>
        <w:t xml:space="preserve">ounselling services </w:t>
      </w:r>
      <w:r>
        <w:rPr>
          <w:sz w:val="24"/>
          <w:szCs w:val="24"/>
        </w:rPr>
        <w:t xml:space="preserve">were acknowledged and valued more </w:t>
      </w:r>
      <w:r w:rsidRPr="00E8624A">
        <w:rPr>
          <w:sz w:val="24"/>
          <w:szCs w:val="24"/>
        </w:rPr>
        <w:t>(</w:t>
      </w:r>
      <w:r w:rsidRPr="00546BA5">
        <w:rPr>
          <w:sz w:val="24"/>
          <w:szCs w:val="24"/>
        </w:rPr>
        <w:t>Callow in Pointon, 2014</w:t>
      </w:r>
      <w:r w:rsidRPr="00E8624A">
        <w:rPr>
          <w:sz w:val="24"/>
          <w:szCs w:val="24"/>
        </w:rPr>
        <w:t>). The practice of sending an individual employee, brave enough to admit to bending under the surfeit of duress</w:t>
      </w:r>
      <w:r>
        <w:rPr>
          <w:sz w:val="24"/>
          <w:szCs w:val="24"/>
        </w:rPr>
        <w:t xml:space="preserve"> to well-being services or a yoga class</w:t>
      </w:r>
      <w:r w:rsidRPr="00E8624A">
        <w:rPr>
          <w:sz w:val="24"/>
          <w:szCs w:val="24"/>
        </w:rPr>
        <w:t>, no longer works, yet still endures</w:t>
      </w:r>
      <w:r>
        <w:rPr>
          <w:sz w:val="24"/>
          <w:szCs w:val="24"/>
        </w:rPr>
        <w:t>, as do the underlying causes of duress</w:t>
      </w:r>
      <w:r w:rsidR="002C2E60">
        <w:rPr>
          <w:sz w:val="24"/>
          <w:szCs w:val="24"/>
        </w:rPr>
        <w:t xml:space="preserve"> (Schultz, 2022</w:t>
      </w:r>
      <w:r w:rsidR="002E3A99">
        <w:rPr>
          <w:sz w:val="24"/>
          <w:szCs w:val="24"/>
        </w:rPr>
        <w:t>a</w:t>
      </w:r>
      <w:r w:rsidR="002C2E60">
        <w:rPr>
          <w:sz w:val="24"/>
          <w:szCs w:val="24"/>
        </w:rPr>
        <w:t>)</w:t>
      </w:r>
      <w:r>
        <w:rPr>
          <w:sz w:val="24"/>
          <w:szCs w:val="24"/>
        </w:rPr>
        <w:t>.</w:t>
      </w:r>
    </w:p>
    <w:p w14:paraId="7C0E49BD" w14:textId="738E8326" w:rsidR="002E2ABD" w:rsidRDefault="002E2ABD" w:rsidP="00FF0DB7">
      <w:pPr>
        <w:spacing w:line="360" w:lineRule="auto"/>
        <w:rPr>
          <w:sz w:val="24"/>
          <w:szCs w:val="24"/>
        </w:rPr>
      </w:pPr>
      <w:r>
        <w:rPr>
          <w:sz w:val="24"/>
          <w:szCs w:val="24"/>
        </w:rPr>
        <w:t>W</w:t>
      </w:r>
      <w:r w:rsidRPr="009B5298">
        <w:rPr>
          <w:sz w:val="24"/>
          <w:szCs w:val="24"/>
        </w:rPr>
        <w:t>ell-being provision and programmes utilise the language of care to mask the managerialist preoccupation with productivity</w:t>
      </w:r>
      <w:r>
        <w:rPr>
          <w:sz w:val="24"/>
          <w:szCs w:val="24"/>
        </w:rPr>
        <w:t xml:space="preserve"> leaving </w:t>
      </w:r>
      <w:r w:rsidRPr="009B5298">
        <w:rPr>
          <w:sz w:val="24"/>
          <w:szCs w:val="24"/>
        </w:rPr>
        <w:t>underlying causes for the pressures of university life unaddressed</w:t>
      </w:r>
      <w:r>
        <w:rPr>
          <w:sz w:val="24"/>
          <w:szCs w:val="24"/>
        </w:rPr>
        <w:t xml:space="preserve"> (Hall and Bowles, 2016). P</w:t>
      </w:r>
      <w:r w:rsidRPr="009B5298">
        <w:rPr>
          <w:sz w:val="24"/>
          <w:szCs w:val="24"/>
        </w:rPr>
        <w:t>reventative measures</w:t>
      </w:r>
      <w:r>
        <w:rPr>
          <w:sz w:val="24"/>
          <w:szCs w:val="24"/>
        </w:rPr>
        <w:t xml:space="preserve"> </w:t>
      </w:r>
      <w:r w:rsidRPr="009B5298">
        <w:rPr>
          <w:sz w:val="24"/>
          <w:szCs w:val="24"/>
        </w:rPr>
        <w:t>are side-lined in favour of treating the symptoms of the strains in the workplace (</w:t>
      </w:r>
      <w:r w:rsidR="00AB1ADC">
        <w:rPr>
          <w:sz w:val="24"/>
          <w:szCs w:val="24"/>
        </w:rPr>
        <w:t>ibid.</w:t>
      </w:r>
      <w:r w:rsidRPr="009B5298">
        <w:rPr>
          <w:sz w:val="24"/>
          <w:szCs w:val="24"/>
        </w:rPr>
        <w:t>)</w:t>
      </w:r>
      <w:r>
        <w:rPr>
          <w:sz w:val="24"/>
          <w:szCs w:val="24"/>
        </w:rPr>
        <w:t xml:space="preserve">. In addition, </w:t>
      </w:r>
      <w:r w:rsidRPr="009B5298">
        <w:rPr>
          <w:sz w:val="24"/>
          <w:szCs w:val="24"/>
        </w:rPr>
        <w:t>“colourful staff well-being programmes” (Fleming, 2021, p. 28) mask the inertia in academic bureaucracies in dealing with</w:t>
      </w:r>
      <w:r>
        <w:rPr>
          <w:sz w:val="24"/>
          <w:szCs w:val="24"/>
        </w:rPr>
        <w:t xml:space="preserve"> </w:t>
      </w:r>
      <w:r w:rsidRPr="009B5298">
        <w:rPr>
          <w:sz w:val="24"/>
          <w:szCs w:val="24"/>
        </w:rPr>
        <w:t xml:space="preserve">contributing factors as to why </w:t>
      </w:r>
      <w:r>
        <w:rPr>
          <w:sz w:val="24"/>
          <w:szCs w:val="24"/>
        </w:rPr>
        <w:t>teaching staff are struggling</w:t>
      </w:r>
      <w:r w:rsidRPr="009B5298">
        <w:rPr>
          <w:sz w:val="24"/>
          <w:szCs w:val="24"/>
        </w:rPr>
        <w:t xml:space="preserve">. </w:t>
      </w:r>
      <w:r w:rsidRPr="00ED15A7">
        <w:rPr>
          <w:sz w:val="24"/>
          <w:szCs w:val="24"/>
        </w:rPr>
        <w:t>I hold the</w:t>
      </w:r>
      <w:r w:rsidR="000A71B1">
        <w:rPr>
          <w:sz w:val="24"/>
          <w:szCs w:val="24"/>
        </w:rPr>
        <w:t>se</w:t>
      </w:r>
      <w:r w:rsidRPr="00ED15A7">
        <w:rPr>
          <w:sz w:val="24"/>
          <w:szCs w:val="24"/>
        </w:rPr>
        <w:t xml:space="preserve"> claim</w:t>
      </w:r>
      <w:r w:rsidR="000A71B1">
        <w:rPr>
          <w:sz w:val="24"/>
          <w:szCs w:val="24"/>
        </w:rPr>
        <w:t>s</w:t>
      </w:r>
      <w:r w:rsidRPr="00ED15A7">
        <w:rPr>
          <w:sz w:val="24"/>
          <w:szCs w:val="24"/>
        </w:rPr>
        <w:t xml:space="preserve"> of bureaucratic inertia to be persuasive given the rise of statistics on stress levels in teachers in HE, the performativity culture and </w:t>
      </w:r>
      <w:r>
        <w:rPr>
          <w:sz w:val="24"/>
          <w:szCs w:val="24"/>
        </w:rPr>
        <w:t xml:space="preserve">the </w:t>
      </w:r>
      <w:r w:rsidRPr="00ED15A7">
        <w:rPr>
          <w:sz w:val="24"/>
          <w:szCs w:val="24"/>
        </w:rPr>
        <w:t xml:space="preserve">findings </w:t>
      </w:r>
      <w:r>
        <w:rPr>
          <w:sz w:val="24"/>
          <w:szCs w:val="24"/>
        </w:rPr>
        <w:t xml:space="preserve">of Payne (2022) and Whyte </w:t>
      </w:r>
      <w:r w:rsidR="00FB3A6E" w:rsidRPr="00FB3A6E">
        <w:rPr>
          <w:i/>
          <w:sz w:val="24"/>
          <w:szCs w:val="24"/>
        </w:rPr>
        <w:t>et al.</w:t>
      </w:r>
      <w:r>
        <w:rPr>
          <w:sz w:val="24"/>
          <w:szCs w:val="24"/>
        </w:rPr>
        <w:t xml:space="preserve"> (2024) </w:t>
      </w:r>
      <w:r w:rsidRPr="00ED15A7">
        <w:rPr>
          <w:sz w:val="24"/>
          <w:szCs w:val="24"/>
        </w:rPr>
        <w:t>that teachers are not adequately prepared to deal with students</w:t>
      </w:r>
      <w:r>
        <w:rPr>
          <w:sz w:val="24"/>
          <w:szCs w:val="24"/>
        </w:rPr>
        <w:t>’</w:t>
      </w:r>
      <w:r w:rsidRPr="00ED15A7">
        <w:rPr>
          <w:sz w:val="24"/>
          <w:szCs w:val="24"/>
        </w:rPr>
        <w:t xml:space="preserve">, and their own mental health. </w:t>
      </w:r>
    </w:p>
    <w:p w14:paraId="4B2FC880" w14:textId="10AC4D41" w:rsidR="002E2ABD" w:rsidRDefault="002E2ABD" w:rsidP="00FF0DB7">
      <w:pPr>
        <w:spacing w:line="360" w:lineRule="auto"/>
        <w:rPr>
          <w:sz w:val="24"/>
          <w:szCs w:val="24"/>
        </w:rPr>
      </w:pPr>
      <w:r w:rsidRPr="009B5298">
        <w:rPr>
          <w:sz w:val="24"/>
          <w:szCs w:val="24"/>
        </w:rPr>
        <w:t>The</w:t>
      </w:r>
      <w:r>
        <w:rPr>
          <w:sz w:val="24"/>
          <w:szCs w:val="24"/>
        </w:rPr>
        <w:t>re is apparently a</w:t>
      </w:r>
      <w:r w:rsidRPr="009B5298">
        <w:rPr>
          <w:sz w:val="24"/>
          <w:szCs w:val="24"/>
        </w:rPr>
        <w:t xml:space="preserve"> mental health crisis in </w:t>
      </w:r>
      <w:r>
        <w:rPr>
          <w:sz w:val="24"/>
          <w:szCs w:val="24"/>
        </w:rPr>
        <w:t xml:space="preserve">society </w:t>
      </w:r>
      <w:r w:rsidRPr="005C0741">
        <w:rPr>
          <w:sz w:val="24"/>
          <w:szCs w:val="24"/>
        </w:rPr>
        <w:t>(</w:t>
      </w:r>
      <w:r w:rsidRPr="004860F5">
        <w:rPr>
          <w:sz w:val="24"/>
          <w:szCs w:val="24"/>
        </w:rPr>
        <w:t>Berman, 1981</w:t>
      </w:r>
      <w:r>
        <w:rPr>
          <w:sz w:val="24"/>
          <w:szCs w:val="24"/>
        </w:rPr>
        <w:t xml:space="preserve">; </w:t>
      </w:r>
      <w:r w:rsidRPr="005C0741">
        <w:rPr>
          <w:sz w:val="24"/>
          <w:szCs w:val="24"/>
        </w:rPr>
        <w:t>Maté, 2019)</w:t>
      </w:r>
      <w:r>
        <w:rPr>
          <w:sz w:val="24"/>
          <w:szCs w:val="24"/>
        </w:rPr>
        <w:t xml:space="preserve"> </w:t>
      </w:r>
      <w:r w:rsidRPr="001E3D5D">
        <w:rPr>
          <w:rFonts w:ascii="Calibri" w:eastAsia="Aptos" w:hAnsi="Calibri" w:cs="Calibri"/>
          <w:kern w:val="2"/>
          <w:sz w:val="24"/>
          <w:szCs w:val="24"/>
          <w14:ligatures w14:val="standardContextual"/>
        </w:rPr>
        <w:t>arising from cultural shifts in family and societal structures (</w:t>
      </w:r>
      <w:r w:rsidRPr="001E3D5D">
        <w:rPr>
          <w:rFonts w:ascii="Calibri" w:eastAsia="Aptos" w:hAnsi="Calibri" w:cs="Calibri"/>
          <w:bCs/>
          <w:kern w:val="2"/>
          <w:sz w:val="24"/>
          <w:szCs w:val="24"/>
          <w14:ligatures w14:val="standardContextual"/>
        </w:rPr>
        <w:t>Burić</w:t>
      </w:r>
      <w:r w:rsidRPr="001E3D5D">
        <w:rPr>
          <w:rFonts w:ascii="Calibri" w:eastAsia="Aptos" w:hAnsi="Calibri" w:cs="Calibri"/>
          <w:kern w:val="2"/>
          <w:sz w:val="24"/>
          <w:szCs w:val="24"/>
          <w14:ligatures w14:val="standardContextual"/>
        </w:rPr>
        <w:t xml:space="preserve"> </w:t>
      </w:r>
      <w:r w:rsidR="00FB3A6E" w:rsidRPr="00FB3A6E">
        <w:rPr>
          <w:rFonts w:ascii="Calibri" w:eastAsia="Aptos" w:hAnsi="Calibri" w:cs="Calibri"/>
          <w:i/>
          <w:kern w:val="2"/>
          <w:sz w:val="24"/>
          <w:szCs w:val="24"/>
          <w14:ligatures w14:val="standardContextual"/>
        </w:rPr>
        <w:t>et al.</w:t>
      </w:r>
      <w:r w:rsidRPr="001E3D5D">
        <w:rPr>
          <w:rFonts w:ascii="Calibri" w:eastAsia="Aptos" w:hAnsi="Calibri" w:cs="Calibri"/>
          <w:kern w:val="2"/>
          <w:sz w:val="24"/>
          <w:szCs w:val="24"/>
          <w14:ligatures w14:val="standardContextual"/>
        </w:rPr>
        <w:t xml:space="preserve">, 2020) characterised by functional declines in the workplace, home life and in social relationships (Bonynge and Thurber, 2008; Borg </w:t>
      </w:r>
      <w:r w:rsidR="00FB3A6E" w:rsidRPr="00FB3A6E">
        <w:rPr>
          <w:rFonts w:ascii="Calibri" w:eastAsia="Aptos" w:hAnsi="Calibri" w:cs="Calibri"/>
          <w:i/>
          <w:kern w:val="2"/>
          <w:sz w:val="24"/>
          <w:szCs w:val="24"/>
          <w14:ligatures w14:val="standardContextual"/>
        </w:rPr>
        <w:t>et al.</w:t>
      </w:r>
      <w:r w:rsidRPr="001E3D5D">
        <w:rPr>
          <w:rFonts w:ascii="Calibri" w:eastAsia="Aptos" w:hAnsi="Calibri" w:cs="Calibri"/>
          <w:kern w:val="2"/>
          <w:sz w:val="24"/>
          <w:szCs w:val="24"/>
          <w14:ligatures w14:val="standardContextual"/>
        </w:rPr>
        <w:t xml:space="preserve">, 2011; Klevan, </w:t>
      </w:r>
      <w:r w:rsidR="00FB3A6E" w:rsidRPr="00FB3A6E">
        <w:rPr>
          <w:rFonts w:ascii="Calibri" w:eastAsia="Aptos" w:hAnsi="Calibri" w:cs="Calibri"/>
          <w:i/>
          <w:kern w:val="2"/>
          <w:sz w:val="24"/>
          <w:szCs w:val="24"/>
          <w14:ligatures w14:val="standardContextual"/>
        </w:rPr>
        <w:t>et al.</w:t>
      </w:r>
      <w:r w:rsidRPr="001E3D5D">
        <w:rPr>
          <w:rFonts w:ascii="Calibri" w:eastAsia="Aptos" w:hAnsi="Calibri" w:cs="Calibri"/>
          <w:kern w:val="2"/>
          <w:sz w:val="24"/>
          <w:szCs w:val="24"/>
          <w14:ligatures w14:val="standardContextual"/>
        </w:rPr>
        <w:t>, 2017</w:t>
      </w:r>
      <w:r>
        <w:rPr>
          <w:rFonts w:ascii="Calibri" w:eastAsia="Aptos" w:hAnsi="Calibri" w:cs="Calibri"/>
          <w:kern w:val="2"/>
          <w:sz w:val="24"/>
          <w:szCs w:val="24"/>
          <w14:ligatures w14:val="standardContextual"/>
        </w:rPr>
        <w:t>;</w:t>
      </w:r>
      <w:r w:rsidRPr="0064488F">
        <w:rPr>
          <w:rFonts w:ascii="Calibri" w:eastAsia="Aptos" w:hAnsi="Calibri" w:cs="Calibri"/>
          <w:kern w:val="2"/>
          <w:sz w:val="24"/>
          <w:szCs w:val="24"/>
          <w14:ligatures w14:val="standardContextual"/>
        </w:rPr>
        <w:t xml:space="preserve"> Tobitt and Kamboj, 2011</w:t>
      </w:r>
      <w:r w:rsidRPr="001E3D5D">
        <w:rPr>
          <w:rFonts w:ascii="Calibri" w:eastAsia="Aptos" w:hAnsi="Calibri" w:cs="Calibri"/>
          <w:kern w:val="2"/>
          <w:sz w:val="24"/>
          <w:szCs w:val="24"/>
          <w14:ligatures w14:val="standardContextual"/>
        </w:rPr>
        <w:t>).</w:t>
      </w:r>
      <w:r>
        <w:rPr>
          <w:rFonts w:ascii="Calibri" w:eastAsia="Aptos" w:hAnsi="Calibri" w:cs="Calibri"/>
          <w:kern w:val="2"/>
          <w:sz w:val="24"/>
          <w:szCs w:val="24"/>
          <w14:ligatures w14:val="standardContextual"/>
        </w:rPr>
        <w:t xml:space="preserve"> As a direct mirror </w:t>
      </w:r>
      <w:r w:rsidRPr="001E3D5D">
        <w:rPr>
          <w:rFonts w:ascii="Calibri" w:eastAsia="Aptos" w:hAnsi="Calibri" w:cs="Calibri"/>
          <w:kern w:val="2"/>
          <w:sz w:val="24"/>
          <w:szCs w:val="24"/>
          <w14:ligatures w14:val="standardContextual"/>
        </w:rPr>
        <w:t xml:space="preserve">the concomitant mental health in </w:t>
      </w:r>
      <w:r>
        <w:rPr>
          <w:rFonts w:ascii="Calibri" w:eastAsia="Aptos" w:hAnsi="Calibri" w:cs="Calibri"/>
          <w:kern w:val="2"/>
          <w:sz w:val="24"/>
          <w:szCs w:val="24"/>
          <w14:ligatures w14:val="standardContextual"/>
        </w:rPr>
        <w:t xml:space="preserve">students and staff in </w:t>
      </w:r>
      <w:r w:rsidRPr="001E3D5D">
        <w:rPr>
          <w:rFonts w:ascii="Calibri" w:eastAsia="Aptos" w:hAnsi="Calibri" w:cs="Calibri"/>
          <w:kern w:val="2"/>
          <w:sz w:val="24"/>
          <w:szCs w:val="24"/>
          <w14:ligatures w14:val="standardContextual"/>
        </w:rPr>
        <w:t xml:space="preserve">universities is </w:t>
      </w:r>
      <w:r>
        <w:rPr>
          <w:rFonts w:ascii="Calibri" w:eastAsia="Aptos" w:hAnsi="Calibri" w:cs="Calibri"/>
          <w:kern w:val="2"/>
          <w:sz w:val="24"/>
          <w:szCs w:val="24"/>
          <w14:ligatures w14:val="standardContextual"/>
        </w:rPr>
        <w:t xml:space="preserve">in </w:t>
      </w:r>
      <w:r w:rsidRPr="001E3D5D">
        <w:rPr>
          <w:rFonts w:ascii="Calibri" w:eastAsia="Aptos" w:hAnsi="Calibri" w:cs="Calibri"/>
          <w:kern w:val="2"/>
          <w:sz w:val="24"/>
          <w:szCs w:val="24"/>
          <w14:ligatures w14:val="standardContextual"/>
        </w:rPr>
        <w:t>crisis (Andersen,</w:t>
      </w:r>
      <w:r>
        <w:rPr>
          <w:rFonts w:ascii="Calibri" w:eastAsia="Aptos" w:hAnsi="Calibri" w:cs="Calibri"/>
          <w:kern w:val="2"/>
          <w:sz w:val="24"/>
          <w:szCs w:val="24"/>
          <w14:ligatures w14:val="standardContextual"/>
        </w:rPr>
        <w:t xml:space="preserve"> </w:t>
      </w:r>
      <w:r w:rsidR="00FB3A6E" w:rsidRPr="00FB3A6E">
        <w:rPr>
          <w:rFonts w:ascii="Calibri" w:eastAsia="Aptos" w:hAnsi="Calibri" w:cs="Calibri"/>
          <w:i/>
          <w:kern w:val="2"/>
          <w:sz w:val="24"/>
          <w:szCs w:val="24"/>
          <w14:ligatures w14:val="standardContextual"/>
        </w:rPr>
        <w:t>et al.</w:t>
      </w:r>
      <w:r>
        <w:rPr>
          <w:rFonts w:ascii="Calibri" w:eastAsia="Aptos" w:hAnsi="Calibri" w:cs="Calibri"/>
          <w:kern w:val="2"/>
          <w:sz w:val="24"/>
          <w:szCs w:val="24"/>
          <w14:ligatures w14:val="standardContextual"/>
        </w:rPr>
        <w:t xml:space="preserve">, </w:t>
      </w:r>
      <w:r w:rsidRPr="001E3D5D">
        <w:rPr>
          <w:rFonts w:ascii="Calibri" w:eastAsia="Aptos" w:hAnsi="Calibri" w:cs="Calibri"/>
          <w:kern w:val="2"/>
          <w:sz w:val="24"/>
          <w:szCs w:val="24"/>
          <w14:ligatures w14:val="standardContextual"/>
        </w:rPr>
        <w:t xml:space="preserve">2021; Hughes and Spanner, 2019; Jayman </w:t>
      </w:r>
      <w:r w:rsidR="00FB3A6E" w:rsidRPr="00FB3A6E">
        <w:rPr>
          <w:rFonts w:ascii="Calibri" w:eastAsia="Aptos" w:hAnsi="Calibri" w:cs="Calibri"/>
          <w:i/>
          <w:kern w:val="2"/>
          <w:sz w:val="24"/>
          <w:szCs w:val="24"/>
          <w14:ligatures w14:val="standardContextual"/>
        </w:rPr>
        <w:t>et al.</w:t>
      </w:r>
      <w:r w:rsidRPr="001E3D5D">
        <w:rPr>
          <w:rFonts w:ascii="Calibri" w:eastAsia="Aptos" w:hAnsi="Calibri" w:cs="Calibri"/>
          <w:kern w:val="2"/>
          <w:sz w:val="24"/>
          <w:szCs w:val="24"/>
          <w14:ligatures w14:val="standardContextual"/>
        </w:rPr>
        <w:t>, 2022; Kruisselbrink</w:t>
      </w:r>
      <w:r w:rsidR="00F147F2">
        <w:rPr>
          <w:rFonts w:ascii="Calibri" w:eastAsia="Aptos" w:hAnsi="Calibri" w:cs="Calibri"/>
          <w:kern w:val="2"/>
          <w:sz w:val="24"/>
          <w:szCs w:val="24"/>
          <w14:ligatures w14:val="standardContextual"/>
        </w:rPr>
        <w:t>-</w:t>
      </w:r>
      <w:r w:rsidRPr="001E3D5D">
        <w:rPr>
          <w:rFonts w:ascii="Calibri" w:eastAsia="Aptos" w:hAnsi="Calibri" w:cs="Calibri"/>
          <w:kern w:val="2"/>
          <w:sz w:val="24"/>
          <w:szCs w:val="24"/>
          <w14:ligatures w14:val="standardContextual"/>
        </w:rPr>
        <w:t xml:space="preserve">Flatt, 2013). </w:t>
      </w:r>
      <w:r>
        <w:rPr>
          <w:rFonts w:ascii="Calibri" w:eastAsia="Aptos" w:hAnsi="Calibri" w:cs="Calibri"/>
          <w:kern w:val="2"/>
          <w:sz w:val="24"/>
          <w:szCs w:val="24"/>
          <w14:ligatures w14:val="standardContextual"/>
        </w:rPr>
        <w:t xml:space="preserve">Fleming (2021) believes the corporate university is a symptom of the neoliberal market’s ills and is somewhat despairing about the possibility of these symptoms changing. </w:t>
      </w:r>
      <w:r>
        <w:rPr>
          <w:sz w:val="24"/>
          <w:szCs w:val="24"/>
        </w:rPr>
        <w:t>I</w:t>
      </w:r>
      <w:r w:rsidRPr="00F94415">
        <w:rPr>
          <w:sz w:val="24"/>
          <w:szCs w:val="24"/>
        </w:rPr>
        <w:t xml:space="preserve"> </w:t>
      </w:r>
      <w:r>
        <w:rPr>
          <w:sz w:val="24"/>
          <w:szCs w:val="24"/>
        </w:rPr>
        <w:t xml:space="preserve">find myself out of alignment with these predictions and believe </w:t>
      </w:r>
      <w:r w:rsidRPr="00F94415">
        <w:rPr>
          <w:sz w:val="24"/>
          <w:szCs w:val="24"/>
        </w:rPr>
        <w:t>teachers can claim agency</w:t>
      </w:r>
      <w:r>
        <w:rPr>
          <w:sz w:val="24"/>
          <w:szCs w:val="24"/>
        </w:rPr>
        <w:t xml:space="preserve"> </w:t>
      </w:r>
      <w:r w:rsidRPr="00F94415">
        <w:rPr>
          <w:sz w:val="24"/>
          <w:szCs w:val="24"/>
        </w:rPr>
        <w:t xml:space="preserve">despite the </w:t>
      </w:r>
      <w:r w:rsidR="00772AB7">
        <w:rPr>
          <w:sz w:val="24"/>
          <w:szCs w:val="24"/>
        </w:rPr>
        <w:t xml:space="preserve">corporate </w:t>
      </w:r>
      <w:r w:rsidRPr="00F94415">
        <w:rPr>
          <w:sz w:val="24"/>
          <w:szCs w:val="24"/>
        </w:rPr>
        <w:t>constellation</w:t>
      </w:r>
      <w:r>
        <w:rPr>
          <w:sz w:val="24"/>
          <w:szCs w:val="24"/>
        </w:rPr>
        <w:t>s they find themselves unwittingly part of</w:t>
      </w:r>
      <w:r w:rsidRPr="00F94415">
        <w:rPr>
          <w:sz w:val="24"/>
          <w:szCs w:val="24"/>
        </w:rPr>
        <w:t>. Teachers may suffer in silence (Gill, 2009) to</w:t>
      </w:r>
      <w:r>
        <w:rPr>
          <w:sz w:val="24"/>
          <w:szCs w:val="24"/>
        </w:rPr>
        <w:t xml:space="preserve"> ensure </w:t>
      </w:r>
      <w:r w:rsidRPr="00F94415">
        <w:rPr>
          <w:sz w:val="24"/>
          <w:szCs w:val="24"/>
        </w:rPr>
        <w:t xml:space="preserve">continuity of their employ, but the suppressed voice </w:t>
      </w:r>
      <w:r>
        <w:rPr>
          <w:sz w:val="24"/>
          <w:szCs w:val="24"/>
        </w:rPr>
        <w:t xml:space="preserve">of dissatisfaction is not </w:t>
      </w:r>
      <w:r w:rsidRPr="00F94415">
        <w:rPr>
          <w:sz w:val="24"/>
          <w:szCs w:val="24"/>
        </w:rPr>
        <w:t>eradicated, and resistance</w:t>
      </w:r>
      <w:r>
        <w:rPr>
          <w:sz w:val="24"/>
          <w:szCs w:val="24"/>
        </w:rPr>
        <w:t>,</w:t>
      </w:r>
      <w:r w:rsidRPr="00F94415">
        <w:rPr>
          <w:sz w:val="24"/>
          <w:szCs w:val="24"/>
        </w:rPr>
        <w:t xml:space="preserve"> and pathology will out (Jung, 1953).</w:t>
      </w:r>
      <w:bookmarkStart w:id="30" w:name="_Hlk133233341"/>
    </w:p>
    <w:p w14:paraId="7E6EF746" w14:textId="4BE2FF4D" w:rsidR="00F043DC" w:rsidRPr="004D34BA" w:rsidRDefault="002E2ABD" w:rsidP="004D34BA">
      <w:pPr>
        <w:spacing w:line="360" w:lineRule="auto"/>
        <w:rPr>
          <w:rFonts w:ascii="Calibri" w:eastAsia="Aptos" w:hAnsi="Calibri" w:cs="Calibri"/>
          <w:kern w:val="2"/>
          <w:sz w:val="24"/>
          <w:szCs w:val="24"/>
          <w14:ligatures w14:val="standardContextual"/>
        </w:rPr>
      </w:pPr>
      <w:r w:rsidRPr="001D6B7E">
        <w:rPr>
          <w:sz w:val="24"/>
          <w:szCs w:val="24"/>
        </w:rPr>
        <w:t xml:space="preserve">Much of the </w:t>
      </w:r>
      <w:r>
        <w:rPr>
          <w:sz w:val="24"/>
          <w:szCs w:val="24"/>
        </w:rPr>
        <w:t xml:space="preserve">findings on </w:t>
      </w:r>
      <w:r w:rsidRPr="001D6B7E">
        <w:rPr>
          <w:sz w:val="24"/>
          <w:szCs w:val="24"/>
        </w:rPr>
        <w:t xml:space="preserve">well-being and emotional awareness </w:t>
      </w:r>
      <w:r>
        <w:rPr>
          <w:sz w:val="24"/>
          <w:szCs w:val="24"/>
        </w:rPr>
        <w:t xml:space="preserve">indicate the university does not adequately prioritise </w:t>
      </w:r>
      <w:r w:rsidRPr="001D6B7E">
        <w:rPr>
          <w:sz w:val="24"/>
          <w:szCs w:val="24"/>
        </w:rPr>
        <w:t xml:space="preserve">the emotional safety of teachers who are increasingly required to create conditions of emotional safety for their students. </w:t>
      </w:r>
      <w:r>
        <w:rPr>
          <w:sz w:val="24"/>
          <w:szCs w:val="24"/>
        </w:rPr>
        <w:t>H</w:t>
      </w:r>
      <w:r w:rsidRPr="001D6B7E">
        <w:rPr>
          <w:sz w:val="24"/>
          <w:szCs w:val="24"/>
        </w:rPr>
        <w:t xml:space="preserve">ow </w:t>
      </w:r>
      <w:r>
        <w:rPr>
          <w:sz w:val="24"/>
          <w:szCs w:val="24"/>
        </w:rPr>
        <w:t xml:space="preserve">HE teachers emotional </w:t>
      </w:r>
      <w:r>
        <w:rPr>
          <w:sz w:val="24"/>
          <w:szCs w:val="24"/>
        </w:rPr>
        <w:lastRenderedPageBreak/>
        <w:t xml:space="preserve">support needs </w:t>
      </w:r>
      <w:r w:rsidRPr="001D6B7E">
        <w:rPr>
          <w:sz w:val="24"/>
          <w:szCs w:val="24"/>
        </w:rPr>
        <w:t>might be addressed</w:t>
      </w:r>
      <w:r>
        <w:rPr>
          <w:sz w:val="24"/>
          <w:szCs w:val="24"/>
        </w:rPr>
        <w:t xml:space="preserve"> remains underrepresented. T</w:t>
      </w:r>
      <w:r w:rsidRPr="001D6B7E">
        <w:rPr>
          <w:sz w:val="24"/>
          <w:szCs w:val="24"/>
        </w:rPr>
        <w:t xml:space="preserve">he following section </w:t>
      </w:r>
      <w:r>
        <w:rPr>
          <w:sz w:val="24"/>
          <w:szCs w:val="24"/>
        </w:rPr>
        <w:t xml:space="preserve">suggests </w:t>
      </w:r>
      <w:r w:rsidRPr="002479BA">
        <w:rPr>
          <w:sz w:val="24"/>
          <w:szCs w:val="24"/>
        </w:rPr>
        <w:t xml:space="preserve">support </w:t>
      </w:r>
      <w:r>
        <w:rPr>
          <w:sz w:val="24"/>
          <w:szCs w:val="24"/>
        </w:rPr>
        <w:t>mechanisms</w:t>
      </w:r>
      <w:r w:rsidR="00D24BA4">
        <w:rPr>
          <w:sz w:val="24"/>
          <w:szCs w:val="24"/>
        </w:rPr>
        <w:t>/holding</w:t>
      </w:r>
      <w:r>
        <w:rPr>
          <w:sz w:val="24"/>
          <w:szCs w:val="24"/>
        </w:rPr>
        <w:t xml:space="preserve"> drawn from psychoanalytic practice that proffer a solution to this gap</w:t>
      </w:r>
      <w:r w:rsidR="00297BB7">
        <w:rPr>
          <w:sz w:val="24"/>
          <w:szCs w:val="24"/>
        </w:rPr>
        <w:t xml:space="preserve"> (research question 3, Table 3)</w:t>
      </w:r>
      <w:r w:rsidRPr="002479BA">
        <w:rPr>
          <w:sz w:val="24"/>
          <w:szCs w:val="24"/>
        </w:rPr>
        <w:t>.</w:t>
      </w:r>
      <w:bookmarkEnd w:id="30"/>
    </w:p>
    <w:p w14:paraId="4149268D" w14:textId="1BDCBDED" w:rsidR="002E2ABD" w:rsidRDefault="002E2ABD" w:rsidP="001D6B7E">
      <w:pPr>
        <w:rPr>
          <w:b/>
          <w:bCs/>
          <w:sz w:val="24"/>
          <w:szCs w:val="24"/>
        </w:rPr>
      </w:pPr>
      <w:r w:rsidRPr="00321C76">
        <w:rPr>
          <w:b/>
          <w:bCs/>
          <w:sz w:val="24"/>
          <w:szCs w:val="24"/>
        </w:rPr>
        <w:t xml:space="preserve">An </w:t>
      </w:r>
      <w:r>
        <w:rPr>
          <w:b/>
          <w:bCs/>
          <w:sz w:val="24"/>
          <w:szCs w:val="24"/>
        </w:rPr>
        <w:t xml:space="preserve">history of </w:t>
      </w:r>
      <w:r w:rsidRPr="00321C76">
        <w:rPr>
          <w:b/>
          <w:bCs/>
          <w:sz w:val="24"/>
          <w:szCs w:val="24"/>
        </w:rPr>
        <w:t>holding</w:t>
      </w:r>
    </w:p>
    <w:p w14:paraId="2E58B522" w14:textId="77777777" w:rsidR="002E2ABD" w:rsidRPr="004E5F48" w:rsidRDefault="002E2ABD" w:rsidP="00566AEA">
      <w:pPr>
        <w:spacing w:line="360" w:lineRule="auto"/>
        <w:rPr>
          <w:sz w:val="24"/>
          <w:szCs w:val="24"/>
        </w:rPr>
      </w:pPr>
      <w:r w:rsidRPr="004E5F48">
        <w:rPr>
          <w:sz w:val="24"/>
          <w:szCs w:val="24"/>
        </w:rPr>
        <w:t xml:space="preserve">With origins as far back as 1200 B.C. in China, to the </w:t>
      </w:r>
      <w:r>
        <w:rPr>
          <w:sz w:val="24"/>
          <w:szCs w:val="24"/>
        </w:rPr>
        <w:t xml:space="preserve">Scandinavian </w:t>
      </w:r>
      <w:r w:rsidRPr="004E5F48">
        <w:rPr>
          <w:sz w:val="24"/>
          <w:szCs w:val="24"/>
        </w:rPr>
        <w:t xml:space="preserve">vernacular term “hygge” (Wiking, 2016), and the concept of holding space (Owen, 2008), holding </w:t>
      </w:r>
      <w:r>
        <w:rPr>
          <w:sz w:val="24"/>
          <w:szCs w:val="24"/>
        </w:rPr>
        <w:t xml:space="preserve">denotes </w:t>
      </w:r>
      <w:r w:rsidRPr="004E5F48">
        <w:rPr>
          <w:sz w:val="24"/>
          <w:szCs w:val="24"/>
        </w:rPr>
        <w:t xml:space="preserve">the concept of an empathic response in service </w:t>
      </w:r>
      <w:r>
        <w:rPr>
          <w:sz w:val="24"/>
          <w:szCs w:val="24"/>
        </w:rPr>
        <w:t>of</w:t>
      </w:r>
      <w:r w:rsidRPr="004E5F48">
        <w:rPr>
          <w:sz w:val="24"/>
          <w:szCs w:val="24"/>
        </w:rPr>
        <w:t xml:space="preserve"> the individual. </w:t>
      </w:r>
      <w:r>
        <w:rPr>
          <w:sz w:val="24"/>
          <w:szCs w:val="24"/>
        </w:rPr>
        <w:t xml:space="preserve">In childhood development terms </w:t>
      </w:r>
      <w:r w:rsidRPr="004E5F48">
        <w:rPr>
          <w:sz w:val="24"/>
          <w:szCs w:val="24"/>
        </w:rPr>
        <w:t xml:space="preserve">holding is the responsive and stable continuity of care provided by caregivers which creates conditions for </w:t>
      </w:r>
      <w:r>
        <w:rPr>
          <w:sz w:val="24"/>
          <w:szCs w:val="24"/>
        </w:rPr>
        <w:t>growth of relational</w:t>
      </w:r>
      <w:r w:rsidRPr="004E5F48">
        <w:rPr>
          <w:sz w:val="24"/>
          <w:szCs w:val="24"/>
        </w:rPr>
        <w:t xml:space="preserve"> interdependence in </w:t>
      </w:r>
      <w:r>
        <w:rPr>
          <w:sz w:val="24"/>
          <w:szCs w:val="24"/>
        </w:rPr>
        <w:t>a baby/</w:t>
      </w:r>
      <w:r w:rsidRPr="004E5F48">
        <w:rPr>
          <w:sz w:val="24"/>
          <w:szCs w:val="24"/>
        </w:rPr>
        <w:t>infant</w:t>
      </w:r>
      <w:r>
        <w:rPr>
          <w:sz w:val="24"/>
          <w:szCs w:val="24"/>
        </w:rPr>
        <w:t xml:space="preserve"> (Nussbaum, 2001)</w:t>
      </w:r>
      <w:r w:rsidRPr="00F144CC">
        <w:rPr>
          <w:sz w:val="24"/>
          <w:szCs w:val="24"/>
        </w:rPr>
        <w:t>.</w:t>
      </w:r>
      <w:r w:rsidRPr="004E5F48">
        <w:rPr>
          <w:sz w:val="24"/>
          <w:szCs w:val="24"/>
        </w:rPr>
        <w:t xml:space="preserve"> Liedloff (1975/1986)</w:t>
      </w:r>
      <w:r w:rsidRPr="004E5F48">
        <w:rPr>
          <w:i/>
          <w:iCs/>
          <w:sz w:val="24"/>
          <w:szCs w:val="24"/>
        </w:rPr>
        <w:t xml:space="preserve"> </w:t>
      </w:r>
      <w:r w:rsidRPr="004E5F48">
        <w:rPr>
          <w:sz w:val="24"/>
          <w:szCs w:val="24"/>
        </w:rPr>
        <w:t xml:space="preserve">believes the baby </w:t>
      </w:r>
      <w:r w:rsidRPr="007442C8">
        <w:rPr>
          <w:i/>
          <w:iCs/>
          <w:sz w:val="24"/>
          <w:szCs w:val="24"/>
        </w:rPr>
        <w:t>expects</w:t>
      </w:r>
      <w:r w:rsidRPr="004E5F48">
        <w:rPr>
          <w:sz w:val="24"/>
          <w:szCs w:val="24"/>
        </w:rPr>
        <w:t xml:space="preserve"> to be held as a birthright:</w:t>
      </w:r>
    </w:p>
    <w:p w14:paraId="1C29B5E4" w14:textId="77777777" w:rsidR="002E2ABD" w:rsidRPr="004E5F48" w:rsidRDefault="002E2ABD" w:rsidP="00640513">
      <w:pPr>
        <w:ind w:left="720"/>
      </w:pPr>
      <w:r>
        <w:t>H</w:t>
      </w:r>
      <w:r w:rsidRPr="004E5F48">
        <w:t xml:space="preserve">is place in arms is the expected place, known to his inmost sense as </w:t>
      </w:r>
      <w:r w:rsidRPr="004E5F48">
        <w:rPr>
          <w:i/>
          <w:iCs/>
        </w:rPr>
        <w:t>his</w:t>
      </w:r>
      <w:r w:rsidRPr="004E5F48">
        <w:t xml:space="preserve"> place, and what he experiences while he is in arms is acceptable to his continuum, fulfils his current needs and contributes correctly to his development. (p.44) </w:t>
      </w:r>
    </w:p>
    <w:p w14:paraId="0733ABD2" w14:textId="77777777" w:rsidR="002E2ABD" w:rsidRPr="004E5F48" w:rsidRDefault="002E2ABD" w:rsidP="00566AEA">
      <w:pPr>
        <w:spacing w:line="360" w:lineRule="auto"/>
        <w:rPr>
          <w:sz w:val="24"/>
          <w:szCs w:val="24"/>
        </w:rPr>
      </w:pPr>
      <w:r w:rsidRPr="004E5F48">
        <w:rPr>
          <w:sz w:val="24"/>
          <w:szCs w:val="24"/>
        </w:rPr>
        <w:t>The physical holding in arms, and the emotional response of the mother/caretaker help the child develop trust in their environment and their own feeling responses</w:t>
      </w:r>
      <w:r>
        <w:rPr>
          <w:sz w:val="24"/>
          <w:szCs w:val="24"/>
        </w:rPr>
        <w:t xml:space="preserve"> </w:t>
      </w:r>
      <w:r w:rsidRPr="004D41BF">
        <w:rPr>
          <w:sz w:val="24"/>
          <w:szCs w:val="24"/>
        </w:rPr>
        <w:t>(Erikson, 1963)</w:t>
      </w:r>
      <w:r>
        <w:rPr>
          <w:sz w:val="24"/>
          <w:szCs w:val="24"/>
        </w:rPr>
        <w:t xml:space="preserve"> enabling</w:t>
      </w:r>
      <w:r w:rsidRPr="004E5F48">
        <w:rPr>
          <w:sz w:val="24"/>
          <w:szCs w:val="24"/>
        </w:rPr>
        <w:t xml:space="preserve"> the child to be seen, accepted and develop a sense of “feeling at home” (Liedloff, 1975, p.59) and </w:t>
      </w:r>
      <w:r w:rsidRPr="004E5F48">
        <w:rPr>
          <w:i/>
          <w:iCs/>
          <w:sz w:val="24"/>
          <w:szCs w:val="24"/>
        </w:rPr>
        <w:t>be</w:t>
      </w:r>
      <w:r>
        <w:rPr>
          <w:i/>
          <w:iCs/>
          <w:sz w:val="24"/>
          <w:szCs w:val="24"/>
        </w:rPr>
        <w:t>ing</w:t>
      </w:r>
      <w:r w:rsidRPr="004E5F48">
        <w:rPr>
          <w:sz w:val="24"/>
          <w:szCs w:val="24"/>
        </w:rPr>
        <w:t xml:space="preserve"> at home in their own skin</w:t>
      </w:r>
      <w:r>
        <w:rPr>
          <w:sz w:val="24"/>
          <w:szCs w:val="24"/>
        </w:rPr>
        <w:t>,</w:t>
      </w:r>
      <w:r w:rsidRPr="004E5F48">
        <w:rPr>
          <w:sz w:val="24"/>
          <w:szCs w:val="24"/>
        </w:rPr>
        <w:t xml:space="preserve"> and in their immediate environment. </w:t>
      </w:r>
    </w:p>
    <w:p w14:paraId="64534F69" w14:textId="0BE5FDB0" w:rsidR="002E2ABD" w:rsidRPr="001D6B7E" w:rsidRDefault="002E2ABD" w:rsidP="00566AEA">
      <w:pPr>
        <w:spacing w:line="360" w:lineRule="auto"/>
        <w:rPr>
          <w:sz w:val="24"/>
          <w:szCs w:val="24"/>
        </w:rPr>
      </w:pPr>
      <w:r>
        <w:rPr>
          <w:sz w:val="24"/>
          <w:szCs w:val="24"/>
        </w:rPr>
        <w:t xml:space="preserve">For psychoanalyst Wilfred Bion (1897-1979) holding represents a </w:t>
      </w:r>
      <w:r w:rsidRPr="001D6B7E">
        <w:rPr>
          <w:sz w:val="24"/>
          <w:szCs w:val="24"/>
        </w:rPr>
        <w:t>concept of containment (</w:t>
      </w:r>
      <w:r>
        <w:rPr>
          <w:sz w:val="24"/>
          <w:szCs w:val="24"/>
        </w:rPr>
        <w:t>Bion, 1963;</w:t>
      </w:r>
      <w:r w:rsidRPr="001D6B7E">
        <w:rPr>
          <w:sz w:val="24"/>
          <w:szCs w:val="24"/>
        </w:rPr>
        <w:t>1970)</w:t>
      </w:r>
      <w:r>
        <w:rPr>
          <w:sz w:val="24"/>
          <w:szCs w:val="24"/>
        </w:rPr>
        <w:t>.</w:t>
      </w:r>
      <w:r w:rsidRPr="001D6B7E">
        <w:rPr>
          <w:sz w:val="24"/>
          <w:szCs w:val="24"/>
        </w:rPr>
        <w:t xml:space="preserve"> </w:t>
      </w:r>
      <w:r>
        <w:rPr>
          <w:sz w:val="24"/>
          <w:szCs w:val="24"/>
        </w:rPr>
        <w:t xml:space="preserve">Following exposure </w:t>
      </w:r>
      <w:r w:rsidRPr="001D6B7E">
        <w:rPr>
          <w:sz w:val="24"/>
          <w:szCs w:val="24"/>
        </w:rPr>
        <w:t xml:space="preserve">during World War I </w:t>
      </w:r>
      <w:r>
        <w:rPr>
          <w:sz w:val="24"/>
          <w:szCs w:val="24"/>
        </w:rPr>
        <w:t xml:space="preserve">and II </w:t>
      </w:r>
      <w:r w:rsidRPr="001D6B7E">
        <w:rPr>
          <w:sz w:val="24"/>
          <w:szCs w:val="24"/>
        </w:rPr>
        <w:t>to traumatic experiences, (Bleandonu, 1994)</w:t>
      </w:r>
      <w:r w:rsidR="00502DAD">
        <w:rPr>
          <w:sz w:val="24"/>
          <w:szCs w:val="24"/>
        </w:rPr>
        <w:t>,</w:t>
      </w:r>
      <w:r>
        <w:rPr>
          <w:sz w:val="24"/>
          <w:szCs w:val="24"/>
        </w:rPr>
        <w:t xml:space="preserve"> Bion was curious about what determines </w:t>
      </w:r>
      <w:r w:rsidRPr="001D6B7E">
        <w:rPr>
          <w:sz w:val="24"/>
          <w:szCs w:val="24"/>
        </w:rPr>
        <w:t xml:space="preserve">mental growth </w:t>
      </w:r>
      <w:r>
        <w:rPr>
          <w:sz w:val="24"/>
          <w:szCs w:val="24"/>
        </w:rPr>
        <w:t xml:space="preserve">for one person and a </w:t>
      </w:r>
      <w:r w:rsidRPr="001D6B7E">
        <w:rPr>
          <w:sz w:val="24"/>
          <w:szCs w:val="24"/>
        </w:rPr>
        <w:t>“psychic death” (Szykierski, 2010, p.962)</w:t>
      </w:r>
      <w:r>
        <w:rPr>
          <w:sz w:val="24"/>
          <w:szCs w:val="24"/>
        </w:rPr>
        <w:t xml:space="preserve"> for another. Forged in a biographical story, Bion’s concept of containment could be read as an attempt</w:t>
      </w:r>
      <w:r w:rsidRPr="001D6B7E">
        <w:rPr>
          <w:sz w:val="24"/>
          <w:szCs w:val="24"/>
        </w:rPr>
        <w:t xml:space="preserve"> </w:t>
      </w:r>
      <w:r>
        <w:rPr>
          <w:sz w:val="24"/>
          <w:szCs w:val="24"/>
        </w:rPr>
        <w:t xml:space="preserve">to </w:t>
      </w:r>
      <w:r w:rsidRPr="001D6B7E">
        <w:rPr>
          <w:sz w:val="24"/>
          <w:szCs w:val="24"/>
        </w:rPr>
        <w:t xml:space="preserve">reconcile </w:t>
      </w:r>
      <w:r>
        <w:rPr>
          <w:sz w:val="24"/>
          <w:szCs w:val="24"/>
        </w:rPr>
        <w:t xml:space="preserve">the </w:t>
      </w:r>
      <w:r w:rsidRPr="001D6B7E">
        <w:rPr>
          <w:sz w:val="24"/>
          <w:szCs w:val="24"/>
        </w:rPr>
        <w:t>trauma</w:t>
      </w:r>
      <w:r>
        <w:rPr>
          <w:sz w:val="24"/>
          <w:szCs w:val="24"/>
        </w:rPr>
        <w:t xml:space="preserve"> in his own mind </w:t>
      </w:r>
      <w:r w:rsidRPr="001D6B7E">
        <w:rPr>
          <w:sz w:val="24"/>
          <w:szCs w:val="24"/>
        </w:rPr>
        <w:t>(Symington and Symington</w:t>
      </w:r>
      <w:r>
        <w:rPr>
          <w:sz w:val="24"/>
          <w:szCs w:val="24"/>
        </w:rPr>
        <w:t>,</w:t>
      </w:r>
      <w:r w:rsidRPr="001D6B7E">
        <w:rPr>
          <w:sz w:val="24"/>
          <w:szCs w:val="24"/>
        </w:rPr>
        <w:t xml:space="preserve"> 1996)</w:t>
      </w:r>
      <w:r>
        <w:rPr>
          <w:sz w:val="24"/>
          <w:szCs w:val="24"/>
        </w:rPr>
        <w:t>, “</w:t>
      </w:r>
      <w:r w:rsidRPr="001D6B7E">
        <w:rPr>
          <w:sz w:val="24"/>
          <w:szCs w:val="24"/>
        </w:rPr>
        <w:t>the mind that is a too heavy load for the sensuous beast to carry” (Bion, 1991, p.38)</w:t>
      </w:r>
      <w:bookmarkStart w:id="31" w:name="_Hlk136098888"/>
      <w:r w:rsidRPr="001D6B7E">
        <w:rPr>
          <w:sz w:val="24"/>
          <w:szCs w:val="24"/>
        </w:rPr>
        <w:t xml:space="preserve">. </w:t>
      </w:r>
      <w:r>
        <w:rPr>
          <w:sz w:val="24"/>
          <w:szCs w:val="24"/>
        </w:rPr>
        <w:t>However, it also forefronts the importance of the person providing the containment</w:t>
      </w:r>
      <w:r w:rsidRPr="00DC2C3F">
        <w:rPr>
          <w:sz w:val="24"/>
          <w:szCs w:val="24"/>
        </w:rPr>
        <w:t xml:space="preserve"> </w:t>
      </w:r>
      <w:r>
        <w:rPr>
          <w:sz w:val="24"/>
          <w:szCs w:val="24"/>
        </w:rPr>
        <w:t>of “</w:t>
      </w:r>
      <w:r w:rsidRPr="00DC2C3F">
        <w:rPr>
          <w:sz w:val="24"/>
          <w:szCs w:val="24"/>
        </w:rPr>
        <w:t xml:space="preserve">the somatic/emotional/psychic distress of another entity, allowing for thought and meaning to develop” (Bartle and Eloquin, 2021, p.13). </w:t>
      </w:r>
      <w:r>
        <w:rPr>
          <w:sz w:val="24"/>
          <w:szCs w:val="24"/>
        </w:rPr>
        <w:t xml:space="preserve">This suggests that when discomfort and painful feelings are “held” and contained by another, thought and meaning as developmental processes are enabled (Bion, 1963). </w:t>
      </w:r>
    </w:p>
    <w:bookmarkEnd w:id="31"/>
    <w:p w14:paraId="1C7940D3" w14:textId="59F31332" w:rsidR="000A47DC" w:rsidRDefault="002E2ABD" w:rsidP="00A60564">
      <w:pPr>
        <w:spacing w:line="360" w:lineRule="auto"/>
        <w:rPr>
          <w:sz w:val="24"/>
          <w:szCs w:val="24"/>
        </w:rPr>
      </w:pPr>
      <w:r>
        <w:rPr>
          <w:sz w:val="24"/>
          <w:szCs w:val="24"/>
        </w:rPr>
        <w:t xml:space="preserve">For child psychanalyst D.W. Winnicott </w:t>
      </w:r>
      <w:r w:rsidRPr="00307AF0">
        <w:rPr>
          <w:sz w:val="24"/>
          <w:szCs w:val="24"/>
        </w:rPr>
        <w:t>(1896-1971)</w:t>
      </w:r>
      <w:r>
        <w:rPr>
          <w:sz w:val="24"/>
          <w:szCs w:val="24"/>
        </w:rPr>
        <w:t xml:space="preserve"> “</w:t>
      </w:r>
      <w:r w:rsidRPr="001A7D16">
        <w:rPr>
          <w:sz w:val="24"/>
          <w:szCs w:val="24"/>
        </w:rPr>
        <w:t>holding</w:t>
      </w:r>
      <w:r>
        <w:rPr>
          <w:sz w:val="24"/>
          <w:szCs w:val="24"/>
        </w:rPr>
        <w:t>”</w:t>
      </w:r>
      <w:r w:rsidRPr="001A7D16">
        <w:rPr>
          <w:sz w:val="24"/>
          <w:szCs w:val="24"/>
        </w:rPr>
        <w:t xml:space="preserve"> </w:t>
      </w:r>
      <w:r>
        <w:rPr>
          <w:sz w:val="24"/>
          <w:szCs w:val="24"/>
        </w:rPr>
        <w:t>(</w:t>
      </w:r>
      <w:r w:rsidRPr="001A7D16">
        <w:rPr>
          <w:sz w:val="24"/>
          <w:szCs w:val="24"/>
        </w:rPr>
        <w:t>Winnicott</w:t>
      </w:r>
      <w:r>
        <w:rPr>
          <w:sz w:val="24"/>
          <w:szCs w:val="24"/>
        </w:rPr>
        <w:t xml:space="preserve">, </w:t>
      </w:r>
      <w:r w:rsidRPr="001A7D16">
        <w:rPr>
          <w:sz w:val="24"/>
          <w:szCs w:val="24"/>
        </w:rPr>
        <w:t>1965</w:t>
      </w:r>
      <w:r>
        <w:rPr>
          <w:sz w:val="24"/>
          <w:szCs w:val="24"/>
        </w:rPr>
        <w:t>, pp.43-44</w:t>
      </w:r>
      <w:r w:rsidRPr="001A7D16">
        <w:rPr>
          <w:sz w:val="24"/>
          <w:szCs w:val="24"/>
        </w:rPr>
        <w:t xml:space="preserve">) ushers in the </w:t>
      </w:r>
      <w:r>
        <w:rPr>
          <w:sz w:val="24"/>
          <w:szCs w:val="24"/>
        </w:rPr>
        <w:t xml:space="preserve">emotional, </w:t>
      </w:r>
      <w:r w:rsidRPr="001A7D16">
        <w:rPr>
          <w:sz w:val="24"/>
          <w:szCs w:val="24"/>
        </w:rPr>
        <w:t xml:space="preserve">experiential realms within the dyadic mother and child </w:t>
      </w:r>
      <w:r w:rsidRPr="001A7D16">
        <w:rPr>
          <w:sz w:val="24"/>
          <w:szCs w:val="24"/>
        </w:rPr>
        <w:lastRenderedPageBreak/>
        <w:t xml:space="preserve">relationship, and the immediate and wider social web around them. The </w:t>
      </w:r>
      <w:r>
        <w:rPr>
          <w:sz w:val="24"/>
          <w:szCs w:val="24"/>
        </w:rPr>
        <w:t xml:space="preserve">mother </w:t>
      </w:r>
      <w:r w:rsidRPr="001A7D16">
        <w:rPr>
          <w:sz w:val="24"/>
          <w:szCs w:val="24"/>
        </w:rPr>
        <w:t>holds the “going on being” (Winnicott, 1956, p.303) and ontological fabric (Ogden, 2004) of the child and their learning experiences.</w:t>
      </w:r>
      <w:r w:rsidRPr="0017651E">
        <w:rPr>
          <w:color w:val="EE0000"/>
        </w:rPr>
        <w:t xml:space="preserve"> </w:t>
      </w:r>
      <w:r>
        <w:rPr>
          <w:sz w:val="24"/>
          <w:szCs w:val="24"/>
        </w:rPr>
        <w:t>H</w:t>
      </w:r>
      <w:r w:rsidRPr="00CE2F9B">
        <w:rPr>
          <w:sz w:val="24"/>
          <w:szCs w:val="24"/>
        </w:rPr>
        <w:t xml:space="preserve">olding </w:t>
      </w:r>
      <w:r>
        <w:rPr>
          <w:sz w:val="24"/>
          <w:szCs w:val="24"/>
        </w:rPr>
        <w:t xml:space="preserve">occurs </w:t>
      </w:r>
      <w:r w:rsidRPr="00CE2F9B">
        <w:rPr>
          <w:sz w:val="24"/>
          <w:szCs w:val="24"/>
        </w:rPr>
        <w:t xml:space="preserve">within a unit that </w:t>
      </w:r>
      <w:r>
        <w:rPr>
          <w:sz w:val="24"/>
          <w:szCs w:val="24"/>
        </w:rPr>
        <w:t xml:space="preserve">combines </w:t>
      </w:r>
      <w:r w:rsidRPr="00CE2F9B">
        <w:rPr>
          <w:sz w:val="24"/>
          <w:szCs w:val="24"/>
        </w:rPr>
        <w:t>“the individual-environment set up”</w:t>
      </w:r>
      <w:r w:rsidRPr="0017651E">
        <w:rPr>
          <w:sz w:val="24"/>
          <w:szCs w:val="24"/>
        </w:rPr>
        <w:t xml:space="preserve"> (Winnicott, 1992, p.99). </w:t>
      </w:r>
      <w:r w:rsidRPr="0092450D">
        <w:rPr>
          <w:sz w:val="24"/>
          <w:szCs w:val="24"/>
        </w:rPr>
        <w:t xml:space="preserve">Figure 1 </w:t>
      </w:r>
      <w:r>
        <w:rPr>
          <w:sz w:val="24"/>
          <w:szCs w:val="24"/>
        </w:rPr>
        <w:t>delineates holding as a relationally interdependent process:</w:t>
      </w:r>
    </w:p>
    <w:p w14:paraId="7A3E3E12" w14:textId="1B07FCC8" w:rsidR="002E2ABD" w:rsidRDefault="005178DA" w:rsidP="00A60564">
      <w:pPr>
        <w:spacing w:line="360" w:lineRule="auto"/>
        <w:rPr>
          <w:sz w:val="24"/>
          <w:szCs w:val="24"/>
        </w:rPr>
      </w:pPr>
      <w:r>
        <w:rPr>
          <w:noProof/>
          <w:sz w:val="24"/>
          <w:szCs w:val="24"/>
        </w:rPr>
        <w:drawing>
          <wp:inline distT="0" distB="0" distL="0" distR="0" wp14:anchorId="0A58EBFB" wp14:editId="5D1CB7D6">
            <wp:extent cx="6629400" cy="2941320"/>
            <wp:effectExtent l="0" t="0" r="0" b="11430"/>
            <wp:docPr id="1470591762"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E03D76" w14:textId="20B5C540" w:rsidR="002E2ABD" w:rsidRPr="00844390" w:rsidRDefault="002E2ABD" w:rsidP="00973250">
      <w:pPr>
        <w:spacing w:line="360" w:lineRule="auto"/>
        <w:ind w:firstLine="720"/>
        <w:rPr>
          <w:i/>
          <w:iCs/>
          <w:sz w:val="24"/>
          <w:szCs w:val="24"/>
        </w:rPr>
      </w:pPr>
      <w:r w:rsidRPr="00844390">
        <w:rPr>
          <w:i/>
          <w:iCs/>
          <w:sz w:val="24"/>
          <w:szCs w:val="24"/>
        </w:rPr>
        <w:t>Figure 1</w:t>
      </w:r>
      <w:r w:rsidR="00973250" w:rsidRPr="00844390">
        <w:rPr>
          <w:i/>
          <w:iCs/>
          <w:sz w:val="24"/>
          <w:szCs w:val="24"/>
        </w:rPr>
        <w:t>:</w:t>
      </w:r>
      <w:r w:rsidRPr="00844390">
        <w:rPr>
          <w:i/>
          <w:iCs/>
          <w:sz w:val="24"/>
          <w:szCs w:val="24"/>
        </w:rPr>
        <w:t xml:space="preserve"> “Holding” </w:t>
      </w:r>
      <w:r w:rsidR="002A5CDD" w:rsidRPr="00844390">
        <w:rPr>
          <w:i/>
          <w:iCs/>
          <w:sz w:val="24"/>
          <w:szCs w:val="24"/>
        </w:rPr>
        <w:t>(</w:t>
      </w:r>
      <w:r w:rsidRPr="00844390">
        <w:rPr>
          <w:i/>
          <w:iCs/>
          <w:sz w:val="24"/>
          <w:szCs w:val="24"/>
        </w:rPr>
        <w:t>adapted from Davis and Wallbridge</w:t>
      </w:r>
      <w:r w:rsidR="002A5CDD" w:rsidRPr="00844390">
        <w:rPr>
          <w:i/>
          <w:iCs/>
          <w:sz w:val="24"/>
          <w:szCs w:val="24"/>
        </w:rPr>
        <w:t xml:space="preserve">, </w:t>
      </w:r>
      <w:r w:rsidRPr="00844390">
        <w:rPr>
          <w:i/>
          <w:iCs/>
          <w:sz w:val="24"/>
          <w:szCs w:val="24"/>
        </w:rPr>
        <w:t>1981, p.142)</w:t>
      </w:r>
    </w:p>
    <w:p w14:paraId="6E982DF2" w14:textId="52C670DE" w:rsidR="00FF6E0C" w:rsidRPr="005D7388" w:rsidRDefault="002E2ABD" w:rsidP="005D7388">
      <w:pPr>
        <w:spacing w:line="360" w:lineRule="auto"/>
        <w:rPr>
          <w:sz w:val="24"/>
          <w:szCs w:val="24"/>
        </w:rPr>
      </w:pPr>
      <w:r>
        <w:rPr>
          <w:sz w:val="24"/>
          <w:szCs w:val="24"/>
        </w:rPr>
        <w:t>In this study the concept of holding</w:t>
      </w:r>
      <w:r w:rsidR="004869C0">
        <w:rPr>
          <w:sz w:val="24"/>
          <w:szCs w:val="24"/>
        </w:rPr>
        <w:t xml:space="preserve"> (Winnicott, 1965)</w:t>
      </w:r>
      <w:r w:rsidRPr="0096561B">
        <w:rPr>
          <w:sz w:val="24"/>
          <w:szCs w:val="24"/>
        </w:rPr>
        <w:t xml:space="preserve"> </w:t>
      </w:r>
      <w:r w:rsidRPr="00705CEA">
        <w:rPr>
          <w:sz w:val="24"/>
          <w:szCs w:val="24"/>
        </w:rPr>
        <w:t xml:space="preserve">is </w:t>
      </w:r>
      <w:r>
        <w:rPr>
          <w:sz w:val="24"/>
          <w:szCs w:val="24"/>
        </w:rPr>
        <w:t xml:space="preserve">selected over the term containment. Although both forefront saliency of support, my subjective view is that holding is relational and suggests ontological support. By comparison containment (Bion, 1963;1970) conjures up the notion of instinctive forces </w:t>
      </w:r>
      <w:r w:rsidR="00754C3B">
        <w:rPr>
          <w:sz w:val="24"/>
          <w:szCs w:val="24"/>
        </w:rPr>
        <w:t>that require</w:t>
      </w:r>
      <w:r>
        <w:rPr>
          <w:sz w:val="24"/>
          <w:szCs w:val="24"/>
        </w:rPr>
        <w:t xml:space="preserve"> harnessing and controlling. </w:t>
      </w:r>
      <w:r w:rsidR="008F3BB7">
        <w:rPr>
          <w:sz w:val="24"/>
          <w:szCs w:val="24"/>
        </w:rPr>
        <w:t>“</w:t>
      </w:r>
      <w:r>
        <w:rPr>
          <w:sz w:val="24"/>
          <w:szCs w:val="24"/>
        </w:rPr>
        <w:t>Holding</w:t>
      </w:r>
      <w:r w:rsidR="008F3BB7">
        <w:rPr>
          <w:sz w:val="24"/>
          <w:szCs w:val="24"/>
        </w:rPr>
        <w:t>”</w:t>
      </w:r>
      <w:r w:rsidR="005339B5">
        <w:rPr>
          <w:sz w:val="24"/>
          <w:szCs w:val="24"/>
        </w:rPr>
        <w:t xml:space="preserve"> (Winnicott, 1965)</w:t>
      </w:r>
      <w:r>
        <w:rPr>
          <w:sz w:val="24"/>
          <w:szCs w:val="24"/>
        </w:rPr>
        <w:t xml:space="preserve"> is </w:t>
      </w:r>
      <w:r w:rsidRPr="00705CEA">
        <w:rPr>
          <w:sz w:val="24"/>
          <w:szCs w:val="24"/>
        </w:rPr>
        <w:t xml:space="preserve">in keeping with the psychosocial approach adopted and allows the research and researcher to </w:t>
      </w:r>
      <w:r>
        <w:rPr>
          <w:sz w:val="24"/>
          <w:szCs w:val="24"/>
        </w:rPr>
        <w:t xml:space="preserve">examine and explore relationships between individuals, </w:t>
      </w:r>
      <w:r w:rsidR="00730C9D">
        <w:rPr>
          <w:sz w:val="24"/>
          <w:szCs w:val="24"/>
        </w:rPr>
        <w:t xml:space="preserve">and within </w:t>
      </w:r>
      <w:r>
        <w:rPr>
          <w:sz w:val="24"/>
          <w:szCs w:val="24"/>
        </w:rPr>
        <w:t>their social network and the environment. G</w:t>
      </w:r>
      <w:r w:rsidRPr="001D6B7E">
        <w:rPr>
          <w:sz w:val="24"/>
          <w:szCs w:val="24"/>
        </w:rPr>
        <w:t xml:space="preserve">iven the role </w:t>
      </w:r>
      <w:r>
        <w:rPr>
          <w:sz w:val="24"/>
          <w:szCs w:val="24"/>
        </w:rPr>
        <w:t xml:space="preserve">the situated context </w:t>
      </w:r>
      <w:r w:rsidRPr="001D6B7E">
        <w:rPr>
          <w:sz w:val="24"/>
          <w:szCs w:val="24"/>
        </w:rPr>
        <w:t>occupies</w:t>
      </w:r>
      <w:r>
        <w:rPr>
          <w:sz w:val="24"/>
          <w:szCs w:val="24"/>
        </w:rPr>
        <w:t xml:space="preserve"> in this study</w:t>
      </w:r>
      <w:r w:rsidRPr="001D6B7E">
        <w:rPr>
          <w:sz w:val="24"/>
          <w:szCs w:val="24"/>
        </w:rPr>
        <w:t xml:space="preserve">, I shall </w:t>
      </w:r>
      <w:r>
        <w:rPr>
          <w:sz w:val="24"/>
          <w:szCs w:val="24"/>
        </w:rPr>
        <w:t xml:space="preserve">now briefly examine </w:t>
      </w:r>
      <w:r w:rsidRPr="001D6B7E">
        <w:rPr>
          <w:sz w:val="24"/>
          <w:szCs w:val="24"/>
        </w:rPr>
        <w:t xml:space="preserve">Winnicott’s lived experience in the </w:t>
      </w:r>
      <w:r>
        <w:rPr>
          <w:sz w:val="24"/>
          <w:szCs w:val="24"/>
        </w:rPr>
        <w:t xml:space="preserve">historical domain of the </w:t>
      </w:r>
      <w:r w:rsidRPr="001D6B7E">
        <w:rPr>
          <w:sz w:val="24"/>
          <w:szCs w:val="24"/>
        </w:rPr>
        <w:t>school of psychoanalysis</w:t>
      </w:r>
      <w:r>
        <w:rPr>
          <w:sz w:val="24"/>
          <w:szCs w:val="24"/>
        </w:rPr>
        <w:t>.</w:t>
      </w:r>
      <w:r w:rsidRPr="001D6B7E">
        <w:rPr>
          <w:sz w:val="24"/>
          <w:szCs w:val="24"/>
        </w:rPr>
        <w:t xml:space="preserve"> </w:t>
      </w:r>
    </w:p>
    <w:p w14:paraId="7EE12EE7" w14:textId="08ACF74E" w:rsidR="002E2ABD" w:rsidRPr="00AE010E" w:rsidRDefault="002E2ABD" w:rsidP="001D6B7E">
      <w:pPr>
        <w:rPr>
          <w:b/>
          <w:bCs/>
          <w:sz w:val="24"/>
          <w:szCs w:val="24"/>
        </w:rPr>
      </w:pPr>
      <w:r w:rsidRPr="00AE010E">
        <w:rPr>
          <w:b/>
          <w:bCs/>
          <w:sz w:val="24"/>
          <w:szCs w:val="24"/>
        </w:rPr>
        <w:t>Winnicott amid a non-facilitating environment</w:t>
      </w:r>
    </w:p>
    <w:p w14:paraId="1FD15805" w14:textId="2BAD300A" w:rsidR="002E2ABD" w:rsidRPr="001864D0" w:rsidRDefault="002E2ABD" w:rsidP="001920F9">
      <w:pPr>
        <w:spacing w:line="360" w:lineRule="auto"/>
        <w:rPr>
          <w:color w:val="C00000"/>
          <w:sz w:val="24"/>
          <w:szCs w:val="24"/>
        </w:rPr>
      </w:pPr>
      <w:r>
        <w:rPr>
          <w:sz w:val="24"/>
          <w:szCs w:val="24"/>
        </w:rPr>
        <w:t>There were contentious the</w:t>
      </w:r>
      <w:r w:rsidRPr="001D6B7E">
        <w:rPr>
          <w:sz w:val="24"/>
          <w:szCs w:val="24"/>
        </w:rPr>
        <w:t>oretical conflicts of interest between Sigmund Freud</w:t>
      </w:r>
      <w:r>
        <w:rPr>
          <w:sz w:val="24"/>
          <w:szCs w:val="24"/>
        </w:rPr>
        <w:t xml:space="preserve"> (1856-1959)</w:t>
      </w:r>
      <w:r w:rsidRPr="001D6B7E">
        <w:rPr>
          <w:sz w:val="24"/>
          <w:szCs w:val="24"/>
        </w:rPr>
        <w:t>, the founding father of psychoanalysis, and his protégé, Carl Gustav Jung</w:t>
      </w:r>
      <w:r>
        <w:rPr>
          <w:sz w:val="24"/>
          <w:szCs w:val="24"/>
        </w:rPr>
        <w:t xml:space="preserve"> (1875-1961)</w:t>
      </w:r>
      <w:r w:rsidRPr="001D6B7E">
        <w:rPr>
          <w:sz w:val="24"/>
          <w:szCs w:val="24"/>
        </w:rPr>
        <w:t xml:space="preserve">, the founding father of depth psychology. A subsequent division developed between the </w:t>
      </w:r>
      <w:r w:rsidRPr="001D6B7E">
        <w:rPr>
          <w:sz w:val="24"/>
          <w:szCs w:val="24"/>
        </w:rPr>
        <w:lastRenderedPageBreak/>
        <w:t xml:space="preserve">psychoanalytic school of Freud’s daughter, Anna Freud, and the Object Relations School </w:t>
      </w:r>
      <w:bookmarkStart w:id="32" w:name="_Hlk135912761"/>
      <w:r w:rsidRPr="001D6B7E">
        <w:rPr>
          <w:sz w:val="24"/>
          <w:szCs w:val="24"/>
        </w:rPr>
        <w:t>formed by Melanie Klein and Ronald Fairbairn</w:t>
      </w:r>
      <w:r>
        <w:rPr>
          <w:sz w:val="24"/>
          <w:szCs w:val="24"/>
        </w:rPr>
        <w:t xml:space="preserve"> (King and Steiner, 1992).</w:t>
      </w:r>
      <w:r w:rsidRPr="001D6B7E">
        <w:rPr>
          <w:sz w:val="24"/>
          <w:szCs w:val="24"/>
        </w:rPr>
        <w:t xml:space="preserve"> </w:t>
      </w:r>
      <w:r w:rsidRPr="00EE686B">
        <w:rPr>
          <w:sz w:val="24"/>
          <w:szCs w:val="24"/>
        </w:rPr>
        <w:t>I</w:t>
      </w:r>
      <w:r>
        <w:rPr>
          <w:sz w:val="24"/>
          <w:szCs w:val="24"/>
        </w:rPr>
        <w:t xml:space="preserve">t is </w:t>
      </w:r>
      <w:r w:rsidRPr="00EE686B">
        <w:rPr>
          <w:sz w:val="24"/>
          <w:szCs w:val="24"/>
        </w:rPr>
        <w:t>fascinating to think about the</w:t>
      </w:r>
      <w:r>
        <w:rPr>
          <w:sz w:val="24"/>
          <w:szCs w:val="24"/>
        </w:rPr>
        <w:t>se</w:t>
      </w:r>
      <w:r w:rsidRPr="00EE686B">
        <w:rPr>
          <w:sz w:val="24"/>
          <w:szCs w:val="24"/>
        </w:rPr>
        <w:t xml:space="preserve"> rivalry ridden psychoanalytic circles in </w:t>
      </w:r>
      <w:r>
        <w:rPr>
          <w:sz w:val="24"/>
          <w:szCs w:val="24"/>
        </w:rPr>
        <w:t xml:space="preserve">relation to </w:t>
      </w:r>
      <w:r w:rsidRPr="00EE686B">
        <w:rPr>
          <w:sz w:val="24"/>
          <w:szCs w:val="24"/>
        </w:rPr>
        <w:t xml:space="preserve">their own </w:t>
      </w:r>
      <w:r>
        <w:rPr>
          <w:sz w:val="24"/>
          <w:szCs w:val="24"/>
        </w:rPr>
        <w:t xml:space="preserve">theoretical </w:t>
      </w:r>
      <w:r w:rsidR="009163E6">
        <w:rPr>
          <w:sz w:val="24"/>
          <w:szCs w:val="24"/>
        </w:rPr>
        <w:t>constructs</w:t>
      </w:r>
      <w:r>
        <w:rPr>
          <w:sz w:val="24"/>
          <w:szCs w:val="24"/>
        </w:rPr>
        <w:t>.</w:t>
      </w:r>
      <w:r w:rsidRPr="00FB43C0">
        <w:rPr>
          <w:sz w:val="24"/>
          <w:szCs w:val="24"/>
        </w:rPr>
        <w:t xml:space="preserve"> </w:t>
      </w:r>
      <w:r>
        <w:rPr>
          <w:sz w:val="24"/>
          <w:szCs w:val="24"/>
        </w:rPr>
        <w:t>U</w:t>
      </w:r>
      <w:r w:rsidRPr="00FB43C0">
        <w:rPr>
          <w:sz w:val="24"/>
          <w:szCs w:val="24"/>
        </w:rPr>
        <w:t xml:space="preserve">nconscious dynamics and defence mechanisms </w:t>
      </w:r>
      <w:r>
        <w:rPr>
          <w:sz w:val="24"/>
          <w:szCs w:val="24"/>
        </w:rPr>
        <w:t xml:space="preserve">can be </w:t>
      </w:r>
      <w:r w:rsidRPr="00FB43C0">
        <w:rPr>
          <w:sz w:val="24"/>
          <w:szCs w:val="24"/>
        </w:rPr>
        <w:t xml:space="preserve">acted out </w:t>
      </w:r>
      <w:r>
        <w:rPr>
          <w:sz w:val="24"/>
          <w:szCs w:val="24"/>
        </w:rPr>
        <w:t xml:space="preserve">between individuals, </w:t>
      </w:r>
      <w:r w:rsidRPr="00FB43C0">
        <w:rPr>
          <w:sz w:val="24"/>
          <w:szCs w:val="24"/>
        </w:rPr>
        <w:t>in the workplace, within organisations and disciplinary fields</w:t>
      </w:r>
      <w:r>
        <w:rPr>
          <w:sz w:val="24"/>
          <w:szCs w:val="24"/>
        </w:rPr>
        <w:t xml:space="preserve"> (Clarke, 2021), and replete</w:t>
      </w:r>
      <w:r w:rsidRPr="00EE686B">
        <w:rPr>
          <w:sz w:val="24"/>
          <w:szCs w:val="24"/>
        </w:rPr>
        <w:t xml:space="preserve"> with narcissism, ego</w:t>
      </w:r>
      <w:r>
        <w:rPr>
          <w:sz w:val="24"/>
          <w:szCs w:val="24"/>
        </w:rPr>
        <w:t>ic battles</w:t>
      </w:r>
      <w:r w:rsidRPr="00EE686B">
        <w:rPr>
          <w:sz w:val="24"/>
          <w:szCs w:val="24"/>
        </w:rPr>
        <w:t xml:space="preserve"> and primitive drives, </w:t>
      </w:r>
      <w:r w:rsidRPr="00B43627">
        <w:rPr>
          <w:sz w:val="24"/>
          <w:szCs w:val="24"/>
        </w:rPr>
        <w:t>these psych</w:t>
      </w:r>
      <w:r w:rsidR="002D307D">
        <w:rPr>
          <w:sz w:val="24"/>
          <w:szCs w:val="24"/>
        </w:rPr>
        <w:t>o</w:t>
      </w:r>
      <w:r w:rsidRPr="00B43627">
        <w:rPr>
          <w:sz w:val="24"/>
          <w:szCs w:val="24"/>
        </w:rPr>
        <w:t xml:space="preserve">analytic thinkers of old </w:t>
      </w:r>
      <w:r>
        <w:rPr>
          <w:sz w:val="24"/>
          <w:szCs w:val="24"/>
        </w:rPr>
        <w:t xml:space="preserve">reenacted </w:t>
      </w:r>
      <w:r w:rsidRPr="00EE686B">
        <w:rPr>
          <w:sz w:val="24"/>
          <w:szCs w:val="24"/>
        </w:rPr>
        <w:t xml:space="preserve">the </w:t>
      </w:r>
      <w:r>
        <w:rPr>
          <w:sz w:val="24"/>
          <w:szCs w:val="24"/>
        </w:rPr>
        <w:t xml:space="preserve">very </w:t>
      </w:r>
      <w:r w:rsidRPr="00EE686B">
        <w:rPr>
          <w:sz w:val="24"/>
          <w:szCs w:val="24"/>
        </w:rPr>
        <w:t>pathologies</w:t>
      </w:r>
      <w:r>
        <w:rPr>
          <w:sz w:val="24"/>
          <w:szCs w:val="24"/>
        </w:rPr>
        <w:t xml:space="preserve"> </w:t>
      </w:r>
      <w:r w:rsidR="006C0D17">
        <w:rPr>
          <w:sz w:val="24"/>
          <w:szCs w:val="24"/>
        </w:rPr>
        <w:t>identified</w:t>
      </w:r>
      <w:r w:rsidR="00D13AA4">
        <w:rPr>
          <w:sz w:val="24"/>
          <w:szCs w:val="24"/>
        </w:rPr>
        <w:t>,</w:t>
      </w:r>
      <w:r w:rsidR="006C0D17">
        <w:rPr>
          <w:sz w:val="24"/>
          <w:szCs w:val="24"/>
        </w:rPr>
        <w:t xml:space="preserve"> </w:t>
      </w:r>
      <w:r>
        <w:rPr>
          <w:sz w:val="24"/>
          <w:szCs w:val="24"/>
        </w:rPr>
        <w:t>and defences</w:t>
      </w:r>
      <w:r w:rsidRPr="00EE686B">
        <w:rPr>
          <w:sz w:val="24"/>
          <w:szCs w:val="24"/>
        </w:rPr>
        <w:t xml:space="preserve"> extol</w:t>
      </w:r>
      <w:r>
        <w:rPr>
          <w:sz w:val="24"/>
          <w:szCs w:val="24"/>
        </w:rPr>
        <w:t>led</w:t>
      </w:r>
      <w:r w:rsidRPr="00EE686B">
        <w:rPr>
          <w:sz w:val="24"/>
          <w:szCs w:val="24"/>
        </w:rPr>
        <w:t xml:space="preserve"> in their theories. Indeed, depth psychologist Lopez-Pedraza (1977) believed </w:t>
      </w:r>
      <w:r>
        <w:rPr>
          <w:sz w:val="24"/>
          <w:szCs w:val="24"/>
        </w:rPr>
        <w:t xml:space="preserve">the reenactment of </w:t>
      </w:r>
      <w:r w:rsidR="00A842CA">
        <w:rPr>
          <w:sz w:val="24"/>
          <w:szCs w:val="24"/>
        </w:rPr>
        <w:t xml:space="preserve">a </w:t>
      </w:r>
      <w:r w:rsidRPr="00EE686B">
        <w:rPr>
          <w:sz w:val="24"/>
          <w:szCs w:val="24"/>
        </w:rPr>
        <w:t>power game destroyed the relationship between Freud and Jung</w:t>
      </w:r>
      <w:r>
        <w:rPr>
          <w:sz w:val="24"/>
          <w:szCs w:val="24"/>
        </w:rPr>
        <w:t xml:space="preserve"> and continues</w:t>
      </w:r>
      <w:r w:rsidRPr="00EE686B">
        <w:rPr>
          <w:sz w:val="24"/>
          <w:szCs w:val="24"/>
        </w:rPr>
        <w:t xml:space="preserve"> in the field. Likening psychoanalysis to a secret society hiding behind its own façade, </w:t>
      </w:r>
      <w:r>
        <w:rPr>
          <w:sz w:val="24"/>
          <w:szCs w:val="24"/>
        </w:rPr>
        <w:t>Lopez- Pedraza (</w:t>
      </w:r>
      <w:r w:rsidR="00AB1ADC">
        <w:rPr>
          <w:sz w:val="24"/>
          <w:szCs w:val="24"/>
        </w:rPr>
        <w:t>ibid.</w:t>
      </w:r>
      <w:r>
        <w:rPr>
          <w:sz w:val="24"/>
          <w:szCs w:val="24"/>
        </w:rPr>
        <w:t>) believe</w:t>
      </w:r>
      <w:r w:rsidR="000F6D7A">
        <w:rPr>
          <w:sz w:val="24"/>
          <w:szCs w:val="24"/>
        </w:rPr>
        <w:t>s</w:t>
      </w:r>
      <w:r>
        <w:rPr>
          <w:sz w:val="24"/>
          <w:szCs w:val="24"/>
        </w:rPr>
        <w:t xml:space="preserve"> </w:t>
      </w:r>
      <w:r w:rsidRPr="001754CC">
        <w:rPr>
          <w:sz w:val="24"/>
          <w:szCs w:val="24"/>
        </w:rPr>
        <w:t>power</w:t>
      </w:r>
      <w:r w:rsidRPr="00EE686B">
        <w:rPr>
          <w:sz w:val="24"/>
          <w:szCs w:val="24"/>
        </w:rPr>
        <w:t xml:space="preserve"> and secrecy </w:t>
      </w:r>
      <w:r>
        <w:rPr>
          <w:sz w:val="24"/>
          <w:szCs w:val="24"/>
        </w:rPr>
        <w:t xml:space="preserve">embedded in the field </w:t>
      </w:r>
      <w:r w:rsidRPr="00EE686B">
        <w:rPr>
          <w:sz w:val="24"/>
          <w:szCs w:val="24"/>
        </w:rPr>
        <w:t>mask the underlying lack of relationship</w:t>
      </w:r>
      <w:r w:rsidR="00D436C4">
        <w:rPr>
          <w:sz w:val="24"/>
          <w:szCs w:val="24"/>
        </w:rPr>
        <w:t xml:space="preserve"> </w:t>
      </w:r>
      <w:r w:rsidRPr="00EE686B">
        <w:rPr>
          <w:sz w:val="24"/>
          <w:szCs w:val="24"/>
        </w:rPr>
        <w:t>an</w:t>
      </w:r>
      <w:r>
        <w:rPr>
          <w:sz w:val="24"/>
          <w:szCs w:val="24"/>
        </w:rPr>
        <w:t>d feed conflicts within competing modalities</w:t>
      </w:r>
      <w:r w:rsidRPr="00EE686B">
        <w:rPr>
          <w:sz w:val="24"/>
          <w:szCs w:val="24"/>
        </w:rPr>
        <w:t xml:space="preserve">. </w:t>
      </w:r>
    </w:p>
    <w:p w14:paraId="3D2A7449" w14:textId="228D2B43" w:rsidR="002E2ABD" w:rsidRPr="004E3CB9" w:rsidRDefault="002E2ABD" w:rsidP="001920F9">
      <w:pPr>
        <w:spacing w:line="360" w:lineRule="auto"/>
        <w:rPr>
          <w:sz w:val="24"/>
          <w:szCs w:val="24"/>
        </w:rPr>
      </w:pPr>
      <w:r w:rsidRPr="004E3CB9">
        <w:rPr>
          <w:sz w:val="24"/>
          <w:szCs w:val="24"/>
        </w:rPr>
        <w:t>Referred to as a lone voice and pioneer of the psycho-political (Morgan, 2019), Jungian analyst Samuels (1993)</w:t>
      </w:r>
      <w:r>
        <w:rPr>
          <w:sz w:val="24"/>
          <w:szCs w:val="24"/>
        </w:rPr>
        <w:t xml:space="preserve"> </w:t>
      </w:r>
      <w:r w:rsidRPr="004E3CB9">
        <w:rPr>
          <w:sz w:val="24"/>
          <w:szCs w:val="24"/>
        </w:rPr>
        <w:t xml:space="preserve">believes that </w:t>
      </w:r>
      <w:r>
        <w:rPr>
          <w:sz w:val="24"/>
          <w:szCs w:val="24"/>
        </w:rPr>
        <w:t xml:space="preserve">societal </w:t>
      </w:r>
      <w:r w:rsidRPr="004E3CB9">
        <w:rPr>
          <w:sz w:val="24"/>
          <w:szCs w:val="24"/>
        </w:rPr>
        <w:t>market forces influence the inner journeys of patients, and their therapists. Within his own psychoanalytic circles, Samuels met with resistance due to his straying into realms of the political. Nussbaum (2001) believes that political systems are human at their heart</w:t>
      </w:r>
      <w:r w:rsidR="00112F11">
        <w:rPr>
          <w:sz w:val="24"/>
          <w:szCs w:val="24"/>
        </w:rPr>
        <w:t xml:space="preserve"> </w:t>
      </w:r>
      <w:r w:rsidRPr="004E3CB9">
        <w:rPr>
          <w:sz w:val="24"/>
          <w:szCs w:val="24"/>
        </w:rPr>
        <w:t>and they only work if compassionate human beings “keep essential political insights alive and before our very eyes” (p.404)</w:t>
      </w:r>
      <w:r w:rsidR="00F37B66">
        <w:rPr>
          <w:sz w:val="24"/>
          <w:szCs w:val="24"/>
        </w:rPr>
        <w:t>, and</w:t>
      </w:r>
      <w:r w:rsidRPr="004E3CB9">
        <w:rPr>
          <w:sz w:val="24"/>
          <w:szCs w:val="24"/>
        </w:rPr>
        <w:t xml:space="preserve"> Samuels</w:t>
      </w:r>
      <w:r w:rsidR="00F37B66">
        <w:rPr>
          <w:sz w:val="24"/>
          <w:szCs w:val="24"/>
        </w:rPr>
        <w:t>,</w:t>
      </w:r>
      <w:r w:rsidRPr="004E3CB9">
        <w:rPr>
          <w:sz w:val="24"/>
          <w:szCs w:val="24"/>
        </w:rPr>
        <w:t xml:space="preserve"> with his passion about political influences and compassion for his work</w:t>
      </w:r>
      <w:r w:rsidR="003128E0">
        <w:rPr>
          <w:sz w:val="24"/>
          <w:szCs w:val="24"/>
        </w:rPr>
        <w:t>,</w:t>
      </w:r>
      <w:r w:rsidRPr="004E3CB9">
        <w:rPr>
          <w:sz w:val="24"/>
          <w:szCs w:val="24"/>
        </w:rPr>
        <w:t xml:space="preserve"> seemingly sends shivers down the spines of traditionalists. </w:t>
      </w:r>
      <w:r w:rsidR="00AB4C63">
        <w:rPr>
          <w:sz w:val="24"/>
          <w:szCs w:val="24"/>
        </w:rPr>
        <w:t>P</w:t>
      </w:r>
      <w:r w:rsidRPr="00D11AF5">
        <w:rPr>
          <w:sz w:val="24"/>
          <w:szCs w:val="24"/>
        </w:rPr>
        <w:t>olitical infighting does not bode well for making psychoanalysis attractive in academic circles</w:t>
      </w:r>
      <w:r w:rsidR="003128E0">
        <w:rPr>
          <w:sz w:val="24"/>
          <w:szCs w:val="24"/>
        </w:rPr>
        <w:t>,</w:t>
      </w:r>
      <w:r w:rsidRPr="00D11AF5">
        <w:rPr>
          <w:sz w:val="24"/>
          <w:szCs w:val="24"/>
        </w:rPr>
        <w:t xml:space="preserve"> and beyond.</w:t>
      </w:r>
    </w:p>
    <w:p w14:paraId="062F4FE3" w14:textId="6CD7CAFA" w:rsidR="00931718" w:rsidRPr="004F6933" w:rsidRDefault="002E2ABD" w:rsidP="004F6933">
      <w:pPr>
        <w:spacing w:line="360" w:lineRule="auto"/>
        <w:rPr>
          <w:sz w:val="24"/>
          <w:szCs w:val="24"/>
        </w:rPr>
      </w:pPr>
      <w:r>
        <w:rPr>
          <w:sz w:val="24"/>
          <w:szCs w:val="24"/>
        </w:rPr>
        <w:t>P</w:t>
      </w:r>
      <w:r w:rsidRPr="00BD666C">
        <w:rPr>
          <w:sz w:val="24"/>
          <w:szCs w:val="24"/>
        </w:rPr>
        <w:t>sychoanalytic thought has had minimal impact on the wider education field some 150 years after its inception</w:t>
      </w:r>
      <w:r>
        <w:rPr>
          <w:sz w:val="24"/>
          <w:szCs w:val="24"/>
        </w:rPr>
        <w:t xml:space="preserve"> (Britzman, 2015) and </w:t>
      </w:r>
      <w:r w:rsidRPr="00BD666C">
        <w:rPr>
          <w:sz w:val="24"/>
          <w:szCs w:val="24"/>
        </w:rPr>
        <w:t>Bartle</w:t>
      </w:r>
      <w:r w:rsidRPr="004E3CB9">
        <w:rPr>
          <w:sz w:val="24"/>
          <w:szCs w:val="24"/>
        </w:rPr>
        <w:t xml:space="preserve"> and Eloquin (2021) </w:t>
      </w:r>
      <w:r>
        <w:rPr>
          <w:sz w:val="24"/>
          <w:szCs w:val="24"/>
        </w:rPr>
        <w:t>believe the</w:t>
      </w:r>
      <w:r w:rsidRPr="004E3CB9">
        <w:rPr>
          <w:sz w:val="24"/>
          <w:szCs w:val="24"/>
        </w:rPr>
        <w:t xml:space="preserve"> traditional view of psychoanalysis</w:t>
      </w:r>
      <w:r>
        <w:rPr>
          <w:sz w:val="24"/>
          <w:szCs w:val="24"/>
        </w:rPr>
        <w:t xml:space="preserve"> needs to be challenged. T</w:t>
      </w:r>
      <w:r w:rsidRPr="004E3CB9">
        <w:rPr>
          <w:sz w:val="24"/>
          <w:szCs w:val="24"/>
        </w:rPr>
        <w:t>heories and practice of the psychoanalytic school “are not frozen in aspic” (</w:t>
      </w:r>
      <w:r w:rsidR="00AB1ADC">
        <w:rPr>
          <w:sz w:val="24"/>
          <w:szCs w:val="24"/>
        </w:rPr>
        <w:t>ibid.</w:t>
      </w:r>
      <w:r w:rsidR="002A09B9">
        <w:rPr>
          <w:sz w:val="24"/>
          <w:szCs w:val="24"/>
        </w:rPr>
        <w:t>,</w:t>
      </w:r>
      <w:r w:rsidRPr="004E3CB9">
        <w:rPr>
          <w:sz w:val="24"/>
          <w:szCs w:val="24"/>
        </w:rPr>
        <w:t xml:space="preserve"> p.15)</w:t>
      </w:r>
      <w:r w:rsidR="00E62186">
        <w:rPr>
          <w:sz w:val="24"/>
          <w:szCs w:val="24"/>
        </w:rPr>
        <w:t xml:space="preserve"> </w:t>
      </w:r>
      <w:r w:rsidR="00066199">
        <w:rPr>
          <w:sz w:val="24"/>
          <w:szCs w:val="24"/>
        </w:rPr>
        <w:t xml:space="preserve">and </w:t>
      </w:r>
      <w:r w:rsidRPr="004E3CB9">
        <w:rPr>
          <w:sz w:val="24"/>
          <w:szCs w:val="24"/>
        </w:rPr>
        <w:t xml:space="preserve">have developed significantly over time. Westen (1999) similarly highlights </w:t>
      </w:r>
      <w:r w:rsidR="0010082C">
        <w:rPr>
          <w:sz w:val="24"/>
          <w:szCs w:val="24"/>
        </w:rPr>
        <w:t xml:space="preserve">that </w:t>
      </w:r>
      <w:r w:rsidRPr="004E3CB9">
        <w:rPr>
          <w:sz w:val="24"/>
          <w:szCs w:val="24"/>
        </w:rPr>
        <w:t>since its foundations some 100 years ago</w:t>
      </w:r>
      <w:r w:rsidR="0010082C">
        <w:rPr>
          <w:sz w:val="24"/>
          <w:szCs w:val="24"/>
        </w:rPr>
        <w:t xml:space="preserve"> </w:t>
      </w:r>
      <w:r w:rsidRPr="004E3CB9">
        <w:rPr>
          <w:sz w:val="24"/>
          <w:szCs w:val="24"/>
        </w:rPr>
        <w:t xml:space="preserve">the field of psychoanalysis has evolved substantially. </w:t>
      </w:r>
      <w:r>
        <w:rPr>
          <w:sz w:val="24"/>
          <w:szCs w:val="24"/>
        </w:rPr>
        <w:t>M</w:t>
      </w:r>
      <w:r w:rsidRPr="004E3CB9">
        <w:rPr>
          <w:sz w:val="24"/>
          <w:szCs w:val="24"/>
        </w:rPr>
        <w:t xml:space="preserve">odern psychoanalysis </w:t>
      </w:r>
      <w:r>
        <w:rPr>
          <w:sz w:val="24"/>
          <w:szCs w:val="24"/>
        </w:rPr>
        <w:t xml:space="preserve">might offer </w:t>
      </w:r>
      <w:r w:rsidRPr="004E3CB9">
        <w:rPr>
          <w:sz w:val="24"/>
          <w:szCs w:val="24"/>
        </w:rPr>
        <w:t>a relational lens through which to view anxieties born of the human, experiential aspects of life “that is responsive to physiological, neurological, psychological, social, and cultural dimensions, while foregrounding the experiencing self” (Bainbridge and West, 2012, pp.243-244)</w:t>
      </w:r>
      <w:r w:rsidR="00905C38">
        <w:rPr>
          <w:sz w:val="24"/>
          <w:szCs w:val="24"/>
        </w:rPr>
        <w:t xml:space="preserve">. This lens </w:t>
      </w:r>
      <w:r w:rsidRPr="004E3CB9">
        <w:rPr>
          <w:sz w:val="24"/>
          <w:szCs w:val="24"/>
        </w:rPr>
        <w:t xml:space="preserve">may afford a much-needed </w:t>
      </w:r>
      <w:r>
        <w:rPr>
          <w:sz w:val="24"/>
          <w:szCs w:val="24"/>
        </w:rPr>
        <w:t xml:space="preserve">solution </w:t>
      </w:r>
      <w:r w:rsidRPr="004E3CB9">
        <w:rPr>
          <w:sz w:val="24"/>
          <w:szCs w:val="24"/>
        </w:rPr>
        <w:t>in times of crisis</w:t>
      </w:r>
      <w:r>
        <w:rPr>
          <w:sz w:val="24"/>
          <w:szCs w:val="24"/>
        </w:rPr>
        <w:t xml:space="preserve">. </w:t>
      </w:r>
      <w:r w:rsidR="00066199">
        <w:rPr>
          <w:sz w:val="24"/>
          <w:szCs w:val="24"/>
        </w:rPr>
        <w:t>However,</w:t>
      </w:r>
      <w:r>
        <w:rPr>
          <w:sz w:val="24"/>
          <w:szCs w:val="24"/>
        </w:rPr>
        <w:t xml:space="preserve"> there is </w:t>
      </w:r>
      <w:r>
        <w:rPr>
          <w:sz w:val="24"/>
          <w:szCs w:val="24"/>
        </w:rPr>
        <w:lastRenderedPageBreak/>
        <w:t xml:space="preserve">hostility towards what might be regarded as </w:t>
      </w:r>
      <w:r w:rsidRPr="004E3CB9">
        <w:rPr>
          <w:sz w:val="24"/>
          <w:szCs w:val="24"/>
        </w:rPr>
        <w:t>self-indulgent navel gazing (Bolton, 201</w:t>
      </w:r>
      <w:r>
        <w:rPr>
          <w:sz w:val="24"/>
          <w:szCs w:val="24"/>
        </w:rPr>
        <w:t>0</w:t>
      </w:r>
      <w:r w:rsidRPr="004E3CB9">
        <w:rPr>
          <w:sz w:val="24"/>
          <w:szCs w:val="24"/>
        </w:rPr>
        <w:t>)</w:t>
      </w:r>
      <w:r>
        <w:rPr>
          <w:sz w:val="24"/>
          <w:szCs w:val="24"/>
        </w:rPr>
        <w:t xml:space="preserve">, an inward focussed approach inherent in the psychoanalytic field which, with reference to educational realms, </w:t>
      </w:r>
      <w:r w:rsidRPr="004E3CB9">
        <w:rPr>
          <w:sz w:val="24"/>
          <w:szCs w:val="24"/>
        </w:rPr>
        <w:t xml:space="preserve">may distract from </w:t>
      </w:r>
      <w:r>
        <w:rPr>
          <w:sz w:val="24"/>
          <w:szCs w:val="24"/>
        </w:rPr>
        <w:t>the reality that</w:t>
      </w:r>
      <w:r w:rsidRPr="004E3CB9">
        <w:rPr>
          <w:sz w:val="24"/>
          <w:szCs w:val="24"/>
        </w:rPr>
        <w:t xml:space="preserve"> learning is hard work (Furedi, 2021).</w:t>
      </w:r>
      <w:r>
        <w:rPr>
          <w:sz w:val="24"/>
          <w:szCs w:val="24"/>
        </w:rPr>
        <w:t xml:space="preserve"> </w:t>
      </w:r>
    </w:p>
    <w:p w14:paraId="624FCCA3" w14:textId="3A450DCD" w:rsidR="002E2ABD" w:rsidRPr="005F6CDC" w:rsidRDefault="002E2ABD" w:rsidP="001D6B7E">
      <w:pPr>
        <w:rPr>
          <w:b/>
          <w:bCs/>
          <w:sz w:val="24"/>
          <w:szCs w:val="24"/>
        </w:rPr>
      </w:pPr>
      <w:r w:rsidRPr="005F6CDC">
        <w:rPr>
          <w:b/>
          <w:bCs/>
          <w:sz w:val="24"/>
          <w:szCs w:val="24"/>
        </w:rPr>
        <w:t>Winnicott and object relations</w:t>
      </w:r>
    </w:p>
    <w:p w14:paraId="2A6A8466" w14:textId="1E70D71C" w:rsidR="002E2ABD" w:rsidRPr="00EA3C73" w:rsidRDefault="002E2ABD" w:rsidP="00C438F1">
      <w:pPr>
        <w:spacing w:line="360" w:lineRule="auto"/>
        <w:rPr>
          <w:sz w:val="24"/>
          <w:szCs w:val="24"/>
        </w:rPr>
      </w:pPr>
      <w:r>
        <w:rPr>
          <w:sz w:val="24"/>
          <w:szCs w:val="24"/>
        </w:rPr>
        <w:t>F</w:t>
      </w:r>
      <w:r w:rsidRPr="0069052C">
        <w:rPr>
          <w:sz w:val="24"/>
          <w:szCs w:val="24"/>
        </w:rPr>
        <w:t>orged in the psychosocial architecture of the post-war welfare state</w:t>
      </w:r>
      <w:r>
        <w:rPr>
          <w:sz w:val="24"/>
          <w:szCs w:val="24"/>
        </w:rPr>
        <w:t xml:space="preserve">, </w:t>
      </w:r>
      <w:r w:rsidRPr="0069052C">
        <w:rPr>
          <w:sz w:val="24"/>
          <w:szCs w:val="24"/>
        </w:rPr>
        <w:t>Winnicott was one of the first psychoanalytic thinkers to privilege care</w:t>
      </w:r>
      <w:r>
        <w:rPr>
          <w:sz w:val="24"/>
          <w:szCs w:val="24"/>
        </w:rPr>
        <w:t xml:space="preserve"> and </w:t>
      </w:r>
      <w:r w:rsidRPr="0069052C">
        <w:rPr>
          <w:sz w:val="24"/>
          <w:szCs w:val="24"/>
        </w:rPr>
        <w:t>the nature of the relationship between mother/infant over the content of the relationship</w:t>
      </w:r>
      <w:r>
        <w:rPr>
          <w:sz w:val="24"/>
          <w:szCs w:val="24"/>
        </w:rPr>
        <w:t>. A</w:t>
      </w:r>
      <w:r w:rsidRPr="003246B9">
        <w:rPr>
          <w:sz w:val="24"/>
          <w:szCs w:val="24"/>
        </w:rPr>
        <w:t xml:space="preserve">mid a </w:t>
      </w:r>
      <w:r>
        <w:rPr>
          <w:sz w:val="24"/>
          <w:szCs w:val="24"/>
        </w:rPr>
        <w:t xml:space="preserve">disciplinary </w:t>
      </w:r>
      <w:r w:rsidRPr="003246B9">
        <w:rPr>
          <w:sz w:val="24"/>
          <w:szCs w:val="24"/>
        </w:rPr>
        <w:t xml:space="preserve">strife ridden </w:t>
      </w:r>
      <w:r>
        <w:rPr>
          <w:sz w:val="24"/>
          <w:szCs w:val="24"/>
        </w:rPr>
        <w:t xml:space="preserve">professional </w:t>
      </w:r>
      <w:r w:rsidRPr="003246B9">
        <w:rPr>
          <w:sz w:val="24"/>
          <w:szCs w:val="24"/>
        </w:rPr>
        <w:t>context</w:t>
      </w:r>
      <w:r>
        <w:rPr>
          <w:sz w:val="24"/>
          <w:szCs w:val="24"/>
        </w:rPr>
        <w:t xml:space="preserve"> Winnicott developed his own object relations theories </w:t>
      </w:r>
      <w:r w:rsidRPr="008D0C6B">
        <w:rPr>
          <w:sz w:val="24"/>
          <w:szCs w:val="24"/>
        </w:rPr>
        <w:t>beyond</w:t>
      </w:r>
      <w:r>
        <w:rPr>
          <w:sz w:val="24"/>
          <w:szCs w:val="24"/>
        </w:rPr>
        <w:t xml:space="preserve"> </w:t>
      </w:r>
      <w:r w:rsidRPr="008D0C6B">
        <w:rPr>
          <w:sz w:val="24"/>
          <w:szCs w:val="24"/>
        </w:rPr>
        <w:t>psychoanalytic roots</w:t>
      </w:r>
      <w:r>
        <w:rPr>
          <w:sz w:val="24"/>
          <w:szCs w:val="24"/>
        </w:rPr>
        <w:t xml:space="preserve"> in</w:t>
      </w:r>
      <w:r w:rsidRPr="009D5B02">
        <w:rPr>
          <w:sz w:val="24"/>
          <w:szCs w:val="24"/>
        </w:rPr>
        <w:t xml:space="preserve"> biological drivers as the formation of personality (Anderson and Taylor, 2008)</w:t>
      </w:r>
      <w:r>
        <w:rPr>
          <w:sz w:val="24"/>
          <w:szCs w:val="24"/>
        </w:rPr>
        <w:t xml:space="preserve"> and</w:t>
      </w:r>
      <w:r w:rsidRPr="00EA3C73">
        <w:rPr>
          <w:sz w:val="24"/>
          <w:szCs w:val="24"/>
        </w:rPr>
        <w:t xml:space="preserve"> fixed </w:t>
      </w:r>
      <w:r w:rsidRPr="00EA3C73">
        <w:rPr>
          <w:i/>
          <w:iCs/>
          <w:sz w:val="24"/>
          <w:szCs w:val="24"/>
        </w:rPr>
        <w:t>a priori</w:t>
      </w:r>
      <w:r w:rsidRPr="00EA3C73">
        <w:rPr>
          <w:sz w:val="24"/>
          <w:szCs w:val="24"/>
        </w:rPr>
        <w:t xml:space="preserve"> analytical interpretation models favoured by </w:t>
      </w:r>
      <w:r>
        <w:rPr>
          <w:sz w:val="24"/>
          <w:szCs w:val="24"/>
        </w:rPr>
        <w:t xml:space="preserve">the likes of </w:t>
      </w:r>
      <w:r w:rsidRPr="00EA3C73">
        <w:rPr>
          <w:sz w:val="24"/>
          <w:szCs w:val="24"/>
        </w:rPr>
        <w:t xml:space="preserve">Freud, Klein and Fairbairn. </w:t>
      </w:r>
    </w:p>
    <w:p w14:paraId="53660835" w14:textId="4E4B4BEE" w:rsidR="002E2ABD" w:rsidRDefault="002E2ABD" w:rsidP="00C438F1">
      <w:pPr>
        <w:spacing w:line="360" w:lineRule="auto"/>
        <w:rPr>
          <w:sz w:val="24"/>
          <w:szCs w:val="24"/>
        </w:rPr>
      </w:pPr>
      <w:r>
        <w:rPr>
          <w:sz w:val="24"/>
          <w:szCs w:val="24"/>
        </w:rPr>
        <w:t>O</w:t>
      </w:r>
      <w:r w:rsidRPr="009D5B02">
        <w:rPr>
          <w:sz w:val="24"/>
          <w:szCs w:val="24"/>
        </w:rPr>
        <w:t xml:space="preserve">bject relations theorists suggest adult lives are shaped by family experiences and relationships during infancy. Shapes formed in the repetitive, relational associations with significant others eventually </w:t>
      </w:r>
      <w:r>
        <w:rPr>
          <w:sz w:val="24"/>
          <w:szCs w:val="24"/>
        </w:rPr>
        <w:t xml:space="preserve">become </w:t>
      </w:r>
      <w:r w:rsidRPr="009D5B02">
        <w:rPr>
          <w:sz w:val="24"/>
          <w:szCs w:val="24"/>
        </w:rPr>
        <w:t xml:space="preserve">internalised, representational objects known as object constants (Mahler </w:t>
      </w:r>
      <w:r w:rsidR="00FB3A6E" w:rsidRPr="00FB3A6E">
        <w:rPr>
          <w:i/>
          <w:sz w:val="24"/>
          <w:szCs w:val="24"/>
        </w:rPr>
        <w:t>et al.</w:t>
      </w:r>
      <w:r w:rsidRPr="009D5B02">
        <w:rPr>
          <w:sz w:val="24"/>
          <w:szCs w:val="24"/>
        </w:rPr>
        <w:t>, 1975). The first internalised object is usually an image and experience of primary caregiver</w:t>
      </w:r>
      <w:r>
        <w:rPr>
          <w:sz w:val="24"/>
          <w:szCs w:val="24"/>
        </w:rPr>
        <w:t>s</w:t>
      </w:r>
      <w:r w:rsidRPr="009D5B02">
        <w:rPr>
          <w:sz w:val="24"/>
          <w:szCs w:val="24"/>
        </w:rPr>
        <w:t xml:space="preserve"> and results in object permanence (Piaget, 1937). These internalised representations are used to predict and recognise people’s behaviour and exert a strong influence on future relationships as a continuum throughout the lifespan. </w:t>
      </w:r>
      <w:bookmarkEnd w:id="32"/>
    </w:p>
    <w:p w14:paraId="0C55BA37" w14:textId="2718A59C" w:rsidR="002E2ABD" w:rsidRPr="004009EE" w:rsidRDefault="002E2ABD" w:rsidP="00C438F1">
      <w:pPr>
        <w:spacing w:line="360" w:lineRule="auto"/>
        <w:rPr>
          <w:sz w:val="24"/>
          <w:szCs w:val="24"/>
        </w:rPr>
      </w:pPr>
      <w:r w:rsidRPr="001D6B7E">
        <w:rPr>
          <w:sz w:val="24"/>
          <w:szCs w:val="24"/>
        </w:rPr>
        <w:t xml:space="preserve">Winnicott’s </w:t>
      </w:r>
      <w:r>
        <w:rPr>
          <w:sz w:val="24"/>
          <w:szCs w:val="24"/>
        </w:rPr>
        <w:t xml:space="preserve">object relations </w:t>
      </w:r>
      <w:r w:rsidRPr="001D6B7E">
        <w:rPr>
          <w:sz w:val="24"/>
          <w:szCs w:val="24"/>
        </w:rPr>
        <w:t>theories are characterised by affective stability (Jacobi,</w:t>
      </w:r>
      <w:r>
        <w:rPr>
          <w:sz w:val="24"/>
          <w:szCs w:val="24"/>
        </w:rPr>
        <w:t xml:space="preserve"> </w:t>
      </w:r>
      <w:r w:rsidRPr="001D6B7E">
        <w:rPr>
          <w:sz w:val="24"/>
          <w:szCs w:val="24"/>
        </w:rPr>
        <w:t>1990)</w:t>
      </w:r>
      <w:r>
        <w:rPr>
          <w:sz w:val="24"/>
          <w:szCs w:val="24"/>
        </w:rPr>
        <w:t xml:space="preserve"> which is achieved through </w:t>
      </w:r>
      <w:r w:rsidRPr="001D6B7E">
        <w:rPr>
          <w:sz w:val="24"/>
          <w:szCs w:val="24"/>
        </w:rPr>
        <w:t xml:space="preserve">continuity of care </w:t>
      </w:r>
      <w:r>
        <w:rPr>
          <w:sz w:val="24"/>
          <w:szCs w:val="24"/>
        </w:rPr>
        <w:t xml:space="preserve">and holding </w:t>
      </w:r>
      <w:r w:rsidRPr="001D6B7E">
        <w:rPr>
          <w:sz w:val="24"/>
          <w:szCs w:val="24"/>
        </w:rPr>
        <w:t xml:space="preserve">by another whose sole focus is on the infant, a process of </w:t>
      </w:r>
      <w:r>
        <w:rPr>
          <w:sz w:val="24"/>
          <w:szCs w:val="24"/>
        </w:rPr>
        <w:t xml:space="preserve">biologically and psychologically driven </w:t>
      </w:r>
      <w:r w:rsidR="00060225">
        <w:rPr>
          <w:sz w:val="24"/>
          <w:szCs w:val="24"/>
        </w:rPr>
        <w:t>“</w:t>
      </w:r>
      <w:r w:rsidRPr="001D6B7E">
        <w:rPr>
          <w:sz w:val="24"/>
          <w:szCs w:val="24"/>
        </w:rPr>
        <w:t>primary maternal preoccupation</w:t>
      </w:r>
      <w:r w:rsidR="00060225">
        <w:rPr>
          <w:sz w:val="24"/>
          <w:szCs w:val="24"/>
        </w:rPr>
        <w:t>”</w:t>
      </w:r>
      <w:r w:rsidRPr="001D6B7E">
        <w:rPr>
          <w:sz w:val="24"/>
          <w:szCs w:val="24"/>
        </w:rPr>
        <w:t xml:space="preserve"> (Winnicott, 1956</w:t>
      </w:r>
      <w:r w:rsidR="00060225">
        <w:rPr>
          <w:sz w:val="24"/>
          <w:szCs w:val="24"/>
        </w:rPr>
        <w:t>, p.301</w:t>
      </w:r>
      <w:r w:rsidRPr="001D6B7E">
        <w:rPr>
          <w:sz w:val="24"/>
          <w:szCs w:val="24"/>
        </w:rPr>
        <w:t>)</w:t>
      </w:r>
      <w:r>
        <w:rPr>
          <w:sz w:val="24"/>
          <w:szCs w:val="24"/>
        </w:rPr>
        <w:t>.</w:t>
      </w:r>
      <w:r w:rsidRPr="001D6B7E">
        <w:rPr>
          <w:sz w:val="24"/>
          <w:szCs w:val="24"/>
        </w:rPr>
        <w:t xml:space="preserve"> </w:t>
      </w:r>
      <w:r>
        <w:rPr>
          <w:sz w:val="24"/>
          <w:szCs w:val="24"/>
        </w:rPr>
        <w:t>H</w:t>
      </w:r>
      <w:r w:rsidRPr="001D6B7E">
        <w:rPr>
          <w:sz w:val="24"/>
          <w:szCs w:val="24"/>
        </w:rPr>
        <w:t>olding provi</w:t>
      </w:r>
      <w:r>
        <w:rPr>
          <w:sz w:val="24"/>
          <w:szCs w:val="24"/>
        </w:rPr>
        <w:t xml:space="preserve">ded by </w:t>
      </w:r>
      <w:r w:rsidRPr="001D6B7E">
        <w:rPr>
          <w:sz w:val="24"/>
          <w:szCs w:val="24"/>
        </w:rPr>
        <w:t>primary</w:t>
      </w:r>
      <w:r>
        <w:rPr>
          <w:sz w:val="24"/>
          <w:szCs w:val="24"/>
        </w:rPr>
        <w:t xml:space="preserve"> maternally preoccupied caregivers</w:t>
      </w:r>
      <w:r w:rsidRPr="001D6B7E">
        <w:rPr>
          <w:sz w:val="24"/>
          <w:szCs w:val="24"/>
        </w:rPr>
        <w:t xml:space="preserve"> result</w:t>
      </w:r>
      <w:r>
        <w:rPr>
          <w:sz w:val="24"/>
          <w:szCs w:val="24"/>
        </w:rPr>
        <w:t>s</w:t>
      </w:r>
      <w:r w:rsidRPr="001D6B7E">
        <w:rPr>
          <w:sz w:val="24"/>
          <w:szCs w:val="24"/>
        </w:rPr>
        <w:t xml:space="preserve"> in </w:t>
      </w:r>
      <w:r>
        <w:rPr>
          <w:sz w:val="24"/>
          <w:szCs w:val="24"/>
        </w:rPr>
        <w:t xml:space="preserve">an infant </w:t>
      </w:r>
      <w:r w:rsidRPr="001D6B7E">
        <w:rPr>
          <w:sz w:val="24"/>
          <w:szCs w:val="24"/>
        </w:rPr>
        <w:t xml:space="preserve">being able to make use of transitional objects, external objects that represent the care given by </w:t>
      </w:r>
      <w:r>
        <w:rPr>
          <w:sz w:val="24"/>
          <w:szCs w:val="24"/>
        </w:rPr>
        <w:t xml:space="preserve">their original </w:t>
      </w:r>
      <w:r w:rsidRPr="001D6B7E">
        <w:rPr>
          <w:sz w:val="24"/>
          <w:szCs w:val="24"/>
        </w:rPr>
        <w:t>caregivers</w:t>
      </w:r>
      <w:r w:rsidR="00302A8F">
        <w:rPr>
          <w:sz w:val="24"/>
          <w:szCs w:val="24"/>
        </w:rPr>
        <w:t xml:space="preserve"> (Winnicott, 1965)</w:t>
      </w:r>
      <w:r w:rsidRPr="001D6B7E">
        <w:rPr>
          <w:sz w:val="24"/>
          <w:szCs w:val="24"/>
        </w:rPr>
        <w:t>. T</w:t>
      </w:r>
      <w:r>
        <w:rPr>
          <w:sz w:val="24"/>
          <w:szCs w:val="24"/>
        </w:rPr>
        <w:t xml:space="preserve">ransitional objects can be </w:t>
      </w:r>
      <w:r w:rsidRPr="001D6B7E">
        <w:rPr>
          <w:sz w:val="24"/>
          <w:szCs w:val="24"/>
        </w:rPr>
        <w:t>a teddy bear</w:t>
      </w:r>
      <w:r>
        <w:rPr>
          <w:sz w:val="24"/>
          <w:szCs w:val="24"/>
        </w:rPr>
        <w:t>, blanket</w:t>
      </w:r>
      <w:r w:rsidRPr="001D6B7E">
        <w:rPr>
          <w:sz w:val="24"/>
          <w:szCs w:val="24"/>
        </w:rPr>
        <w:t xml:space="preserve"> or dummy</w:t>
      </w:r>
      <w:r>
        <w:rPr>
          <w:sz w:val="24"/>
          <w:szCs w:val="24"/>
        </w:rPr>
        <w:t xml:space="preserve"> which act as forerunners to the creation of further significant relationships </w:t>
      </w:r>
      <w:r w:rsidRPr="001D6B7E">
        <w:rPr>
          <w:sz w:val="24"/>
          <w:szCs w:val="24"/>
        </w:rPr>
        <w:t>in the child’s forthcoming world</w:t>
      </w:r>
      <w:r>
        <w:rPr>
          <w:sz w:val="24"/>
          <w:szCs w:val="24"/>
        </w:rPr>
        <w:t>.</w:t>
      </w:r>
      <w:r w:rsidRPr="001D6B7E">
        <w:rPr>
          <w:sz w:val="24"/>
          <w:szCs w:val="24"/>
        </w:rPr>
        <w:t xml:space="preserve"> </w:t>
      </w:r>
      <w:bookmarkStart w:id="33" w:name="_Hlk136252552"/>
      <w:r>
        <w:rPr>
          <w:sz w:val="24"/>
          <w:szCs w:val="24"/>
        </w:rPr>
        <w:t>Within an affective stability clime</w:t>
      </w:r>
      <w:r w:rsidR="00AB162E">
        <w:rPr>
          <w:sz w:val="24"/>
          <w:szCs w:val="24"/>
        </w:rPr>
        <w:t xml:space="preserve"> (Jacobi, 1990)</w:t>
      </w:r>
      <w:r>
        <w:rPr>
          <w:sz w:val="24"/>
          <w:szCs w:val="24"/>
        </w:rPr>
        <w:t xml:space="preserve">, </w:t>
      </w:r>
      <w:r w:rsidRPr="001D6B7E">
        <w:rPr>
          <w:sz w:val="24"/>
          <w:szCs w:val="24"/>
        </w:rPr>
        <w:t>the child</w:t>
      </w:r>
      <w:r>
        <w:rPr>
          <w:sz w:val="24"/>
          <w:szCs w:val="24"/>
        </w:rPr>
        <w:t xml:space="preserve"> experiences holding enabling their </w:t>
      </w:r>
      <w:r w:rsidRPr="001D6B7E">
        <w:rPr>
          <w:sz w:val="24"/>
          <w:szCs w:val="24"/>
        </w:rPr>
        <w:t>develop</w:t>
      </w:r>
      <w:r>
        <w:rPr>
          <w:sz w:val="24"/>
          <w:szCs w:val="24"/>
        </w:rPr>
        <w:t>ment</w:t>
      </w:r>
      <w:r w:rsidRPr="001D6B7E">
        <w:rPr>
          <w:sz w:val="24"/>
          <w:szCs w:val="24"/>
        </w:rPr>
        <w:t xml:space="preserve"> as an autonomous human being</w:t>
      </w:r>
      <w:r>
        <w:rPr>
          <w:sz w:val="24"/>
          <w:szCs w:val="24"/>
        </w:rPr>
        <w:t xml:space="preserve"> and the formation of attachments to transitional objects, people and the environment.</w:t>
      </w:r>
      <w:r w:rsidRPr="00A76122">
        <w:rPr>
          <w:sz w:val="24"/>
          <w:szCs w:val="24"/>
        </w:rPr>
        <w:t xml:space="preserve"> </w:t>
      </w:r>
    </w:p>
    <w:p w14:paraId="4FD5851B" w14:textId="557A641F" w:rsidR="002E2ABD" w:rsidRDefault="002E2ABD" w:rsidP="0064301C">
      <w:pPr>
        <w:spacing w:line="360" w:lineRule="auto"/>
        <w:rPr>
          <w:sz w:val="24"/>
          <w:szCs w:val="24"/>
        </w:rPr>
      </w:pPr>
      <w:r>
        <w:rPr>
          <w:sz w:val="24"/>
          <w:szCs w:val="24"/>
        </w:rPr>
        <w:lastRenderedPageBreak/>
        <w:t xml:space="preserve">Holding comprises composite mothering concepts that work together. The </w:t>
      </w:r>
      <w:r w:rsidRPr="001D6B7E">
        <w:rPr>
          <w:sz w:val="24"/>
          <w:szCs w:val="24"/>
        </w:rPr>
        <w:t xml:space="preserve">environmental mother and </w:t>
      </w:r>
      <w:r>
        <w:rPr>
          <w:sz w:val="24"/>
          <w:szCs w:val="24"/>
        </w:rPr>
        <w:t>the</w:t>
      </w:r>
      <w:r w:rsidRPr="001D6B7E">
        <w:rPr>
          <w:sz w:val="24"/>
          <w:szCs w:val="24"/>
        </w:rPr>
        <w:t xml:space="preserve"> object mother</w:t>
      </w:r>
      <w:r>
        <w:rPr>
          <w:sz w:val="24"/>
          <w:szCs w:val="24"/>
        </w:rPr>
        <w:t xml:space="preserve"> </w:t>
      </w:r>
      <w:r w:rsidR="00974B6C">
        <w:rPr>
          <w:sz w:val="24"/>
          <w:szCs w:val="24"/>
        </w:rPr>
        <w:t>(Winnicott, 1960</w:t>
      </w:r>
      <w:r w:rsidR="001C041E">
        <w:rPr>
          <w:sz w:val="24"/>
          <w:szCs w:val="24"/>
        </w:rPr>
        <w:t xml:space="preserve">) </w:t>
      </w:r>
      <w:r>
        <w:rPr>
          <w:sz w:val="24"/>
          <w:szCs w:val="24"/>
        </w:rPr>
        <w:t>mediate any difficulties encountered and provide unconditional support, assistance, security and protection</w:t>
      </w:r>
      <w:r w:rsidRPr="001D6B7E">
        <w:rPr>
          <w:sz w:val="24"/>
          <w:szCs w:val="24"/>
        </w:rPr>
        <w:t xml:space="preserve">. </w:t>
      </w:r>
      <w:r>
        <w:rPr>
          <w:sz w:val="24"/>
          <w:szCs w:val="24"/>
        </w:rPr>
        <w:t>For example, u</w:t>
      </w:r>
      <w:r w:rsidRPr="001D6B7E">
        <w:rPr>
          <w:sz w:val="24"/>
          <w:szCs w:val="24"/>
        </w:rPr>
        <w:t xml:space="preserve">pon learning to swim as an adult, Phuongloan (2020) describes the environmental mother as the swimming pool, holding her physically, and the object mother </w:t>
      </w:r>
      <w:r>
        <w:rPr>
          <w:sz w:val="24"/>
          <w:szCs w:val="24"/>
        </w:rPr>
        <w:t xml:space="preserve">as </w:t>
      </w:r>
      <w:r w:rsidRPr="001D6B7E">
        <w:rPr>
          <w:sz w:val="24"/>
          <w:szCs w:val="24"/>
        </w:rPr>
        <w:t>the swimming teacher</w:t>
      </w:r>
      <w:r>
        <w:rPr>
          <w:sz w:val="24"/>
          <w:szCs w:val="24"/>
        </w:rPr>
        <w:t>, holding her emotionally</w:t>
      </w:r>
      <w:r w:rsidRPr="001D6B7E">
        <w:rPr>
          <w:sz w:val="24"/>
          <w:szCs w:val="24"/>
        </w:rPr>
        <w:t xml:space="preserve">. The </w:t>
      </w:r>
      <w:r>
        <w:rPr>
          <w:sz w:val="24"/>
          <w:szCs w:val="24"/>
        </w:rPr>
        <w:t>combined holding provided</w:t>
      </w:r>
      <w:r w:rsidRPr="001D41E5">
        <w:rPr>
          <w:sz w:val="24"/>
          <w:szCs w:val="24"/>
        </w:rPr>
        <w:t xml:space="preserve"> ego support to alleviate anxieties born of the new task of learning to swim</w:t>
      </w:r>
      <w:r>
        <w:rPr>
          <w:sz w:val="24"/>
          <w:szCs w:val="24"/>
        </w:rPr>
        <w:t xml:space="preserve"> </w:t>
      </w:r>
      <w:r w:rsidR="00470F29">
        <w:rPr>
          <w:sz w:val="24"/>
          <w:szCs w:val="24"/>
        </w:rPr>
        <w:t>and a</w:t>
      </w:r>
      <w:r>
        <w:rPr>
          <w:sz w:val="24"/>
          <w:szCs w:val="24"/>
        </w:rPr>
        <w:t xml:space="preserve"> robust physical and affectual framework resulting in “</w:t>
      </w:r>
      <w:r w:rsidRPr="001D6B7E">
        <w:rPr>
          <w:sz w:val="24"/>
          <w:szCs w:val="24"/>
        </w:rPr>
        <w:t>a sturdy belief in myself as an example of the potent internalisation process” (</w:t>
      </w:r>
      <w:r w:rsidR="005B1333">
        <w:rPr>
          <w:sz w:val="24"/>
          <w:szCs w:val="24"/>
        </w:rPr>
        <w:t xml:space="preserve">ibid., </w:t>
      </w:r>
      <w:r w:rsidRPr="001D6B7E">
        <w:rPr>
          <w:sz w:val="24"/>
          <w:szCs w:val="24"/>
        </w:rPr>
        <w:t>p.162)</w:t>
      </w:r>
      <w:r>
        <w:rPr>
          <w:sz w:val="24"/>
          <w:szCs w:val="24"/>
        </w:rPr>
        <w:t xml:space="preserve">. </w:t>
      </w:r>
    </w:p>
    <w:p w14:paraId="4D602E55" w14:textId="0B48061E" w:rsidR="002E2ABD" w:rsidRPr="001D6B7E" w:rsidRDefault="002E2ABD" w:rsidP="0064301C">
      <w:pPr>
        <w:spacing w:line="360" w:lineRule="auto"/>
        <w:rPr>
          <w:sz w:val="24"/>
          <w:szCs w:val="24"/>
        </w:rPr>
      </w:pPr>
      <w:r w:rsidRPr="001D6B7E">
        <w:rPr>
          <w:sz w:val="24"/>
          <w:szCs w:val="24"/>
        </w:rPr>
        <w:t>With ego support the infant internalises holding</w:t>
      </w:r>
      <w:r>
        <w:rPr>
          <w:sz w:val="24"/>
          <w:szCs w:val="24"/>
        </w:rPr>
        <w:t>,</w:t>
      </w:r>
      <w:r w:rsidRPr="001D6B7E">
        <w:rPr>
          <w:sz w:val="24"/>
          <w:szCs w:val="24"/>
        </w:rPr>
        <w:t xml:space="preserve"> can hold him/herself (McCabe, 2011), and self-actualise (Maslow, 1943)</w:t>
      </w:r>
      <w:r>
        <w:rPr>
          <w:sz w:val="24"/>
          <w:szCs w:val="24"/>
        </w:rPr>
        <w:t xml:space="preserve"> which I read as attaining full potential as an autonomous human being</w:t>
      </w:r>
      <w:r w:rsidRPr="001D6B7E">
        <w:rPr>
          <w:sz w:val="24"/>
          <w:szCs w:val="24"/>
        </w:rPr>
        <w:t xml:space="preserve">. </w:t>
      </w:r>
      <w:r w:rsidRPr="006B7DB8">
        <w:rPr>
          <w:sz w:val="24"/>
          <w:szCs w:val="24"/>
        </w:rPr>
        <w:t>The first experience of learning is in being seen and accepted by a mother who reflects back and provides feedback to the baby affirming who they are and who they might become (Winnicott, 1958</w:t>
      </w:r>
      <w:r w:rsidR="0052791F" w:rsidRPr="006B7DB8">
        <w:rPr>
          <w:sz w:val="24"/>
          <w:szCs w:val="24"/>
        </w:rPr>
        <w:t>)</w:t>
      </w:r>
      <w:r w:rsidR="0052791F">
        <w:rPr>
          <w:sz w:val="24"/>
          <w:szCs w:val="24"/>
        </w:rPr>
        <w:t xml:space="preserve"> and</w:t>
      </w:r>
      <w:r>
        <w:rPr>
          <w:sz w:val="24"/>
          <w:szCs w:val="24"/>
        </w:rPr>
        <w:t xml:space="preserve"> </w:t>
      </w:r>
      <w:r w:rsidRPr="006B7DB8">
        <w:rPr>
          <w:sz w:val="24"/>
          <w:szCs w:val="24"/>
        </w:rPr>
        <w:t xml:space="preserve">introduces the notion that we </w:t>
      </w:r>
      <w:r w:rsidR="00255D81">
        <w:rPr>
          <w:sz w:val="24"/>
          <w:szCs w:val="24"/>
        </w:rPr>
        <w:t xml:space="preserve">develop </w:t>
      </w:r>
      <w:r w:rsidRPr="006B7DB8">
        <w:rPr>
          <w:sz w:val="24"/>
          <w:szCs w:val="24"/>
        </w:rPr>
        <w:t xml:space="preserve">our identity through a relational process (Coren, 1997). In what Coren (1997) calls </w:t>
      </w:r>
      <w:r w:rsidR="00930DDD">
        <w:rPr>
          <w:sz w:val="24"/>
          <w:szCs w:val="24"/>
        </w:rPr>
        <w:t>“</w:t>
      </w:r>
      <w:r w:rsidRPr="006B7DB8">
        <w:rPr>
          <w:sz w:val="24"/>
          <w:szCs w:val="24"/>
        </w:rPr>
        <w:t>the first search</w:t>
      </w:r>
      <w:r w:rsidR="00930DDD">
        <w:rPr>
          <w:sz w:val="24"/>
          <w:szCs w:val="24"/>
        </w:rPr>
        <w:t>” (p.63)</w:t>
      </w:r>
      <w:r w:rsidRPr="006B7DB8">
        <w:rPr>
          <w:sz w:val="24"/>
          <w:szCs w:val="24"/>
        </w:rPr>
        <w:t xml:space="preserve">, a search for affirmation by and holding from another lasts a lifetime. </w:t>
      </w:r>
      <w:r w:rsidRPr="00C32924">
        <w:rPr>
          <w:sz w:val="24"/>
          <w:szCs w:val="24"/>
        </w:rPr>
        <w:t xml:space="preserve">I shall now </w:t>
      </w:r>
      <w:r>
        <w:rPr>
          <w:sz w:val="24"/>
          <w:szCs w:val="24"/>
        </w:rPr>
        <w:t xml:space="preserve">explore the applicability of holding </w:t>
      </w:r>
      <w:r w:rsidRPr="00C32924">
        <w:rPr>
          <w:sz w:val="24"/>
          <w:szCs w:val="24"/>
        </w:rPr>
        <w:t xml:space="preserve">to </w:t>
      </w:r>
      <w:r>
        <w:rPr>
          <w:sz w:val="24"/>
          <w:szCs w:val="24"/>
        </w:rPr>
        <w:t>teaching and learning</w:t>
      </w:r>
      <w:r w:rsidRPr="00C32924">
        <w:rPr>
          <w:sz w:val="24"/>
          <w:szCs w:val="24"/>
        </w:rPr>
        <w:t>.</w:t>
      </w:r>
    </w:p>
    <w:bookmarkEnd w:id="33"/>
    <w:p w14:paraId="7DDE3E54" w14:textId="46CB3830" w:rsidR="002E2ABD" w:rsidRPr="001D7EB2" w:rsidRDefault="002E2ABD" w:rsidP="001D6B7E">
      <w:pPr>
        <w:rPr>
          <w:b/>
          <w:bCs/>
          <w:sz w:val="24"/>
          <w:szCs w:val="24"/>
        </w:rPr>
      </w:pPr>
      <w:r>
        <w:rPr>
          <w:b/>
          <w:bCs/>
          <w:sz w:val="24"/>
          <w:szCs w:val="24"/>
        </w:rPr>
        <w:t xml:space="preserve">Holding </w:t>
      </w:r>
      <w:r w:rsidR="00C00866">
        <w:rPr>
          <w:b/>
          <w:bCs/>
          <w:sz w:val="24"/>
          <w:szCs w:val="24"/>
        </w:rPr>
        <w:t xml:space="preserve">of </w:t>
      </w:r>
      <w:r w:rsidRPr="001D7EB2">
        <w:rPr>
          <w:b/>
          <w:bCs/>
          <w:sz w:val="24"/>
          <w:szCs w:val="24"/>
        </w:rPr>
        <w:t>teaching, teachers and learning</w:t>
      </w:r>
    </w:p>
    <w:p w14:paraId="520A1958" w14:textId="21F7A963" w:rsidR="002E2ABD" w:rsidRPr="001D6B7E" w:rsidRDefault="002E2ABD" w:rsidP="00140FD1">
      <w:pPr>
        <w:spacing w:line="360" w:lineRule="auto"/>
        <w:rPr>
          <w:sz w:val="24"/>
          <w:szCs w:val="24"/>
        </w:rPr>
      </w:pPr>
      <w:bookmarkStart w:id="34" w:name="_Hlk136318183"/>
      <w:r>
        <w:rPr>
          <w:sz w:val="24"/>
          <w:szCs w:val="24"/>
        </w:rPr>
        <w:t>Recently p</w:t>
      </w:r>
      <w:r w:rsidRPr="00F3362F">
        <w:rPr>
          <w:sz w:val="24"/>
          <w:szCs w:val="24"/>
        </w:rPr>
        <w:t xml:space="preserve">opularised by </w:t>
      </w:r>
      <w:r>
        <w:rPr>
          <w:sz w:val="24"/>
          <w:szCs w:val="24"/>
        </w:rPr>
        <w:t xml:space="preserve">Hilary </w:t>
      </w:r>
      <w:r w:rsidRPr="00F3362F">
        <w:rPr>
          <w:sz w:val="24"/>
          <w:szCs w:val="24"/>
        </w:rPr>
        <w:t xml:space="preserve">Clinton (1996), the </w:t>
      </w:r>
      <w:r w:rsidR="002E1C3C">
        <w:rPr>
          <w:sz w:val="24"/>
          <w:szCs w:val="24"/>
        </w:rPr>
        <w:t xml:space="preserve">vernacular </w:t>
      </w:r>
      <w:r w:rsidRPr="00F3362F">
        <w:rPr>
          <w:sz w:val="24"/>
          <w:szCs w:val="24"/>
        </w:rPr>
        <w:t xml:space="preserve">phrase </w:t>
      </w:r>
      <w:r>
        <w:rPr>
          <w:sz w:val="24"/>
          <w:szCs w:val="24"/>
        </w:rPr>
        <w:t>“</w:t>
      </w:r>
      <w:r w:rsidRPr="00F3362F">
        <w:rPr>
          <w:sz w:val="24"/>
          <w:szCs w:val="24"/>
        </w:rPr>
        <w:t>it takes a village to raise a child</w:t>
      </w:r>
      <w:r>
        <w:rPr>
          <w:sz w:val="24"/>
          <w:szCs w:val="24"/>
        </w:rPr>
        <w:t>”</w:t>
      </w:r>
      <w:r w:rsidRPr="00F3362F">
        <w:rPr>
          <w:sz w:val="24"/>
          <w:szCs w:val="24"/>
        </w:rPr>
        <w:t xml:space="preserve"> derives from an African proverb signifying that the growth and development of a child is the responsibility of the whole community. </w:t>
      </w:r>
      <w:r w:rsidRPr="00E47C26">
        <w:rPr>
          <w:sz w:val="24"/>
          <w:szCs w:val="24"/>
        </w:rPr>
        <w:t>Beyond the</w:t>
      </w:r>
      <w:r>
        <w:rPr>
          <w:sz w:val="24"/>
          <w:szCs w:val="24"/>
        </w:rPr>
        <w:t xml:space="preserve"> </w:t>
      </w:r>
      <w:r w:rsidRPr="00E47C26">
        <w:rPr>
          <w:sz w:val="24"/>
          <w:szCs w:val="24"/>
        </w:rPr>
        <w:t xml:space="preserve">family, </w:t>
      </w:r>
      <w:r>
        <w:rPr>
          <w:sz w:val="24"/>
          <w:szCs w:val="24"/>
        </w:rPr>
        <w:t xml:space="preserve">it is </w:t>
      </w:r>
      <w:r w:rsidRPr="00E47C26">
        <w:rPr>
          <w:sz w:val="24"/>
          <w:szCs w:val="24"/>
        </w:rPr>
        <w:t>the extended family, the community, friends, teams, the workplace, the social/political context, the natural world and educational</w:t>
      </w:r>
      <w:r w:rsidR="002E1C3C">
        <w:rPr>
          <w:sz w:val="24"/>
          <w:szCs w:val="24"/>
        </w:rPr>
        <w:t xml:space="preserve">, </w:t>
      </w:r>
      <w:r w:rsidRPr="00E47C26">
        <w:rPr>
          <w:sz w:val="24"/>
          <w:szCs w:val="24"/>
        </w:rPr>
        <w:t xml:space="preserve">religious or spiritual institutions that provide holding (Hyman, 2012). </w:t>
      </w:r>
      <w:r w:rsidRPr="00843922">
        <w:rPr>
          <w:sz w:val="24"/>
          <w:szCs w:val="24"/>
        </w:rPr>
        <w:t xml:space="preserve">Viewed from an influential environment perspective, </w:t>
      </w:r>
      <w:r>
        <w:rPr>
          <w:sz w:val="24"/>
          <w:szCs w:val="24"/>
        </w:rPr>
        <w:t xml:space="preserve">for the child </w:t>
      </w:r>
      <w:r w:rsidRPr="00843922">
        <w:rPr>
          <w:sz w:val="24"/>
          <w:szCs w:val="24"/>
        </w:rPr>
        <w:t xml:space="preserve">school becomes an extension from the initial village and </w:t>
      </w:r>
      <w:r>
        <w:rPr>
          <w:sz w:val="24"/>
          <w:szCs w:val="24"/>
        </w:rPr>
        <w:t>provides</w:t>
      </w:r>
      <w:r w:rsidRPr="00843922">
        <w:rPr>
          <w:sz w:val="24"/>
          <w:szCs w:val="24"/>
        </w:rPr>
        <w:t xml:space="preserve"> further opportunities to learn</w:t>
      </w:r>
      <w:r w:rsidR="00511507">
        <w:rPr>
          <w:sz w:val="24"/>
          <w:szCs w:val="24"/>
        </w:rPr>
        <w:t xml:space="preserve"> and </w:t>
      </w:r>
      <w:r w:rsidRPr="00843922">
        <w:rPr>
          <w:sz w:val="24"/>
          <w:szCs w:val="24"/>
        </w:rPr>
        <w:t xml:space="preserve">actualise.  </w:t>
      </w:r>
      <w:r w:rsidRPr="001D6B7E">
        <w:rPr>
          <w:sz w:val="24"/>
          <w:szCs w:val="24"/>
        </w:rPr>
        <w:t xml:space="preserve">With reference to </w:t>
      </w:r>
      <w:r>
        <w:rPr>
          <w:sz w:val="24"/>
          <w:szCs w:val="24"/>
        </w:rPr>
        <w:t xml:space="preserve">the support mechanism of holding </w:t>
      </w:r>
      <w:r w:rsidRPr="001D6B7E">
        <w:rPr>
          <w:sz w:val="24"/>
          <w:szCs w:val="24"/>
        </w:rPr>
        <w:t>in teaching</w:t>
      </w:r>
      <w:r>
        <w:rPr>
          <w:sz w:val="24"/>
          <w:szCs w:val="24"/>
        </w:rPr>
        <w:t>,</w:t>
      </w:r>
      <w:r w:rsidRPr="001D6B7E">
        <w:rPr>
          <w:sz w:val="24"/>
          <w:szCs w:val="24"/>
        </w:rPr>
        <w:t xml:space="preserve"> </w:t>
      </w:r>
      <w:r w:rsidR="00F10CAC">
        <w:rPr>
          <w:sz w:val="24"/>
          <w:szCs w:val="24"/>
        </w:rPr>
        <w:t>F</w:t>
      </w:r>
      <w:r w:rsidRPr="001D6B7E">
        <w:rPr>
          <w:sz w:val="24"/>
          <w:szCs w:val="24"/>
        </w:rPr>
        <w:t xml:space="preserve">igure </w:t>
      </w:r>
      <w:r w:rsidR="00F10CAC">
        <w:rPr>
          <w:sz w:val="24"/>
          <w:szCs w:val="24"/>
        </w:rPr>
        <w:t>2</w:t>
      </w:r>
      <w:r w:rsidR="00045B54">
        <w:rPr>
          <w:sz w:val="24"/>
          <w:szCs w:val="24"/>
        </w:rPr>
        <w:t xml:space="preserve"> (p.66) </w:t>
      </w:r>
      <w:r w:rsidR="00F10CAC">
        <w:rPr>
          <w:sz w:val="24"/>
          <w:szCs w:val="24"/>
        </w:rPr>
        <w:t xml:space="preserve"> </w:t>
      </w:r>
      <w:r>
        <w:rPr>
          <w:sz w:val="24"/>
          <w:szCs w:val="24"/>
        </w:rPr>
        <w:t xml:space="preserve">proposes </w:t>
      </w:r>
      <w:r w:rsidRPr="001D6B7E">
        <w:rPr>
          <w:sz w:val="24"/>
          <w:szCs w:val="24"/>
        </w:rPr>
        <w:t>that the HE employer, the environmental mother</w:t>
      </w:r>
      <w:r>
        <w:rPr>
          <w:sz w:val="24"/>
          <w:szCs w:val="24"/>
        </w:rPr>
        <w:t xml:space="preserve">, </w:t>
      </w:r>
      <w:r w:rsidRPr="001D6B7E">
        <w:rPr>
          <w:sz w:val="24"/>
          <w:szCs w:val="24"/>
        </w:rPr>
        <w:t xml:space="preserve">is </w:t>
      </w:r>
      <w:r>
        <w:rPr>
          <w:sz w:val="24"/>
          <w:szCs w:val="24"/>
        </w:rPr>
        <w:t xml:space="preserve">holding </w:t>
      </w:r>
      <w:r w:rsidRPr="001D6B7E">
        <w:rPr>
          <w:sz w:val="24"/>
          <w:szCs w:val="24"/>
        </w:rPr>
        <w:t xml:space="preserve">the teacher, the object mother, who is </w:t>
      </w:r>
      <w:r>
        <w:rPr>
          <w:sz w:val="24"/>
          <w:szCs w:val="24"/>
        </w:rPr>
        <w:t xml:space="preserve">holding </w:t>
      </w:r>
      <w:r w:rsidRPr="001D6B7E">
        <w:rPr>
          <w:sz w:val="24"/>
          <w:szCs w:val="24"/>
        </w:rPr>
        <w:t>the student</w:t>
      </w:r>
      <w:r>
        <w:rPr>
          <w:sz w:val="24"/>
          <w:szCs w:val="24"/>
        </w:rPr>
        <w:t>:</w:t>
      </w:r>
    </w:p>
    <w:p w14:paraId="687B367C" w14:textId="77777777" w:rsidR="002E2ABD" w:rsidRPr="001D6B7E" w:rsidRDefault="002E2ABD" w:rsidP="001D6B7E">
      <w:pPr>
        <w:rPr>
          <w:sz w:val="24"/>
          <w:szCs w:val="24"/>
        </w:rPr>
      </w:pPr>
      <w:r w:rsidRPr="002561A9">
        <w:rPr>
          <w:noProof/>
          <w:color w:val="FF0000"/>
          <w:sz w:val="24"/>
          <w:szCs w:val="24"/>
        </w:rPr>
        <w:lastRenderedPageBreak/>
        <w:drawing>
          <wp:inline distT="0" distB="0" distL="0" distR="0" wp14:anchorId="5E9CAE56" wp14:editId="17C3A75B">
            <wp:extent cx="6591300" cy="3009900"/>
            <wp:effectExtent l="0" t="0" r="0" b="19050"/>
            <wp:docPr id="2058542169" name="Diagram 2058542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bookmarkEnd w:id="34"/>
    <w:p w14:paraId="59E61401" w14:textId="1CE76AD8" w:rsidR="002E2ABD" w:rsidRPr="00627A7B" w:rsidRDefault="002E2ABD" w:rsidP="00981DDB">
      <w:pPr>
        <w:spacing w:line="360" w:lineRule="auto"/>
        <w:ind w:left="720" w:firstLine="720"/>
        <w:rPr>
          <w:i/>
          <w:iCs/>
          <w:sz w:val="24"/>
          <w:szCs w:val="24"/>
        </w:rPr>
      </w:pPr>
      <w:r w:rsidRPr="00627A7B">
        <w:rPr>
          <w:i/>
          <w:iCs/>
          <w:sz w:val="24"/>
          <w:szCs w:val="24"/>
        </w:rPr>
        <w:t xml:space="preserve">Figure </w:t>
      </w:r>
      <w:r w:rsidR="00F10CAC" w:rsidRPr="00627A7B">
        <w:rPr>
          <w:i/>
          <w:iCs/>
          <w:sz w:val="24"/>
          <w:szCs w:val="24"/>
        </w:rPr>
        <w:t>2</w:t>
      </w:r>
      <w:r w:rsidR="00B37CC6" w:rsidRPr="00627A7B">
        <w:rPr>
          <w:i/>
          <w:iCs/>
          <w:sz w:val="24"/>
          <w:szCs w:val="24"/>
        </w:rPr>
        <w:t xml:space="preserve">: </w:t>
      </w:r>
      <w:r w:rsidRPr="00627A7B">
        <w:rPr>
          <w:i/>
          <w:iCs/>
          <w:sz w:val="24"/>
          <w:szCs w:val="24"/>
        </w:rPr>
        <w:t>The holding of the student (Schultz, 2023)</w:t>
      </w:r>
    </w:p>
    <w:p w14:paraId="6A9A45D9" w14:textId="419D2F42" w:rsidR="002E2ABD" w:rsidRDefault="002E2ABD" w:rsidP="005C4505">
      <w:pPr>
        <w:spacing w:line="360" w:lineRule="auto"/>
        <w:rPr>
          <w:sz w:val="24"/>
          <w:szCs w:val="24"/>
        </w:rPr>
      </w:pPr>
      <w:r>
        <w:rPr>
          <w:sz w:val="24"/>
          <w:szCs w:val="24"/>
        </w:rPr>
        <w:t>S</w:t>
      </w:r>
      <w:r w:rsidRPr="001D6B7E">
        <w:rPr>
          <w:sz w:val="24"/>
          <w:szCs w:val="24"/>
        </w:rPr>
        <w:t>chool</w:t>
      </w:r>
      <w:r>
        <w:rPr>
          <w:sz w:val="24"/>
          <w:szCs w:val="24"/>
        </w:rPr>
        <w:t>s can</w:t>
      </w:r>
      <w:r w:rsidRPr="001D6B7E">
        <w:rPr>
          <w:sz w:val="24"/>
          <w:szCs w:val="24"/>
        </w:rPr>
        <w:t xml:space="preserve"> </w:t>
      </w:r>
      <w:r>
        <w:rPr>
          <w:sz w:val="24"/>
          <w:szCs w:val="24"/>
        </w:rPr>
        <w:t xml:space="preserve">shape </w:t>
      </w:r>
      <w:r w:rsidRPr="001D6B7E">
        <w:rPr>
          <w:sz w:val="24"/>
          <w:szCs w:val="24"/>
        </w:rPr>
        <w:t>students’ lives</w:t>
      </w:r>
      <w:r>
        <w:rPr>
          <w:sz w:val="24"/>
          <w:szCs w:val="24"/>
        </w:rPr>
        <w:t xml:space="preserve">, teach them skills and </w:t>
      </w:r>
      <w:r w:rsidRPr="001D6B7E">
        <w:rPr>
          <w:sz w:val="24"/>
          <w:szCs w:val="24"/>
        </w:rPr>
        <w:t>create attitudes that</w:t>
      </w:r>
      <w:r>
        <w:rPr>
          <w:sz w:val="24"/>
          <w:szCs w:val="24"/>
        </w:rPr>
        <w:t xml:space="preserve"> enrich lives (Bevan, 1981)</w:t>
      </w:r>
      <w:r w:rsidRPr="001D6B7E">
        <w:rPr>
          <w:sz w:val="24"/>
          <w:szCs w:val="24"/>
        </w:rPr>
        <w:t xml:space="preserve">. </w:t>
      </w:r>
      <w:r>
        <w:rPr>
          <w:sz w:val="24"/>
          <w:szCs w:val="24"/>
        </w:rPr>
        <w:t>E</w:t>
      </w:r>
      <w:r w:rsidRPr="001D6B7E">
        <w:rPr>
          <w:sz w:val="24"/>
          <w:szCs w:val="24"/>
        </w:rPr>
        <w:t>ducational establishments can play a part in providing safe environments</w:t>
      </w:r>
      <w:r w:rsidR="00045B54">
        <w:rPr>
          <w:sz w:val="24"/>
          <w:szCs w:val="24"/>
        </w:rPr>
        <w:t xml:space="preserve"> </w:t>
      </w:r>
      <w:r w:rsidRPr="001D6B7E">
        <w:rPr>
          <w:sz w:val="24"/>
          <w:szCs w:val="24"/>
        </w:rPr>
        <w:t>and transitional objects</w:t>
      </w:r>
      <w:r>
        <w:rPr>
          <w:sz w:val="24"/>
          <w:szCs w:val="24"/>
        </w:rPr>
        <w:t xml:space="preserve"> in the form of teachers “who aim at enrichment” (Winnicott, 1971, p.50). A “good enough teacher” (Mayes, 2007, p.56) helps to navigate transitions into learning where the student is enabled to </w:t>
      </w:r>
      <w:r w:rsidR="00D95337">
        <w:rPr>
          <w:sz w:val="24"/>
          <w:szCs w:val="24"/>
        </w:rPr>
        <w:t>safel</w:t>
      </w:r>
      <w:r w:rsidR="00AF737A">
        <w:rPr>
          <w:sz w:val="24"/>
          <w:szCs w:val="24"/>
        </w:rPr>
        <w:t xml:space="preserve">y </w:t>
      </w:r>
      <w:r>
        <w:rPr>
          <w:sz w:val="24"/>
          <w:szCs w:val="24"/>
        </w:rPr>
        <w:t>experiment with learning and with a limited degree of risk (Wool, 1989). T</w:t>
      </w:r>
      <w:r w:rsidRPr="00446AEC">
        <w:rPr>
          <w:sz w:val="24"/>
          <w:szCs w:val="24"/>
        </w:rPr>
        <w:t xml:space="preserve">he child’s use of </w:t>
      </w:r>
      <w:r>
        <w:rPr>
          <w:sz w:val="24"/>
          <w:szCs w:val="24"/>
        </w:rPr>
        <w:t>their</w:t>
      </w:r>
      <w:r w:rsidRPr="00446AEC">
        <w:rPr>
          <w:sz w:val="24"/>
          <w:szCs w:val="24"/>
        </w:rPr>
        <w:t xml:space="preserve"> </w:t>
      </w:r>
      <w:r>
        <w:rPr>
          <w:sz w:val="24"/>
          <w:szCs w:val="24"/>
        </w:rPr>
        <w:t xml:space="preserve">teacher as </w:t>
      </w:r>
      <w:r w:rsidRPr="00446AEC">
        <w:rPr>
          <w:sz w:val="24"/>
          <w:szCs w:val="24"/>
        </w:rPr>
        <w:t xml:space="preserve">transitional object </w:t>
      </w:r>
      <w:r>
        <w:rPr>
          <w:sz w:val="24"/>
          <w:szCs w:val="24"/>
        </w:rPr>
        <w:t xml:space="preserve">facilitates their </w:t>
      </w:r>
      <w:r w:rsidRPr="00446AEC">
        <w:rPr>
          <w:sz w:val="24"/>
          <w:szCs w:val="24"/>
        </w:rPr>
        <w:t xml:space="preserve">ability to engage with others in cultural and intellectual discourse. </w:t>
      </w:r>
      <w:r>
        <w:rPr>
          <w:sz w:val="24"/>
          <w:szCs w:val="24"/>
        </w:rPr>
        <w:t>The teacher as a transitional object helps the child</w:t>
      </w:r>
      <w:r w:rsidRPr="00446AEC">
        <w:rPr>
          <w:sz w:val="24"/>
          <w:szCs w:val="24"/>
        </w:rPr>
        <w:t xml:space="preserve"> </w:t>
      </w:r>
      <w:r>
        <w:rPr>
          <w:sz w:val="24"/>
          <w:szCs w:val="24"/>
        </w:rPr>
        <w:t>negotiate the task of learning</w:t>
      </w:r>
      <w:r w:rsidR="00D95337">
        <w:rPr>
          <w:sz w:val="24"/>
          <w:szCs w:val="24"/>
        </w:rPr>
        <w:t xml:space="preserve"> and </w:t>
      </w:r>
      <w:r>
        <w:rPr>
          <w:sz w:val="24"/>
          <w:szCs w:val="24"/>
        </w:rPr>
        <w:t>relationships with others</w:t>
      </w:r>
      <w:r w:rsidR="00EA3B4C">
        <w:rPr>
          <w:sz w:val="24"/>
          <w:szCs w:val="24"/>
        </w:rPr>
        <w:t>/</w:t>
      </w:r>
      <w:r>
        <w:rPr>
          <w:sz w:val="24"/>
          <w:szCs w:val="24"/>
        </w:rPr>
        <w:t>systems beyond their village (</w:t>
      </w:r>
      <w:r w:rsidR="004D5AB0">
        <w:rPr>
          <w:sz w:val="24"/>
          <w:szCs w:val="24"/>
        </w:rPr>
        <w:t xml:space="preserve">Coren, 199; </w:t>
      </w:r>
      <w:r>
        <w:rPr>
          <w:sz w:val="24"/>
          <w:szCs w:val="24"/>
        </w:rPr>
        <w:t xml:space="preserve">Elson, 1989; Mayes, 2007; Wool, 1989). </w:t>
      </w:r>
    </w:p>
    <w:p w14:paraId="3B768DB8" w14:textId="726061B1" w:rsidR="002E2ABD" w:rsidRDefault="002E2ABD" w:rsidP="005C4505">
      <w:pPr>
        <w:spacing w:line="360" w:lineRule="auto"/>
        <w:rPr>
          <w:sz w:val="24"/>
          <w:szCs w:val="24"/>
        </w:rPr>
      </w:pPr>
      <w:r w:rsidRPr="00D72B4F">
        <w:rPr>
          <w:sz w:val="24"/>
          <w:szCs w:val="24"/>
        </w:rPr>
        <w:t>Winnicott (1958) suggests that transitional objects facilitate transitions such as progressing to school, or university, getting married or starting work</w:t>
      </w:r>
      <w:r w:rsidRPr="00377FFE">
        <w:rPr>
          <w:sz w:val="24"/>
          <w:szCs w:val="24"/>
        </w:rPr>
        <w:t xml:space="preserve"> </w:t>
      </w:r>
      <w:r>
        <w:rPr>
          <w:sz w:val="24"/>
          <w:szCs w:val="24"/>
        </w:rPr>
        <w:t xml:space="preserve">and are foundational stones </w:t>
      </w:r>
      <w:r w:rsidRPr="00377FFE">
        <w:rPr>
          <w:sz w:val="24"/>
          <w:szCs w:val="24"/>
        </w:rPr>
        <w:t>of creative acts and experiences, such as art, religion and learning (Winnicott, 1971).</w:t>
      </w:r>
      <w:r>
        <w:rPr>
          <w:sz w:val="24"/>
          <w:szCs w:val="24"/>
        </w:rPr>
        <w:t xml:space="preserve"> T</w:t>
      </w:r>
      <w:r w:rsidRPr="00D72B4F">
        <w:rPr>
          <w:sz w:val="24"/>
          <w:szCs w:val="24"/>
        </w:rPr>
        <w:t xml:space="preserve">ransitions require transitional objects (Coren, 1997) particularly as the process may involve a shift in beliefs, attitudes </w:t>
      </w:r>
      <w:r>
        <w:rPr>
          <w:sz w:val="24"/>
          <w:szCs w:val="24"/>
        </w:rPr>
        <w:t xml:space="preserve">and </w:t>
      </w:r>
      <w:r w:rsidRPr="00D72B4F">
        <w:rPr>
          <w:sz w:val="24"/>
          <w:szCs w:val="24"/>
        </w:rPr>
        <w:t xml:space="preserve">identity. The teacher, in their role as transitional object is inhabiting the representational mother role, the object mother, </w:t>
      </w:r>
      <w:r w:rsidR="009C17A1">
        <w:rPr>
          <w:sz w:val="24"/>
          <w:szCs w:val="24"/>
        </w:rPr>
        <w:t xml:space="preserve">who </w:t>
      </w:r>
      <w:r w:rsidRPr="00D72B4F">
        <w:rPr>
          <w:sz w:val="24"/>
          <w:szCs w:val="24"/>
        </w:rPr>
        <w:t xml:space="preserve">acts as a bridge between the maturational self and the world. </w:t>
      </w:r>
      <w:r>
        <w:rPr>
          <w:sz w:val="24"/>
          <w:szCs w:val="24"/>
        </w:rPr>
        <w:t>According to philosopher</w:t>
      </w:r>
      <w:r w:rsidRPr="00D72B4F">
        <w:rPr>
          <w:sz w:val="24"/>
          <w:szCs w:val="24"/>
        </w:rPr>
        <w:t xml:space="preserve"> Gibran (1923) </w:t>
      </w:r>
      <w:r>
        <w:rPr>
          <w:sz w:val="24"/>
          <w:szCs w:val="24"/>
        </w:rPr>
        <w:t>a wise teacher does not impose knowledge on students but leads them</w:t>
      </w:r>
      <w:r w:rsidRPr="00D72B4F">
        <w:rPr>
          <w:sz w:val="24"/>
          <w:szCs w:val="24"/>
        </w:rPr>
        <w:t xml:space="preserve"> to the threshold </w:t>
      </w:r>
      <w:r>
        <w:rPr>
          <w:sz w:val="24"/>
          <w:szCs w:val="24"/>
        </w:rPr>
        <w:t xml:space="preserve">of their own mind. Indeed, Winnicott (in </w:t>
      </w:r>
      <w:r w:rsidRPr="00FB3B76">
        <w:rPr>
          <w:sz w:val="24"/>
          <w:szCs w:val="24"/>
        </w:rPr>
        <w:t>Davis and Wallbridge, 1981</w:t>
      </w:r>
      <w:r>
        <w:rPr>
          <w:sz w:val="24"/>
          <w:szCs w:val="24"/>
        </w:rPr>
        <w:t>) states: “</w:t>
      </w:r>
      <w:r w:rsidRPr="00FB3B76">
        <w:rPr>
          <w:sz w:val="24"/>
          <w:szCs w:val="24"/>
        </w:rPr>
        <w:t xml:space="preserve">It is an insult to </w:t>
      </w:r>
      <w:r w:rsidRPr="00FB3B76">
        <w:rPr>
          <w:sz w:val="24"/>
          <w:szCs w:val="24"/>
        </w:rPr>
        <w:lastRenderedPageBreak/>
        <w:t>indoctrinate people, even for their own good, unless they have a chance, by being present, to react, express disapproval, and to contribute</w:t>
      </w:r>
      <w:r>
        <w:rPr>
          <w:sz w:val="24"/>
          <w:szCs w:val="24"/>
        </w:rPr>
        <w:t>” (p.66).</w:t>
      </w:r>
      <w:r w:rsidRPr="00FB3B76">
        <w:rPr>
          <w:sz w:val="24"/>
          <w:szCs w:val="24"/>
        </w:rPr>
        <w:t xml:space="preserve"> </w:t>
      </w:r>
      <w:r w:rsidRPr="0041697B">
        <w:rPr>
          <w:sz w:val="24"/>
          <w:szCs w:val="24"/>
        </w:rPr>
        <w:t xml:space="preserve">Therein the teacher is providing holding and acting as a transitional object </w:t>
      </w:r>
      <w:r w:rsidR="002F3DB9">
        <w:rPr>
          <w:sz w:val="24"/>
          <w:szCs w:val="24"/>
        </w:rPr>
        <w:t xml:space="preserve">(Winnicott, 1965) </w:t>
      </w:r>
      <w:r w:rsidRPr="0041697B">
        <w:rPr>
          <w:sz w:val="24"/>
          <w:szCs w:val="24"/>
        </w:rPr>
        <w:t>whilst the student crosses the bridge towards the threshold of their independent mind.</w:t>
      </w:r>
    </w:p>
    <w:p w14:paraId="4E27974C" w14:textId="108C8220" w:rsidR="002E2ABD" w:rsidRPr="001D6B7E" w:rsidRDefault="002E2ABD" w:rsidP="005C4505">
      <w:pPr>
        <w:spacing w:line="360" w:lineRule="auto"/>
        <w:rPr>
          <w:sz w:val="24"/>
          <w:szCs w:val="24"/>
        </w:rPr>
      </w:pPr>
      <w:r w:rsidRPr="008E7141">
        <w:rPr>
          <w:sz w:val="24"/>
          <w:szCs w:val="24"/>
        </w:rPr>
        <w:t xml:space="preserve">A holding environment provides the safe conditions, a secure base (Bowlby, 1988) for the child (and student) to learn to take risks and sorties into the world (Davis and Walbridge, 1990). </w:t>
      </w:r>
      <w:r>
        <w:rPr>
          <w:sz w:val="24"/>
          <w:szCs w:val="24"/>
        </w:rPr>
        <w:t>A</w:t>
      </w:r>
      <w:r w:rsidRPr="008E7141">
        <w:rPr>
          <w:sz w:val="24"/>
          <w:szCs w:val="24"/>
        </w:rPr>
        <w:t xml:space="preserve"> teacher as “auxiliary ego” (Greenhalgh, 1994, p.109)</w:t>
      </w:r>
      <w:r>
        <w:rPr>
          <w:sz w:val="24"/>
          <w:szCs w:val="24"/>
        </w:rPr>
        <w:t xml:space="preserve"> acts </w:t>
      </w:r>
      <w:r w:rsidRPr="008E7141">
        <w:rPr>
          <w:sz w:val="24"/>
          <w:szCs w:val="24"/>
        </w:rPr>
        <w:t>in</w:t>
      </w:r>
      <w:r w:rsidRPr="008E7141">
        <w:rPr>
          <w:i/>
          <w:iCs/>
          <w:sz w:val="24"/>
          <w:szCs w:val="24"/>
        </w:rPr>
        <w:t xml:space="preserve"> loco parentis</w:t>
      </w:r>
      <w:r>
        <w:rPr>
          <w:sz w:val="24"/>
          <w:szCs w:val="24"/>
        </w:rPr>
        <w:t xml:space="preserve"> and </w:t>
      </w:r>
      <w:r w:rsidRPr="008E7141">
        <w:rPr>
          <w:sz w:val="24"/>
          <w:szCs w:val="24"/>
        </w:rPr>
        <w:t>help</w:t>
      </w:r>
      <w:r>
        <w:rPr>
          <w:sz w:val="24"/>
          <w:szCs w:val="24"/>
        </w:rPr>
        <w:t>s</w:t>
      </w:r>
      <w:r w:rsidRPr="008E7141">
        <w:rPr>
          <w:sz w:val="24"/>
          <w:szCs w:val="24"/>
        </w:rPr>
        <w:t xml:space="preserve"> mediate the student’s journey of learning. The teacher’s role is particularly important given the legal safeguarding duty for learners below the age of 19 years. The teacher has a role to play in enabling the student to feel safe to learn.</w:t>
      </w:r>
    </w:p>
    <w:p w14:paraId="5FE41513" w14:textId="77777777" w:rsidR="002E2ABD" w:rsidRPr="00035A8A" w:rsidRDefault="002E2ABD" w:rsidP="001D6B7E">
      <w:pPr>
        <w:rPr>
          <w:b/>
          <w:bCs/>
          <w:sz w:val="24"/>
          <w:szCs w:val="24"/>
        </w:rPr>
      </w:pPr>
      <w:r w:rsidRPr="00035A8A">
        <w:rPr>
          <w:b/>
          <w:bCs/>
          <w:sz w:val="24"/>
          <w:szCs w:val="24"/>
        </w:rPr>
        <w:t>Teaching with</w:t>
      </w:r>
      <w:r>
        <w:rPr>
          <w:b/>
          <w:bCs/>
          <w:sz w:val="24"/>
          <w:szCs w:val="24"/>
        </w:rPr>
        <w:t xml:space="preserve"> emotional </w:t>
      </w:r>
      <w:r w:rsidRPr="00035A8A">
        <w:rPr>
          <w:b/>
          <w:bCs/>
          <w:sz w:val="24"/>
          <w:szCs w:val="24"/>
        </w:rPr>
        <w:t>transitions in mind</w:t>
      </w:r>
    </w:p>
    <w:p w14:paraId="4C096B45" w14:textId="50AB6EB0" w:rsidR="002E2ABD" w:rsidRDefault="002E2ABD" w:rsidP="00C349A8">
      <w:pPr>
        <w:spacing w:line="360" w:lineRule="auto"/>
        <w:rPr>
          <w:sz w:val="24"/>
          <w:szCs w:val="24"/>
        </w:rPr>
      </w:pPr>
      <w:r>
        <w:rPr>
          <w:sz w:val="24"/>
          <w:szCs w:val="24"/>
        </w:rPr>
        <w:t>According to McCabe (2011) when the teacher is fully immersed the experiences of the student they can encounter “</w:t>
      </w:r>
      <w:r w:rsidRPr="009E726F">
        <w:rPr>
          <w:sz w:val="24"/>
          <w:szCs w:val="24"/>
        </w:rPr>
        <w:t>all measures of the dark shadowy aspects of life presented by the students</w:t>
      </w:r>
      <w:r>
        <w:rPr>
          <w:sz w:val="24"/>
          <w:szCs w:val="24"/>
        </w:rPr>
        <w:t>” (p.233)</w:t>
      </w:r>
      <w:r w:rsidR="00664612">
        <w:rPr>
          <w:sz w:val="24"/>
          <w:szCs w:val="24"/>
        </w:rPr>
        <w:t>,</w:t>
      </w:r>
      <w:r>
        <w:rPr>
          <w:sz w:val="24"/>
          <w:szCs w:val="24"/>
        </w:rPr>
        <w:t xml:space="preserve"> and I include anxiety as a shadowy aspect.</w:t>
      </w:r>
      <w:r w:rsidRPr="001D6B7E">
        <w:rPr>
          <w:sz w:val="24"/>
          <w:szCs w:val="24"/>
        </w:rPr>
        <w:t xml:space="preserve"> Difficult </w:t>
      </w:r>
      <w:r>
        <w:rPr>
          <w:sz w:val="24"/>
          <w:szCs w:val="24"/>
        </w:rPr>
        <w:t>or</w:t>
      </w:r>
      <w:r w:rsidRPr="001D6B7E">
        <w:rPr>
          <w:sz w:val="24"/>
          <w:szCs w:val="24"/>
        </w:rPr>
        <w:t xml:space="preserve"> shadowy (Jung, 1953) feelings such as frustration, anger</w:t>
      </w:r>
      <w:r w:rsidR="00986A0B">
        <w:rPr>
          <w:sz w:val="24"/>
          <w:szCs w:val="24"/>
        </w:rPr>
        <w:t xml:space="preserve"> and</w:t>
      </w:r>
      <w:r w:rsidRPr="001D6B7E">
        <w:rPr>
          <w:sz w:val="24"/>
          <w:szCs w:val="24"/>
        </w:rPr>
        <w:t xml:space="preserve"> </w:t>
      </w:r>
      <w:r>
        <w:rPr>
          <w:sz w:val="24"/>
          <w:szCs w:val="24"/>
        </w:rPr>
        <w:t xml:space="preserve">fear </w:t>
      </w:r>
      <w:r w:rsidRPr="001D6B7E">
        <w:rPr>
          <w:sz w:val="24"/>
          <w:szCs w:val="24"/>
        </w:rPr>
        <w:t>can be evoked at times of transition and require mediati</w:t>
      </w:r>
      <w:r>
        <w:rPr>
          <w:sz w:val="24"/>
          <w:szCs w:val="24"/>
        </w:rPr>
        <w:t xml:space="preserve">ng. Transitions </w:t>
      </w:r>
      <w:r w:rsidRPr="001D6B7E">
        <w:rPr>
          <w:sz w:val="24"/>
          <w:szCs w:val="24"/>
        </w:rPr>
        <w:t>in</w:t>
      </w:r>
      <w:r>
        <w:rPr>
          <w:sz w:val="24"/>
          <w:szCs w:val="24"/>
        </w:rPr>
        <w:t xml:space="preserve">to new </w:t>
      </w:r>
      <w:r w:rsidRPr="001D6B7E">
        <w:rPr>
          <w:sz w:val="24"/>
          <w:szCs w:val="24"/>
        </w:rPr>
        <w:t>learning situation</w:t>
      </w:r>
      <w:r>
        <w:rPr>
          <w:sz w:val="24"/>
          <w:szCs w:val="24"/>
        </w:rPr>
        <w:t>s</w:t>
      </w:r>
      <w:r w:rsidRPr="00752BF8">
        <w:rPr>
          <w:sz w:val="24"/>
          <w:szCs w:val="24"/>
        </w:rPr>
        <w:t xml:space="preserve"> can evoke anxieties experienced earlier in life when facing unfamiliar tasks and territories</w:t>
      </w:r>
      <w:r>
        <w:rPr>
          <w:sz w:val="24"/>
          <w:szCs w:val="24"/>
        </w:rPr>
        <w:t xml:space="preserve"> (Youell, 2006). </w:t>
      </w:r>
      <w:r w:rsidRPr="001D6B7E">
        <w:rPr>
          <w:sz w:val="24"/>
          <w:szCs w:val="24"/>
        </w:rPr>
        <w:t xml:space="preserve">Where the student </w:t>
      </w:r>
      <w:r>
        <w:rPr>
          <w:sz w:val="24"/>
          <w:szCs w:val="24"/>
        </w:rPr>
        <w:t>is</w:t>
      </w:r>
      <w:r w:rsidRPr="001D6B7E">
        <w:rPr>
          <w:sz w:val="24"/>
          <w:szCs w:val="24"/>
        </w:rPr>
        <w:t xml:space="preserve"> not yet</w:t>
      </w:r>
      <w:r>
        <w:rPr>
          <w:sz w:val="24"/>
          <w:szCs w:val="24"/>
        </w:rPr>
        <w:t xml:space="preserve"> </w:t>
      </w:r>
      <w:r w:rsidRPr="001D6B7E">
        <w:rPr>
          <w:sz w:val="24"/>
          <w:szCs w:val="24"/>
        </w:rPr>
        <w:t>able to contain unmanageable feelings such as anxiety</w:t>
      </w:r>
      <w:r>
        <w:rPr>
          <w:sz w:val="24"/>
          <w:szCs w:val="24"/>
        </w:rPr>
        <w:t xml:space="preserve"> </w:t>
      </w:r>
      <w:r w:rsidR="008A7E38">
        <w:rPr>
          <w:sz w:val="24"/>
          <w:szCs w:val="24"/>
        </w:rPr>
        <w:t>whilst tra</w:t>
      </w:r>
      <w:r w:rsidR="00EF4B31">
        <w:rPr>
          <w:sz w:val="24"/>
          <w:szCs w:val="24"/>
        </w:rPr>
        <w:t>nsitioning their learning journey</w:t>
      </w:r>
      <w:r>
        <w:rPr>
          <w:sz w:val="24"/>
          <w:szCs w:val="24"/>
        </w:rPr>
        <w:t xml:space="preserve">, </w:t>
      </w:r>
      <w:r w:rsidRPr="001D6B7E">
        <w:rPr>
          <w:sz w:val="24"/>
          <w:szCs w:val="24"/>
        </w:rPr>
        <w:t xml:space="preserve">the teacher has an important role in </w:t>
      </w:r>
      <w:r>
        <w:rPr>
          <w:sz w:val="24"/>
          <w:szCs w:val="24"/>
        </w:rPr>
        <w:t xml:space="preserve">providing containment and holding (Greenhalgh, 1994). Once adequately held, </w:t>
      </w:r>
      <w:r w:rsidRPr="0014463D">
        <w:rPr>
          <w:sz w:val="24"/>
          <w:szCs w:val="24"/>
        </w:rPr>
        <w:t xml:space="preserve">the student can </w:t>
      </w:r>
      <w:r>
        <w:rPr>
          <w:sz w:val="24"/>
          <w:szCs w:val="24"/>
        </w:rPr>
        <w:t xml:space="preserve">progress towards autonomously containing feelings </w:t>
      </w:r>
      <w:r w:rsidRPr="0014463D">
        <w:rPr>
          <w:sz w:val="24"/>
          <w:szCs w:val="24"/>
        </w:rPr>
        <w:t xml:space="preserve">and draw upon the internalised object constants absorbed from the object mother (the teacher) and the environmental mother (the education establishment) as a self-soothing mechanism. </w:t>
      </w:r>
      <w:r>
        <w:rPr>
          <w:sz w:val="24"/>
          <w:szCs w:val="24"/>
        </w:rPr>
        <w:t xml:space="preserve">The teacher holds the student’s anxiety to enable maturation, and progression (Moeller and Chung-Yan, 2013) which </w:t>
      </w:r>
      <w:r w:rsidRPr="001D6B7E">
        <w:rPr>
          <w:sz w:val="24"/>
          <w:szCs w:val="24"/>
        </w:rPr>
        <w:t>flourish</w:t>
      </w:r>
      <w:r>
        <w:rPr>
          <w:sz w:val="24"/>
          <w:szCs w:val="24"/>
        </w:rPr>
        <w:t xml:space="preserve"> in climes of affective stability (Jacobi, 1990). </w:t>
      </w:r>
    </w:p>
    <w:p w14:paraId="20650917" w14:textId="69B44453" w:rsidR="002E2ABD" w:rsidRDefault="002E2ABD" w:rsidP="00C349A8">
      <w:pPr>
        <w:spacing w:line="360" w:lineRule="auto"/>
        <w:rPr>
          <w:sz w:val="24"/>
          <w:szCs w:val="24"/>
        </w:rPr>
      </w:pPr>
      <w:r>
        <w:rPr>
          <w:sz w:val="24"/>
          <w:szCs w:val="24"/>
        </w:rPr>
        <w:t>W</w:t>
      </w:r>
      <w:r w:rsidRPr="00DF488A">
        <w:rPr>
          <w:sz w:val="24"/>
          <w:szCs w:val="24"/>
        </w:rPr>
        <w:t>hilst student</w:t>
      </w:r>
      <w:r w:rsidR="007B6ABD">
        <w:rPr>
          <w:sz w:val="24"/>
          <w:szCs w:val="24"/>
        </w:rPr>
        <w:t>s</w:t>
      </w:r>
      <w:r w:rsidRPr="00DF488A">
        <w:rPr>
          <w:sz w:val="24"/>
          <w:szCs w:val="24"/>
        </w:rPr>
        <w:t xml:space="preserve"> </w:t>
      </w:r>
      <w:r w:rsidR="007B6ABD">
        <w:rPr>
          <w:sz w:val="24"/>
          <w:szCs w:val="24"/>
        </w:rPr>
        <w:t>are</w:t>
      </w:r>
      <w:r w:rsidRPr="00DF488A">
        <w:rPr>
          <w:sz w:val="24"/>
          <w:szCs w:val="24"/>
        </w:rPr>
        <w:t xml:space="preserve"> learning they are in a state of not knowing</w:t>
      </w:r>
      <w:r>
        <w:rPr>
          <w:sz w:val="24"/>
          <w:szCs w:val="24"/>
        </w:rPr>
        <w:t xml:space="preserve">, a zone of proximal development </w:t>
      </w:r>
      <w:r w:rsidRPr="00011201">
        <w:rPr>
          <w:sz w:val="24"/>
          <w:szCs w:val="24"/>
        </w:rPr>
        <w:t>(Vygotsky, 1978)</w:t>
      </w:r>
      <w:r>
        <w:rPr>
          <w:sz w:val="24"/>
          <w:szCs w:val="24"/>
        </w:rPr>
        <w:t xml:space="preserve">, and are aiming towards independence (Winnicott, 1965) and maturation. </w:t>
      </w:r>
      <w:r w:rsidRPr="001D6B7E">
        <w:rPr>
          <w:sz w:val="24"/>
          <w:szCs w:val="24"/>
        </w:rPr>
        <w:t xml:space="preserve">To use one of Winnicott’s metaphors, the </w:t>
      </w:r>
      <w:r>
        <w:rPr>
          <w:sz w:val="24"/>
          <w:szCs w:val="24"/>
        </w:rPr>
        <w:t xml:space="preserve">process </w:t>
      </w:r>
      <w:r w:rsidRPr="001D6B7E">
        <w:rPr>
          <w:sz w:val="24"/>
          <w:szCs w:val="24"/>
        </w:rPr>
        <w:t>of maturation is a backwards frying process, where “you really do unscramble the scrambled eggs” (</w:t>
      </w:r>
      <w:r w:rsidR="00503285">
        <w:rPr>
          <w:sz w:val="24"/>
          <w:szCs w:val="24"/>
        </w:rPr>
        <w:t xml:space="preserve">Winnicott </w:t>
      </w:r>
      <w:r>
        <w:rPr>
          <w:sz w:val="24"/>
          <w:szCs w:val="24"/>
        </w:rPr>
        <w:t xml:space="preserve">in </w:t>
      </w:r>
      <w:r w:rsidRPr="001D6B7E">
        <w:rPr>
          <w:sz w:val="24"/>
          <w:szCs w:val="24"/>
        </w:rPr>
        <w:t>Jacobs, 1995, p.81). T</w:t>
      </w:r>
      <w:r>
        <w:rPr>
          <w:sz w:val="24"/>
          <w:szCs w:val="24"/>
        </w:rPr>
        <w:t xml:space="preserve">he transition from not knowing to knowing creates anxiety and holding is </w:t>
      </w:r>
      <w:r>
        <w:rPr>
          <w:sz w:val="24"/>
          <w:szCs w:val="24"/>
        </w:rPr>
        <w:lastRenderedPageBreak/>
        <w:t>essential when there is exposure</w:t>
      </w:r>
      <w:r w:rsidRPr="001D6B7E">
        <w:rPr>
          <w:sz w:val="24"/>
          <w:szCs w:val="24"/>
        </w:rPr>
        <w:t xml:space="preserve"> to difficult and/or new experiences</w:t>
      </w:r>
      <w:r>
        <w:rPr>
          <w:sz w:val="24"/>
          <w:szCs w:val="24"/>
        </w:rPr>
        <w:t xml:space="preserve"> (Phuongloan, 2020)</w:t>
      </w:r>
      <w:r w:rsidRPr="001D6B7E">
        <w:rPr>
          <w:sz w:val="24"/>
          <w:szCs w:val="24"/>
        </w:rPr>
        <w:t xml:space="preserve">. </w:t>
      </w:r>
      <w:r w:rsidRPr="00B46C26">
        <w:rPr>
          <w:sz w:val="24"/>
          <w:szCs w:val="24"/>
        </w:rPr>
        <w:t>Laurillard (1993) acknowledges that: “Students will not suddenly switch to being the model holistic, deep and epistemologically sophisticated learners” (p.93) and teaching should provide an environment that facilitates the coming together of actions, feedback, goal</w:t>
      </w:r>
      <w:r>
        <w:rPr>
          <w:sz w:val="24"/>
          <w:szCs w:val="24"/>
        </w:rPr>
        <w:t>s</w:t>
      </w:r>
      <w:r w:rsidRPr="00B46C26">
        <w:rPr>
          <w:sz w:val="24"/>
          <w:szCs w:val="24"/>
        </w:rPr>
        <w:t xml:space="preserve"> and conceptual structures </w:t>
      </w:r>
      <w:r>
        <w:rPr>
          <w:sz w:val="24"/>
          <w:szCs w:val="24"/>
        </w:rPr>
        <w:t>to enable integration and maturation</w:t>
      </w:r>
      <w:r w:rsidRPr="00B46C26">
        <w:rPr>
          <w:sz w:val="24"/>
          <w:szCs w:val="24"/>
        </w:rPr>
        <w:t xml:space="preserve">. </w:t>
      </w:r>
      <w:r>
        <w:rPr>
          <w:sz w:val="24"/>
          <w:szCs w:val="24"/>
        </w:rPr>
        <w:t xml:space="preserve"> </w:t>
      </w:r>
      <w:r w:rsidRPr="001D6B7E">
        <w:rPr>
          <w:sz w:val="24"/>
          <w:szCs w:val="24"/>
        </w:rPr>
        <w:t>Difficulties experienced by adults arise often due to the insufficient holding environment provision in childhood (Nuttall and McEvoy, 2022)</w:t>
      </w:r>
      <w:r>
        <w:rPr>
          <w:sz w:val="24"/>
          <w:szCs w:val="24"/>
        </w:rPr>
        <w:t xml:space="preserve"> which </w:t>
      </w:r>
      <w:r w:rsidRPr="001D6B7E">
        <w:rPr>
          <w:sz w:val="24"/>
          <w:szCs w:val="24"/>
        </w:rPr>
        <w:t>result</w:t>
      </w:r>
      <w:r w:rsidR="00790DBB">
        <w:rPr>
          <w:sz w:val="24"/>
          <w:szCs w:val="24"/>
        </w:rPr>
        <w:t>s</w:t>
      </w:r>
      <w:r w:rsidRPr="001D6B7E">
        <w:rPr>
          <w:sz w:val="24"/>
          <w:szCs w:val="24"/>
        </w:rPr>
        <w:t xml:space="preserve"> in </w:t>
      </w:r>
      <w:r>
        <w:rPr>
          <w:sz w:val="24"/>
          <w:szCs w:val="24"/>
        </w:rPr>
        <w:t xml:space="preserve">anxiety and </w:t>
      </w:r>
      <w:r w:rsidRPr="001D6B7E">
        <w:rPr>
          <w:sz w:val="24"/>
          <w:szCs w:val="24"/>
        </w:rPr>
        <w:t>an inability to cope with the stress of learning</w:t>
      </w:r>
      <w:r>
        <w:rPr>
          <w:sz w:val="24"/>
          <w:szCs w:val="24"/>
        </w:rPr>
        <w:t>. T</w:t>
      </w:r>
      <w:r w:rsidRPr="001D6B7E">
        <w:rPr>
          <w:sz w:val="24"/>
          <w:szCs w:val="24"/>
        </w:rPr>
        <w:t xml:space="preserve">he formation of secondary attachments </w:t>
      </w:r>
      <w:r>
        <w:rPr>
          <w:sz w:val="24"/>
          <w:szCs w:val="24"/>
        </w:rPr>
        <w:t xml:space="preserve">to teachers </w:t>
      </w:r>
      <w:r w:rsidRPr="001D6B7E">
        <w:rPr>
          <w:sz w:val="24"/>
          <w:szCs w:val="24"/>
        </w:rPr>
        <w:t>play</w:t>
      </w:r>
      <w:r>
        <w:rPr>
          <w:sz w:val="24"/>
          <w:szCs w:val="24"/>
        </w:rPr>
        <w:t xml:space="preserve">s an important </w:t>
      </w:r>
      <w:r w:rsidRPr="001D6B7E">
        <w:rPr>
          <w:sz w:val="24"/>
          <w:szCs w:val="24"/>
        </w:rPr>
        <w:t xml:space="preserve">role in </w:t>
      </w:r>
      <w:r>
        <w:rPr>
          <w:sz w:val="24"/>
          <w:szCs w:val="24"/>
        </w:rPr>
        <w:t xml:space="preserve">managing anxieties, </w:t>
      </w:r>
      <w:r w:rsidRPr="001D6B7E">
        <w:rPr>
          <w:sz w:val="24"/>
          <w:szCs w:val="24"/>
        </w:rPr>
        <w:t>enhancing well-being and the capacity to learn (</w:t>
      </w:r>
      <w:r w:rsidR="00AB1ADC">
        <w:rPr>
          <w:sz w:val="24"/>
          <w:szCs w:val="24"/>
        </w:rPr>
        <w:t>ibid.</w:t>
      </w:r>
      <w:r w:rsidRPr="001D6B7E">
        <w:rPr>
          <w:sz w:val="24"/>
          <w:szCs w:val="24"/>
        </w:rPr>
        <w:t>)</w:t>
      </w:r>
      <w:r>
        <w:rPr>
          <w:sz w:val="24"/>
          <w:szCs w:val="24"/>
        </w:rPr>
        <w:t xml:space="preserve">. In their critical role as </w:t>
      </w:r>
      <w:r w:rsidRPr="001D6B7E">
        <w:rPr>
          <w:sz w:val="24"/>
          <w:szCs w:val="24"/>
        </w:rPr>
        <w:t>secondary attachment figure and transitional object in the classroom</w:t>
      </w:r>
      <w:r>
        <w:rPr>
          <w:sz w:val="24"/>
          <w:szCs w:val="24"/>
        </w:rPr>
        <w:t>, there are certain attributes the teacher requires that enable them to fulfil this role.</w:t>
      </w:r>
    </w:p>
    <w:p w14:paraId="6FC61483" w14:textId="77628C4E" w:rsidR="001B7930" w:rsidRDefault="002E2ABD" w:rsidP="00C349A8">
      <w:pPr>
        <w:spacing w:line="360" w:lineRule="auto"/>
        <w:rPr>
          <w:sz w:val="24"/>
          <w:szCs w:val="24"/>
        </w:rPr>
      </w:pPr>
      <w:r w:rsidRPr="00F1278B">
        <w:rPr>
          <w:sz w:val="24"/>
          <w:szCs w:val="24"/>
        </w:rPr>
        <w:t>The classroom environment is shaped by aspects of the teach</w:t>
      </w:r>
      <w:r>
        <w:rPr>
          <w:sz w:val="24"/>
          <w:szCs w:val="24"/>
        </w:rPr>
        <w:t>er’s inner qualities</w:t>
      </w:r>
      <w:r w:rsidRPr="00F1278B">
        <w:rPr>
          <w:sz w:val="24"/>
          <w:szCs w:val="24"/>
        </w:rPr>
        <w:t xml:space="preserve"> such as how open the teacher is emotionally. If the teacher can model openness regarding difficult emotions they can create “a resonant interpersonal field in the classroom” (McCabe, 2011, p.232)</w:t>
      </w:r>
      <w:r>
        <w:rPr>
          <w:sz w:val="24"/>
          <w:szCs w:val="24"/>
        </w:rPr>
        <w:t xml:space="preserve"> </w:t>
      </w:r>
      <w:r w:rsidRPr="00F1278B">
        <w:rPr>
          <w:sz w:val="24"/>
          <w:szCs w:val="24"/>
        </w:rPr>
        <w:t>enabl</w:t>
      </w:r>
      <w:r>
        <w:rPr>
          <w:sz w:val="24"/>
          <w:szCs w:val="24"/>
        </w:rPr>
        <w:t>ing</w:t>
      </w:r>
      <w:r w:rsidRPr="00F1278B">
        <w:rPr>
          <w:sz w:val="24"/>
          <w:szCs w:val="24"/>
        </w:rPr>
        <w:t xml:space="preserve"> difficult feelings </w:t>
      </w:r>
      <w:r>
        <w:rPr>
          <w:sz w:val="24"/>
          <w:szCs w:val="24"/>
        </w:rPr>
        <w:t>students</w:t>
      </w:r>
      <w:r w:rsidRPr="00F1278B">
        <w:rPr>
          <w:sz w:val="24"/>
          <w:szCs w:val="24"/>
        </w:rPr>
        <w:t xml:space="preserve"> might experience whilst learning to be voiced, witnessed and understood. The teacher, much like the parent does in early life, can provide ego support to the student by modelling successful navigation</w:t>
      </w:r>
      <w:r>
        <w:rPr>
          <w:sz w:val="24"/>
          <w:szCs w:val="24"/>
        </w:rPr>
        <w:t xml:space="preserve"> of their emotions</w:t>
      </w:r>
      <w:r w:rsidR="00B567F6">
        <w:rPr>
          <w:sz w:val="24"/>
          <w:szCs w:val="24"/>
        </w:rPr>
        <w:t xml:space="preserve"> (Coren, 199</w:t>
      </w:r>
      <w:r w:rsidR="00D87857">
        <w:rPr>
          <w:sz w:val="24"/>
          <w:szCs w:val="24"/>
        </w:rPr>
        <w:t>7)</w:t>
      </w:r>
      <w:r w:rsidRPr="00F1278B">
        <w:rPr>
          <w:sz w:val="24"/>
          <w:szCs w:val="24"/>
        </w:rPr>
        <w:t>. This navigation is “the pedagogical first step in developing potential space in the classroom and a student’s trust in their feelings and experiences” (</w:t>
      </w:r>
      <w:r w:rsidR="00D87857">
        <w:rPr>
          <w:sz w:val="24"/>
          <w:szCs w:val="24"/>
        </w:rPr>
        <w:t>McCabe, 2011</w:t>
      </w:r>
      <w:r w:rsidRPr="00F1278B">
        <w:rPr>
          <w:sz w:val="24"/>
          <w:szCs w:val="24"/>
        </w:rPr>
        <w:t xml:space="preserve">., pp.231-232). </w:t>
      </w:r>
    </w:p>
    <w:p w14:paraId="5F1A74B8" w14:textId="3D8ECA9A" w:rsidR="002E2ABD" w:rsidRDefault="002E2ABD" w:rsidP="00C349A8">
      <w:pPr>
        <w:spacing w:line="360" w:lineRule="auto"/>
        <w:rPr>
          <w:rFonts w:ascii="Calibri" w:eastAsia="Aptos" w:hAnsi="Calibri" w:cs="Calibri"/>
          <w:kern w:val="2"/>
          <w:sz w:val="24"/>
          <w:szCs w:val="24"/>
          <w14:ligatures w14:val="standardContextual"/>
        </w:rPr>
      </w:pPr>
      <w:r w:rsidRPr="00F1278B">
        <w:rPr>
          <w:sz w:val="24"/>
          <w:szCs w:val="24"/>
        </w:rPr>
        <w:t xml:space="preserve">Although it could be argued that the relationship between teacher and student </w:t>
      </w:r>
      <w:r>
        <w:rPr>
          <w:sz w:val="24"/>
          <w:szCs w:val="24"/>
        </w:rPr>
        <w:t>is a temporary one</w:t>
      </w:r>
      <w:r w:rsidRPr="00F1278B">
        <w:rPr>
          <w:sz w:val="24"/>
          <w:szCs w:val="24"/>
        </w:rPr>
        <w:t xml:space="preserve">, the teacher forms a positive object constant as role model </w:t>
      </w:r>
      <w:r>
        <w:rPr>
          <w:sz w:val="24"/>
          <w:szCs w:val="24"/>
        </w:rPr>
        <w:t xml:space="preserve">which </w:t>
      </w:r>
      <w:r w:rsidRPr="00F1278B">
        <w:rPr>
          <w:sz w:val="24"/>
          <w:szCs w:val="24"/>
        </w:rPr>
        <w:t xml:space="preserve">endures (Mahler </w:t>
      </w:r>
      <w:r w:rsidRPr="00C665E2">
        <w:rPr>
          <w:i/>
          <w:iCs/>
          <w:sz w:val="24"/>
          <w:szCs w:val="24"/>
        </w:rPr>
        <w:t>et al</w:t>
      </w:r>
      <w:r w:rsidR="00C665E2" w:rsidRPr="00C665E2">
        <w:rPr>
          <w:i/>
          <w:iCs/>
          <w:sz w:val="24"/>
          <w:szCs w:val="24"/>
        </w:rPr>
        <w:t>.</w:t>
      </w:r>
      <w:r w:rsidRPr="00C665E2">
        <w:rPr>
          <w:i/>
          <w:iCs/>
          <w:sz w:val="24"/>
          <w:szCs w:val="24"/>
        </w:rPr>
        <w:t>,</w:t>
      </w:r>
      <w:r w:rsidRPr="00F1278B">
        <w:rPr>
          <w:sz w:val="24"/>
          <w:szCs w:val="24"/>
        </w:rPr>
        <w:t xml:space="preserve"> 1975; Piaget, 1937). If the idea of a teacher as a role model for emotions is plausible, then it is a matter of ethical concern that the teacher knows how to emotionally hold the student and create a facilitating clime for their, and the</w:t>
      </w:r>
      <w:r w:rsidR="001B7930">
        <w:rPr>
          <w:sz w:val="24"/>
          <w:szCs w:val="24"/>
        </w:rPr>
        <w:t>ir</w:t>
      </w:r>
      <w:r w:rsidRPr="00F1278B">
        <w:rPr>
          <w:sz w:val="24"/>
          <w:szCs w:val="24"/>
        </w:rPr>
        <w:t xml:space="preserve"> student’s emotions. </w:t>
      </w:r>
      <w:r>
        <w:rPr>
          <w:sz w:val="24"/>
          <w:szCs w:val="24"/>
        </w:rPr>
        <w:t xml:space="preserve">A </w:t>
      </w:r>
      <w:r w:rsidRPr="00F1278B">
        <w:rPr>
          <w:sz w:val="24"/>
          <w:szCs w:val="24"/>
        </w:rPr>
        <w:t xml:space="preserve">facilitating mindset </w:t>
      </w:r>
      <w:r>
        <w:rPr>
          <w:sz w:val="24"/>
          <w:szCs w:val="24"/>
        </w:rPr>
        <w:t xml:space="preserve">is </w:t>
      </w:r>
      <w:r w:rsidRPr="00F1278B">
        <w:rPr>
          <w:sz w:val="24"/>
          <w:szCs w:val="24"/>
        </w:rPr>
        <w:t>intuitively created and based on the natural proclivity (Hyman, 2012) of the teacher</w:t>
      </w:r>
      <w:r>
        <w:rPr>
          <w:sz w:val="24"/>
          <w:szCs w:val="24"/>
        </w:rPr>
        <w:t>, their</w:t>
      </w:r>
      <w:r w:rsidRPr="00F1278B">
        <w:rPr>
          <w:sz w:val="24"/>
          <w:szCs w:val="24"/>
        </w:rPr>
        <w:t xml:space="preserve"> love of the work and </w:t>
      </w:r>
      <w:r>
        <w:rPr>
          <w:sz w:val="24"/>
          <w:szCs w:val="24"/>
        </w:rPr>
        <w:t xml:space="preserve">their </w:t>
      </w:r>
      <w:r w:rsidRPr="00F1278B">
        <w:rPr>
          <w:sz w:val="24"/>
          <w:szCs w:val="24"/>
        </w:rPr>
        <w:t>capacity for concern (Winnicott, 196</w:t>
      </w:r>
      <w:r w:rsidR="00A57FEA">
        <w:rPr>
          <w:sz w:val="24"/>
          <w:szCs w:val="24"/>
        </w:rPr>
        <w:t>3</w:t>
      </w:r>
      <w:r w:rsidRPr="00F1278B">
        <w:rPr>
          <w:sz w:val="24"/>
          <w:szCs w:val="24"/>
        </w:rPr>
        <w:t>) for the student</w:t>
      </w:r>
      <w:r>
        <w:rPr>
          <w:sz w:val="24"/>
          <w:szCs w:val="24"/>
        </w:rPr>
        <w:t xml:space="preserve"> which enables the teacher to </w:t>
      </w:r>
      <w:r w:rsidR="00A57FEA">
        <w:rPr>
          <w:sz w:val="24"/>
          <w:szCs w:val="24"/>
        </w:rPr>
        <w:t xml:space="preserve">fully </w:t>
      </w:r>
      <w:r w:rsidRPr="00A57FEA">
        <w:rPr>
          <w:sz w:val="24"/>
          <w:szCs w:val="24"/>
        </w:rPr>
        <w:t xml:space="preserve">see </w:t>
      </w:r>
      <w:r>
        <w:rPr>
          <w:sz w:val="24"/>
          <w:szCs w:val="24"/>
        </w:rPr>
        <w:t xml:space="preserve">the student. </w:t>
      </w:r>
      <w:r>
        <w:rPr>
          <w:rFonts w:ascii="Calibri" w:eastAsia="Aptos" w:hAnsi="Calibri" w:cs="Calibri"/>
          <w:kern w:val="2"/>
          <w:sz w:val="24"/>
          <w:szCs w:val="24"/>
          <w14:ligatures w14:val="standardContextual"/>
        </w:rPr>
        <w:t xml:space="preserve">It follows that a teacher’s failure to successfully holistically </w:t>
      </w:r>
      <w:r w:rsidR="00A57FEA">
        <w:rPr>
          <w:rFonts w:ascii="Calibri" w:eastAsia="Aptos" w:hAnsi="Calibri" w:cs="Calibri"/>
          <w:kern w:val="2"/>
          <w:sz w:val="24"/>
          <w:szCs w:val="24"/>
          <w14:ligatures w14:val="standardContextual"/>
        </w:rPr>
        <w:t>“</w:t>
      </w:r>
      <w:r>
        <w:rPr>
          <w:rFonts w:ascii="Calibri" w:eastAsia="Aptos" w:hAnsi="Calibri" w:cs="Calibri"/>
          <w:kern w:val="2"/>
          <w:sz w:val="24"/>
          <w:szCs w:val="24"/>
          <w14:ligatures w14:val="standardContextual"/>
        </w:rPr>
        <w:t>see</w:t>
      </w:r>
      <w:r w:rsidR="00A57FEA">
        <w:rPr>
          <w:rFonts w:ascii="Calibri" w:eastAsia="Aptos" w:hAnsi="Calibri" w:cs="Calibri"/>
          <w:kern w:val="2"/>
          <w:sz w:val="24"/>
          <w:szCs w:val="24"/>
          <w14:ligatures w14:val="standardContextual"/>
        </w:rPr>
        <w:t>”</w:t>
      </w:r>
      <w:r>
        <w:rPr>
          <w:rFonts w:ascii="Calibri" w:eastAsia="Aptos" w:hAnsi="Calibri" w:cs="Calibri"/>
          <w:kern w:val="2"/>
          <w:sz w:val="24"/>
          <w:szCs w:val="24"/>
          <w14:ligatures w14:val="standardContextual"/>
        </w:rPr>
        <w:t xml:space="preserve"> their student </w:t>
      </w:r>
      <w:r w:rsidR="00600F98">
        <w:rPr>
          <w:rFonts w:ascii="Calibri" w:eastAsia="Aptos" w:hAnsi="Calibri" w:cs="Calibri"/>
          <w:kern w:val="2"/>
          <w:sz w:val="24"/>
          <w:szCs w:val="24"/>
          <w14:ligatures w14:val="standardContextual"/>
        </w:rPr>
        <w:t xml:space="preserve">results in </w:t>
      </w:r>
      <w:r>
        <w:rPr>
          <w:rFonts w:ascii="Calibri" w:eastAsia="Aptos" w:hAnsi="Calibri" w:cs="Calibri"/>
          <w:kern w:val="2"/>
          <w:sz w:val="24"/>
          <w:szCs w:val="24"/>
          <w14:ligatures w14:val="standardContextual"/>
        </w:rPr>
        <w:t>the student feel</w:t>
      </w:r>
      <w:r w:rsidR="00600F98">
        <w:rPr>
          <w:rFonts w:ascii="Calibri" w:eastAsia="Aptos" w:hAnsi="Calibri" w:cs="Calibri"/>
          <w:kern w:val="2"/>
          <w:sz w:val="24"/>
          <w:szCs w:val="24"/>
          <w14:ligatures w14:val="standardContextual"/>
        </w:rPr>
        <w:t>ing</w:t>
      </w:r>
      <w:r>
        <w:rPr>
          <w:rFonts w:ascii="Calibri" w:eastAsia="Aptos" w:hAnsi="Calibri" w:cs="Calibri"/>
          <w:kern w:val="2"/>
          <w:sz w:val="24"/>
          <w:szCs w:val="24"/>
          <w14:ligatures w14:val="standardContextual"/>
        </w:rPr>
        <w:t xml:space="preserve"> unseen. </w:t>
      </w:r>
    </w:p>
    <w:p w14:paraId="14FCADFC" w14:textId="416C1C27" w:rsidR="002E2ABD" w:rsidRPr="00D30495" w:rsidRDefault="000412AA" w:rsidP="009F523D">
      <w:pPr>
        <w:spacing w:line="360" w:lineRule="auto"/>
        <w:rPr>
          <w:sz w:val="24"/>
          <w:szCs w:val="24"/>
        </w:rPr>
      </w:pPr>
      <w:r>
        <w:rPr>
          <w:rFonts w:ascii="Calibri" w:eastAsia="Aptos" w:hAnsi="Calibri" w:cs="Calibri"/>
          <w:kern w:val="2"/>
          <w:sz w:val="24"/>
          <w:szCs w:val="24"/>
          <w14:ligatures w14:val="standardContextual"/>
        </w:rPr>
        <w:lastRenderedPageBreak/>
        <w:t xml:space="preserve">There are some students </w:t>
      </w:r>
      <w:r w:rsidR="003274D8">
        <w:rPr>
          <w:rFonts w:ascii="Calibri" w:eastAsia="Aptos" w:hAnsi="Calibri" w:cs="Calibri"/>
          <w:kern w:val="2"/>
          <w:sz w:val="24"/>
          <w:szCs w:val="24"/>
          <w14:ligatures w14:val="standardContextual"/>
        </w:rPr>
        <w:t xml:space="preserve">whose particular needs </w:t>
      </w:r>
      <w:r w:rsidR="00250836">
        <w:rPr>
          <w:rFonts w:ascii="Calibri" w:eastAsia="Aptos" w:hAnsi="Calibri" w:cs="Calibri"/>
          <w:kern w:val="2"/>
          <w:sz w:val="24"/>
          <w:szCs w:val="24"/>
          <w14:ligatures w14:val="standardContextual"/>
        </w:rPr>
        <w:t xml:space="preserve">are </w:t>
      </w:r>
      <w:r w:rsidR="002E2ABD">
        <w:rPr>
          <w:rFonts w:ascii="Calibri" w:eastAsia="Aptos" w:hAnsi="Calibri" w:cs="Calibri"/>
          <w:kern w:val="2"/>
          <w:sz w:val="24"/>
          <w:szCs w:val="24"/>
          <w14:ligatures w14:val="standardContextual"/>
        </w:rPr>
        <w:t xml:space="preserve">unseen. </w:t>
      </w:r>
      <w:r w:rsidR="00D8372E">
        <w:rPr>
          <w:rFonts w:ascii="Calibri" w:eastAsia="Aptos" w:hAnsi="Calibri" w:cs="Calibri"/>
          <w:kern w:val="2"/>
          <w:sz w:val="24"/>
          <w:szCs w:val="24"/>
          <w14:ligatures w14:val="standardContextual"/>
        </w:rPr>
        <w:t>S</w:t>
      </w:r>
      <w:r w:rsidR="002E2ABD">
        <w:rPr>
          <w:rFonts w:ascii="Calibri" w:eastAsia="Aptos" w:hAnsi="Calibri" w:cs="Calibri"/>
          <w:kern w:val="2"/>
          <w:sz w:val="24"/>
          <w:szCs w:val="24"/>
          <w14:ligatures w14:val="standardContextual"/>
        </w:rPr>
        <w:t xml:space="preserve">ome </w:t>
      </w:r>
      <w:r w:rsidR="00461026">
        <w:rPr>
          <w:rFonts w:ascii="Calibri" w:eastAsia="Aptos" w:hAnsi="Calibri" w:cs="Calibri"/>
          <w:kern w:val="2"/>
          <w:sz w:val="24"/>
          <w:szCs w:val="24"/>
          <w14:ligatures w14:val="standardContextual"/>
        </w:rPr>
        <w:t>mature</w:t>
      </w:r>
      <w:r w:rsidR="00EC04AD">
        <w:rPr>
          <w:rFonts w:ascii="Calibri" w:eastAsia="Aptos" w:hAnsi="Calibri" w:cs="Calibri"/>
          <w:kern w:val="2"/>
          <w:sz w:val="24"/>
          <w:szCs w:val="24"/>
          <w14:ligatures w14:val="standardContextual"/>
        </w:rPr>
        <w:t xml:space="preserve"> </w:t>
      </w:r>
      <w:r w:rsidR="002E2ABD">
        <w:rPr>
          <w:rFonts w:ascii="Calibri" w:eastAsia="Aptos" w:hAnsi="Calibri" w:cs="Calibri"/>
          <w:kern w:val="2"/>
          <w:sz w:val="24"/>
          <w:szCs w:val="24"/>
          <w14:ligatures w14:val="standardContextual"/>
        </w:rPr>
        <w:t>adults returning to education feel</w:t>
      </w:r>
      <w:r w:rsidR="00D8372E">
        <w:rPr>
          <w:rFonts w:ascii="Calibri" w:eastAsia="Aptos" w:hAnsi="Calibri" w:cs="Calibri"/>
          <w:kern w:val="2"/>
          <w:sz w:val="24"/>
          <w:szCs w:val="24"/>
          <w14:ligatures w14:val="standardContextual"/>
        </w:rPr>
        <w:t xml:space="preserve"> disoriented and</w:t>
      </w:r>
      <w:r w:rsidR="002E2ABD">
        <w:rPr>
          <w:rFonts w:ascii="Calibri" w:eastAsia="Aptos" w:hAnsi="Calibri" w:cs="Calibri"/>
          <w:kern w:val="2"/>
          <w:sz w:val="24"/>
          <w:szCs w:val="24"/>
          <w14:ligatures w14:val="standardContextual"/>
        </w:rPr>
        <w:t xml:space="preserve"> like</w:t>
      </w:r>
      <w:r w:rsidR="002E2ABD" w:rsidRPr="0037263C">
        <w:rPr>
          <w:rFonts w:ascii="Calibri" w:eastAsia="Aptos" w:hAnsi="Calibri" w:cs="Calibri"/>
          <w:kern w:val="2"/>
          <w:sz w:val="24"/>
          <w:szCs w:val="24"/>
          <w14:ligatures w14:val="standardContextual"/>
        </w:rPr>
        <w:t xml:space="preserve"> </w:t>
      </w:r>
      <w:r w:rsidR="00A16DB9">
        <w:rPr>
          <w:rFonts w:ascii="Calibri" w:eastAsia="Aptos" w:hAnsi="Calibri" w:cs="Calibri"/>
          <w:kern w:val="2"/>
          <w:sz w:val="24"/>
          <w:szCs w:val="24"/>
          <w14:ligatures w14:val="standardContextual"/>
        </w:rPr>
        <w:t>“</w:t>
      </w:r>
      <w:r w:rsidR="002E2ABD" w:rsidRPr="0037263C">
        <w:rPr>
          <w:rFonts w:ascii="Calibri" w:eastAsia="Aptos" w:hAnsi="Calibri" w:cs="Calibri"/>
          <w:kern w:val="2"/>
          <w:sz w:val="24"/>
          <w:szCs w:val="24"/>
          <w14:ligatures w14:val="standardContextual"/>
        </w:rPr>
        <w:t>strangers in paradise</w:t>
      </w:r>
      <w:r w:rsidR="00A16DB9">
        <w:rPr>
          <w:rFonts w:ascii="Calibri" w:eastAsia="Aptos" w:hAnsi="Calibri" w:cs="Calibri"/>
          <w:kern w:val="2"/>
          <w:sz w:val="24"/>
          <w:szCs w:val="24"/>
          <w14:ligatures w14:val="standardContextual"/>
        </w:rPr>
        <w:t>”</w:t>
      </w:r>
      <w:r w:rsidR="002E2ABD" w:rsidRPr="0037263C">
        <w:rPr>
          <w:rFonts w:ascii="Calibri" w:eastAsia="Aptos" w:hAnsi="Calibri" w:cs="Calibri"/>
          <w:kern w:val="2"/>
          <w:sz w:val="24"/>
          <w:szCs w:val="24"/>
          <w14:ligatures w14:val="standardContextual"/>
        </w:rPr>
        <w:t xml:space="preserve"> (Ryan and Sackrey, 1995)</w:t>
      </w:r>
      <w:r w:rsidR="002E2ABD">
        <w:rPr>
          <w:rFonts w:ascii="Calibri" w:eastAsia="Aptos" w:hAnsi="Calibri" w:cs="Calibri"/>
          <w:kern w:val="2"/>
          <w:sz w:val="24"/>
          <w:szCs w:val="24"/>
          <w14:ligatures w14:val="standardContextual"/>
        </w:rPr>
        <w:t>. The term a</w:t>
      </w:r>
      <w:r w:rsidR="002E2ABD" w:rsidRPr="0037263C">
        <w:rPr>
          <w:rFonts w:ascii="Calibri" w:eastAsia="Aptos" w:hAnsi="Calibri" w:cs="Calibri"/>
          <w:kern w:val="2"/>
          <w:sz w:val="24"/>
          <w:szCs w:val="24"/>
          <w14:ligatures w14:val="standardContextual"/>
        </w:rPr>
        <w:t>dult returners (Slowey and Schuetze, 2012)</w:t>
      </w:r>
      <w:r w:rsidR="002E2ABD">
        <w:rPr>
          <w:rFonts w:ascii="Calibri" w:eastAsia="Aptos" w:hAnsi="Calibri" w:cs="Calibri"/>
          <w:kern w:val="2"/>
          <w:sz w:val="24"/>
          <w:szCs w:val="24"/>
          <w14:ligatures w14:val="standardContextual"/>
        </w:rPr>
        <w:t xml:space="preserve"> refers to students </w:t>
      </w:r>
      <w:r w:rsidR="002E2ABD" w:rsidRPr="0037263C">
        <w:rPr>
          <w:rFonts w:ascii="Calibri" w:eastAsia="Aptos" w:hAnsi="Calibri" w:cs="Calibri"/>
          <w:kern w:val="2"/>
          <w:sz w:val="24"/>
          <w:szCs w:val="24"/>
          <w14:ligatures w14:val="standardContextual"/>
        </w:rPr>
        <w:t>who have dropped out or deferred at an earlier stage in their lives (</w:t>
      </w:r>
      <w:r w:rsidR="00AB1ADC">
        <w:rPr>
          <w:rFonts w:ascii="Calibri" w:eastAsia="Aptos" w:hAnsi="Calibri" w:cs="Calibri"/>
          <w:kern w:val="2"/>
          <w:sz w:val="24"/>
          <w:szCs w:val="24"/>
          <w14:ligatures w14:val="standardContextual"/>
        </w:rPr>
        <w:t>ibid.</w:t>
      </w:r>
      <w:r w:rsidR="002E2ABD" w:rsidRPr="0037263C">
        <w:rPr>
          <w:rFonts w:ascii="Calibri" w:eastAsia="Aptos" w:hAnsi="Calibri" w:cs="Calibri"/>
          <w:kern w:val="2"/>
          <w:sz w:val="24"/>
          <w:szCs w:val="24"/>
          <w14:ligatures w14:val="standardContextual"/>
        </w:rPr>
        <w:t>)</w:t>
      </w:r>
      <w:r w:rsidR="002E2ABD">
        <w:rPr>
          <w:rFonts w:ascii="Calibri" w:eastAsia="Aptos" w:hAnsi="Calibri" w:cs="Calibri"/>
          <w:kern w:val="2"/>
          <w:sz w:val="24"/>
          <w:szCs w:val="24"/>
          <w14:ligatures w14:val="standardContextual"/>
        </w:rPr>
        <w:t xml:space="preserve"> and who later in their lives reengage with education.</w:t>
      </w:r>
      <w:r w:rsidR="002E2ABD" w:rsidRPr="0037263C">
        <w:rPr>
          <w:rFonts w:ascii="Calibri" w:eastAsia="Aptos" w:hAnsi="Calibri" w:cs="Calibri"/>
          <w:kern w:val="2"/>
          <w:sz w:val="24"/>
          <w:szCs w:val="24"/>
          <w14:ligatures w14:val="standardContextual"/>
        </w:rPr>
        <w:t xml:space="preserve"> </w:t>
      </w:r>
      <w:r w:rsidR="002E2ABD">
        <w:rPr>
          <w:rFonts w:ascii="Calibri" w:eastAsia="Aptos" w:hAnsi="Calibri" w:cs="Calibri"/>
          <w:kern w:val="2"/>
          <w:sz w:val="24"/>
          <w:szCs w:val="24"/>
          <w14:ligatures w14:val="standardContextual"/>
        </w:rPr>
        <w:t xml:space="preserve">The needs of </w:t>
      </w:r>
      <w:r w:rsidR="002E2ABD" w:rsidRPr="0037263C">
        <w:rPr>
          <w:rFonts w:ascii="Calibri" w:eastAsia="Aptos" w:hAnsi="Calibri" w:cs="Calibri"/>
          <w:kern w:val="2"/>
          <w:sz w:val="24"/>
          <w:szCs w:val="24"/>
          <w14:ligatures w14:val="standardContextual"/>
        </w:rPr>
        <w:t>adult learners differ from traditional age learners in realms such as the psychological, academic and life characteristics (</w:t>
      </w:r>
      <w:r w:rsidR="002E2ABD" w:rsidRPr="00C078E5">
        <w:rPr>
          <w:rFonts w:ascii="Calibri" w:eastAsia="Aptos" w:hAnsi="Calibri" w:cs="Calibri"/>
          <w:kern w:val="2"/>
          <w:sz w:val="24"/>
          <w:szCs w:val="24"/>
          <w14:ligatures w14:val="standardContextual"/>
        </w:rPr>
        <w:t>Brunton and Buckley</w:t>
      </w:r>
      <w:r w:rsidR="002E2ABD">
        <w:rPr>
          <w:rFonts w:ascii="Calibri" w:eastAsia="Aptos" w:hAnsi="Calibri" w:cs="Calibri"/>
          <w:kern w:val="2"/>
          <w:sz w:val="24"/>
          <w:szCs w:val="24"/>
          <w14:ligatures w14:val="standardContextual"/>
        </w:rPr>
        <w:t xml:space="preserve">, </w:t>
      </w:r>
      <w:r w:rsidR="002E2ABD" w:rsidRPr="00C078E5">
        <w:rPr>
          <w:rFonts w:ascii="Calibri" w:eastAsia="Aptos" w:hAnsi="Calibri" w:cs="Calibri"/>
          <w:kern w:val="2"/>
          <w:sz w:val="24"/>
          <w:szCs w:val="24"/>
          <w14:ligatures w14:val="standardContextual"/>
        </w:rPr>
        <w:t>2020</w:t>
      </w:r>
      <w:r w:rsidR="002E2ABD">
        <w:rPr>
          <w:rFonts w:ascii="Calibri" w:eastAsia="Aptos" w:hAnsi="Calibri" w:cs="Calibri"/>
          <w:kern w:val="2"/>
          <w:sz w:val="24"/>
          <w:szCs w:val="24"/>
          <w14:ligatures w14:val="standardContextual"/>
        </w:rPr>
        <w:t xml:space="preserve">; </w:t>
      </w:r>
      <w:r w:rsidR="002E2ABD" w:rsidRPr="00BE6B06">
        <w:rPr>
          <w:rFonts w:ascii="Calibri" w:eastAsia="Aptos" w:hAnsi="Calibri" w:cs="Calibri"/>
          <w:kern w:val="2"/>
          <w:sz w:val="24"/>
          <w:szCs w:val="24"/>
          <w14:ligatures w14:val="standardContextual"/>
        </w:rPr>
        <w:t xml:space="preserve">Mehmet, </w:t>
      </w:r>
      <w:r w:rsidR="00FB3A6E" w:rsidRPr="00FB3A6E">
        <w:rPr>
          <w:rFonts w:ascii="Calibri" w:eastAsia="Aptos" w:hAnsi="Calibri" w:cs="Calibri"/>
          <w:i/>
          <w:kern w:val="2"/>
          <w:sz w:val="24"/>
          <w:szCs w:val="24"/>
          <w14:ligatures w14:val="standardContextual"/>
        </w:rPr>
        <w:t>et al.</w:t>
      </w:r>
      <w:r w:rsidR="002E2ABD" w:rsidRPr="00BE6B06">
        <w:rPr>
          <w:rFonts w:ascii="Calibri" w:eastAsia="Aptos" w:hAnsi="Calibri" w:cs="Calibri"/>
          <w:kern w:val="2"/>
          <w:sz w:val="24"/>
          <w:szCs w:val="24"/>
          <w14:ligatures w14:val="standardContextual"/>
        </w:rPr>
        <w:t>, 2019</w:t>
      </w:r>
      <w:r w:rsidR="002E2ABD">
        <w:rPr>
          <w:rFonts w:ascii="Calibri" w:eastAsia="Aptos" w:hAnsi="Calibri" w:cs="Calibri"/>
          <w:kern w:val="2"/>
          <w:sz w:val="24"/>
          <w:szCs w:val="24"/>
          <w14:ligatures w14:val="standardContextual"/>
        </w:rPr>
        <w:t xml:space="preserve">; </w:t>
      </w:r>
      <w:r w:rsidR="002E2ABD" w:rsidRPr="0037263C">
        <w:rPr>
          <w:rFonts w:ascii="Calibri" w:eastAsia="Aptos" w:hAnsi="Calibri" w:cs="Calibri"/>
          <w:kern w:val="2"/>
          <w:sz w:val="24"/>
          <w:szCs w:val="24"/>
          <w14:ligatures w14:val="standardContextual"/>
        </w:rPr>
        <w:t>Richardson and Kind, 2019)</w:t>
      </w:r>
      <w:r w:rsidR="00520A32">
        <w:rPr>
          <w:rFonts w:ascii="Calibri" w:eastAsia="Aptos" w:hAnsi="Calibri" w:cs="Calibri"/>
          <w:kern w:val="2"/>
          <w:sz w:val="24"/>
          <w:szCs w:val="24"/>
          <w14:ligatures w14:val="standardContextual"/>
        </w:rPr>
        <w:t xml:space="preserve"> , in other words, the psychosocial</w:t>
      </w:r>
      <w:r w:rsidR="002E2ABD" w:rsidRPr="0037263C">
        <w:rPr>
          <w:rFonts w:ascii="Calibri" w:eastAsia="Aptos" w:hAnsi="Calibri" w:cs="Calibri"/>
          <w:kern w:val="2"/>
          <w:sz w:val="24"/>
          <w:szCs w:val="24"/>
          <w14:ligatures w14:val="standardContextual"/>
        </w:rPr>
        <w:t>.</w:t>
      </w:r>
      <w:r w:rsidR="002E2ABD">
        <w:rPr>
          <w:rFonts w:ascii="Calibri" w:eastAsia="Aptos" w:hAnsi="Calibri" w:cs="Calibri"/>
          <w:kern w:val="2"/>
          <w:sz w:val="24"/>
          <w:szCs w:val="24"/>
          <w14:ligatures w14:val="standardContextual"/>
        </w:rPr>
        <w:t xml:space="preserve"> </w:t>
      </w:r>
      <w:r w:rsidR="002E2ABD" w:rsidRPr="004B4FD9">
        <w:rPr>
          <w:rFonts w:ascii="Calibri" w:eastAsia="Aptos" w:hAnsi="Calibri" w:cs="Calibri"/>
          <w:kern w:val="2"/>
          <w:sz w:val="24"/>
          <w:szCs w:val="24"/>
          <w14:ligatures w14:val="standardContextual"/>
        </w:rPr>
        <w:t xml:space="preserve">A </w:t>
      </w:r>
      <w:r w:rsidR="002E2ABD">
        <w:rPr>
          <w:rFonts w:ascii="Calibri" w:eastAsia="Aptos" w:hAnsi="Calibri" w:cs="Calibri"/>
          <w:kern w:val="2"/>
          <w:sz w:val="24"/>
          <w:szCs w:val="24"/>
          <w14:ligatures w14:val="standardContextual"/>
        </w:rPr>
        <w:t xml:space="preserve">recent </w:t>
      </w:r>
      <w:r w:rsidR="002E2ABD" w:rsidRPr="004B4FD9">
        <w:rPr>
          <w:rFonts w:ascii="Calibri" w:eastAsia="Aptos" w:hAnsi="Calibri" w:cs="Calibri"/>
          <w:kern w:val="2"/>
          <w:sz w:val="24"/>
          <w:szCs w:val="24"/>
          <w14:ligatures w14:val="standardContextual"/>
        </w:rPr>
        <w:t xml:space="preserve">study by Lyu </w:t>
      </w:r>
      <w:r w:rsidR="00FB3A6E" w:rsidRPr="00FB3A6E">
        <w:rPr>
          <w:rFonts w:ascii="Calibri" w:eastAsia="Aptos" w:hAnsi="Calibri" w:cs="Calibri"/>
          <w:i/>
          <w:kern w:val="2"/>
          <w:sz w:val="24"/>
          <w:szCs w:val="24"/>
          <w14:ligatures w14:val="standardContextual"/>
        </w:rPr>
        <w:t>et al.</w:t>
      </w:r>
      <w:r w:rsidR="002E2ABD" w:rsidRPr="004B4FD9">
        <w:rPr>
          <w:rFonts w:ascii="Calibri" w:eastAsia="Aptos" w:hAnsi="Calibri" w:cs="Calibri"/>
          <w:kern w:val="2"/>
          <w:sz w:val="24"/>
          <w:szCs w:val="24"/>
          <w14:ligatures w14:val="standardContextual"/>
        </w:rPr>
        <w:t xml:space="preserve"> (2025) investigating support needs of mature university students </w:t>
      </w:r>
      <w:r w:rsidR="002E2ABD">
        <w:rPr>
          <w:rFonts w:ascii="Calibri" w:eastAsia="Aptos" w:hAnsi="Calibri" w:cs="Calibri"/>
          <w:kern w:val="2"/>
          <w:sz w:val="24"/>
          <w:szCs w:val="24"/>
          <w14:ligatures w14:val="standardContextual"/>
        </w:rPr>
        <w:t>found</w:t>
      </w:r>
      <w:r w:rsidR="002E2ABD" w:rsidRPr="004B4FD9">
        <w:rPr>
          <w:rFonts w:ascii="Calibri" w:eastAsia="Aptos" w:hAnsi="Calibri" w:cs="Calibri"/>
          <w:kern w:val="2"/>
          <w:sz w:val="24"/>
          <w:szCs w:val="24"/>
          <w14:ligatures w14:val="standardContextual"/>
        </w:rPr>
        <w:t xml:space="preserve"> support was available for financial issues, social integration, caring responsibilities and academic skills. </w:t>
      </w:r>
      <w:r w:rsidR="002E2ABD">
        <w:rPr>
          <w:rFonts w:ascii="Calibri" w:eastAsia="Aptos" w:hAnsi="Calibri" w:cs="Calibri"/>
          <w:kern w:val="2"/>
          <w:sz w:val="24"/>
          <w:szCs w:val="24"/>
          <w14:ligatures w14:val="standardContextual"/>
        </w:rPr>
        <w:t>Well-being s</w:t>
      </w:r>
      <w:r w:rsidR="002E2ABD" w:rsidRPr="004B4FD9">
        <w:rPr>
          <w:rFonts w:ascii="Calibri" w:eastAsia="Aptos" w:hAnsi="Calibri" w:cs="Calibri"/>
          <w:kern w:val="2"/>
          <w:sz w:val="24"/>
          <w:szCs w:val="24"/>
          <w14:ligatures w14:val="standardContextual"/>
        </w:rPr>
        <w:t>upport for part-time mature students was found to be deficient (</w:t>
      </w:r>
      <w:r w:rsidR="00D941F3">
        <w:rPr>
          <w:rFonts w:ascii="Calibri" w:eastAsia="Aptos" w:hAnsi="Calibri" w:cs="Calibri"/>
          <w:kern w:val="2"/>
          <w:sz w:val="24"/>
          <w:szCs w:val="24"/>
          <w14:ligatures w14:val="standardContextual"/>
        </w:rPr>
        <w:t>ibid</w:t>
      </w:r>
      <w:r w:rsidR="00AA141A">
        <w:rPr>
          <w:rFonts w:ascii="Calibri" w:eastAsia="Aptos" w:hAnsi="Calibri" w:cs="Calibri"/>
          <w:kern w:val="2"/>
          <w:sz w:val="24"/>
          <w:szCs w:val="24"/>
          <w14:ligatures w14:val="standardContextual"/>
        </w:rPr>
        <w:t>.</w:t>
      </w:r>
      <w:r w:rsidR="002E2ABD" w:rsidRPr="004B4FD9">
        <w:rPr>
          <w:rFonts w:ascii="Calibri" w:eastAsia="Aptos" w:hAnsi="Calibri" w:cs="Calibri"/>
          <w:kern w:val="2"/>
          <w:sz w:val="24"/>
          <w:szCs w:val="24"/>
          <w14:ligatures w14:val="standardContextual"/>
        </w:rPr>
        <w:t xml:space="preserve">), and it is worthy of note that neither vulnerability nor potential vulnerability were named explicitly as factors. </w:t>
      </w:r>
    </w:p>
    <w:p w14:paraId="3CAB48AE" w14:textId="6A6D1E7F" w:rsidR="002E2ABD" w:rsidRPr="007E4E73" w:rsidRDefault="002E2ABD" w:rsidP="009C0010">
      <w:pPr>
        <w:spacing w:line="360" w:lineRule="auto"/>
        <w:rPr>
          <w:sz w:val="24"/>
          <w:szCs w:val="24"/>
        </w:rPr>
      </w:pPr>
      <w:r>
        <w:rPr>
          <w:rFonts w:ascii="Calibri" w:eastAsia="Aptos" w:hAnsi="Calibri" w:cs="Calibri"/>
          <w:kern w:val="2"/>
          <w:sz w:val="24"/>
          <w:szCs w:val="24"/>
          <w14:ligatures w14:val="standardContextual"/>
        </w:rPr>
        <w:t>Vulnerability is particularly applicable to mature students and returning adults who during their student</w:t>
      </w:r>
      <w:r w:rsidRPr="007844A2">
        <w:rPr>
          <w:rFonts w:ascii="Calibri" w:eastAsia="Aptos" w:hAnsi="Calibri" w:cs="Calibri"/>
          <w:kern w:val="2"/>
          <w:sz w:val="24"/>
          <w:szCs w:val="24"/>
          <w14:ligatures w14:val="standardContextual"/>
        </w:rPr>
        <w:t xml:space="preserve"> identity formation process (Bell, </w:t>
      </w:r>
      <w:r w:rsidR="00FB3A6E" w:rsidRPr="00FB3A6E">
        <w:rPr>
          <w:rFonts w:ascii="Calibri" w:eastAsia="Aptos" w:hAnsi="Calibri" w:cs="Calibri"/>
          <w:i/>
          <w:kern w:val="2"/>
          <w:sz w:val="24"/>
          <w:szCs w:val="24"/>
          <w14:ligatures w14:val="standardContextual"/>
        </w:rPr>
        <w:t>et al.</w:t>
      </w:r>
      <w:r w:rsidRPr="007844A2">
        <w:rPr>
          <w:rFonts w:ascii="Calibri" w:eastAsia="Aptos" w:hAnsi="Calibri" w:cs="Calibri"/>
          <w:kern w:val="2"/>
          <w:sz w:val="24"/>
          <w:szCs w:val="24"/>
          <w14:ligatures w14:val="standardContextual"/>
        </w:rPr>
        <w:t>, 2007) and identity management work (Campbell-Clark, 2000)</w:t>
      </w:r>
      <w:r>
        <w:rPr>
          <w:rFonts w:ascii="Calibri" w:eastAsia="Aptos" w:hAnsi="Calibri" w:cs="Calibri"/>
          <w:kern w:val="2"/>
          <w:sz w:val="24"/>
          <w:szCs w:val="24"/>
          <w14:ligatures w14:val="standardContextual"/>
        </w:rPr>
        <w:t xml:space="preserve"> encounter difficulties</w:t>
      </w:r>
      <w:r w:rsidRPr="007844A2">
        <w:rPr>
          <w:rFonts w:ascii="Calibri" w:eastAsia="Aptos" w:hAnsi="Calibri" w:cs="Calibri"/>
          <w:kern w:val="2"/>
          <w:sz w:val="24"/>
          <w:szCs w:val="24"/>
          <w14:ligatures w14:val="standardContextual"/>
        </w:rPr>
        <w:t xml:space="preserve">. </w:t>
      </w:r>
      <w:r>
        <w:rPr>
          <w:rFonts w:ascii="Calibri" w:eastAsia="Aptos" w:hAnsi="Calibri" w:cs="Calibri"/>
          <w:kern w:val="2"/>
          <w:sz w:val="24"/>
          <w:szCs w:val="24"/>
          <w14:ligatures w14:val="standardContextual"/>
        </w:rPr>
        <w:t>For example, if there is a</w:t>
      </w:r>
      <w:r w:rsidRPr="007844A2">
        <w:rPr>
          <w:rFonts w:ascii="Calibri" w:eastAsia="Aptos" w:hAnsi="Calibri" w:cs="Calibri"/>
          <w:kern w:val="2"/>
          <w:sz w:val="24"/>
          <w:szCs w:val="24"/>
          <w14:ligatures w14:val="standardContextual"/>
        </w:rPr>
        <w:t xml:space="preserve">n unexpected disconnect between </w:t>
      </w:r>
      <w:r>
        <w:rPr>
          <w:rFonts w:ascii="Calibri" w:eastAsia="Aptos" w:hAnsi="Calibri" w:cs="Calibri"/>
          <w:kern w:val="2"/>
          <w:sz w:val="24"/>
          <w:szCs w:val="24"/>
          <w14:ligatures w14:val="standardContextual"/>
        </w:rPr>
        <w:t>a student’s</w:t>
      </w:r>
      <w:r w:rsidRPr="007844A2">
        <w:rPr>
          <w:rFonts w:ascii="Calibri" w:eastAsia="Aptos" w:hAnsi="Calibri" w:cs="Calibri"/>
          <w:kern w:val="2"/>
          <w:sz w:val="24"/>
          <w:szCs w:val="24"/>
          <w14:ligatures w14:val="standardContextual"/>
        </w:rPr>
        <w:t xml:space="preserve"> expectations and actual experiences, </w:t>
      </w:r>
      <w:r>
        <w:rPr>
          <w:rFonts w:ascii="Calibri" w:eastAsia="Aptos" w:hAnsi="Calibri" w:cs="Calibri"/>
          <w:kern w:val="2"/>
          <w:sz w:val="24"/>
          <w:szCs w:val="24"/>
          <w14:ligatures w14:val="standardContextual"/>
        </w:rPr>
        <w:t xml:space="preserve">student </w:t>
      </w:r>
      <w:r w:rsidRPr="007844A2">
        <w:rPr>
          <w:rFonts w:ascii="Calibri" w:eastAsia="Aptos" w:hAnsi="Calibri" w:cs="Calibri"/>
          <w:kern w:val="2"/>
          <w:sz w:val="24"/>
          <w:szCs w:val="24"/>
          <w14:ligatures w14:val="standardContextual"/>
        </w:rPr>
        <w:t xml:space="preserve">identity formation </w:t>
      </w:r>
      <w:r>
        <w:rPr>
          <w:rFonts w:ascii="Calibri" w:eastAsia="Aptos" w:hAnsi="Calibri" w:cs="Calibri"/>
          <w:kern w:val="2"/>
          <w:sz w:val="24"/>
          <w:szCs w:val="24"/>
          <w14:ligatures w14:val="standardContextual"/>
        </w:rPr>
        <w:t xml:space="preserve">becomes </w:t>
      </w:r>
      <w:r w:rsidRPr="007844A2">
        <w:rPr>
          <w:rFonts w:ascii="Calibri" w:eastAsia="Aptos" w:hAnsi="Calibri" w:cs="Calibri"/>
          <w:kern w:val="2"/>
          <w:sz w:val="24"/>
          <w:szCs w:val="24"/>
          <w14:ligatures w14:val="standardContextual"/>
        </w:rPr>
        <w:t xml:space="preserve">more intensified (McPhail </w:t>
      </w:r>
      <w:r w:rsidR="00FB3A6E" w:rsidRPr="00FB3A6E">
        <w:rPr>
          <w:rFonts w:ascii="Calibri" w:eastAsia="Aptos" w:hAnsi="Calibri" w:cs="Calibri"/>
          <w:i/>
          <w:kern w:val="2"/>
          <w:sz w:val="24"/>
          <w:szCs w:val="24"/>
          <w14:ligatures w14:val="standardContextual"/>
        </w:rPr>
        <w:t>et al.</w:t>
      </w:r>
      <w:r w:rsidRPr="007844A2">
        <w:rPr>
          <w:rFonts w:ascii="Calibri" w:eastAsia="Aptos" w:hAnsi="Calibri" w:cs="Calibri"/>
          <w:kern w:val="2"/>
          <w:sz w:val="24"/>
          <w:szCs w:val="24"/>
          <w14:ligatures w14:val="standardContextual"/>
        </w:rPr>
        <w:t>, 2009).</w:t>
      </w:r>
      <w:r>
        <w:rPr>
          <w:rFonts w:ascii="Calibri" w:eastAsia="Aptos" w:hAnsi="Calibri" w:cs="Calibri"/>
          <w:kern w:val="2"/>
          <w:sz w:val="24"/>
          <w:szCs w:val="24"/>
          <w14:ligatures w14:val="standardContextual"/>
        </w:rPr>
        <w:t xml:space="preserve"> I</w:t>
      </w:r>
      <w:r w:rsidRPr="007844A2">
        <w:rPr>
          <w:rFonts w:ascii="Calibri" w:eastAsia="Aptos" w:hAnsi="Calibri" w:cs="Calibri"/>
          <w:kern w:val="2"/>
          <w:sz w:val="24"/>
          <w:szCs w:val="24"/>
          <w14:ligatures w14:val="standardContextual"/>
        </w:rPr>
        <w:t>nstitutional and learning requirements are often not visible or clear (Brunton and Buckley, 2020)</w:t>
      </w:r>
      <w:r w:rsidR="00152C4E">
        <w:rPr>
          <w:rFonts w:ascii="Calibri" w:eastAsia="Aptos" w:hAnsi="Calibri" w:cs="Calibri"/>
          <w:kern w:val="2"/>
          <w:sz w:val="24"/>
          <w:szCs w:val="24"/>
          <w14:ligatures w14:val="standardContextual"/>
        </w:rPr>
        <w:t xml:space="preserve"> </w:t>
      </w:r>
      <w:r w:rsidRPr="007844A2">
        <w:rPr>
          <w:rFonts w:ascii="Calibri" w:eastAsia="Aptos" w:hAnsi="Calibri" w:cs="Calibri"/>
          <w:kern w:val="2"/>
          <w:sz w:val="24"/>
          <w:szCs w:val="24"/>
          <w14:ligatures w14:val="standardContextual"/>
        </w:rPr>
        <w:t>and if inconsistencies are thrown into the mix, learning experiences will be more difficult for the adult return</w:t>
      </w:r>
      <w:r>
        <w:rPr>
          <w:rFonts w:ascii="Calibri" w:eastAsia="Aptos" w:hAnsi="Calibri" w:cs="Calibri"/>
          <w:kern w:val="2"/>
          <w:sz w:val="24"/>
          <w:szCs w:val="24"/>
          <w14:ligatures w14:val="standardContextual"/>
        </w:rPr>
        <w:t>er</w:t>
      </w:r>
      <w:r w:rsidRPr="007844A2">
        <w:rPr>
          <w:rFonts w:ascii="Calibri" w:eastAsia="Aptos" w:hAnsi="Calibri" w:cs="Calibri"/>
          <w:kern w:val="2"/>
          <w:sz w:val="24"/>
          <w:szCs w:val="24"/>
          <w14:ligatures w14:val="standardContextual"/>
        </w:rPr>
        <w:t xml:space="preserve"> (McAlpine and Amundsen, 2011). </w:t>
      </w:r>
      <w:r>
        <w:rPr>
          <w:rFonts w:ascii="Calibri" w:eastAsia="Aptos" w:hAnsi="Calibri" w:cs="Calibri"/>
          <w:kern w:val="2"/>
          <w:sz w:val="24"/>
          <w:szCs w:val="24"/>
          <w14:ligatures w14:val="standardContextual"/>
        </w:rPr>
        <w:t xml:space="preserve">This renders them academically unprepared (Black, 2022) and at risk (Tett, 2004). The teacher as transitional object for adult returners may have to be creative in their adoption of a more nuanced approach to mature students to hold them whilst they navigate the paradise of higher education. </w:t>
      </w:r>
    </w:p>
    <w:p w14:paraId="12101487" w14:textId="578280E6" w:rsidR="002E2ABD" w:rsidRDefault="002E2ABD" w:rsidP="009C0010">
      <w:pPr>
        <w:spacing w:line="360" w:lineRule="auto"/>
        <w:rPr>
          <w:sz w:val="24"/>
          <w:szCs w:val="24"/>
        </w:rPr>
      </w:pPr>
      <w:r>
        <w:rPr>
          <w:rFonts w:ascii="Calibri" w:eastAsia="Aptos" w:hAnsi="Calibri" w:cs="Calibri"/>
          <w:kern w:val="2"/>
          <w:sz w:val="24"/>
          <w:szCs w:val="24"/>
          <w14:ligatures w14:val="standardContextual"/>
        </w:rPr>
        <w:t>The teacher as a strong</w:t>
      </w:r>
      <w:r w:rsidR="005B7712">
        <w:rPr>
          <w:rFonts w:ascii="Calibri" w:eastAsia="Aptos" w:hAnsi="Calibri" w:cs="Calibri"/>
          <w:kern w:val="2"/>
          <w:sz w:val="24"/>
          <w:szCs w:val="24"/>
          <w14:ligatures w14:val="standardContextual"/>
        </w:rPr>
        <w:t xml:space="preserve"> </w:t>
      </w:r>
      <w:r>
        <w:rPr>
          <w:rFonts w:ascii="Calibri" w:eastAsia="Aptos" w:hAnsi="Calibri" w:cs="Calibri"/>
          <w:kern w:val="2"/>
          <w:sz w:val="24"/>
          <w:szCs w:val="24"/>
          <w14:ligatures w14:val="standardContextual"/>
        </w:rPr>
        <w:t xml:space="preserve">environmental mother and transitional object not only </w:t>
      </w:r>
      <w:r w:rsidRPr="00422308">
        <w:rPr>
          <w:rFonts w:ascii="Calibri" w:eastAsia="Aptos" w:hAnsi="Calibri" w:cs="Calibri"/>
          <w:kern w:val="2"/>
          <w:sz w:val="24"/>
          <w:szCs w:val="24"/>
          <w14:ligatures w14:val="standardContextual"/>
        </w:rPr>
        <w:t>manag</w:t>
      </w:r>
      <w:r>
        <w:rPr>
          <w:rFonts w:ascii="Calibri" w:eastAsia="Aptos" w:hAnsi="Calibri" w:cs="Calibri"/>
          <w:kern w:val="2"/>
          <w:sz w:val="24"/>
          <w:szCs w:val="24"/>
          <w14:ligatures w14:val="standardContextual"/>
        </w:rPr>
        <w:t>es</w:t>
      </w:r>
      <w:r w:rsidRPr="00422308">
        <w:rPr>
          <w:rFonts w:ascii="Calibri" w:eastAsia="Aptos" w:hAnsi="Calibri" w:cs="Calibri"/>
          <w:kern w:val="2"/>
          <w:sz w:val="24"/>
          <w:szCs w:val="24"/>
          <w14:ligatures w14:val="standardContextual"/>
        </w:rPr>
        <w:t xml:space="preserve"> danger</w:t>
      </w:r>
      <w:r>
        <w:rPr>
          <w:rFonts w:ascii="Calibri" w:eastAsia="Aptos" w:hAnsi="Calibri" w:cs="Calibri"/>
          <w:kern w:val="2"/>
          <w:sz w:val="24"/>
          <w:szCs w:val="24"/>
          <w14:ligatures w14:val="standardContextual"/>
        </w:rPr>
        <w:t>s</w:t>
      </w:r>
      <w:r w:rsidRPr="00422308">
        <w:rPr>
          <w:rFonts w:ascii="Calibri" w:eastAsia="Aptos" w:hAnsi="Calibri" w:cs="Calibri"/>
          <w:kern w:val="2"/>
          <w:sz w:val="24"/>
          <w:szCs w:val="24"/>
          <w14:ligatures w14:val="standardContextual"/>
        </w:rPr>
        <w:t>, threats and risks that accompany learning</w:t>
      </w:r>
      <w:r>
        <w:rPr>
          <w:rFonts w:ascii="Calibri" w:eastAsia="Aptos" w:hAnsi="Calibri" w:cs="Calibri"/>
          <w:kern w:val="2"/>
          <w:sz w:val="24"/>
          <w:szCs w:val="24"/>
          <w14:ligatures w14:val="standardContextual"/>
        </w:rPr>
        <w:t xml:space="preserve"> but can be a source of reassurance. </w:t>
      </w:r>
      <w:r>
        <w:rPr>
          <w:sz w:val="24"/>
          <w:szCs w:val="24"/>
        </w:rPr>
        <w:t xml:space="preserve"> Reassurance is required particularly as we are living </w:t>
      </w:r>
      <w:r w:rsidRPr="003D4A7C">
        <w:rPr>
          <w:sz w:val="24"/>
          <w:szCs w:val="24"/>
        </w:rPr>
        <w:t xml:space="preserve">in times of </w:t>
      </w:r>
      <w:r>
        <w:rPr>
          <w:sz w:val="24"/>
          <w:szCs w:val="24"/>
        </w:rPr>
        <w:t>societal</w:t>
      </w:r>
      <w:r w:rsidRPr="003D4A7C">
        <w:rPr>
          <w:sz w:val="24"/>
          <w:szCs w:val="24"/>
        </w:rPr>
        <w:t xml:space="preserve"> change, a “collective emotional crisis” (Goleman, 1996, p.</w:t>
      </w:r>
      <w:r>
        <w:rPr>
          <w:sz w:val="24"/>
          <w:szCs w:val="24"/>
        </w:rPr>
        <w:t xml:space="preserve"> </w:t>
      </w:r>
      <w:r w:rsidRPr="003D4A7C">
        <w:rPr>
          <w:sz w:val="24"/>
          <w:szCs w:val="24"/>
        </w:rPr>
        <w:t>xi) characterised by economic, ecological, and technical chaos (Berman, 1981)</w:t>
      </w:r>
      <w:r>
        <w:rPr>
          <w:sz w:val="24"/>
          <w:szCs w:val="24"/>
        </w:rPr>
        <w:t>.</w:t>
      </w:r>
      <w:r w:rsidRPr="003D4A7C">
        <w:rPr>
          <w:sz w:val="24"/>
          <w:szCs w:val="24"/>
        </w:rPr>
        <w:t xml:space="preserve"> </w:t>
      </w:r>
      <w:r>
        <w:rPr>
          <w:sz w:val="24"/>
          <w:szCs w:val="24"/>
        </w:rPr>
        <w:t>C</w:t>
      </w:r>
      <w:r w:rsidRPr="003D4A7C">
        <w:rPr>
          <w:sz w:val="24"/>
          <w:szCs w:val="24"/>
        </w:rPr>
        <w:t>hanging family patterns and mental health problems exert an influence on behaviour and outcomes in schools (Gorard, 2010</w:t>
      </w:r>
      <w:r>
        <w:rPr>
          <w:sz w:val="24"/>
          <w:szCs w:val="24"/>
        </w:rPr>
        <w:t>; Pring, 2009</w:t>
      </w:r>
      <w:r w:rsidRPr="003D4A7C">
        <w:rPr>
          <w:sz w:val="24"/>
          <w:szCs w:val="24"/>
        </w:rPr>
        <w:t xml:space="preserve">). </w:t>
      </w:r>
      <w:r>
        <w:rPr>
          <w:sz w:val="24"/>
          <w:szCs w:val="24"/>
        </w:rPr>
        <w:t>Applied to any educational establishment, if</w:t>
      </w:r>
      <w:r w:rsidRPr="003D4A7C">
        <w:rPr>
          <w:sz w:val="24"/>
          <w:szCs w:val="24"/>
        </w:rPr>
        <w:t xml:space="preserve"> the</w:t>
      </w:r>
      <w:r>
        <w:rPr>
          <w:sz w:val="24"/>
          <w:szCs w:val="24"/>
        </w:rPr>
        <w:t>se factors mirror</w:t>
      </w:r>
      <w:r w:rsidRPr="003D4A7C">
        <w:rPr>
          <w:sz w:val="24"/>
          <w:szCs w:val="24"/>
        </w:rPr>
        <w:t xml:space="preserve"> local and national dynamics and problems, fresh remedies are needed to address the collective emotional crisis. </w:t>
      </w:r>
    </w:p>
    <w:p w14:paraId="0DF0464E" w14:textId="513BDF64" w:rsidR="002E2ABD" w:rsidRDefault="002E2ABD" w:rsidP="009C0010">
      <w:pPr>
        <w:spacing w:line="360" w:lineRule="auto"/>
        <w:rPr>
          <w:sz w:val="24"/>
          <w:szCs w:val="24"/>
        </w:rPr>
      </w:pPr>
      <w:r>
        <w:rPr>
          <w:sz w:val="24"/>
          <w:szCs w:val="24"/>
        </w:rPr>
        <w:lastRenderedPageBreak/>
        <w:t>E</w:t>
      </w:r>
      <w:r w:rsidRPr="003D4A7C">
        <w:rPr>
          <w:sz w:val="24"/>
          <w:szCs w:val="24"/>
        </w:rPr>
        <w:t>ducation cannot be expected to compensate for society’s problems (Bernstein, 1970; Bevan, 1981) but</w:t>
      </w:r>
      <w:r>
        <w:rPr>
          <w:sz w:val="24"/>
          <w:szCs w:val="24"/>
        </w:rPr>
        <w:t xml:space="preserve"> </w:t>
      </w:r>
      <w:r w:rsidRPr="003D4A7C">
        <w:rPr>
          <w:sz w:val="24"/>
          <w:szCs w:val="24"/>
        </w:rPr>
        <w:t xml:space="preserve">Phillips (2007) suggests that </w:t>
      </w:r>
      <w:r>
        <w:rPr>
          <w:sz w:val="24"/>
          <w:szCs w:val="24"/>
        </w:rPr>
        <w:t xml:space="preserve">Winnicottian theories </w:t>
      </w:r>
      <w:r w:rsidRPr="003D4A7C">
        <w:rPr>
          <w:sz w:val="24"/>
          <w:szCs w:val="24"/>
        </w:rPr>
        <w:t>could provide an antidote to “the chronic professionalisation, careerism, and acquisition quicksand”</w:t>
      </w:r>
      <w:r>
        <w:rPr>
          <w:sz w:val="24"/>
          <w:szCs w:val="24"/>
        </w:rPr>
        <w:t xml:space="preserve"> (p. xiii) </w:t>
      </w:r>
      <w:r w:rsidRPr="003D4A7C">
        <w:rPr>
          <w:sz w:val="24"/>
          <w:szCs w:val="24"/>
        </w:rPr>
        <w:t xml:space="preserve">permeating society, and </w:t>
      </w:r>
      <w:r>
        <w:rPr>
          <w:sz w:val="24"/>
          <w:szCs w:val="24"/>
        </w:rPr>
        <w:t>a new perspective amid these dynamics (</w:t>
      </w:r>
      <w:r w:rsidR="00AB1ADC">
        <w:rPr>
          <w:sz w:val="24"/>
          <w:szCs w:val="24"/>
        </w:rPr>
        <w:t>ibid.</w:t>
      </w:r>
      <w:r>
        <w:rPr>
          <w:sz w:val="24"/>
          <w:szCs w:val="24"/>
        </w:rPr>
        <w:t>)</w:t>
      </w:r>
      <w:r w:rsidRPr="003D4A7C">
        <w:rPr>
          <w:sz w:val="24"/>
          <w:szCs w:val="24"/>
        </w:rPr>
        <w:t>.</w:t>
      </w:r>
      <w:r>
        <w:rPr>
          <w:sz w:val="24"/>
          <w:szCs w:val="24"/>
        </w:rPr>
        <w:t xml:space="preserve"> For example, in the UK </w:t>
      </w:r>
      <w:r w:rsidRPr="009F3268">
        <w:rPr>
          <w:sz w:val="24"/>
          <w:szCs w:val="24"/>
        </w:rPr>
        <w:t>notions of the facilitative environmental provision have been applied to classrooms (Greenhalgh, 1994; Levy and Campbell, 2000; MacRury, 2007)</w:t>
      </w:r>
      <w:r>
        <w:rPr>
          <w:sz w:val="24"/>
          <w:szCs w:val="24"/>
        </w:rPr>
        <w:t xml:space="preserve">, </w:t>
      </w:r>
      <w:r w:rsidRPr="009F3268">
        <w:rPr>
          <w:sz w:val="24"/>
          <w:szCs w:val="24"/>
        </w:rPr>
        <w:t xml:space="preserve">organisations (Clarke, 2021; van Buskirk and McGrath, 1999) and mental health programs focusing on psychological development (Eisenstein-Naveh, 2003). </w:t>
      </w:r>
    </w:p>
    <w:p w14:paraId="55C5C7D8" w14:textId="21383D1E" w:rsidR="002E2ABD" w:rsidRPr="00473EE7" w:rsidRDefault="002E2ABD" w:rsidP="009C0010">
      <w:pPr>
        <w:spacing w:line="360" w:lineRule="auto"/>
        <w:rPr>
          <w:sz w:val="24"/>
          <w:szCs w:val="24"/>
        </w:rPr>
      </w:pPr>
      <w:r w:rsidRPr="006D5BA6">
        <w:rPr>
          <w:sz w:val="24"/>
          <w:szCs w:val="24"/>
        </w:rPr>
        <w:t>The teacher provides holding and forms the student</w:t>
      </w:r>
      <w:r w:rsidR="008510A2">
        <w:rPr>
          <w:sz w:val="24"/>
          <w:szCs w:val="24"/>
        </w:rPr>
        <w:t>’</w:t>
      </w:r>
      <w:r w:rsidRPr="006D5BA6">
        <w:rPr>
          <w:sz w:val="24"/>
          <w:szCs w:val="24"/>
        </w:rPr>
        <w:t>s object mother</w:t>
      </w:r>
      <w:r>
        <w:rPr>
          <w:sz w:val="24"/>
          <w:szCs w:val="24"/>
        </w:rPr>
        <w:t xml:space="preserve"> whilst the classroom and wider institutional provision form the environmental mother</w:t>
      </w:r>
      <w:r w:rsidRPr="006D5BA6">
        <w:rPr>
          <w:sz w:val="24"/>
          <w:szCs w:val="24"/>
        </w:rPr>
        <w:t xml:space="preserve">. </w:t>
      </w:r>
      <w:r w:rsidRPr="009F3268">
        <w:rPr>
          <w:sz w:val="24"/>
          <w:szCs w:val="24"/>
        </w:rPr>
        <w:t xml:space="preserve">Winnicott’s holding and the facilitating environment can be applied to schools and </w:t>
      </w:r>
      <w:r w:rsidR="00B075C2">
        <w:rPr>
          <w:sz w:val="24"/>
          <w:szCs w:val="24"/>
        </w:rPr>
        <w:t xml:space="preserve">higher educational establishments </w:t>
      </w:r>
      <w:r w:rsidRPr="009F3268">
        <w:rPr>
          <w:sz w:val="24"/>
          <w:szCs w:val="24"/>
        </w:rPr>
        <w:t xml:space="preserve">to ensure that the support provided matches the child’s/student’s changing needs for attachment and autonomy. </w:t>
      </w:r>
      <w:r>
        <w:rPr>
          <w:sz w:val="24"/>
          <w:szCs w:val="24"/>
        </w:rPr>
        <w:t xml:space="preserve">These concepts which forefront an ethic of care </w:t>
      </w:r>
      <w:r w:rsidR="00863B90">
        <w:rPr>
          <w:sz w:val="24"/>
          <w:szCs w:val="24"/>
        </w:rPr>
        <w:t xml:space="preserve">(Noddings, 2002) </w:t>
      </w:r>
      <w:r>
        <w:rPr>
          <w:sz w:val="24"/>
          <w:szCs w:val="24"/>
        </w:rPr>
        <w:t xml:space="preserve">and the relationship are particularly relevant amid a crisis in the contemporary political and cultural clime. </w:t>
      </w:r>
      <w:r w:rsidRPr="003D4A7C">
        <w:rPr>
          <w:sz w:val="24"/>
          <w:szCs w:val="24"/>
        </w:rPr>
        <w:t>I now take a closer look at</w:t>
      </w:r>
      <w:r>
        <w:rPr>
          <w:sz w:val="24"/>
          <w:szCs w:val="24"/>
        </w:rPr>
        <w:t xml:space="preserve"> the environmental mother of the university to see if it exercises </w:t>
      </w:r>
      <w:r w:rsidRPr="001D6B7E">
        <w:rPr>
          <w:sz w:val="24"/>
          <w:szCs w:val="24"/>
        </w:rPr>
        <w:t xml:space="preserve">a </w:t>
      </w:r>
      <w:r>
        <w:rPr>
          <w:sz w:val="24"/>
          <w:szCs w:val="24"/>
        </w:rPr>
        <w:t>capacity for concern</w:t>
      </w:r>
      <w:r w:rsidR="006C131F">
        <w:rPr>
          <w:sz w:val="24"/>
          <w:szCs w:val="24"/>
        </w:rPr>
        <w:t xml:space="preserve"> (Winnicott, 1963)</w:t>
      </w:r>
      <w:r>
        <w:rPr>
          <w:sz w:val="24"/>
          <w:szCs w:val="24"/>
        </w:rPr>
        <w:t xml:space="preserve"> in the form of holding </w:t>
      </w:r>
      <w:r w:rsidRPr="001D6B7E">
        <w:rPr>
          <w:sz w:val="24"/>
          <w:szCs w:val="24"/>
        </w:rPr>
        <w:t xml:space="preserve">the object mother, the university teacher. </w:t>
      </w:r>
    </w:p>
    <w:p w14:paraId="1F909B70" w14:textId="77777777" w:rsidR="002E2ABD" w:rsidRPr="00F058C5" w:rsidRDefault="002E2ABD" w:rsidP="00F058C5">
      <w:pPr>
        <w:rPr>
          <w:b/>
          <w:bCs/>
          <w:sz w:val="24"/>
          <w:szCs w:val="24"/>
        </w:rPr>
      </w:pPr>
      <w:r w:rsidRPr="00F058C5">
        <w:rPr>
          <w:b/>
          <w:bCs/>
          <w:sz w:val="24"/>
          <w:szCs w:val="24"/>
        </w:rPr>
        <w:t>The Role of Public Institutions in Well-being</w:t>
      </w:r>
    </w:p>
    <w:p w14:paraId="365555A5" w14:textId="6CCFEB89" w:rsidR="006E7EBD" w:rsidRDefault="002E2ABD" w:rsidP="00CC7097">
      <w:pPr>
        <w:spacing w:line="360" w:lineRule="auto"/>
        <w:rPr>
          <w:sz w:val="24"/>
          <w:szCs w:val="24"/>
        </w:rPr>
      </w:pPr>
      <w:bookmarkStart w:id="35" w:name="_Hlk136684205"/>
      <w:r>
        <w:rPr>
          <w:sz w:val="24"/>
          <w:szCs w:val="24"/>
        </w:rPr>
        <w:t>Public institutions</w:t>
      </w:r>
      <w:r w:rsidRPr="001D6B7E">
        <w:rPr>
          <w:sz w:val="24"/>
          <w:szCs w:val="24"/>
        </w:rPr>
        <w:t xml:space="preserve"> are systemic</w:t>
      </w:r>
      <w:r>
        <w:rPr>
          <w:sz w:val="24"/>
          <w:szCs w:val="24"/>
        </w:rPr>
        <w:t xml:space="preserve"> </w:t>
      </w:r>
      <w:r w:rsidRPr="001D6B7E">
        <w:rPr>
          <w:sz w:val="24"/>
          <w:szCs w:val="24"/>
        </w:rPr>
        <w:t>containers</w:t>
      </w:r>
      <w:r>
        <w:rPr>
          <w:sz w:val="24"/>
          <w:szCs w:val="24"/>
        </w:rPr>
        <w:t>,</w:t>
      </w:r>
      <w:r w:rsidRPr="001D6B7E">
        <w:rPr>
          <w:sz w:val="24"/>
          <w:szCs w:val="24"/>
        </w:rPr>
        <w:t xml:space="preserve"> </w:t>
      </w:r>
      <w:r w:rsidRPr="007C41A8">
        <w:rPr>
          <w:sz w:val="24"/>
          <w:szCs w:val="24"/>
        </w:rPr>
        <w:t xml:space="preserve">collective holding environments and transitional objects </w:t>
      </w:r>
      <w:r w:rsidRPr="001D6B7E">
        <w:rPr>
          <w:sz w:val="24"/>
          <w:szCs w:val="24"/>
        </w:rPr>
        <w:t>analogous to the maternal holding environment</w:t>
      </w:r>
      <w:r>
        <w:rPr>
          <w:sz w:val="24"/>
          <w:szCs w:val="24"/>
        </w:rPr>
        <w:t xml:space="preserve"> (Honig, 2017):</w:t>
      </w:r>
      <w:r w:rsidRPr="001D6B7E">
        <w:rPr>
          <w:sz w:val="24"/>
          <w:szCs w:val="24"/>
        </w:rPr>
        <w:t xml:space="preserve"> “They do not take care of our needs only, they also constitute us, complement us, limit us, thwart us, and interpolate us into democratic citizenship” (p.6).</w:t>
      </w:r>
      <w:r w:rsidRPr="00FB7B83">
        <w:rPr>
          <w:sz w:val="24"/>
          <w:szCs w:val="24"/>
        </w:rPr>
        <w:t xml:space="preserve"> </w:t>
      </w:r>
      <w:r>
        <w:rPr>
          <w:sz w:val="24"/>
          <w:szCs w:val="24"/>
        </w:rPr>
        <w:t xml:space="preserve">In educational institutes </w:t>
      </w:r>
      <w:r w:rsidRPr="00FB7B83">
        <w:rPr>
          <w:sz w:val="24"/>
          <w:szCs w:val="24"/>
        </w:rPr>
        <w:t>a</w:t>
      </w:r>
      <w:r>
        <w:rPr>
          <w:sz w:val="24"/>
          <w:szCs w:val="24"/>
        </w:rPr>
        <w:t xml:space="preserve"> </w:t>
      </w:r>
      <w:r w:rsidRPr="00FB7B83">
        <w:rPr>
          <w:sz w:val="24"/>
          <w:szCs w:val="24"/>
        </w:rPr>
        <w:t>strong organisational ethos recognises the importance of staff and student connectivity</w:t>
      </w:r>
      <w:r>
        <w:rPr>
          <w:sz w:val="24"/>
          <w:szCs w:val="24"/>
        </w:rPr>
        <w:t xml:space="preserve"> </w:t>
      </w:r>
      <w:r w:rsidRPr="00FB7B83">
        <w:rPr>
          <w:sz w:val="24"/>
          <w:szCs w:val="24"/>
        </w:rPr>
        <w:t xml:space="preserve">and creates conditions for every learner to be individually valued (Eraut, </w:t>
      </w:r>
      <w:r w:rsidR="00FB3A6E" w:rsidRPr="00FB3A6E">
        <w:rPr>
          <w:i/>
          <w:sz w:val="24"/>
          <w:szCs w:val="24"/>
        </w:rPr>
        <w:t>et al.</w:t>
      </w:r>
      <w:r w:rsidRPr="00FB7B83">
        <w:rPr>
          <w:sz w:val="24"/>
          <w:szCs w:val="24"/>
        </w:rPr>
        <w:t xml:space="preserve">, 1991). </w:t>
      </w:r>
      <w:r w:rsidRPr="001D6B7E">
        <w:rPr>
          <w:sz w:val="24"/>
          <w:szCs w:val="24"/>
        </w:rPr>
        <w:t>If the environmental mother</w:t>
      </w:r>
      <w:r>
        <w:rPr>
          <w:sz w:val="24"/>
          <w:szCs w:val="24"/>
        </w:rPr>
        <w:t xml:space="preserve"> of the university </w:t>
      </w:r>
      <w:r w:rsidRPr="001D6B7E">
        <w:rPr>
          <w:sz w:val="24"/>
          <w:szCs w:val="24"/>
        </w:rPr>
        <w:t>is</w:t>
      </w:r>
      <w:r>
        <w:rPr>
          <w:sz w:val="24"/>
          <w:szCs w:val="24"/>
        </w:rPr>
        <w:t xml:space="preserve"> healthy</w:t>
      </w:r>
      <w:r w:rsidRPr="001D6B7E">
        <w:rPr>
          <w:sz w:val="24"/>
          <w:szCs w:val="24"/>
        </w:rPr>
        <w:t>, the</w:t>
      </w:r>
      <w:r w:rsidRPr="001D6B7E">
        <w:rPr>
          <w:i/>
          <w:iCs/>
          <w:sz w:val="24"/>
          <w:szCs w:val="24"/>
        </w:rPr>
        <w:t xml:space="preserve"> </w:t>
      </w:r>
      <w:r w:rsidRPr="005506B1">
        <w:rPr>
          <w:sz w:val="24"/>
          <w:szCs w:val="24"/>
        </w:rPr>
        <w:t>object mother</w:t>
      </w:r>
      <w:r>
        <w:rPr>
          <w:sz w:val="24"/>
          <w:szCs w:val="24"/>
        </w:rPr>
        <w:t xml:space="preserve">, the teacher </w:t>
      </w:r>
      <w:r w:rsidRPr="001D6B7E">
        <w:rPr>
          <w:sz w:val="24"/>
          <w:szCs w:val="24"/>
        </w:rPr>
        <w:t xml:space="preserve">and the </w:t>
      </w:r>
      <w:r>
        <w:rPr>
          <w:sz w:val="24"/>
          <w:szCs w:val="24"/>
        </w:rPr>
        <w:t xml:space="preserve">recipient, their students, </w:t>
      </w:r>
      <w:r w:rsidRPr="001D6B7E">
        <w:rPr>
          <w:sz w:val="24"/>
          <w:szCs w:val="24"/>
        </w:rPr>
        <w:t>thrive.</w:t>
      </w:r>
      <w:r>
        <w:rPr>
          <w:sz w:val="24"/>
          <w:szCs w:val="24"/>
        </w:rPr>
        <w:t xml:space="preserve"> By comparison, if care afforded to the teacher is deficient, their ability to hold their own and their students’ democratic citizenship journeys is thwarted.</w:t>
      </w:r>
      <w:r w:rsidRPr="001D6B7E">
        <w:rPr>
          <w:sz w:val="24"/>
          <w:szCs w:val="24"/>
        </w:rPr>
        <w:t xml:space="preserve"> </w:t>
      </w:r>
    </w:p>
    <w:p w14:paraId="09A7D5BB" w14:textId="01717FC6" w:rsidR="002E2ABD" w:rsidRPr="008F5F75" w:rsidRDefault="002E2ABD" w:rsidP="00CC7097">
      <w:pPr>
        <w:spacing w:line="360" w:lineRule="auto"/>
        <w:rPr>
          <w:sz w:val="20"/>
          <w:szCs w:val="20"/>
        </w:rPr>
      </w:pPr>
      <w:r w:rsidRPr="001D6B7E">
        <w:rPr>
          <w:sz w:val="24"/>
          <w:szCs w:val="24"/>
        </w:rPr>
        <w:t>According to Berman (1981) value systems hold societies and the individuals in it, and when t</w:t>
      </w:r>
      <w:r>
        <w:rPr>
          <w:sz w:val="24"/>
          <w:szCs w:val="24"/>
        </w:rPr>
        <w:t xml:space="preserve">hey </w:t>
      </w:r>
      <w:r w:rsidRPr="001D6B7E">
        <w:rPr>
          <w:sz w:val="24"/>
          <w:szCs w:val="24"/>
        </w:rPr>
        <w:t xml:space="preserve">crumble, so do the individuals </w:t>
      </w:r>
      <w:r>
        <w:rPr>
          <w:sz w:val="24"/>
          <w:szCs w:val="24"/>
        </w:rPr>
        <w:t xml:space="preserve">residing within them. The residents, HE teachers, are </w:t>
      </w:r>
      <w:r>
        <w:rPr>
          <w:sz w:val="24"/>
          <w:szCs w:val="24"/>
        </w:rPr>
        <w:lastRenderedPageBreak/>
        <w:t xml:space="preserve">reported to be </w:t>
      </w:r>
      <w:r w:rsidRPr="001D6B7E">
        <w:rPr>
          <w:sz w:val="24"/>
          <w:szCs w:val="24"/>
        </w:rPr>
        <w:t>experienc</w:t>
      </w:r>
      <w:r>
        <w:rPr>
          <w:sz w:val="24"/>
          <w:szCs w:val="24"/>
        </w:rPr>
        <w:t>ing</w:t>
      </w:r>
      <w:r w:rsidRPr="001D6B7E">
        <w:rPr>
          <w:sz w:val="24"/>
          <w:szCs w:val="24"/>
        </w:rPr>
        <w:t xml:space="preserve"> higher levels of emotional burnout than other professionals</w:t>
      </w:r>
      <w:r>
        <w:rPr>
          <w:sz w:val="24"/>
          <w:szCs w:val="24"/>
        </w:rPr>
        <w:t xml:space="preserve"> (</w:t>
      </w:r>
      <w:r w:rsidRPr="00024567">
        <w:rPr>
          <w:sz w:val="24"/>
          <w:szCs w:val="24"/>
        </w:rPr>
        <w:t>Berry and Cassidy</w:t>
      </w:r>
      <w:r>
        <w:rPr>
          <w:sz w:val="24"/>
          <w:szCs w:val="24"/>
        </w:rPr>
        <w:t xml:space="preserve">, </w:t>
      </w:r>
      <w:r w:rsidRPr="00024567">
        <w:rPr>
          <w:sz w:val="24"/>
          <w:szCs w:val="24"/>
        </w:rPr>
        <w:t>2013)</w:t>
      </w:r>
      <w:r>
        <w:rPr>
          <w:sz w:val="24"/>
          <w:szCs w:val="24"/>
        </w:rPr>
        <w:t xml:space="preserve"> and </w:t>
      </w:r>
      <w:r w:rsidR="00594A18">
        <w:rPr>
          <w:sz w:val="24"/>
          <w:szCs w:val="24"/>
        </w:rPr>
        <w:t xml:space="preserve">although </w:t>
      </w:r>
      <w:r w:rsidRPr="001D6B7E">
        <w:rPr>
          <w:sz w:val="24"/>
          <w:szCs w:val="24"/>
        </w:rPr>
        <w:t xml:space="preserve">somewhat implausible that </w:t>
      </w:r>
      <w:r>
        <w:rPr>
          <w:sz w:val="24"/>
          <w:szCs w:val="24"/>
        </w:rPr>
        <w:t>this is the case</w:t>
      </w:r>
      <w:r w:rsidRPr="001D6B7E">
        <w:rPr>
          <w:sz w:val="24"/>
          <w:szCs w:val="24"/>
        </w:rPr>
        <w:t xml:space="preserve">, scholars such as Nixon </w:t>
      </w:r>
      <w:r w:rsidR="00FB3A6E" w:rsidRPr="00FB3A6E">
        <w:rPr>
          <w:i/>
          <w:sz w:val="24"/>
          <w:szCs w:val="24"/>
        </w:rPr>
        <w:t>et al.</w:t>
      </w:r>
      <w:r w:rsidRPr="001D6B7E">
        <w:rPr>
          <w:sz w:val="24"/>
          <w:szCs w:val="24"/>
        </w:rPr>
        <w:t xml:space="preserve"> (2018)</w:t>
      </w:r>
      <w:r>
        <w:rPr>
          <w:sz w:val="24"/>
          <w:szCs w:val="24"/>
        </w:rPr>
        <w:t xml:space="preserve">, </w:t>
      </w:r>
      <w:r w:rsidRPr="001D6B7E">
        <w:rPr>
          <w:sz w:val="24"/>
          <w:szCs w:val="24"/>
        </w:rPr>
        <w:t xml:space="preserve">Payne (2022) </w:t>
      </w:r>
      <w:r>
        <w:rPr>
          <w:sz w:val="24"/>
          <w:szCs w:val="24"/>
        </w:rPr>
        <w:t>and Whyte (2024</w:t>
      </w:r>
      <w:r w:rsidR="00391AFA">
        <w:rPr>
          <w:sz w:val="24"/>
          <w:szCs w:val="24"/>
        </w:rPr>
        <w:t>)</w:t>
      </w:r>
      <w:r>
        <w:rPr>
          <w:sz w:val="24"/>
          <w:szCs w:val="24"/>
        </w:rPr>
        <w:t xml:space="preserve"> </w:t>
      </w:r>
      <w:r w:rsidRPr="001D6B7E">
        <w:rPr>
          <w:sz w:val="24"/>
          <w:szCs w:val="24"/>
        </w:rPr>
        <w:t xml:space="preserve">would argue otherwise. </w:t>
      </w:r>
      <w:bookmarkEnd w:id="35"/>
      <w:r>
        <w:rPr>
          <w:sz w:val="24"/>
          <w:szCs w:val="24"/>
        </w:rPr>
        <w:t>Institut</w:t>
      </w:r>
      <w:r w:rsidR="00035901">
        <w:rPr>
          <w:sz w:val="24"/>
          <w:szCs w:val="24"/>
        </w:rPr>
        <w:t>ions</w:t>
      </w:r>
      <w:r>
        <w:rPr>
          <w:sz w:val="24"/>
          <w:szCs w:val="24"/>
        </w:rPr>
        <w:t xml:space="preserve"> can play a part in ensuring their resident</w:t>
      </w:r>
      <w:r w:rsidR="00116C85">
        <w:rPr>
          <w:sz w:val="24"/>
          <w:szCs w:val="24"/>
        </w:rPr>
        <w:t>-</w:t>
      </w:r>
      <w:r>
        <w:rPr>
          <w:sz w:val="24"/>
          <w:szCs w:val="24"/>
        </w:rPr>
        <w:t>teachers do not crumble.</w:t>
      </w:r>
    </w:p>
    <w:p w14:paraId="06BF29B3" w14:textId="2BCBBD19" w:rsidR="002E2ABD" w:rsidRDefault="002E2ABD" w:rsidP="00CC7097">
      <w:pPr>
        <w:spacing w:line="360" w:lineRule="auto"/>
        <w:rPr>
          <w:sz w:val="24"/>
          <w:szCs w:val="24"/>
        </w:rPr>
      </w:pPr>
      <w:r w:rsidRPr="001D6B7E">
        <w:rPr>
          <w:sz w:val="24"/>
          <w:szCs w:val="24"/>
        </w:rPr>
        <w:t xml:space="preserve">Winnicott advocates for the positive </w:t>
      </w:r>
      <w:r>
        <w:rPr>
          <w:sz w:val="24"/>
          <w:szCs w:val="24"/>
        </w:rPr>
        <w:t xml:space="preserve">pastoral </w:t>
      </w:r>
      <w:r w:rsidRPr="001D6B7E">
        <w:rPr>
          <w:sz w:val="24"/>
          <w:szCs w:val="24"/>
        </w:rPr>
        <w:t>role played by institutions</w:t>
      </w:r>
      <w:r>
        <w:rPr>
          <w:sz w:val="24"/>
          <w:szCs w:val="24"/>
        </w:rPr>
        <w:t>. H</w:t>
      </w:r>
      <w:r w:rsidRPr="001D6B7E">
        <w:rPr>
          <w:sz w:val="24"/>
          <w:szCs w:val="24"/>
        </w:rPr>
        <w:t xml:space="preserve">is ideas find purchase in the work of </w:t>
      </w:r>
      <w:r>
        <w:rPr>
          <w:sz w:val="24"/>
          <w:szCs w:val="24"/>
        </w:rPr>
        <w:t xml:space="preserve">researchers Margaret and Michael </w:t>
      </w:r>
      <w:r w:rsidRPr="001D6B7E">
        <w:rPr>
          <w:sz w:val="24"/>
          <w:szCs w:val="24"/>
        </w:rPr>
        <w:t>Rust</w:t>
      </w:r>
      <w:r>
        <w:rPr>
          <w:sz w:val="24"/>
          <w:szCs w:val="24"/>
        </w:rPr>
        <w:t>i</w:t>
      </w:r>
      <w:r w:rsidRPr="001D6B7E">
        <w:rPr>
          <w:sz w:val="24"/>
          <w:szCs w:val="24"/>
        </w:rPr>
        <w:t>n (1984)</w:t>
      </w:r>
      <w:r>
        <w:rPr>
          <w:sz w:val="24"/>
          <w:szCs w:val="24"/>
        </w:rPr>
        <w:t xml:space="preserve"> who conducted a study focussing on </w:t>
      </w:r>
      <w:r w:rsidRPr="001D6B7E">
        <w:rPr>
          <w:sz w:val="24"/>
          <w:szCs w:val="24"/>
        </w:rPr>
        <w:t>institution</w:t>
      </w:r>
      <w:r>
        <w:rPr>
          <w:sz w:val="24"/>
          <w:szCs w:val="24"/>
        </w:rPr>
        <w:t>al</w:t>
      </w:r>
      <w:r w:rsidRPr="001D6B7E">
        <w:rPr>
          <w:sz w:val="24"/>
          <w:szCs w:val="24"/>
        </w:rPr>
        <w:t xml:space="preserve"> </w:t>
      </w:r>
      <w:r>
        <w:rPr>
          <w:sz w:val="24"/>
          <w:szCs w:val="24"/>
        </w:rPr>
        <w:t xml:space="preserve">provision of conditions that foster an </w:t>
      </w:r>
      <w:r w:rsidRPr="001D6B7E">
        <w:rPr>
          <w:sz w:val="24"/>
          <w:szCs w:val="24"/>
        </w:rPr>
        <w:t>“altruistic capacity</w:t>
      </w:r>
      <w:r>
        <w:rPr>
          <w:sz w:val="24"/>
          <w:szCs w:val="24"/>
        </w:rPr>
        <w:t>” and “</w:t>
      </w:r>
      <w:r w:rsidRPr="001D6B7E">
        <w:rPr>
          <w:sz w:val="24"/>
          <w:szCs w:val="24"/>
        </w:rPr>
        <w:t>socialist ideas of humanity” (</w:t>
      </w:r>
      <w:r w:rsidR="00AB1ADC">
        <w:rPr>
          <w:sz w:val="24"/>
          <w:szCs w:val="24"/>
        </w:rPr>
        <w:t>ibid.</w:t>
      </w:r>
      <w:r w:rsidR="00F04C1B">
        <w:rPr>
          <w:sz w:val="24"/>
          <w:szCs w:val="24"/>
        </w:rPr>
        <w:t>, p.210</w:t>
      </w:r>
      <w:r w:rsidRPr="001D6B7E">
        <w:rPr>
          <w:sz w:val="24"/>
          <w:szCs w:val="24"/>
        </w:rPr>
        <w:t>).  Referring to the institution as primary caregiver, they recognise</w:t>
      </w:r>
      <w:r>
        <w:rPr>
          <w:sz w:val="24"/>
          <w:szCs w:val="24"/>
        </w:rPr>
        <w:t>d</w:t>
      </w:r>
      <w:r w:rsidRPr="001D6B7E">
        <w:rPr>
          <w:sz w:val="24"/>
          <w:szCs w:val="24"/>
        </w:rPr>
        <w:t xml:space="preserve"> the need for security, emotional space and the importance of caregivers being cared for</w:t>
      </w:r>
      <w:r>
        <w:rPr>
          <w:sz w:val="24"/>
          <w:szCs w:val="24"/>
        </w:rPr>
        <w:t xml:space="preserve"> if institutions are </w:t>
      </w:r>
      <w:r w:rsidRPr="001D6B7E">
        <w:rPr>
          <w:sz w:val="24"/>
          <w:szCs w:val="24"/>
        </w:rPr>
        <w:t>to “grow beyond a self-centred and narcissistic attitude to the human environment” (</w:t>
      </w:r>
      <w:r w:rsidR="00AB1ADC">
        <w:rPr>
          <w:sz w:val="24"/>
          <w:szCs w:val="24"/>
        </w:rPr>
        <w:t>ibid.</w:t>
      </w:r>
      <w:r w:rsidRPr="001D6B7E">
        <w:rPr>
          <w:sz w:val="24"/>
          <w:szCs w:val="24"/>
        </w:rPr>
        <w:t xml:space="preserve">). </w:t>
      </w:r>
      <w:r>
        <w:rPr>
          <w:sz w:val="24"/>
          <w:szCs w:val="24"/>
        </w:rPr>
        <w:t xml:space="preserve">An organisation with a strong altruistic capacity is inclusive of </w:t>
      </w:r>
      <w:r w:rsidRPr="001D6B7E">
        <w:rPr>
          <w:sz w:val="24"/>
          <w:szCs w:val="24"/>
        </w:rPr>
        <w:t xml:space="preserve">the feelings and experiences of </w:t>
      </w:r>
      <w:r>
        <w:rPr>
          <w:sz w:val="24"/>
          <w:szCs w:val="24"/>
        </w:rPr>
        <w:t xml:space="preserve">its employees, its affective labour force, and </w:t>
      </w:r>
      <w:r w:rsidR="002647E8">
        <w:rPr>
          <w:sz w:val="24"/>
          <w:szCs w:val="24"/>
        </w:rPr>
        <w:t xml:space="preserve">it </w:t>
      </w:r>
      <w:r>
        <w:rPr>
          <w:sz w:val="24"/>
          <w:szCs w:val="24"/>
        </w:rPr>
        <w:t>embodies values of human care (</w:t>
      </w:r>
      <w:r w:rsidR="00AB1ADC">
        <w:rPr>
          <w:sz w:val="24"/>
          <w:szCs w:val="24"/>
        </w:rPr>
        <w:t>ibid.</w:t>
      </w:r>
      <w:r>
        <w:rPr>
          <w:sz w:val="24"/>
          <w:szCs w:val="24"/>
        </w:rPr>
        <w:t xml:space="preserve">). </w:t>
      </w:r>
      <w:r w:rsidRPr="00214FDA">
        <w:rPr>
          <w:sz w:val="24"/>
          <w:szCs w:val="24"/>
        </w:rPr>
        <w:t xml:space="preserve">I am persuaded by these notions of an inclusive organisational ethos as they help the service providers and service users feel of worth, increase the possibility of relationality, strengthen resilience and value affective labour. </w:t>
      </w:r>
      <w:r>
        <w:rPr>
          <w:sz w:val="24"/>
          <w:szCs w:val="24"/>
        </w:rPr>
        <w:t>Such an ethos advocates for and embodies the importance of holding</w:t>
      </w:r>
      <w:r w:rsidR="004A4F0F">
        <w:rPr>
          <w:sz w:val="24"/>
          <w:szCs w:val="24"/>
        </w:rPr>
        <w:t xml:space="preserve"> (Winnicott, 1965)</w:t>
      </w:r>
      <w:r>
        <w:rPr>
          <w:sz w:val="24"/>
          <w:szCs w:val="24"/>
        </w:rPr>
        <w:t>.</w:t>
      </w:r>
    </w:p>
    <w:p w14:paraId="020CA221" w14:textId="77777777" w:rsidR="003F7F5D" w:rsidRDefault="002E2ABD" w:rsidP="00CC7097">
      <w:pPr>
        <w:spacing w:line="360" w:lineRule="auto"/>
        <w:rPr>
          <w:sz w:val="24"/>
          <w:szCs w:val="24"/>
        </w:rPr>
      </w:pPr>
      <w:r>
        <w:rPr>
          <w:sz w:val="24"/>
          <w:szCs w:val="24"/>
        </w:rPr>
        <w:t xml:space="preserve">When the organisation has a weak altruistic capacity, there are consequences to the wider </w:t>
      </w:r>
      <w:r w:rsidRPr="00F47242">
        <w:rPr>
          <w:i/>
          <w:iCs/>
          <w:sz w:val="24"/>
          <w:szCs w:val="24"/>
        </w:rPr>
        <w:t>communitas</w:t>
      </w:r>
      <w:r>
        <w:rPr>
          <w:sz w:val="24"/>
          <w:szCs w:val="24"/>
        </w:rPr>
        <w:t xml:space="preserve">. </w:t>
      </w:r>
      <w:r w:rsidRPr="00214FDA">
        <w:rPr>
          <w:sz w:val="24"/>
          <w:szCs w:val="24"/>
        </w:rPr>
        <w:t>Organisational settings</w:t>
      </w:r>
      <w:r>
        <w:rPr>
          <w:sz w:val="24"/>
          <w:szCs w:val="24"/>
        </w:rPr>
        <w:t xml:space="preserve">, </w:t>
      </w:r>
      <w:r w:rsidRPr="00214FDA">
        <w:rPr>
          <w:sz w:val="24"/>
          <w:szCs w:val="24"/>
        </w:rPr>
        <w:t>performance and productivity are tied to the performance of its employees </w:t>
      </w:r>
      <w:hyperlink r:id="rId32" w:anchor="ref068" w:history="1">
        <w:r w:rsidRPr="00307266">
          <w:rPr>
            <w:rStyle w:val="Hyperlink"/>
            <w:color w:val="auto"/>
            <w:sz w:val="24"/>
            <w:szCs w:val="24"/>
            <w:u w:val="none"/>
          </w:rPr>
          <w:t>(Shin and Konrad, 2017</w:t>
        </w:r>
      </w:hyperlink>
      <w:r w:rsidRPr="00307266">
        <w:rPr>
          <w:sz w:val="24"/>
          <w:szCs w:val="24"/>
        </w:rPr>
        <w:t xml:space="preserve">) </w:t>
      </w:r>
      <w:r w:rsidRPr="00214FDA">
        <w:rPr>
          <w:sz w:val="24"/>
          <w:szCs w:val="24"/>
        </w:rPr>
        <w:t xml:space="preserve">and erosion of support systems render the teacher feeling powerless (Fleming, 2021), and lacking resilience. </w:t>
      </w:r>
      <w:r>
        <w:rPr>
          <w:sz w:val="24"/>
          <w:szCs w:val="24"/>
        </w:rPr>
        <w:t xml:space="preserve">Although </w:t>
      </w:r>
      <w:r w:rsidRPr="00214FDA">
        <w:rPr>
          <w:sz w:val="24"/>
          <w:szCs w:val="24"/>
        </w:rPr>
        <w:t>Binnie</w:t>
      </w:r>
      <w:r>
        <w:rPr>
          <w:sz w:val="24"/>
          <w:szCs w:val="24"/>
        </w:rPr>
        <w:t xml:space="preserve"> (2016) </w:t>
      </w:r>
      <w:bookmarkStart w:id="36" w:name="_Hlk214193403"/>
      <w:r>
        <w:rPr>
          <w:sz w:val="24"/>
          <w:szCs w:val="24"/>
        </w:rPr>
        <w:t xml:space="preserve">and </w:t>
      </w:r>
      <w:r w:rsidRPr="00214FDA">
        <w:rPr>
          <w:sz w:val="24"/>
          <w:szCs w:val="24"/>
        </w:rPr>
        <w:t xml:space="preserve">Stevenson and Petrescu (2016) </w:t>
      </w:r>
      <w:bookmarkEnd w:id="36"/>
      <w:r w:rsidRPr="00214FDA">
        <w:rPr>
          <w:sz w:val="24"/>
          <w:szCs w:val="24"/>
        </w:rPr>
        <w:t>call attention to the internal deficit discourse that permeates the term resilience</w:t>
      </w:r>
      <w:r>
        <w:rPr>
          <w:sz w:val="24"/>
          <w:szCs w:val="24"/>
        </w:rPr>
        <w:t>, i</w:t>
      </w:r>
      <w:r w:rsidRPr="00A03921">
        <w:rPr>
          <w:sz w:val="24"/>
          <w:szCs w:val="24"/>
        </w:rPr>
        <w:t>f organisational holding is deficient, the culture of the organisation mirrors this deficiency.</w:t>
      </w:r>
      <w:r>
        <w:rPr>
          <w:sz w:val="24"/>
          <w:szCs w:val="24"/>
        </w:rPr>
        <w:t xml:space="preserve"> </w:t>
      </w:r>
    </w:p>
    <w:p w14:paraId="6EAF656E" w14:textId="6085A4B5" w:rsidR="002E2ABD" w:rsidRDefault="002E2ABD" w:rsidP="00CC7097">
      <w:pPr>
        <w:spacing w:line="360" w:lineRule="auto"/>
        <w:rPr>
          <w:sz w:val="24"/>
          <w:szCs w:val="24"/>
        </w:rPr>
      </w:pPr>
      <w:r>
        <w:rPr>
          <w:sz w:val="24"/>
          <w:szCs w:val="24"/>
        </w:rPr>
        <w:t xml:space="preserve">In teaching </w:t>
      </w:r>
      <w:r w:rsidRPr="00A03921">
        <w:rPr>
          <w:sz w:val="24"/>
          <w:szCs w:val="24"/>
        </w:rPr>
        <w:t xml:space="preserve">the dynamics of an organisation </w:t>
      </w:r>
      <w:r>
        <w:rPr>
          <w:sz w:val="24"/>
          <w:szCs w:val="24"/>
        </w:rPr>
        <w:t xml:space="preserve">form </w:t>
      </w:r>
      <w:r w:rsidRPr="00A03921">
        <w:rPr>
          <w:sz w:val="24"/>
          <w:szCs w:val="24"/>
        </w:rPr>
        <w:t xml:space="preserve">a “ghost world” (Bleger, 1990, p.420). By ghost world I read </w:t>
      </w:r>
      <w:r>
        <w:rPr>
          <w:sz w:val="24"/>
          <w:szCs w:val="24"/>
        </w:rPr>
        <w:t xml:space="preserve">explicit </w:t>
      </w:r>
      <w:r w:rsidRPr="00A03921">
        <w:rPr>
          <w:sz w:val="24"/>
          <w:szCs w:val="24"/>
        </w:rPr>
        <w:t xml:space="preserve">operational practices and </w:t>
      </w:r>
      <w:r>
        <w:rPr>
          <w:sz w:val="24"/>
          <w:szCs w:val="24"/>
        </w:rPr>
        <w:t xml:space="preserve">implicit </w:t>
      </w:r>
      <w:r w:rsidRPr="00A03921">
        <w:rPr>
          <w:sz w:val="24"/>
          <w:szCs w:val="24"/>
        </w:rPr>
        <w:t xml:space="preserve">professional attitudes that </w:t>
      </w:r>
      <w:r w:rsidR="00AB2781">
        <w:rPr>
          <w:sz w:val="24"/>
          <w:szCs w:val="24"/>
        </w:rPr>
        <w:t xml:space="preserve">have an </w:t>
      </w:r>
      <w:r w:rsidRPr="00A03921">
        <w:rPr>
          <w:sz w:val="24"/>
          <w:szCs w:val="24"/>
        </w:rPr>
        <w:t xml:space="preserve">impact </w:t>
      </w:r>
      <w:r w:rsidR="00AB2781">
        <w:rPr>
          <w:sz w:val="24"/>
          <w:szCs w:val="24"/>
        </w:rPr>
        <w:t xml:space="preserve">on </w:t>
      </w:r>
      <w:r w:rsidRPr="00A03921">
        <w:rPr>
          <w:sz w:val="24"/>
          <w:szCs w:val="24"/>
        </w:rPr>
        <w:t xml:space="preserve">teachers </w:t>
      </w:r>
      <w:r>
        <w:rPr>
          <w:sz w:val="24"/>
          <w:szCs w:val="24"/>
        </w:rPr>
        <w:t xml:space="preserve">and </w:t>
      </w:r>
      <w:r w:rsidRPr="00A03921">
        <w:rPr>
          <w:sz w:val="24"/>
          <w:szCs w:val="24"/>
        </w:rPr>
        <w:t>learner</w:t>
      </w:r>
      <w:r>
        <w:rPr>
          <w:sz w:val="24"/>
          <w:szCs w:val="24"/>
        </w:rPr>
        <w:t>s</w:t>
      </w:r>
      <w:r w:rsidRPr="00A03921">
        <w:rPr>
          <w:sz w:val="24"/>
          <w:szCs w:val="24"/>
        </w:rPr>
        <w:t xml:space="preserve"> (MacCallum Sullivan and Goldenberg, 2015). Hauntings include implicit biases and the compliance to self-reliant and resilience cultures that are not inclusive of teacher well-being. Resilience, the ability to bounce back despite setbacks and difficulties, reigns supreme as an ethos in the current neoliberal clime</w:t>
      </w:r>
      <w:r>
        <w:rPr>
          <w:sz w:val="24"/>
          <w:szCs w:val="24"/>
        </w:rPr>
        <w:t xml:space="preserve"> </w:t>
      </w:r>
      <w:r w:rsidR="00A9067F">
        <w:rPr>
          <w:sz w:val="24"/>
          <w:szCs w:val="24"/>
        </w:rPr>
        <w:t xml:space="preserve">which seemingly </w:t>
      </w:r>
      <w:r>
        <w:rPr>
          <w:sz w:val="24"/>
          <w:szCs w:val="24"/>
        </w:rPr>
        <w:t>abdicates a systemic responsibility to a duty of care.</w:t>
      </w:r>
    </w:p>
    <w:p w14:paraId="59D33002" w14:textId="6CCB41CC" w:rsidR="002E2ABD" w:rsidRDefault="002E2ABD" w:rsidP="00CC7097">
      <w:pPr>
        <w:spacing w:line="360" w:lineRule="auto"/>
        <w:rPr>
          <w:b/>
          <w:bCs/>
          <w:sz w:val="24"/>
          <w:szCs w:val="24"/>
        </w:rPr>
      </w:pPr>
      <w:r>
        <w:rPr>
          <w:sz w:val="24"/>
          <w:szCs w:val="24"/>
        </w:rPr>
        <w:lastRenderedPageBreak/>
        <w:t xml:space="preserve">A </w:t>
      </w:r>
      <w:r w:rsidRPr="003D3775">
        <w:rPr>
          <w:sz w:val="24"/>
          <w:szCs w:val="24"/>
        </w:rPr>
        <w:t xml:space="preserve">duty of care </w:t>
      </w:r>
      <w:r>
        <w:rPr>
          <w:sz w:val="24"/>
          <w:szCs w:val="24"/>
        </w:rPr>
        <w:t xml:space="preserve">in universities is partially provided </w:t>
      </w:r>
      <w:r w:rsidRPr="003D3775">
        <w:rPr>
          <w:sz w:val="24"/>
          <w:szCs w:val="24"/>
        </w:rPr>
        <w:t>in the form of short-term self-help</w:t>
      </w:r>
      <w:r>
        <w:rPr>
          <w:sz w:val="24"/>
          <w:szCs w:val="24"/>
        </w:rPr>
        <w:t xml:space="preserve"> </w:t>
      </w:r>
      <w:r w:rsidRPr="003D3775">
        <w:rPr>
          <w:sz w:val="24"/>
          <w:szCs w:val="24"/>
        </w:rPr>
        <w:t xml:space="preserve">interventions such as </w:t>
      </w:r>
      <w:r>
        <w:rPr>
          <w:sz w:val="24"/>
          <w:szCs w:val="24"/>
        </w:rPr>
        <w:t xml:space="preserve">mindfulness, </w:t>
      </w:r>
      <w:r w:rsidRPr="003D3775">
        <w:rPr>
          <w:sz w:val="24"/>
          <w:szCs w:val="24"/>
        </w:rPr>
        <w:t xml:space="preserve">yoga workshops </w:t>
      </w:r>
      <w:r>
        <w:rPr>
          <w:sz w:val="24"/>
          <w:szCs w:val="24"/>
        </w:rPr>
        <w:t xml:space="preserve">and </w:t>
      </w:r>
      <w:r w:rsidRPr="003D3775">
        <w:rPr>
          <w:sz w:val="24"/>
          <w:szCs w:val="24"/>
        </w:rPr>
        <w:t>resilience training</w:t>
      </w:r>
      <w:r>
        <w:rPr>
          <w:sz w:val="24"/>
          <w:szCs w:val="24"/>
        </w:rPr>
        <w:t>.</w:t>
      </w:r>
      <w:r w:rsidRPr="003D3775">
        <w:rPr>
          <w:sz w:val="24"/>
          <w:szCs w:val="24"/>
        </w:rPr>
        <w:t xml:space="preserve"> </w:t>
      </w:r>
      <w:r>
        <w:rPr>
          <w:sz w:val="24"/>
          <w:szCs w:val="24"/>
        </w:rPr>
        <w:t xml:space="preserve">These offerings </w:t>
      </w:r>
      <w:r w:rsidRPr="003D3775">
        <w:rPr>
          <w:sz w:val="24"/>
          <w:szCs w:val="24"/>
        </w:rPr>
        <w:t>are viewed by teachers with scepticism (Fleming, 2021)</w:t>
      </w:r>
      <w:r>
        <w:rPr>
          <w:sz w:val="24"/>
          <w:szCs w:val="24"/>
        </w:rPr>
        <w:t xml:space="preserve">, represent a </w:t>
      </w:r>
      <w:r w:rsidRPr="003D3775">
        <w:rPr>
          <w:sz w:val="24"/>
          <w:szCs w:val="24"/>
        </w:rPr>
        <w:t>sticking plaster mentality of administration</w:t>
      </w:r>
      <w:r>
        <w:rPr>
          <w:sz w:val="24"/>
          <w:szCs w:val="24"/>
        </w:rPr>
        <w:t xml:space="preserve"> and </w:t>
      </w:r>
      <w:r w:rsidRPr="000F7ADF">
        <w:rPr>
          <w:sz w:val="24"/>
          <w:szCs w:val="24"/>
        </w:rPr>
        <w:t xml:space="preserve">insinuate that burnt out individuals can simply work harder to access their inner resources (Taylor, 2014). </w:t>
      </w:r>
      <w:r>
        <w:rPr>
          <w:sz w:val="24"/>
          <w:szCs w:val="24"/>
        </w:rPr>
        <w:t>Furthermore, t</w:t>
      </w:r>
      <w:r w:rsidRPr="003D3775">
        <w:rPr>
          <w:sz w:val="24"/>
          <w:szCs w:val="24"/>
        </w:rPr>
        <w:t>here is sparse evidence of the</w:t>
      </w:r>
      <w:r>
        <w:rPr>
          <w:sz w:val="24"/>
          <w:szCs w:val="24"/>
        </w:rPr>
        <w:t>ir</w:t>
      </w:r>
      <w:r w:rsidRPr="003D3775">
        <w:rPr>
          <w:sz w:val="24"/>
          <w:szCs w:val="24"/>
        </w:rPr>
        <w:t xml:space="preserve"> long-term benefits. </w:t>
      </w:r>
      <w:r>
        <w:rPr>
          <w:sz w:val="24"/>
          <w:szCs w:val="24"/>
        </w:rPr>
        <w:t>For example, w</w:t>
      </w:r>
      <w:r w:rsidRPr="003D3775">
        <w:rPr>
          <w:sz w:val="24"/>
          <w:szCs w:val="24"/>
        </w:rPr>
        <w:t xml:space="preserve">orkshops as a standalone offering </w:t>
      </w:r>
      <w:r>
        <w:rPr>
          <w:sz w:val="24"/>
          <w:szCs w:val="24"/>
        </w:rPr>
        <w:t xml:space="preserve">do </w:t>
      </w:r>
      <w:r w:rsidRPr="003D3775">
        <w:rPr>
          <w:sz w:val="24"/>
          <w:szCs w:val="24"/>
        </w:rPr>
        <w:t xml:space="preserve">little to help staff in overcoming challenges in their workplace that negatively impact their mental health (O’Brien and Guiney, 2018). </w:t>
      </w:r>
      <w:r>
        <w:rPr>
          <w:sz w:val="24"/>
          <w:szCs w:val="24"/>
        </w:rPr>
        <w:t>L</w:t>
      </w:r>
      <w:r w:rsidRPr="003D3775">
        <w:rPr>
          <w:sz w:val="24"/>
          <w:szCs w:val="24"/>
        </w:rPr>
        <w:t xml:space="preserve">ong-term </w:t>
      </w:r>
      <w:r>
        <w:rPr>
          <w:sz w:val="24"/>
          <w:szCs w:val="24"/>
        </w:rPr>
        <w:t>solutions</w:t>
      </w:r>
      <w:r w:rsidRPr="003D3775">
        <w:rPr>
          <w:sz w:val="24"/>
          <w:szCs w:val="24"/>
        </w:rPr>
        <w:t xml:space="preserve"> require underpinning by a system that cares</w:t>
      </w:r>
      <w:r>
        <w:rPr>
          <w:sz w:val="24"/>
          <w:szCs w:val="24"/>
        </w:rPr>
        <w:t>, and</w:t>
      </w:r>
      <w:r w:rsidRPr="003D3775">
        <w:rPr>
          <w:sz w:val="24"/>
          <w:szCs w:val="24"/>
        </w:rPr>
        <w:t xml:space="preserve"> </w:t>
      </w:r>
      <w:r>
        <w:rPr>
          <w:sz w:val="24"/>
          <w:szCs w:val="24"/>
        </w:rPr>
        <w:t xml:space="preserve">more importantly, </w:t>
      </w:r>
      <w:r w:rsidRPr="003D3775">
        <w:rPr>
          <w:sz w:val="24"/>
          <w:szCs w:val="24"/>
        </w:rPr>
        <w:t xml:space="preserve">can afford to care. </w:t>
      </w:r>
      <w:r>
        <w:rPr>
          <w:sz w:val="24"/>
          <w:szCs w:val="24"/>
        </w:rPr>
        <w:t>According to Benjamin (1990)</w:t>
      </w:r>
      <w:r w:rsidRPr="003D3775">
        <w:rPr>
          <w:sz w:val="24"/>
          <w:szCs w:val="24"/>
        </w:rPr>
        <w:t xml:space="preserve"> values of care “are nearly irrelevant for life outside the </w:t>
      </w:r>
      <w:r w:rsidR="000433C9" w:rsidRPr="003D3775">
        <w:rPr>
          <w:sz w:val="24"/>
          <w:szCs w:val="24"/>
        </w:rPr>
        <w:t>nursery“</w:t>
      </w:r>
      <w:r w:rsidR="000433C9">
        <w:rPr>
          <w:sz w:val="24"/>
          <w:szCs w:val="24"/>
        </w:rPr>
        <w:t xml:space="preserve"> (</w:t>
      </w:r>
      <w:r w:rsidRPr="003D3775">
        <w:rPr>
          <w:sz w:val="24"/>
          <w:szCs w:val="24"/>
        </w:rPr>
        <w:t>p. 208</w:t>
      </w:r>
      <w:r w:rsidR="00164344" w:rsidRPr="003D3775">
        <w:rPr>
          <w:sz w:val="24"/>
          <w:szCs w:val="24"/>
        </w:rPr>
        <w:t>)</w:t>
      </w:r>
      <w:r w:rsidR="00164344">
        <w:rPr>
          <w:sz w:val="24"/>
          <w:szCs w:val="24"/>
        </w:rPr>
        <w:t xml:space="preserve"> and</w:t>
      </w:r>
      <w:r w:rsidRPr="003D3775">
        <w:rPr>
          <w:sz w:val="24"/>
          <w:szCs w:val="24"/>
        </w:rPr>
        <w:t xml:space="preserve"> therein lies a problem. It is questionable if it is possible to convince a system and culture </w:t>
      </w:r>
      <w:r>
        <w:rPr>
          <w:sz w:val="24"/>
          <w:szCs w:val="24"/>
        </w:rPr>
        <w:t xml:space="preserve">in the grip of </w:t>
      </w:r>
      <w:r w:rsidRPr="003D3775">
        <w:rPr>
          <w:sz w:val="24"/>
          <w:szCs w:val="24"/>
        </w:rPr>
        <w:t xml:space="preserve">a marketisation ethos to turn its attention to valuing </w:t>
      </w:r>
      <w:r>
        <w:rPr>
          <w:sz w:val="24"/>
          <w:szCs w:val="24"/>
        </w:rPr>
        <w:t xml:space="preserve">effective </w:t>
      </w:r>
      <w:r w:rsidRPr="003D3775">
        <w:rPr>
          <w:sz w:val="24"/>
          <w:szCs w:val="24"/>
        </w:rPr>
        <w:t xml:space="preserve">care for its teaching staff. </w:t>
      </w:r>
      <w:r w:rsidRPr="003D3775">
        <w:rPr>
          <w:b/>
          <w:bCs/>
          <w:sz w:val="24"/>
          <w:szCs w:val="24"/>
        </w:rPr>
        <w:t xml:space="preserve"> </w:t>
      </w:r>
    </w:p>
    <w:p w14:paraId="15E5B118" w14:textId="4E659291" w:rsidR="002E2ABD" w:rsidRDefault="002E2ABD" w:rsidP="00CC7097">
      <w:pPr>
        <w:spacing w:line="360" w:lineRule="auto"/>
        <w:rPr>
          <w:sz w:val="24"/>
          <w:szCs w:val="24"/>
        </w:rPr>
      </w:pPr>
      <w:r w:rsidRPr="00C6248F">
        <w:rPr>
          <w:sz w:val="24"/>
          <w:szCs w:val="24"/>
        </w:rPr>
        <w:t xml:space="preserve">One of the consequences of </w:t>
      </w:r>
      <w:r>
        <w:rPr>
          <w:sz w:val="24"/>
          <w:szCs w:val="24"/>
        </w:rPr>
        <w:t>a marketisation culture is</w:t>
      </w:r>
      <w:r w:rsidRPr="00C6248F">
        <w:rPr>
          <w:sz w:val="24"/>
          <w:szCs w:val="24"/>
        </w:rPr>
        <w:t xml:space="preserve"> that </w:t>
      </w:r>
      <w:r>
        <w:rPr>
          <w:sz w:val="24"/>
          <w:szCs w:val="24"/>
        </w:rPr>
        <w:t>an</w:t>
      </w:r>
      <w:r w:rsidRPr="00C6248F">
        <w:rPr>
          <w:sz w:val="24"/>
          <w:szCs w:val="24"/>
        </w:rPr>
        <w:t xml:space="preserve"> organisation becomes infected with anxiety (Godkin and Allcorn, 2009). To nurse a fearful system back to optimum health requires an appreciation and awareness of the importance of people in the organisation</w:t>
      </w:r>
      <w:r>
        <w:rPr>
          <w:sz w:val="24"/>
          <w:szCs w:val="24"/>
        </w:rPr>
        <w:t xml:space="preserve">, </w:t>
      </w:r>
      <w:r w:rsidRPr="00C6248F">
        <w:rPr>
          <w:sz w:val="24"/>
          <w:szCs w:val="24"/>
        </w:rPr>
        <w:t xml:space="preserve">executives, managers and employees </w:t>
      </w:r>
      <w:r>
        <w:rPr>
          <w:sz w:val="24"/>
          <w:szCs w:val="24"/>
        </w:rPr>
        <w:t xml:space="preserve">alike </w:t>
      </w:r>
      <w:r w:rsidRPr="00C6248F">
        <w:rPr>
          <w:sz w:val="24"/>
          <w:szCs w:val="24"/>
        </w:rPr>
        <w:t>to assume caretaking and anxiety-containing roles (</w:t>
      </w:r>
      <w:r w:rsidR="00AB1ADC">
        <w:rPr>
          <w:sz w:val="24"/>
          <w:szCs w:val="24"/>
        </w:rPr>
        <w:t>ibid.</w:t>
      </w:r>
      <w:r w:rsidRPr="00C6248F">
        <w:rPr>
          <w:sz w:val="24"/>
          <w:szCs w:val="24"/>
        </w:rPr>
        <w:t>). Winnicott (1988</w:t>
      </w:r>
      <w:r w:rsidR="002875F0">
        <w:rPr>
          <w:sz w:val="24"/>
          <w:szCs w:val="24"/>
        </w:rPr>
        <w:t xml:space="preserve">; </w:t>
      </w:r>
      <w:r w:rsidRPr="00C6248F">
        <w:rPr>
          <w:sz w:val="24"/>
          <w:szCs w:val="24"/>
        </w:rPr>
        <w:t xml:space="preserve">1989) suggests that </w:t>
      </w:r>
      <w:r>
        <w:rPr>
          <w:sz w:val="24"/>
          <w:szCs w:val="24"/>
        </w:rPr>
        <w:t xml:space="preserve">a </w:t>
      </w:r>
      <w:r w:rsidRPr="00C6248F">
        <w:rPr>
          <w:sz w:val="24"/>
          <w:szCs w:val="24"/>
        </w:rPr>
        <w:t>caretaking</w:t>
      </w:r>
      <w:r>
        <w:rPr>
          <w:sz w:val="24"/>
          <w:szCs w:val="24"/>
        </w:rPr>
        <w:t>,</w:t>
      </w:r>
      <w:r w:rsidRPr="00C6248F">
        <w:rPr>
          <w:sz w:val="24"/>
          <w:szCs w:val="24"/>
        </w:rPr>
        <w:t xml:space="preserve"> holding environment facilitates a positive change in organisation culture and identity which </w:t>
      </w:r>
      <w:r>
        <w:rPr>
          <w:sz w:val="24"/>
          <w:szCs w:val="24"/>
        </w:rPr>
        <w:t xml:space="preserve">some believe </w:t>
      </w:r>
      <w:r w:rsidRPr="00C6248F">
        <w:rPr>
          <w:sz w:val="24"/>
          <w:szCs w:val="24"/>
        </w:rPr>
        <w:t xml:space="preserve">counteracts </w:t>
      </w:r>
      <w:r>
        <w:rPr>
          <w:sz w:val="24"/>
          <w:szCs w:val="24"/>
        </w:rPr>
        <w:t xml:space="preserve">any </w:t>
      </w:r>
      <w:r w:rsidRPr="00C6248F">
        <w:rPr>
          <w:sz w:val="24"/>
          <w:szCs w:val="24"/>
        </w:rPr>
        <w:t>systemic destructive narcissistic qualities (Godkin and Allcorn, 2009)</w:t>
      </w:r>
      <w:r>
        <w:rPr>
          <w:sz w:val="24"/>
          <w:szCs w:val="24"/>
        </w:rPr>
        <w:t>. I read narcissistic qualities to mean a myopic focus on the systemic ego which means social responsibility for the care of the employee is marginalised.</w:t>
      </w:r>
      <w:r w:rsidRPr="000668FB">
        <w:rPr>
          <w:sz w:val="24"/>
          <w:szCs w:val="24"/>
        </w:rPr>
        <w:t xml:space="preserve"> </w:t>
      </w:r>
      <w:r w:rsidRPr="001D6B7E">
        <w:rPr>
          <w:sz w:val="24"/>
          <w:szCs w:val="24"/>
        </w:rPr>
        <w:t xml:space="preserve">Brenner (2014) believes that a radical transformation </w:t>
      </w:r>
      <w:r>
        <w:rPr>
          <w:sz w:val="24"/>
          <w:szCs w:val="24"/>
        </w:rPr>
        <w:t xml:space="preserve">is </w:t>
      </w:r>
      <w:r w:rsidRPr="001D6B7E">
        <w:rPr>
          <w:sz w:val="24"/>
          <w:szCs w:val="24"/>
        </w:rPr>
        <w:t xml:space="preserve">required to </w:t>
      </w:r>
      <w:r>
        <w:rPr>
          <w:sz w:val="24"/>
          <w:szCs w:val="24"/>
        </w:rPr>
        <w:t xml:space="preserve">take </w:t>
      </w:r>
      <w:r w:rsidRPr="001D6B7E">
        <w:rPr>
          <w:sz w:val="24"/>
          <w:szCs w:val="24"/>
        </w:rPr>
        <w:t>affective labour seriously and involve</w:t>
      </w:r>
      <w:r>
        <w:rPr>
          <w:sz w:val="24"/>
          <w:szCs w:val="24"/>
        </w:rPr>
        <w:t>s</w:t>
      </w:r>
      <w:r w:rsidRPr="001D6B7E">
        <w:rPr>
          <w:sz w:val="24"/>
          <w:szCs w:val="24"/>
        </w:rPr>
        <w:t xml:space="preserve"> a confrontation with capitalism itself</w:t>
      </w:r>
      <w:r>
        <w:rPr>
          <w:sz w:val="24"/>
          <w:szCs w:val="24"/>
        </w:rPr>
        <w:t xml:space="preserve">. Although </w:t>
      </w:r>
      <w:r w:rsidRPr="00D2518D">
        <w:rPr>
          <w:sz w:val="24"/>
          <w:szCs w:val="24"/>
        </w:rPr>
        <w:t>Mitchell (1978) comments that human care as a principle ought to be as equally valued as production</w:t>
      </w:r>
      <w:r>
        <w:rPr>
          <w:sz w:val="24"/>
          <w:szCs w:val="24"/>
        </w:rPr>
        <w:t>, p</w:t>
      </w:r>
      <w:r w:rsidRPr="001D6B7E">
        <w:rPr>
          <w:sz w:val="24"/>
          <w:szCs w:val="24"/>
        </w:rPr>
        <w:t>erhaps it is not a plausible proposition that care should be valued socially</w:t>
      </w:r>
      <w:r w:rsidR="00C5316C">
        <w:rPr>
          <w:sz w:val="24"/>
          <w:szCs w:val="24"/>
        </w:rPr>
        <w:t xml:space="preserve"> </w:t>
      </w:r>
      <w:r w:rsidRPr="001D6B7E">
        <w:rPr>
          <w:sz w:val="24"/>
          <w:szCs w:val="24"/>
        </w:rPr>
        <w:t>as this would involve a paradigm shift in attitudes</w:t>
      </w:r>
      <w:r>
        <w:rPr>
          <w:sz w:val="24"/>
          <w:szCs w:val="24"/>
        </w:rPr>
        <w:t xml:space="preserve">, </w:t>
      </w:r>
      <w:r w:rsidRPr="001D6B7E">
        <w:rPr>
          <w:sz w:val="24"/>
          <w:szCs w:val="24"/>
        </w:rPr>
        <w:t xml:space="preserve">require </w:t>
      </w:r>
      <w:r>
        <w:rPr>
          <w:sz w:val="24"/>
          <w:szCs w:val="24"/>
        </w:rPr>
        <w:t xml:space="preserve">significant </w:t>
      </w:r>
      <w:r w:rsidRPr="001D6B7E">
        <w:rPr>
          <w:sz w:val="24"/>
          <w:szCs w:val="24"/>
        </w:rPr>
        <w:t xml:space="preserve">financial investment </w:t>
      </w:r>
      <w:r>
        <w:rPr>
          <w:sz w:val="24"/>
          <w:szCs w:val="24"/>
        </w:rPr>
        <w:t>and a standoff with the systemic ego.</w:t>
      </w:r>
    </w:p>
    <w:p w14:paraId="27C79C91" w14:textId="10A562E8" w:rsidR="002E2ABD" w:rsidRPr="001D6B7E" w:rsidRDefault="002E2ABD" w:rsidP="00CC7097">
      <w:pPr>
        <w:spacing w:line="360" w:lineRule="auto"/>
        <w:rPr>
          <w:sz w:val="24"/>
          <w:szCs w:val="24"/>
        </w:rPr>
      </w:pPr>
      <w:r w:rsidRPr="001D6B7E">
        <w:rPr>
          <w:sz w:val="24"/>
          <w:szCs w:val="24"/>
        </w:rPr>
        <w:t>Winnicott (1965) forefronts the importance of human care as a continuum throughout the lifespan. Without an acknowledgement of the psychological and human need for care, and action taken to provide support, the status quo of producing things and a culture that underpins it</w:t>
      </w:r>
      <w:r w:rsidR="000A33FD">
        <w:rPr>
          <w:sz w:val="24"/>
          <w:szCs w:val="24"/>
        </w:rPr>
        <w:t xml:space="preserve"> </w:t>
      </w:r>
      <w:r>
        <w:rPr>
          <w:sz w:val="24"/>
          <w:szCs w:val="24"/>
        </w:rPr>
        <w:t>endures</w:t>
      </w:r>
      <w:r w:rsidRPr="001D6B7E">
        <w:rPr>
          <w:sz w:val="24"/>
          <w:szCs w:val="24"/>
        </w:rPr>
        <w:t xml:space="preserve">. </w:t>
      </w:r>
      <w:r w:rsidRPr="001F03E2">
        <w:rPr>
          <w:sz w:val="24"/>
          <w:szCs w:val="24"/>
        </w:rPr>
        <w:t xml:space="preserve">With a culture that favours one eye on the holding of the student, the </w:t>
      </w:r>
      <w:r w:rsidRPr="001F03E2">
        <w:rPr>
          <w:sz w:val="24"/>
          <w:szCs w:val="24"/>
        </w:rPr>
        <w:lastRenderedPageBreak/>
        <w:t>human capital, and the other eye on the coffers</w:t>
      </w:r>
      <w:r>
        <w:rPr>
          <w:sz w:val="24"/>
          <w:szCs w:val="24"/>
        </w:rPr>
        <w:t xml:space="preserve">, </w:t>
      </w:r>
      <w:r w:rsidRPr="001D6B7E">
        <w:rPr>
          <w:sz w:val="24"/>
          <w:szCs w:val="24"/>
        </w:rPr>
        <w:t xml:space="preserve">Winnicottian theory and practice might offer an alternative way of </w:t>
      </w:r>
      <w:r>
        <w:rPr>
          <w:sz w:val="24"/>
          <w:szCs w:val="24"/>
        </w:rPr>
        <w:t xml:space="preserve">considering care on </w:t>
      </w:r>
      <w:r w:rsidRPr="001D6B7E">
        <w:rPr>
          <w:sz w:val="24"/>
          <w:szCs w:val="24"/>
        </w:rPr>
        <w:t>a conceptual leve</w:t>
      </w:r>
      <w:r>
        <w:rPr>
          <w:sz w:val="24"/>
          <w:szCs w:val="24"/>
        </w:rPr>
        <w:t xml:space="preserve">l. </w:t>
      </w:r>
    </w:p>
    <w:p w14:paraId="2FCE3F04" w14:textId="77777777" w:rsidR="002E2ABD" w:rsidRPr="001C7D61" w:rsidRDefault="002E2ABD" w:rsidP="001D6B7E">
      <w:pPr>
        <w:rPr>
          <w:b/>
          <w:bCs/>
          <w:sz w:val="24"/>
          <w:szCs w:val="24"/>
        </w:rPr>
      </w:pPr>
      <w:r>
        <w:rPr>
          <w:b/>
          <w:bCs/>
          <w:sz w:val="24"/>
          <w:szCs w:val="24"/>
        </w:rPr>
        <w:t>Winnicott in a diaspora</w:t>
      </w:r>
    </w:p>
    <w:p w14:paraId="16545C37" w14:textId="51B69F58" w:rsidR="002E2ABD" w:rsidRPr="00034593" w:rsidRDefault="002E2ABD" w:rsidP="0076086D">
      <w:pPr>
        <w:spacing w:line="360" w:lineRule="auto"/>
        <w:rPr>
          <w:sz w:val="24"/>
          <w:szCs w:val="24"/>
        </w:rPr>
      </w:pPr>
      <w:r w:rsidRPr="001D6B7E">
        <w:rPr>
          <w:sz w:val="24"/>
          <w:szCs w:val="24"/>
        </w:rPr>
        <w:t xml:space="preserve">There </w:t>
      </w:r>
      <w:r>
        <w:rPr>
          <w:sz w:val="24"/>
          <w:szCs w:val="24"/>
        </w:rPr>
        <w:t xml:space="preserve">are </w:t>
      </w:r>
      <w:r w:rsidRPr="001D6B7E">
        <w:rPr>
          <w:sz w:val="24"/>
          <w:szCs w:val="24"/>
        </w:rPr>
        <w:t xml:space="preserve">several reasons </w:t>
      </w:r>
      <w:r>
        <w:rPr>
          <w:sz w:val="24"/>
          <w:szCs w:val="24"/>
        </w:rPr>
        <w:t xml:space="preserve">for </w:t>
      </w:r>
      <w:r w:rsidRPr="001D6B7E">
        <w:rPr>
          <w:sz w:val="24"/>
          <w:szCs w:val="24"/>
        </w:rPr>
        <w:t xml:space="preserve">Winnicottian theories not being taken seriously by </w:t>
      </w:r>
      <w:r>
        <w:rPr>
          <w:sz w:val="24"/>
          <w:szCs w:val="24"/>
        </w:rPr>
        <w:t xml:space="preserve">HE </w:t>
      </w:r>
      <w:r w:rsidRPr="001D6B7E">
        <w:rPr>
          <w:sz w:val="24"/>
          <w:szCs w:val="24"/>
        </w:rPr>
        <w:t xml:space="preserve">establishments. One explanation concerns ontological </w:t>
      </w:r>
      <w:r>
        <w:rPr>
          <w:sz w:val="24"/>
          <w:szCs w:val="24"/>
        </w:rPr>
        <w:t xml:space="preserve">and epistemological </w:t>
      </w:r>
      <w:r w:rsidRPr="001D6B7E">
        <w:rPr>
          <w:sz w:val="24"/>
          <w:szCs w:val="24"/>
        </w:rPr>
        <w:t>bias</w:t>
      </w:r>
      <w:r>
        <w:rPr>
          <w:sz w:val="24"/>
          <w:szCs w:val="24"/>
        </w:rPr>
        <w:t xml:space="preserve">, </w:t>
      </w:r>
      <w:r w:rsidRPr="001D6B7E">
        <w:rPr>
          <w:sz w:val="24"/>
          <w:szCs w:val="24"/>
        </w:rPr>
        <w:t xml:space="preserve">after all, Winnicott </w:t>
      </w:r>
      <w:r>
        <w:rPr>
          <w:sz w:val="24"/>
          <w:szCs w:val="24"/>
        </w:rPr>
        <w:t>was a child psychoanalyst</w:t>
      </w:r>
      <w:r w:rsidRPr="001D6B7E">
        <w:rPr>
          <w:sz w:val="24"/>
          <w:szCs w:val="24"/>
        </w:rPr>
        <w:t>. Although there are links between earlier experiences and subsequent adult behaviours</w:t>
      </w:r>
      <w:r w:rsidRPr="00C2030E">
        <w:rPr>
          <w:sz w:val="24"/>
          <w:szCs w:val="24"/>
        </w:rPr>
        <w:t xml:space="preserve"> </w:t>
      </w:r>
      <w:r>
        <w:rPr>
          <w:sz w:val="24"/>
          <w:szCs w:val="24"/>
        </w:rPr>
        <w:t>(</w:t>
      </w:r>
      <w:r w:rsidRPr="00C2030E">
        <w:rPr>
          <w:sz w:val="24"/>
          <w:szCs w:val="24"/>
        </w:rPr>
        <w:t>Nuttall and McEvoy, 2022</w:t>
      </w:r>
      <w:r>
        <w:rPr>
          <w:sz w:val="24"/>
          <w:szCs w:val="24"/>
        </w:rPr>
        <w:t>)</w:t>
      </w:r>
      <w:r w:rsidRPr="001D6B7E">
        <w:rPr>
          <w:sz w:val="24"/>
          <w:szCs w:val="24"/>
        </w:rPr>
        <w:t xml:space="preserve">, Winnicott’s focus remained anchored in the child’s world. </w:t>
      </w:r>
      <w:r w:rsidRPr="00946B6D">
        <w:rPr>
          <w:sz w:val="24"/>
          <w:szCs w:val="24"/>
        </w:rPr>
        <w:t>A product of the political clime between World Wars I and II</w:t>
      </w:r>
      <w:r w:rsidR="007E6CA3">
        <w:rPr>
          <w:sz w:val="24"/>
          <w:szCs w:val="24"/>
        </w:rPr>
        <w:t xml:space="preserve"> </w:t>
      </w:r>
      <w:r w:rsidRPr="00946B6D">
        <w:rPr>
          <w:sz w:val="24"/>
          <w:szCs w:val="24"/>
        </w:rPr>
        <w:t>where feminine passivity was utilised as an ideological tool in women’s subordination, Winnicott became part of the subordination with his insistence on the primacy of the mother</w:t>
      </w:r>
      <w:r w:rsidR="00583B23">
        <w:rPr>
          <w:sz w:val="24"/>
          <w:szCs w:val="24"/>
        </w:rPr>
        <w:t xml:space="preserve"> </w:t>
      </w:r>
      <w:r>
        <w:rPr>
          <w:sz w:val="24"/>
          <w:szCs w:val="24"/>
        </w:rPr>
        <w:t>as the</w:t>
      </w:r>
      <w:r w:rsidRPr="00407CD5">
        <w:rPr>
          <w:sz w:val="24"/>
          <w:szCs w:val="24"/>
        </w:rPr>
        <w:t xml:space="preserve"> best </w:t>
      </w:r>
      <w:r>
        <w:rPr>
          <w:sz w:val="24"/>
          <w:szCs w:val="24"/>
        </w:rPr>
        <w:t xml:space="preserve">person </w:t>
      </w:r>
      <w:r w:rsidRPr="00407CD5">
        <w:rPr>
          <w:sz w:val="24"/>
          <w:szCs w:val="24"/>
        </w:rPr>
        <w:t>suited to care for the baby (Winnicott, 1956)</w:t>
      </w:r>
      <w:r w:rsidRPr="00946B6D">
        <w:rPr>
          <w:sz w:val="24"/>
          <w:szCs w:val="24"/>
        </w:rPr>
        <w:t xml:space="preserve">. </w:t>
      </w:r>
      <w:r w:rsidRPr="00034593">
        <w:rPr>
          <w:sz w:val="24"/>
          <w:szCs w:val="24"/>
        </w:rPr>
        <w:t xml:space="preserve">Feminists have concerns about </w:t>
      </w:r>
      <w:r w:rsidR="001F0DBF">
        <w:rPr>
          <w:sz w:val="24"/>
          <w:szCs w:val="24"/>
        </w:rPr>
        <w:t xml:space="preserve">Winnicott’s </w:t>
      </w:r>
      <w:r w:rsidRPr="00034593">
        <w:rPr>
          <w:sz w:val="24"/>
          <w:szCs w:val="24"/>
        </w:rPr>
        <w:t>representation of mothers, their agency and psychology</w:t>
      </w:r>
      <w:r>
        <w:rPr>
          <w:sz w:val="24"/>
          <w:szCs w:val="24"/>
        </w:rPr>
        <w:t xml:space="preserve">. </w:t>
      </w:r>
      <w:r w:rsidRPr="00034593">
        <w:rPr>
          <w:sz w:val="24"/>
          <w:szCs w:val="24"/>
        </w:rPr>
        <w:t>Hollway (20</w:t>
      </w:r>
      <w:r>
        <w:rPr>
          <w:sz w:val="24"/>
          <w:szCs w:val="24"/>
        </w:rPr>
        <w:t>01</w:t>
      </w:r>
      <w:r w:rsidRPr="00034593">
        <w:rPr>
          <w:sz w:val="24"/>
          <w:szCs w:val="24"/>
        </w:rPr>
        <w:t xml:space="preserve">), for example, feels Winnicott pathologizes difficulties experienced by women in their mothering and reinforces guilt </w:t>
      </w:r>
      <w:r>
        <w:rPr>
          <w:sz w:val="24"/>
          <w:szCs w:val="24"/>
        </w:rPr>
        <w:t>for working mothers</w:t>
      </w:r>
      <w:r w:rsidRPr="00034593">
        <w:rPr>
          <w:sz w:val="24"/>
          <w:szCs w:val="24"/>
        </w:rPr>
        <w:t>.</w:t>
      </w:r>
    </w:p>
    <w:p w14:paraId="3D6262B4" w14:textId="725FC09A" w:rsidR="002E2ABD" w:rsidRPr="002D5C77" w:rsidRDefault="002E2ABD" w:rsidP="0076086D">
      <w:pPr>
        <w:spacing w:line="360" w:lineRule="auto"/>
        <w:rPr>
          <w:sz w:val="24"/>
          <w:szCs w:val="24"/>
        </w:rPr>
      </w:pPr>
      <w:r>
        <w:rPr>
          <w:sz w:val="24"/>
          <w:szCs w:val="24"/>
        </w:rPr>
        <w:t>A</w:t>
      </w:r>
      <w:r w:rsidRPr="003517F9">
        <w:rPr>
          <w:sz w:val="24"/>
          <w:szCs w:val="24"/>
        </w:rPr>
        <w:t xml:space="preserve">lthough the concepts of holding and the facilitating environment </w:t>
      </w:r>
      <w:r w:rsidR="00016D19">
        <w:rPr>
          <w:sz w:val="24"/>
          <w:szCs w:val="24"/>
        </w:rPr>
        <w:t xml:space="preserve">(Winnicott, 1965) </w:t>
      </w:r>
      <w:r w:rsidRPr="003517F9">
        <w:rPr>
          <w:sz w:val="24"/>
          <w:szCs w:val="24"/>
        </w:rPr>
        <w:t>have been applied across several fields beyond psychoanalysis</w:t>
      </w:r>
      <w:r w:rsidR="00DC6CE2">
        <w:rPr>
          <w:sz w:val="24"/>
          <w:szCs w:val="24"/>
        </w:rPr>
        <w:t xml:space="preserve">, for example </w:t>
      </w:r>
      <w:r w:rsidRPr="003517F9">
        <w:rPr>
          <w:sz w:val="24"/>
          <w:szCs w:val="24"/>
        </w:rPr>
        <w:t>social theory (Giddens, 1991; Honneth, 1995)</w:t>
      </w:r>
      <w:r w:rsidR="00DC6CE2">
        <w:rPr>
          <w:sz w:val="24"/>
          <w:szCs w:val="24"/>
        </w:rPr>
        <w:t xml:space="preserve">, </w:t>
      </w:r>
      <w:r w:rsidRPr="003517F9">
        <w:rPr>
          <w:sz w:val="24"/>
          <w:szCs w:val="24"/>
        </w:rPr>
        <w:t>philosophy (Nussbaum, 2001) and media theory (Silverstone, 1994), suspicion towards psychoanalysis</w:t>
      </w:r>
      <w:r>
        <w:rPr>
          <w:sz w:val="24"/>
          <w:szCs w:val="24"/>
        </w:rPr>
        <w:t xml:space="preserve"> </w:t>
      </w:r>
      <w:r w:rsidRPr="003517F9">
        <w:rPr>
          <w:sz w:val="24"/>
          <w:szCs w:val="24"/>
        </w:rPr>
        <w:t>remain</w:t>
      </w:r>
      <w:r>
        <w:rPr>
          <w:sz w:val="24"/>
          <w:szCs w:val="24"/>
        </w:rPr>
        <w:t>s</w:t>
      </w:r>
      <w:r w:rsidRPr="003517F9">
        <w:rPr>
          <w:sz w:val="24"/>
          <w:szCs w:val="24"/>
        </w:rPr>
        <w:t xml:space="preserve">. </w:t>
      </w:r>
      <w:r>
        <w:rPr>
          <w:sz w:val="24"/>
          <w:szCs w:val="24"/>
        </w:rPr>
        <w:t xml:space="preserve"> </w:t>
      </w:r>
      <w:r w:rsidRPr="003517F9">
        <w:rPr>
          <w:sz w:val="24"/>
          <w:szCs w:val="24"/>
        </w:rPr>
        <w:t>Despite its wider application</w:t>
      </w:r>
      <w:r>
        <w:rPr>
          <w:sz w:val="24"/>
          <w:szCs w:val="24"/>
        </w:rPr>
        <w:t xml:space="preserve"> in recent years (Bartle and Eloquin, 2021; Clarke, 2021)</w:t>
      </w:r>
      <w:r w:rsidRPr="003517F9">
        <w:rPr>
          <w:sz w:val="24"/>
          <w:szCs w:val="24"/>
        </w:rPr>
        <w:t>, the discipline of psychoanalysis finds itself in a diaspora, without a home (Frosh, 2010)</w:t>
      </w:r>
      <w:r>
        <w:rPr>
          <w:sz w:val="24"/>
          <w:szCs w:val="24"/>
        </w:rPr>
        <w:t xml:space="preserve">. </w:t>
      </w:r>
      <w:r w:rsidRPr="00204D88">
        <w:rPr>
          <w:color w:val="EE0000"/>
          <w:sz w:val="24"/>
          <w:szCs w:val="24"/>
        </w:rPr>
        <w:t xml:space="preserve"> </w:t>
      </w:r>
      <w:r w:rsidRPr="00204D88">
        <w:rPr>
          <w:sz w:val="24"/>
          <w:szCs w:val="24"/>
        </w:rPr>
        <w:t>Radical claims of penis envy utilised by Freud (1908) and his grandiose use of language drawn from ancient Greek myth do not advance the case</w:t>
      </w:r>
      <w:r>
        <w:rPr>
          <w:sz w:val="24"/>
          <w:szCs w:val="24"/>
        </w:rPr>
        <w:t xml:space="preserve">. Furthermore, </w:t>
      </w:r>
      <w:r w:rsidRPr="002D5C77">
        <w:rPr>
          <w:sz w:val="24"/>
          <w:szCs w:val="24"/>
        </w:rPr>
        <w:t xml:space="preserve">early basic assumptions in Freudian psychoanalysis such as </w:t>
      </w:r>
      <w:r w:rsidR="00D555F0" w:rsidRPr="002D5C77">
        <w:rPr>
          <w:sz w:val="24"/>
          <w:szCs w:val="24"/>
        </w:rPr>
        <w:t>l</w:t>
      </w:r>
      <w:r w:rsidR="00D555F0">
        <w:rPr>
          <w:sz w:val="24"/>
          <w:szCs w:val="24"/>
        </w:rPr>
        <w:t>ibidi</w:t>
      </w:r>
      <w:r w:rsidR="00D555F0" w:rsidRPr="002D5C77">
        <w:rPr>
          <w:sz w:val="24"/>
          <w:szCs w:val="24"/>
        </w:rPr>
        <w:t>nal</w:t>
      </w:r>
      <w:r w:rsidRPr="002D5C77">
        <w:rPr>
          <w:sz w:val="24"/>
          <w:szCs w:val="24"/>
        </w:rPr>
        <w:t xml:space="preserve"> drive theory are questionable</w:t>
      </w:r>
      <w:r>
        <w:rPr>
          <w:sz w:val="24"/>
          <w:szCs w:val="24"/>
        </w:rPr>
        <w:t xml:space="preserve"> (Bainbridge and West, 2012) and they remain in public consciousness as associations with the field.</w:t>
      </w:r>
      <w:r w:rsidR="001A4F64" w:rsidRPr="001A4F64">
        <w:rPr>
          <w:sz w:val="24"/>
          <w:szCs w:val="24"/>
        </w:rPr>
        <w:t xml:space="preserve"> </w:t>
      </w:r>
      <w:r w:rsidR="00B63407" w:rsidRPr="00B63407">
        <w:rPr>
          <w:sz w:val="24"/>
          <w:szCs w:val="24"/>
        </w:rPr>
        <w:t xml:space="preserve">Psychoanalysis remains a step too far in academic circles, and libido, seemingly, has no place in the academic bed. </w:t>
      </w:r>
    </w:p>
    <w:p w14:paraId="02715A21" w14:textId="548449C8" w:rsidR="002E2ABD" w:rsidRDefault="002E2ABD" w:rsidP="0076086D">
      <w:pPr>
        <w:spacing w:line="360" w:lineRule="auto"/>
        <w:rPr>
          <w:sz w:val="24"/>
          <w:szCs w:val="24"/>
        </w:rPr>
      </w:pPr>
      <w:r w:rsidRPr="002835D1">
        <w:rPr>
          <w:sz w:val="24"/>
          <w:szCs w:val="24"/>
        </w:rPr>
        <w:t>Freud’s protégé, Jung seems not to have fared much better in attracting critique. Jung began his career in psychiatry and</w:t>
      </w:r>
      <w:r>
        <w:rPr>
          <w:sz w:val="24"/>
          <w:szCs w:val="24"/>
        </w:rPr>
        <w:t xml:space="preserve"> his latter-day leanings</w:t>
      </w:r>
      <w:r w:rsidRPr="002835D1">
        <w:rPr>
          <w:sz w:val="24"/>
          <w:szCs w:val="24"/>
        </w:rPr>
        <w:t xml:space="preserve"> </w:t>
      </w:r>
      <w:r>
        <w:rPr>
          <w:sz w:val="24"/>
          <w:szCs w:val="24"/>
        </w:rPr>
        <w:t>towards a</w:t>
      </w:r>
      <w:r w:rsidRPr="002835D1">
        <w:rPr>
          <w:sz w:val="24"/>
          <w:szCs w:val="24"/>
        </w:rPr>
        <w:t>rchetypal philosophy, the transpersonal and Gnostic</w:t>
      </w:r>
      <w:r>
        <w:rPr>
          <w:sz w:val="24"/>
          <w:szCs w:val="24"/>
        </w:rPr>
        <w:t xml:space="preserve"> proved</w:t>
      </w:r>
      <w:r w:rsidRPr="002835D1">
        <w:rPr>
          <w:sz w:val="24"/>
          <w:szCs w:val="24"/>
        </w:rPr>
        <w:t xml:space="preserve"> problematic. Adulated by</w:t>
      </w:r>
      <w:r>
        <w:rPr>
          <w:sz w:val="24"/>
          <w:szCs w:val="24"/>
        </w:rPr>
        <w:t xml:space="preserve"> </w:t>
      </w:r>
      <w:r w:rsidRPr="002835D1">
        <w:rPr>
          <w:sz w:val="24"/>
          <w:szCs w:val="24"/>
        </w:rPr>
        <w:t xml:space="preserve">his </w:t>
      </w:r>
      <w:r>
        <w:rPr>
          <w:sz w:val="24"/>
          <w:szCs w:val="24"/>
        </w:rPr>
        <w:t>“</w:t>
      </w:r>
      <w:r w:rsidRPr="002835D1">
        <w:rPr>
          <w:sz w:val="24"/>
          <w:szCs w:val="24"/>
        </w:rPr>
        <w:t>disciple</w:t>
      </w:r>
      <w:r>
        <w:rPr>
          <w:sz w:val="24"/>
          <w:szCs w:val="24"/>
        </w:rPr>
        <w:t>” followers</w:t>
      </w:r>
      <w:r w:rsidRPr="002835D1">
        <w:rPr>
          <w:sz w:val="24"/>
          <w:szCs w:val="24"/>
        </w:rPr>
        <w:t xml:space="preserve"> (Tacey, 2011) who form a “world-wide cult” (Noll, 1994, p.3),</w:t>
      </w:r>
      <w:r>
        <w:rPr>
          <w:sz w:val="24"/>
          <w:szCs w:val="24"/>
        </w:rPr>
        <w:t xml:space="preserve"> Jung</w:t>
      </w:r>
      <w:r w:rsidRPr="002835D1">
        <w:rPr>
          <w:sz w:val="24"/>
          <w:szCs w:val="24"/>
        </w:rPr>
        <w:t xml:space="preserve"> is widely criticised for his alignment to Gnosticism (Buber, 1952; </w:t>
      </w:r>
      <w:r w:rsidRPr="00E86DFA">
        <w:rPr>
          <w:sz w:val="24"/>
          <w:szCs w:val="24"/>
        </w:rPr>
        <w:t>Buri, 1952</w:t>
      </w:r>
      <w:r>
        <w:rPr>
          <w:sz w:val="24"/>
          <w:szCs w:val="24"/>
        </w:rPr>
        <w:t xml:space="preserve">; </w:t>
      </w:r>
      <w:r w:rsidRPr="002835D1">
        <w:rPr>
          <w:sz w:val="24"/>
          <w:szCs w:val="24"/>
        </w:rPr>
        <w:t>Hostie, 1957)</w:t>
      </w:r>
      <w:r>
        <w:rPr>
          <w:sz w:val="24"/>
          <w:szCs w:val="24"/>
        </w:rPr>
        <w:t>. I</w:t>
      </w:r>
      <w:r w:rsidRPr="002835D1">
        <w:rPr>
          <w:sz w:val="24"/>
          <w:szCs w:val="24"/>
        </w:rPr>
        <w:t xml:space="preserve">n academic circles </w:t>
      </w:r>
      <w:r w:rsidRPr="002835D1">
        <w:rPr>
          <w:sz w:val="24"/>
          <w:szCs w:val="24"/>
        </w:rPr>
        <w:lastRenderedPageBreak/>
        <w:t xml:space="preserve">spirituality </w:t>
      </w:r>
      <w:r>
        <w:rPr>
          <w:sz w:val="24"/>
          <w:szCs w:val="24"/>
        </w:rPr>
        <w:t>is</w:t>
      </w:r>
      <w:r w:rsidRPr="002835D1">
        <w:rPr>
          <w:sz w:val="24"/>
          <w:szCs w:val="24"/>
        </w:rPr>
        <w:t xml:space="preserve"> </w:t>
      </w:r>
      <w:r>
        <w:rPr>
          <w:sz w:val="24"/>
          <w:szCs w:val="24"/>
        </w:rPr>
        <w:t xml:space="preserve">viewed as </w:t>
      </w:r>
      <w:r w:rsidRPr="002835D1">
        <w:rPr>
          <w:sz w:val="24"/>
          <w:szCs w:val="24"/>
        </w:rPr>
        <w:t xml:space="preserve">taboo in the classroom (Kniker, 1990; Nord, 1990) rendering </w:t>
      </w:r>
      <w:r w:rsidR="00974414">
        <w:rPr>
          <w:sz w:val="24"/>
          <w:szCs w:val="24"/>
        </w:rPr>
        <w:t>Jung</w:t>
      </w:r>
      <w:r>
        <w:rPr>
          <w:sz w:val="24"/>
          <w:szCs w:val="24"/>
        </w:rPr>
        <w:t xml:space="preserve"> </w:t>
      </w:r>
      <w:r w:rsidRPr="002835D1">
        <w:rPr>
          <w:sz w:val="24"/>
          <w:szCs w:val="24"/>
        </w:rPr>
        <w:t>an object of ridicule (Tacey, 20</w:t>
      </w:r>
      <w:r>
        <w:rPr>
          <w:sz w:val="24"/>
          <w:szCs w:val="24"/>
        </w:rPr>
        <w:t>0</w:t>
      </w:r>
      <w:r w:rsidRPr="002835D1">
        <w:rPr>
          <w:sz w:val="24"/>
          <w:szCs w:val="24"/>
        </w:rPr>
        <w:t>1</w:t>
      </w:r>
      <w:r w:rsidR="00B9234C">
        <w:rPr>
          <w:sz w:val="24"/>
          <w:szCs w:val="24"/>
        </w:rPr>
        <w:t xml:space="preserve">). </w:t>
      </w:r>
      <w:r>
        <w:rPr>
          <w:sz w:val="24"/>
          <w:szCs w:val="24"/>
        </w:rPr>
        <w:t>The transpersonal, Gnosticism, mythology and spirituality stray into realms of speculation, lack credible evidence and cannot be captured by positivist</w:t>
      </w:r>
      <w:r w:rsidR="0085595A">
        <w:rPr>
          <w:sz w:val="24"/>
          <w:szCs w:val="24"/>
        </w:rPr>
        <w:t>, scientific</w:t>
      </w:r>
      <w:r>
        <w:rPr>
          <w:sz w:val="24"/>
          <w:szCs w:val="24"/>
        </w:rPr>
        <w:t xml:space="preserve"> means.</w:t>
      </w:r>
      <w:r w:rsidR="00DB56B5" w:rsidRPr="00DB56B5">
        <w:rPr>
          <w:sz w:val="24"/>
          <w:szCs w:val="24"/>
        </w:rPr>
        <w:t xml:space="preserve"> Nussbaum (2001) refers to a dismissive attitude towards psychoanalysis in the US stemming from the common view that psychoanalytic figures are “pretend scientists and simply don’t measure up to a positivist model set by the natural sciences” (p.181).  </w:t>
      </w:r>
    </w:p>
    <w:p w14:paraId="292FC519" w14:textId="77777777" w:rsidR="00AA70BD" w:rsidRDefault="002E2ABD" w:rsidP="0076086D">
      <w:pPr>
        <w:spacing w:line="360" w:lineRule="auto"/>
        <w:rPr>
          <w:sz w:val="24"/>
          <w:szCs w:val="24"/>
        </w:rPr>
      </w:pPr>
      <w:r>
        <w:rPr>
          <w:sz w:val="24"/>
          <w:szCs w:val="24"/>
        </w:rPr>
        <w:t>The psychological and its receipt depends on whether it can be scientifically proven which is the case in the discipline of psychology.</w:t>
      </w:r>
      <w:r w:rsidRPr="00871753">
        <w:rPr>
          <w:sz w:val="24"/>
          <w:szCs w:val="24"/>
        </w:rPr>
        <w:t xml:space="preserve"> Psychology gained popularity in the latter half of the 19</w:t>
      </w:r>
      <w:r w:rsidRPr="00871753">
        <w:rPr>
          <w:sz w:val="24"/>
          <w:szCs w:val="24"/>
          <w:vertAlign w:val="superscript"/>
        </w:rPr>
        <w:t>th</w:t>
      </w:r>
      <w:r w:rsidRPr="00871753">
        <w:rPr>
          <w:sz w:val="24"/>
          <w:szCs w:val="24"/>
        </w:rPr>
        <w:t xml:space="preserve"> century and now enjoys extensive popularity and application “with vast cultural currency as well as research and vocational appeal” (Frosh, 2010, p.190). Regarded as the predominant “psy” discipline (Rose, 1998), it occupies a dominant position in health and education services, and management. </w:t>
      </w:r>
      <w:r>
        <w:rPr>
          <w:sz w:val="24"/>
          <w:szCs w:val="24"/>
        </w:rPr>
        <w:t xml:space="preserve">Offering </w:t>
      </w:r>
      <w:r w:rsidRPr="00871753">
        <w:rPr>
          <w:sz w:val="24"/>
          <w:szCs w:val="24"/>
        </w:rPr>
        <w:t>independent and objective information</w:t>
      </w:r>
      <w:r>
        <w:rPr>
          <w:sz w:val="24"/>
          <w:szCs w:val="24"/>
        </w:rPr>
        <w:t xml:space="preserve">, psychology is </w:t>
      </w:r>
      <w:r w:rsidRPr="00871753">
        <w:rPr>
          <w:sz w:val="24"/>
          <w:szCs w:val="24"/>
        </w:rPr>
        <w:t>in keeping with a university system favouring the measurable</w:t>
      </w:r>
      <w:r>
        <w:rPr>
          <w:sz w:val="24"/>
          <w:szCs w:val="24"/>
        </w:rPr>
        <w:t xml:space="preserve"> </w:t>
      </w:r>
      <w:r w:rsidRPr="00871753">
        <w:rPr>
          <w:sz w:val="24"/>
          <w:szCs w:val="24"/>
        </w:rPr>
        <w:t>and metrics</w:t>
      </w:r>
      <w:r>
        <w:rPr>
          <w:sz w:val="24"/>
          <w:szCs w:val="24"/>
        </w:rPr>
        <w:t xml:space="preserve">. Psychoanalysis, by comparison </w:t>
      </w:r>
      <w:r w:rsidRPr="006B0DBE">
        <w:rPr>
          <w:sz w:val="24"/>
          <w:szCs w:val="24"/>
        </w:rPr>
        <w:t>def</w:t>
      </w:r>
      <w:r>
        <w:rPr>
          <w:sz w:val="24"/>
          <w:szCs w:val="24"/>
        </w:rPr>
        <w:t>ies</w:t>
      </w:r>
      <w:r w:rsidRPr="006B0DBE">
        <w:rPr>
          <w:sz w:val="24"/>
          <w:szCs w:val="24"/>
        </w:rPr>
        <w:t xml:space="preserve"> metrics</w:t>
      </w:r>
      <w:r>
        <w:rPr>
          <w:sz w:val="24"/>
          <w:szCs w:val="24"/>
        </w:rPr>
        <w:t xml:space="preserve">: </w:t>
      </w:r>
      <w:r w:rsidRPr="00297EF9">
        <w:rPr>
          <w:sz w:val="24"/>
          <w:szCs w:val="24"/>
        </w:rPr>
        <w:t>“neither inside nor out, neither one discipline nor another - going its own way, speaking from the margins as it always has done” (</w:t>
      </w:r>
      <w:r>
        <w:rPr>
          <w:sz w:val="24"/>
          <w:szCs w:val="24"/>
        </w:rPr>
        <w:t xml:space="preserve">Frosh, 2010, </w:t>
      </w:r>
      <w:r w:rsidRPr="00297EF9">
        <w:rPr>
          <w:sz w:val="24"/>
          <w:szCs w:val="24"/>
        </w:rPr>
        <w:t>p.194).</w:t>
      </w:r>
      <w:r>
        <w:rPr>
          <w:sz w:val="24"/>
          <w:szCs w:val="24"/>
        </w:rPr>
        <w:t xml:space="preserve"> </w:t>
      </w:r>
    </w:p>
    <w:p w14:paraId="0257A90E" w14:textId="6966C947" w:rsidR="002E2ABD" w:rsidRPr="003D4A59" w:rsidRDefault="002E2ABD" w:rsidP="0076086D">
      <w:pPr>
        <w:spacing w:line="360" w:lineRule="auto"/>
        <w:rPr>
          <w:sz w:val="24"/>
          <w:szCs w:val="24"/>
        </w:rPr>
      </w:pPr>
      <w:r>
        <w:rPr>
          <w:sz w:val="24"/>
          <w:szCs w:val="24"/>
        </w:rPr>
        <w:t xml:space="preserve">The </w:t>
      </w:r>
      <w:r w:rsidRPr="00641915">
        <w:rPr>
          <w:sz w:val="24"/>
          <w:szCs w:val="24"/>
        </w:rPr>
        <w:t xml:space="preserve">application </w:t>
      </w:r>
      <w:r>
        <w:rPr>
          <w:sz w:val="24"/>
          <w:szCs w:val="24"/>
        </w:rPr>
        <w:t xml:space="preserve">of psychoanalysis </w:t>
      </w:r>
      <w:r w:rsidRPr="00641915">
        <w:rPr>
          <w:sz w:val="24"/>
          <w:szCs w:val="24"/>
        </w:rPr>
        <w:t xml:space="preserve">beyond the therapy couch </w:t>
      </w:r>
      <w:r>
        <w:rPr>
          <w:sz w:val="24"/>
          <w:szCs w:val="24"/>
        </w:rPr>
        <w:t xml:space="preserve">is </w:t>
      </w:r>
      <w:r w:rsidRPr="00641915">
        <w:rPr>
          <w:sz w:val="24"/>
          <w:szCs w:val="24"/>
        </w:rPr>
        <w:t xml:space="preserve">questionable, and </w:t>
      </w:r>
      <w:r>
        <w:rPr>
          <w:sz w:val="24"/>
          <w:szCs w:val="24"/>
        </w:rPr>
        <w:t xml:space="preserve">seemingly </w:t>
      </w:r>
      <w:r w:rsidRPr="00641915">
        <w:rPr>
          <w:sz w:val="24"/>
          <w:szCs w:val="24"/>
        </w:rPr>
        <w:t xml:space="preserve">undesirable. </w:t>
      </w:r>
      <w:r w:rsidR="00AA70BD">
        <w:rPr>
          <w:sz w:val="24"/>
          <w:szCs w:val="24"/>
        </w:rPr>
        <w:t>However, b</w:t>
      </w:r>
      <w:r>
        <w:rPr>
          <w:sz w:val="24"/>
          <w:szCs w:val="24"/>
        </w:rPr>
        <w:t>eyond his myopic focus on the mother-child relationship</w:t>
      </w:r>
      <w:r w:rsidRPr="001C269A">
        <w:rPr>
          <w:sz w:val="24"/>
          <w:szCs w:val="24"/>
        </w:rPr>
        <w:t xml:space="preserve">, </w:t>
      </w:r>
      <w:r>
        <w:rPr>
          <w:sz w:val="24"/>
          <w:szCs w:val="24"/>
        </w:rPr>
        <w:t>Winnicott’s ideas have the potential to be</w:t>
      </w:r>
      <w:r w:rsidRPr="001C269A">
        <w:rPr>
          <w:sz w:val="24"/>
          <w:szCs w:val="24"/>
        </w:rPr>
        <w:t xml:space="preserve"> the basis fo</w:t>
      </w:r>
      <w:r>
        <w:rPr>
          <w:sz w:val="24"/>
          <w:szCs w:val="24"/>
        </w:rPr>
        <w:t xml:space="preserve">r a </w:t>
      </w:r>
      <w:r w:rsidR="008B442F">
        <w:rPr>
          <w:sz w:val="24"/>
          <w:szCs w:val="24"/>
        </w:rPr>
        <w:t>psycho</w:t>
      </w:r>
      <w:r w:rsidRPr="001C269A">
        <w:rPr>
          <w:sz w:val="24"/>
          <w:szCs w:val="24"/>
        </w:rPr>
        <w:t>social transformation</w:t>
      </w:r>
      <w:r>
        <w:rPr>
          <w:sz w:val="24"/>
          <w:szCs w:val="24"/>
        </w:rPr>
        <w:t xml:space="preserve"> manifesto</w:t>
      </w:r>
      <w:r w:rsidRPr="001C269A">
        <w:rPr>
          <w:sz w:val="24"/>
          <w:szCs w:val="24"/>
        </w:rPr>
        <w:t xml:space="preserve">. A somewhat apolitical figure, not tied to the cultish and ideological views of </w:t>
      </w:r>
      <w:r>
        <w:rPr>
          <w:sz w:val="24"/>
          <w:szCs w:val="24"/>
        </w:rPr>
        <w:t>traditional psychoanalysis</w:t>
      </w:r>
      <w:r w:rsidRPr="001C269A">
        <w:rPr>
          <w:sz w:val="24"/>
          <w:szCs w:val="24"/>
        </w:rPr>
        <w:t xml:space="preserve">, Winnicott sparks debate and reflection upon present day marketisation </w:t>
      </w:r>
      <w:r>
        <w:rPr>
          <w:sz w:val="24"/>
          <w:szCs w:val="24"/>
        </w:rPr>
        <w:t xml:space="preserve">trends </w:t>
      </w:r>
      <w:r w:rsidRPr="001C269A">
        <w:rPr>
          <w:sz w:val="24"/>
          <w:szCs w:val="24"/>
        </w:rPr>
        <w:t xml:space="preserve">that define the current age, systems and politics (Phillips, 2007). Rather than interpreting Winnicott through a critical theory lens, perhaps he can be viewed through a conceptual lens. It is </w:t>
      </w:r>
      <w:r>
        <w:rPr>
          <w:sz w:val="24"/>
          <w:szCs w:val="24"/>
        </w:rPr>
        <w:t>Winnicott</w:t>
      </w:r>
      <w:r w:rsidR="00CD7DD6">
        <w:rPr>
          <w:sz w:val="24"/>
          <w:szCs w:val="24"/>
        </w:rPr>
        <w:t xml:space="preserve">ian </w:t>
      </w:r>
      <w:r w:rsidRPr="001C269A">
        <w:rPr>
          <w:sz w:val="24"/>
          <w:szCs w:val="24"/>
        </w:rPr>
        <w:t xml:space="preserve">concepts </w:t>
      </w:r>
      <w:r>
        <w:rPr>
          <w:sz w:val="24"/>
          <w:szCs w:val="24"/>
        </w:rPr>
        <w:t xml:space="preserve">centring </w:t>
      </w:r>
      <w:r w:rsidRPr="001C269A">
        <w:rPr>
          <w:sz w:val="24"/>
          <w:szCs w:val="24"/>
        </w:rPr>
        <w:t>around relationships</w:t>
      </w:r>
      <w:r>
        <w:rPr>
          <w:sz w:val="24"/>
          <w:szCs w:val="24"/>
        </w:rPr>
        <w:t xml:space="preserve"> and care that are enduring and </w:t>
      </w:r>
      <w:r w:rsidRPr="001C269A">
        <w:rPr>
          <w:sz w:val="24"/>
          <w:szCs w:val="24"/>
        </w:rPr>
        <w:t xml:space="preserve">remind </w:t>
      </w:r>
      <w:r>
        <w:rPr>
          <w:sz w:val="24"/>
          <w:szCs w:val="24"/>
        </w:rPr>
        <w:t xml:space="preserve">educators </w:t>
      </w:r>
      <w:r w:rsidRPr="001C269A">
        <w:rPr>
          <w:sz w:val="24"/>
          <w:szCs w:val="24"/>
        </w:rPr>
        <w:t xml:space="preserve">of the need to hold, carefully, the embryonic </w:t>
      </w:r>
      <w:r>
        <w:rPr>
          <w:sz w:val="24"/>
          <w:szCs w:val="24"/>
        </w:rPr>
        <w:t xml:space="preserve">process of learning for the </w:t>
      </w:r>
      <w:r w:rsidRPr="001C269A">
        <w:rPr>
          <w:sz w:val="24"/>
          <w:szCs w:val="24"/>
        </w:rPr>
        <w:t>student, and, central to this enquiry,</w:t>
      </w:r>
      <w:r>
        <w:rPr>
          <w:sz w:val="24"/>
          <w:szCs w:val="24"/>
        </w:rPr>
        <w:t xml:space="preserve"> the </w:t>
      </w:r>
      <w:r w:rsidRPr="001C269A">
        <w:rPr>
          <w:sz w:val="24"/>
          <w:szCs w:val="24"/>
        </w:rPr>
        <w:t>representative of care who is holding</w:t>
      </w:r>
      <w:r>
        <w:rPr>
          <w:sz w:val="24"/>
          <w:szCs w:val="24"/>
        </w:rPr>
        <w:t xml:space="preserve"> the student</w:t>
      </w:r>
      <w:r w:rsidRPr="001C269A">
        <w:rPr>
          <w:sz w:val="24"/>
          <w:szCs w:val="24"/>
        </w:rPr>
        <w:t>.</w:t>
      </w:r>
      <w:r>
        <w:rPr>
          <w:sz w:val="24"/>
          <w:szCs w:val="24"/>
        </w:rPr>
        <w:t xml:space="preserve"> </w:t>
      </w:r>
      <w:r w:rsidR="00825CBD">
        <w:rPr>
          <w:sz w:val="24"/>
          <w:szCs w:val="24"/>
        </w:rPr>
        <w:t>Looping back to research question 2</w:t>
      </w:r>
      <w:r w:rsidR="008A750C">
        <w:rPr>
          <w:sz w:val="24"/>
          <w:szCs w:val="24"/>
        </w:rPr>
        <w:t xml:space="preserve"> (Table 3)</w:t>
      </w:r>
      <w:r w:rsidR="00136AB4">
        <w:rPr>
          <w:sz w:val="24"/>
          <w:szCs w:val="24"/>
        </w:rPr>
        <w:t>, my</w:t>
      </w:r>
      <w:r w:rsidRPr="001D6B7E">
        <w:rPr>
          <w:sz w:val="24"/>
          <w:szCs w:val="24"/>
        </w:rPr>
        <w:t xml:space="preserve"> attention </w:t>
      </w:r>
      <w:r>
        <w:rPr>
          <w:sz w:val="24"/>
          <w:szCs w:val="24"/>
        </w:rPr>
        <w:t xml:space="preserve">now turns </w:t>
      </w:r>
      <w:r w:rsidRPr="001D6B7E">
        <w:rPr>
          <w:sz w:val="24"/>
          <w:szCs w:val="24"/>
        </w:rPr>
        <w:t xml:space="preserve">to </w:t>
      </w:r>
      <w:r>
        <w:rPr>
          <w:sz w:val="24"/>
          <w:szCs w:val="24"/>
        </w:rPr>
        <w:t>reflective practice</w:t>
      </w:r>
      <w:r w:rsidR="00264DB4">
        <w:rPr>
          <w:sz w:val="24"/>
          <w:szCs w:val="24"/>
        </w:rPr>
        <w:t>, a</w:t>
      </w:r>
      <w:r w:rsidR="00A23B97">
        <w:rPr>
          <w:sz w:val="24"/>
          <w:szCs w:val="24"/>
        </w:rPr>
        <w:t xml:space="preserve"> mandatory </w:t>
      </w:r>
      <w:r w:rsidR="00264DB4">
        <w:rPr>
          <w:sz w:val="24"/>
          <w:szCs w:val="24"/>
        </w:rPr>
        <w:t>component</w:t>
      </w:r>
      <w:r>
        <w:rPr>
          <w:sz w:val="24"/>
          <w:szCs w:val="24"/>
        </w:rPr>
        <w:t xml:space="preserve"> </w:t>
      </w:r>
      <w:r w:rsidR="008714B5">
        <w:rPr>
          <w:sz w:val="24"/>
          <w:szCs w:val="24"/>
        </w:rPr>
        <w:t xml:space="preserve">in </w:t>
      </w:r>
      <w:r>
        <w:rPr>
          <w:sz w:val="24"/>
          <w:szCs w:val="24"/>
        </w:rPr>
        <w:t>the discipline of psychotherap</w:t>
      </w:r>
      <w:r w:rsidR="00246B4A">
        <w:rPr>
          <w:sz w:val="24"/>
          <w:szCs w:val="24"/>
        </w:rPr>
        <w:t>y an</w:t>
      </w:r>
      <w:r w:rsidR="00825CBD">
        <w:rPr>
          <w:sz w:val="24"/>
          <w:szCs w:val="24"/>
        </w:rPr>
        <w:t xml:space="preserve">d </w:t>
      </w:r>
      <w:r w:rsidR="00246B4A">
        <w:rPr>
          <w:sz w:val="24"/>
          <w:szCs w:val="24"/>
        </w:rPr>
        <w:t>health care professions</w:t>
      </w:r>
      <w:r w:rsidR="00825CBD">
        <w:rPr>
          <w:sz w:val="24"/>
          <w:szCs w:val="24"/>
        </w:rPr>
        <w:t>,</w:t>
      </w:r>
      <w:r w:rsidR="00246B4A">
        <w:rPr>
          <w:sz w:val="24"/>
          <w:szCs w:val="24"/>
        </w:rPr>
        <w:t xml:space="preserve"> </w:t>
      </w:r>
      <w:r>
        <w:rPr>
          <w:sz w:val="24"/>
          <w:szCs w:val="24"/>
        </w:rPr>
        <w:t>to</w:t>
      </w:r>
      <w:r w:rsidR="002C1B28">
        <w:rPr>
          <w:sz w:val="24"/>
          <w:szCs w:val="24"/>
        </w:rPr>
        <w:t xml:space="preserve"> discover what role </w:t>
      </w:r>
      <w:r w:rsidR="00A23B97">
        <w:rPr>
          <w:sz w:val="24"/>
          <w:szCs w:val="24"/>
        </w:rPr>
        <w:t xml:space="preserve">reflective practice </w:t>
      </w:r>
      <w:r w:rsidR="002C1B28">
        <w:rPr>
          <w:sz w:val="24"/>
          <w:szCs w:val="24"/>
        </w:rPr>
        <w:t>p</w:t>
      </w:r>
      <w:r w:rsidR="003D4A59">
        <w:rPr>
          <w:sz w:val="24"/>
          <w:szCs w:val="24"/>
        </w:rPr>
        <w:t>l</w:t>
      </w:r>
      <w:r w:rsidR="002C1B28">
        <w:rPr>
          <w:sz w:val="24"/>
          <w:szCs w:val="24"/>
        </w:rPr>
        <w:t>ay</w:t>
      </w:r>
      <w:r w:rsidR="003D4A59">
        <w:rPr>
          <w:sz w:val="24"/>
          <w:szCs w:val="24"/>
        </w:rPr>
        <w:t>s in teaching practic</w:t>
      </w:r>
      <w:r w:rsidR="00300EB7">
        <w:rPr>
          <w:sz w:val="24"/>
          <w:szCs w:val="24"/>
        </w:rPr>
        <w:t>e</w:t>
      </w:r>
      <w:r w:rsidR="007B2D30">
        <w:rPr>
          <w:sz w:val="24"/>
          <w:szCs w:val="24"/>
        </w:rPr>
        <w:t>,</w:t>
      </w:r>
      <w:r w:rsidR="00300EB7">
        <w:rPr>
          <w:sz w:val="24"/>
          <w:szCs w:val="24"/>
        </w:rPr>
        <w:t xml:space="preserve"> and </w:t>
      </w:r>
      <w:r>
        <w:rPr>
          <w:sz w:val="24"/>
          <w:szCs w:val="24"/>
        </w:rPr>
        <w:t xml:space="preserve">if it </w:t>
      </w:r>
      <w:r w:rsidRPr="001D6B7E">
        <w:rPr>
          <w:sz w:val="24"/>
          <w:szCs w:val="24"/>
        </w:rPr>
        <w:t xml:space="preserve">can represent a form of </w:t>
      </w:r>
      <w:r>
        <w:rPr>
          <w:sz w:val="24"/>
          <w:szCs w:val="24"/>
        </w:rPr>
        <w:t xml:space="preserve">holding </w:t>
      </w:r>
      <w:r w:rsidR="009F2538">
        <w:rPr>
          <w:sz w:val="24"/>
          <w:szCs w:val="24"/>
        </w:rPr>
        <w:t xml:space="preserve">(Winnicott, 1965) </w:t>
      </w:r>
      <w:r w:rsidRPr="001D6B7E">
        <w:rPr>
          <w:sz w:val="24"/>
          <w:szCs w:val="24"/>
        </w:rPr>
        <w:t>for the teacher</w:t>
      </w:r>
      <w:r w:rsidRPr="00EE57CB">
        <w:rPr>
          <w:sz w:val="24"/>
          <w:szCs w:val="24"/>
        </w:rPr>
        <w:t xml:space="preserve">. </w:t>
      </w:r>
      <w:r>
        <w:rPr>
          <w:color w:val="FF0000"/>
          <w:sz w:val="24"/>
          <w:szCs w:val="24"/>
        </w:rPr>
        <w:t xml:space="preserve"> </w:t>
      </w:r>
    </w:p>
    <w:p w14:paraId="77FD2A11" w14:textId="476A91F5" w:rsidR="002E2ABD" w:rsidRDefault="007700EB" w:rsidP="00486356">
      <w:pPr>
        <w:rPr>
          <w:b/>
          <w:bCs/>
          <w:sz w:val="24"/>
          <w:szCs w:val="24"/>
        </w:rPr>
      </w:pPr>
      <w:r>
        <w:rPr>
          <w:b/>
          <w:bCs/>
          <w:sz w:val="24"/>
          <w:szCs w:val="24"/>
        </w:rPr>
        <w:lastRenderedPageBreak/>
        <w:t>Introducing reflective practice</w:t>
      </w:r>
    </w:p>
    <w:p w14:paraId="4643BFEB" w14:textId="2104141C" w:rsidR="002E2ABD" w:rsidRPr="00486356" w:rsidRDefault="002E2ABD" w:rsidP="00486356">
      <w:pPr>
        <w:spacing w:line="360" w:lineRule="auto"/>
        <w:rPr>
          <w:b/>
          <w:bCs/>
          <w:sz w:val="24"/>
          <w:szCs w:val="24"/>
        </w:rPr>
      </w:pPr>
      <w:r>
        <w:rPr>
          <w:sz w:val="24"/>
          <w:szCs w:val="24"/>
        </w:rPr>
        <w:t xml:space="preserve">I begin by defining reflective practice and then </w:t>
      </w:r>
      <w:r w:rsidRPr="001D6B7E">
        <w:rPr>
          <w:sz w:val="24"/>
          <w:szCs w:val="24"/>
        </w:rPr>
        <w:t>explore the history of reflective practice in teaching</w:t>
      </w:r>
      <w:r>
        <w:rPr>
          <w:sz w:val="24"/>
          <w:szCs w:val="24"/>
        </w:rPr>
        <w:t>.</w:t>
      </w:r>
      <w:r w:rsidRPr="001D6B7E">
        <w:rPr>
          <w:sz w:val="24"/>
          <w:szCs w:val="24"/>
        </w:rPr>
        <w:t xml:space="preserve"> </w:t>
      </w:r>
      <w:r w:rsidR="00726B4E">
        <w:rPr>
          <w:sz w:val="24"/>
          <w:szCs w:val="24"/>
        </w:rPr>
        <w:t xml:space="preserve">Subsequently, </w:t>
      </w:r>
      <w:r w:rsidRPr="001D6B7E">
        <w:rPr>
          <w:sz w:val="24"/>
          <w:szCs w:val="24"/>
        </w:rPr>
        <w:t xml:space="preserve">I </w:t>
      </w:r>
      <w:r>
        <w:rPr>
          <w:sz w:val="24"/>
          <w:szCs w:val="24"/>
        </w:rPr>
        <w:t xml:space="preserve">examine </w:t>
      </w:r>
      <w:r w:rsidRPr="001D6B7E">
        <w:rPr>
          <w:sz w:val="24"/>
          <w:szCs w:val="24"/>
        </w:rPr>
        <w:t>if reflective practice</w:t>
      </w:r>
      <w:r>
        <w:rPr>
          <w:sz w:val="24"/>
          <w:szCs w:val="24"/>
        </w:rPr>
        <w:t xml:space="preserve"> is </w:t>
      </w:r>
      <w:r w:rsidRPr="005E51F1">
        <w:rPr>
          <w:sz w:val="24"/>
          <w:szCs w:val="24"/>
        </w:rPr>
        <w:t xml:space="preserve">taken seriously by </w:t>
      </w:r>
      <w:r>
        <w:rPr>
          <w:sz w:val="24"/>
          <w:szCs w:val="24"/>
        </w:rPr>
        <w:t xml:space="preserve">HE </w:t>
      </w:r>
      <w:r w:rsidRPr="005E51F1">
        <w:rPr>
          <w:sz w:val="24"/>
          <w:szCs w:val="24"/>
        </w:rPr>
        <w:t>administration as a model for emancipation</w:t>
      </w:r>
      <w:r>
        <w:rPr>
          <w:sz w:val="24"/>
          <w:szCs w:val="24"/>
        </w:rPr>
        <w:t>,</w:t>
      </w:r>
      <w:r w:rsidRPr="005E51F1">
        <w:rPr>
          <w:sz w:val="24"/>
          <w:szCs w:val="24"/>
        </w:rPr>
        <w:t xml:space="preserve"> change</w:t>
      </w:r>
      <w:r>
        <w:rPr>
          <w:sz w:val="24"/>
          <w:szCs w:val="24"/>
        </w:rPr>
        <w:t xml:space="preserve"> and well-being. </w:t>
      </w:r>
      <w:r w:rsidRPr="00C238B0">
        <w:rPr>
          <w:sz w:val="24"/>
          <w:szCs w:val="24"/>
        </w:rPr>
        <w:t xml:space="preserve">Amidst the mental health crisis permeating education (Hughes and Spanner, 2019) the effectiveness of reflective practice as a teacher centred solution to some of the </w:t>
      </w:r>
      <w:r>
        <w:rPr>
          <w:sz w:val="24"/>
          <w:szCs w:val="24"/>
        </w:rPr>
        <w:t xml:space="preserve">emotional </w:t>
      </w:r>
      <w:r w:rsidRPr="00C238B0">
        <w:rPr>
          <w:sz w:val="24"/>
          <w:szCs w:val="24"/>
        </w:rPr>
        <w:t xml:space="preserve">well-being needs of teachers is considered. Furthermore, supervision </w:t>
      </w:r>
      <w:r>
        <w:rPr>
          <w:sz w:val="24"/>
          <w:szCs w:val="24"/>
        </w:rPr>
        <w:t>as a</w:t>
      </w:r>
      <w:r w:rsidRPr="00C238B0">
        <w:rPr>
          <w:sz w:val="24"/>
          <w:szCs w:val="24"/>
        </w:rPr>
        <w:t xml:space="preserve"> hold</w:t>
      </w:r>
      <w:r>
        <w:rPr>
          <w:sz w:val="24"/>
          <w:szCs w:val="24"/>
        </w:rPr>
        <w:t xml:space="preserve">ing mechanism </w:t>
      </w:r>
      <w:r w:rsidR="009F2538">
        <w:rPr>
          <w:sz w:val="24"/>
          <w:szCs w:val="24"/>
        </w:rPr>
        <w:t xml:space="preserve">(Winnicott, 1965) </w:t>
      </w:r>
      <w:r w:rsidR="00726B4E">
        <w:rPr>
          <w:sz w:val="24"/>
          <w:szCs w:val="24"/>
        </w:rPr>
        <w:t xml:space="preserve">for </w:t>
      </w:r>
      <w:r w:rsidR="00726B4E" w:rsidRPr="00C238B0">
        <w:rPr>
          <w:sz w:val="24"/>
          <w:szCs w:val="24"/>
        </w:rPr>
        <w:t>the</w:t>
      </w:r>
      <w:r w:rsidRPr="00C238B0">
        <w:rPr>
          <w:sz w:val="24"/>
          <w:szCs w:val="24"/>
        </w:rPr>
        <w:t xml:space="preserve"> process of reflective practice is critically examined.</w:t>
      </w:r>
    </w:p>
    <w:p w14:paraId="302680F3" w14:textId="77777777" w:rsidR="002E2ABD" w:rsidRPr="009A30E6" w:rsidRDefault="002E2ABD" w:rsidP="001D6B7E">
      <w:pPr>
        <w:rPr>
          <w:b/>
          <w:bCs/>
          <w:sz w:val="24"/>
          <w:szCs w:val="24"/>
        </w:rPr>
      </w:pPr>
      <w:r w:rsidRPr="009A30E6">
        <w:rPr>
          <w:b/>
          <w:bCs/>
          <w:sz w:val="24"/>
          <w:szCs w:val="24"/>
        </w:rPr>
        <w:t>Defining reflective practice</w:t>
      </w:r>
    </w:p>
    <w:p w14:paraId="502DB74E" w14:textId="6AC7D4D2" w:rsidR="002E2ABD" w:rsidRPr="007D38E7" w:rsidRDefault="002E2ABD" w:rsidP="003A19F5">
      <w:pPr>
        <w:spacing w:line="360" w:lineRule="auto"/>
        <w:rPr>
          <w:sz w:val="24"/>
          <w:szCs w:val="24"/>
        </w:rPr>
      </w:pPr>
      <w:r w:rsidRPr="00830C5C">
        <w:rPr>
          <w:sz w:val="24"/>
          <w:szCs w:val="24"/>
        </w:rPr>
        <w:t xml:space="preserve">Amidst the abundance </w:t>
      </w:r>
      <w:r>
        <w:rPr>
          <w:sz w:val="24"/>
          <w:szCs w:val="24"/>
        </w:rPr>
        <w:t xml:space="preserve">of </w:t>
      </w:r>
      <w:r w:rsidRPr="00830C5C">
        <w:rPr>
          <w:sz w:val="24"/>
          <w:szCs w:val="24"/>
        </w:rPr>
        <w:t>definitions</w:t>
      </w:r>
      <w:r>
        <w:rPr>
          <w:sz w:val="24"/>
          <w:szCs w:val="24"/>
        </w:rPr>
        <w:t>, frameworks and taxonomies</w:t>
      </w:r>
      <w:r w:rsidRPr="00830C5C">
        <w:rPr>
          <w:sz w:val="24"/>
          <w:szCs w:val="24"/>
        </w:rPr>
        <w:t xml:space="preserve"> espoused in the literature</w:t>
      </w:r>
      <w:r>
        <w:rPr>
          <w:sz w:val="24"/>
          <w:szCs w:val="24"/>
        </w:rPr>
        <w:t xml:space="preserve"> (Appendix A)</w:t>
      </w:r>
      <w:r w:rsidRPr="00830C5C">
        <w:rPr>
          <w:sz w:val="24"/>
          <w:szCs w:val="24"/>
        </w:rPr>
        <w:t xml:space="preserve">, </w:t>
      </w:r>
      <w:r>
        <w:rPr>
          <w:sz w:val="24"/>
          <w:szCs w:val="24"/>
        </w:rPr>
        <w:t>generically scholars in the field view r</w:t>
      </w:r>
      <w:r w:rsidRPr="00830C5C">
        <w:rPr>
          <w:sz w:val="24"/>
          <w:szCs w:val="24"/>
        </w:rPr>
        <w:t xml:space="preserve">eflective practice </w:t>
      </w:r>
      <w:r>
        <w:rPr>
          <w:sz w:val="24"/>
          <w:szCs w:val="24"/>
        </w:rPr>
        <w:t>as</w:t>
      </w:r>
      <w:r w:rsidRPr="00830C5C">
        <w:rPr>
          <w:sz w:val="24"/>
          <w:szCs w:val="24"/>
        </w:rPr>
        <w:t xml:space="preserve"> </w:t>
      </w:r>
      <w:r w:rsidRPr="00262DBE">
        <w:rPr>
          <w:sz w:val="24"/>
          <w:szCs w:val="24"/>
        </w:rPr>
        <w:t>a deliberate enquiry into professional practice undertaken by the teacher</w:t>
      </w:r>
      <w:r>
        <w:rPr>
          <w:sz w:val="24"/>
          <w:szCs w:val="24"/>
        </w:rPr>
        <w:t xml:space="preserve">. It is a </w:t>
      </w:r>
      <w:r w:rsidRPr="00830C5C">
        <w:rPr>
          <w:sz w:val="24"/>
          <w:szCs w:val="24"/>
        </w:rPr>
        <w:t xml:space="preserve">process of contemplating, evaluating and learning from experience through which new </w:t>
      </w:r>
      <w:r>
        <w:rPr>
          <w:sz w:val="24"/>
          <w:szCs w:val="24"/>
        </w:rPr>
        <w:t xml:space="preserve">personal and practice </w:t>
      </w:r>
      <w:r w:rsidRPr="00830C5C">
        <w:rPr>
          <w:sz w:val="24"/>
          <w:szCs w:val="24"/>
        </w:rPr>
        <w:t xml:space="preserve">insights are achieved to improve future practice (Boud </w:t>
      </w:r>
      <w:r w:rsidR="00FB3A6E" w:rsidRPr="00FB3A6E">
        <w:rPr>
          <w:i/>
          <w:sz w:val="24"/>
          <w:szCs w:val="24"/>
        </w:rPr>
        <w:t>et al.</w:t>
      </w:r>
      <w:r w:rsidRPr="00830C5C">
        <w:rPr>
          <w:sz w:val="24"/>
          <w:szCs w:val="24"/>
        </w:rPr>
        <w:t xml:space="preserve">, 1985; Boyd and Fales, 1983; </w:t>
      </w:r>
      <w:r w:rsidRPr="00497C95">
        <w:rPr>
          <w:sz w:val="24"/>
          <w:szCs w:val="24"/>
        </w:rPr>
        <w:t>Jarvis, 1992</w:t>
      </w:r>
      <w:r>
        <w:rPr>
          <w:sz w:val="24"/>
          <w:szCs w:val="24"/>
        </w:rPr>
        <w:t xml:space="preserve">; </w:t>
      </w:r>
      <w:r w:rsidRPr="00830C5C">
        <w:rPr>
          <w:sz w:val="24"/>
          <w:szCs w:val="24"/>
        </w:rPr>
        <w:t>Mezirow, 1981).</w:t>
      </w:r>
      <w:r w:rsidRPr="00F8595D">
        <w:rPr>
          <w:sz w:val="24"/>
          <w:szCs w:val="24"/>
        </w:rPr>
        <w:t xml:space="preserve"> </w:t>
      </w:r>
    </w:p>
    <w:p w14:paraId="04DDFAB0" w14:textId="77777777" w:rsidR="002E2ABD" w:rsidRPr="004C58FA" w:rsidRDefault="002E2ABD" w:rsidP="001D6B7E">
      <w:pPr>
        <w:rPr>
          <w:b/>
          <w:bCs/>
          <w:sz w:val="24"/>
          <w:szCs w:val="24"/>
        </w:rPr>
      </w:pPr>
      <w:r w:rsidRPr="004C58FA">
        <w:rPr>
          <w:b/>
          <w:bCs/>
          <w:sz w:val="24"/>
          <w:szCs w:val="24"/>
        </w:rPr>
        <w:t>History of reflective practice</w:t>
      </w:r>
    </w:p>
    <w:p w14:paraId="52E6F320" w14:textId="655C6856" w:rsidR="002E2ABD" w:rsidRPr="001D6B7E" w:rsidRDefault="002E2ABD" w:rsidP="00605C61">
      <w:pPr>
        <w:spacing w:line="360" w:lineRule="auto"/>
        <w:rPr>
          <w:sz w:val="24"/>
          <w:szCs w:val="24"/>
        </w:rPr>
      </w:pPr>
      <w:r>
        <w:rPr>
          <w:sz w:val="24"/>
          <w:szCs w:val="24"/>
        </w:rPr>
        <w:t xml:space="preserve">John </w:t>
      </w:r>
      <w:r w:rsidRPr="001D6B7E">
        <w:rPr>
          <w:sz w:val="24"/>
          <w:szCs w:val="24"/>
        </w:rPr>
        <w:t xml:space="preserve">Dewey (1859-1952) was one of the first educators to </w:t>
      </w:r>
      <w:r w:rsidRPr="00570A81">
        <w:rPr>
          <w:sz w:val="24"/>
          <w:szCs w:val="24"/>
        </w:rPr>
        <w:t xml:space="preserve">identify education as a prime site for social reform and </w:t>
      </w:r>
      <w:r>
        <w:rPr>
          <w:sz w:val="24"/>
          <w:szCs w:val="24"/>
        </w:rPr>
        <w:t xml:space="preserve">to </w:t>
      </w:r>
      <w:r w:rsidRPr="00570A81">
        <w:rPr>
          <w:sz w:val="24"/>
          <w:szCs w:val="24"/>
        </w:rPr>
        <w:t>name teachers as providers of a social service (Dewey, 1910).</w:t>
      </w:r>
      <w:r w:rsidRPr="001D6B7E">
        <w:rPr>
          <w:sz w:val="24"/>
          <w:szCs w:val="24"/>
        </w:rPr>
        <w:t xml:space="preserve"> Advocating reflection as</w:t>
      </w:r>
      <w:r>
        <w:rPr>
          <w:sz w:val="24"/>
          <w:szCs w:val="24"/>
        </w:rPr>
        <w:t xml:space="preserve"> a pedagogical method to enhance democracy and</w:t>
      </w:r>
      <w:r w:rsidRPr="001D6B7E">
        <w:rPr>
          <w:sz w:val="24"/>
          <w:szCs w:val="24"/>
        </w:rPr>
        <w:t xml:space="preserve"> self-knowledge, reflection </w:t>
      </w:r>
      <w:r>
        <w:rPr>
          <w:sz w:val="24"/>
          <w:szCs w:val="24"/>
        </w:rPr>
        <w:t xml:space="preserve">was defined as </w:t>
      </w:r>
      <w:r w:rsidRPr="001D6B7E">
        <w:rPr>
          <w:sz w:val="24"/>
          <w:szCs w:val="24"/>
        </w:rPr>
        <w:t>a specialised form of thinking involving the active evaluation of beliefs and forms of knowledge</w:t>
      </w:r>
      <w:r>
        <w:rPr>
          <w:sz w:val="24"/>
          <w:szCs w:val="24"/>
        </w:rPr>
        <w:t xml:space="preserve"> (Dewey, 1933)</w:t>
      </w:r>
      <w:r w:rsidRPr="001D6B7E">
        <w:rPr>
          <w:sz w:val="24"/>
          <w:szCs w:val="24"/>
        </w:rPr>
        <w:t xml:space="preserve">. </w:t>
      </w:r>
      <w:r w:rsidRPr="006B7215">
        <w:rPr>
          <w:sz w:val="24"/>
          <w:szCs w:val="24"/>
        </w:rPr>
        <w:t>Dewey’s ideas contrasted with the hitherto positivist paradigm with its</w:t>
      </w:r>
      <w:r>
        <w:rPr>
          <w:sz w:val="24"/>
          <w:szCs w:val="24"/>
        </w:rPr>
        <w:t xml:space="preserve"> linear </w:t>
      </w:r>
      <w:r w:rsidRPr="006B7215">
        <w:rPr>
          <w:sz w:val="24"/>
          <w:szCs w:val="24"/>
        </w:rPr>
        <w:t>way of thinking, conducting research</w:t>
      </w:r>
      <w:r w:rsidR="00D74281">
        <w:rPr>
          <w:sz w:val="24"/>
          <w:szCs w:val="24"/>
        </w:rPr>
        <w:t xml:space="preserve"> </w:t>
      </w:r>
      <w:r w:rsidRPr="006B7215">
        <w:rPr>
          <w:sz w:val="24"/>
          <w:szCs w:val="24"/>
        </w:rPr>
        <w:t>and implementing practice</w:t>
      </w:r>
      <w:r w:rsidR="00EF53BE">
        <w:rPr>
          <w:sz w:val="24"/>
          <w:szCs w:val="24"/>
        </w:rPr>
        <w:t xml:space="preserve"> (Schultz, 2022</w:t>
      </w:r>
      <w:r w:rsidR="006C51DC">
        <w:rPr>
          <w:sz w:val="24"/>
          <w:szCs w:val="24"/>
        </w:rPr>
        <w:t>a</w:t>
      </w:r>
      <w:r w:rsidR="00EF53BE">
        <w:rPr>
          <w:sz w:val="24"/>
          <w:szCs w:val="24"/>
        </w:rPr>
        <w:t>)</w:t>
      </w:r>
      <w:r w:rsidRPr="006B7215">
        <w:rPr>
          <w:sz w:val="24"/>
          <w:szCs w:val="24"/>
        </w:rPr>
        <w:t xml:space="preserve">. </w:t>
      </w:r>
      <w:r w:rsidRPr="001D6B7E">
        <w:rPr>
          <w:sz w:val="24"/>
          <w:szCs w:val="24"/>
        </w:rPr>
        <w:t>As Fleck (2012) points out, ref</w:t>
      </w:r>
      <w:r>
        <w:rPr>
          <w:sz w:val="24"/>
          <w:szCs w:val="24"/>
        </w:rPr>
        <w:t>l</w:t>
      </w:r>
      <w:r w:rsidRPr="001D6B7E">
        <w:rPr>
          <w:sz w:val="24"/>
          <w:szCs w:val="24"/>
        </w:rPr>
        <w:t>ection is n</w:t>
      </w:r>
      <w:r>
        <w:rPr>
          <w:sz w:val="24"/>
          <w:szCs w:val="24"/>
        </w:rPr>
        <w:t>either</w:t>
      </w:r>
      <w:r w:rsidRPr="001D6B7E">
        <w:rPr>
          <w:sz w:val="24"/>
          <w:szCs w:val="24"/>
        </w:rPr>
        <w:t xml:space="preserve"> linear, nor uniform, nor homogenous.</w:t>
      </w:r>
      <w:r>
        <w:rPr>
          <w:sz w:val="24"/>
          <w:szCs w:val="24"/>
        </w:rPr>
        <w:t xml:space="preserve"> </w:t>
      </w:r>
      <w:r w:rsidRPr="001D6B7E">
        <w:rPr>
          <w:sz w:val="24"/>
          <w:szCs w:val="24"/>
        </w:rPr>
        <w:t xml:space="preserve">Donald </w:t>
      </w:r>
      <w:r>
        <w:rPr>
          <w:sz w:val="24"/>
          <w:szCs w:val="24"/>
        </w:rPr>
        <w:t>Sch</w:t>
      </w:r>
      <w:r>
        <w:rPr>
          <w:rFonts w:cstheme="minorHAnsi"/>
          <w:sz w:val="24"/>
          <w:szCs w:val="24"/>
        </w:rPr>
        <w:t>ὂn</w:t>
      </w:r>
      <w:r w:rsidRPr="001D6B7E">
        <w:rPr>
          <w:sz w:val="24"/>
          <w:szCs w:val="24"/>
        </w:rPr>
        <w:t xml:space="preserve"> (1930-1997)</w:t>
      </w:r>
      <w:r>
        <w:rPr>
          <w:sz w:val="24"/>
          <w:szCs w:val="24"/>
        </w:rPr>
        <w:t xml:space="preserve"> </w:t>
      </w:r>
      <w:r w:rsidRPr="001D6B7E">
        <w:rPr>
          <w:sz w:val="24"/>
          <w:szCs w:val="24"/>
        </w:rPr>
        <w:t xml:space="preserve">extended Dewey’s ideas </w:t>
      </w:r>
      <w:r>
        <w:rPr>
          <w:sz w:val="24"/>
          <w:szCs w:val="24"/>
        </w:rPr>
        <w:t xml:space="preserve">to foreground the reflective practitioner and </w:t>
      </w:r>
      <w:r w:rsidRPr="001D6B7E">
        <w:rPr>
          <w:sz w:val="24"/>
          <w:szCs w:val="24"/>
        </w:rPr>
        <w:t xml:space="preserve">reflective practice as </w:t>
      </w:r>
      <w:r>
        <w:rPr>
          <w:sz w:val="24"/>
          <w:szCs w:val="24"/>
        </w:rPr>
        <w:t xml:space="preserve">a process. He developed </w:t>
      </w:r>
      <w:r w:rsidRPr="001D6B7E">
        <w:rPr>
          <w:sz w:val="24"/>
          <w:szCs w:val="24"/>
        </w:rPr>
        <w:t>concepts of reflection</w:t>
      </w:r>
      <w:r w:rsidR="00A4433F">
        <w:rPr>
          <w:sz w:val="24"/>
          <w:szCs w:val="24"/>
        </w:rPr>
        <w:t>-</w:t>
      </w:r>
      <w:r w:rsidRPr="001D6B7E">
        <w:rPr>
          <w:sz w:val="24"/>
          <w:szCs w:val="24"/>
        </w:rPr>
        <w:t>in</w:t>
      </w:r>
      <w:r w:rsidR="00A32397">
        <w:rPr>
          <w:sz w:val="24"/>
          <w:szCs w:val="24"/>
        </w:rPr>
        <w:t>-</w:t>
      </w:r>
      <w:r w:rsidRPr="001D6B7E">
        <w:rPr>
          <w:sz w:val="24"/>
          <w:szCs w:val="24"/>
        </w:rPr>
        <w:t>action and reflection</w:t>
      </w:r>
      <w:r w:rsidR="00A32397">
        <w:rPr>
          <w:sz w:val="24"/>
          <w:szCs w:val="24"/>
        </w:rPr>
        <w:t>-</w:t>
      </w:r>
      <w:r w:rsidRPr="001D6B7E">
        <w:rPr>
          <w:sz w:val="24"/>
          <w:szCs w:val="24"/>
        </w:rPr>
        <w:t>on</w:t>
      </w:r>
      <w:r w:rsidR="002C0C47">
        <w:rPr>
          <w:sz w:val="24"/>
          <w:szCs w:val="24"/>
        </w:rPr>
        <w:t>-</w:t>
      </w:r>
      <w:r w:rsidRPr="001D6B7E">
        <w:rPr>
          <w:sz w:val="24"/>
          <w:szCs w:val="24"/>
        </w:rPr>
        <w:t>action</w:t>
      </w:r>
      <w:r>
        <w:rPr>
          <w:sz w:val="24"/>
          <w:szCs w:val="24"/>
        </w:rPr>
        <w:t xml:space="preserve"> (Schὂn, 1983) and </w:t>
      </w:r>
      <w:r w:rsidRPr="001D6B7E">
        <w:rPr>
          <w:sz w:val="24"/>
          <w:szCs w:val="24"/>
        </w:rPr>
        <w:t xml:space="preserve">proposed practitioners should develop </w:t>
      </w:r>
      <w:r>
        <w:rPr>
          <w:sz w:val="24"/>
          <w:szCs w:val="24"/>
        </w:rPr>
        <w:t xml:space="preserve">professional </w:t>
      </w:r>
      <w:r w:rsidRPr="001D6B7E">
        <w:rPr>
          <w:sz w:val="24"/>
          <w:szCs w:val="24"/>
        </w:rPr>
        <w:t xml:space="preserve">artistry in their own profession </w:t>
      </w:r>
      <w:r>
        <w:rPr>
          <w:sz w:val="24"/>
          <w:szCs w:val="24"/>
        </w:rPr>
        <w:t xml:space="preserve">by </w:t>
      </w:r>
      <w:r w:rsidRPr="001D6B7E">
        <w:rPr>
          <w:sz w:val="24"/>
          <w:szCs w:val="24"/>
        </w:rPr>
        <w:t>observing and learning through reflection (</w:t>
      </w:r>
      <w:r>
        <w:rPr>
          <w:sz w:val="24"/>
          <w:szCs w:val="24"/>
        </w:rPr>
        <w:t>Schὂn</w:t>
      </w:r>
      <w:r w:rsidRPr="001D6B7E">
        <w:rPr>
          <w:sz w:val="24"/>
          <w:szCs w:val="24"/>
        </w:rPr>
        <w:t xml:space="preserve">, 1983; 1987). </w:t>
      </w:r>
    </w:p>
    <w:p w14:paraId="0109ED84" w14:textId="504B3348" w:rsidR="002E2ABD" w:rsidRDefault="002E2ABD" w:rsidP="00605C61">
      <w:pPr>
        <w:spacing w:line="360" w:lineRule="auto"/>
        <w:rPr>
          <w:sz w:val="24"/>
          <w:szCs w:val="24"/>
        </w:rPr>
      </w:pPr>
      <w:r>
        <w:rPr>
          <w:sz w:val="24"/>
          <w:szCs w:val="24"/>
        </w:rPr>
        <w:t>Nowadays, r</w:t>
      </w:r>
      <w:r w:rsidRPr="001D162C">
        <w:rPr>
          <w:sz w:val="24"/>
          <w:szCs w:val="24"/>
        </w:rPr>
        <w:t xml:space="preserve">eflection is considered core to professional development (Fry </w:t>
      </w:r>
      <w:r w:rsidR="00FB3A6E" w:rsidRPr="00FB3A6E">
        <w:rPr>
          <w:i/>
          <w:sz w:val="24"/>
          <w:szCs w:val="24"/>
        </w:rPr>
        <w:t>et al.</w:t>
      </w:r>
      <w:r w:rsidRPr="001D162C">
        <w:rPr>
          <w:sz w:val="24"/>
          <w:szCs w:val="24"/>
        </w:rPr>
        <w:t>,</w:t>
      </w:r>
      <w:r w:rsidRPr="001D162C">
        <w:rPr>
          <w:i/>
          <w:iCs/>
          <w:sz w:val="24"/>
          <w:szCs w:val="24"/>
        </w:rPr>
        <w:t xml:space="preserve"> </w:t>
      </w:r>
      <w:r w:rsidRPr="001D162C">
        <w:rPr>
          <w:sz w:val="24"/>
          <w:szCs w:val="24"/>
        </w:rPr>
        <w:t>2006)</w:t>
      </w:r>
      <w:r>
        <w:rPr>
          <w:sz w:val="24"/>
          <w:szCs w:val="24"/>
        </w:rPr>
        <w:t>, however</w:t>
      </w:r>
      <w:r w:rsidRPr="001D162C">
        <w:rPr>
          <w:sz w:val="24"/>
          <w:szCs w:val="24"/>
        </w:rPr>
        <w:t xml:space="preserve"> </w:t>
      </w:r>
      <w:r>
        <w:rPr>
          <w:sz w:val="24"/>
          <w:szCs w:val="24"/>
        </w:rPr>
        <w:t>i</w:t>
      </w:r>
      <w:r w:rsidRPr="00F522AC">
        <w:rPr>
          <w:sz w:val="24"/>
          <w:szCs w:val="24"/>
        </w:rPr>
        <w:t>t took almost a century for</w:t>
      </w:r>
      <w:r>
        <w:rPr>
          <w:sz w:val="24"/>
          <w:szCs w:val="24"/>
        </w:rPr>
        <w:t xml:space="preserve"> </w:t>
      </w:r>
      <w:r w:rsidR="00347996">
        <w:rPr>
          <w:sz w:val="24"/>
          <w:szCs w:val="24"/>
        </w:rPr>
        <w:t>reflective practice</w:t>
      </w:r>
      <w:r>
        <w:rPr>
          <w:sz w:val="24"/>
          <w:szCs w:val="24"/>
        </w:rPr>
        <w:t xml:space="preserve"> </w:t>
      </w:r>
      <w:r w:rsidRPr="00F522AC">
        <w:rPr>
          <w:sz w:val="24"/>
          <w:szCs w:val="24"/>
        </w:rPr>
        <w:t xml:space="preserve">to be considered as </w:t>
      </w:r>
      <w:r>
        <w:rPr>
          <w:sz w:val="24"/>
          <w:szCs w:val="24"/>
        </w:rPr>
        <w:t xml:space="preserve">a </w:t>
      </w:r>
      <w:r w:rsidRPr="00F522AC">
        <w:rPr>
          <w:sz w:val="24"/>
          <w:szCs w:val="24"/>
        </w:rPr>
        <w:t xml:space="preserve">valid notion of </w:t>
      </w:r>
      <w:r w:rsidRPr="00F522AC">
        <w:rPr>
          <w:sz w:val="24"/>
          <w:szCs w:val="24"/>
        </w:rPr>
        <w:lastRenderedPageBreak/>
        <w:t xml:space="preserve">teaching praxis. </w:t>
      </w:r>
      <w:r w:rsidRPr="001D6B7E">
        <w:rPr>
          <w:sz w:val="24"/>
          <w:szCs w:val="24"/>
        </w:rPr>
        <w:t>Reflecti</w:t>
      </w:r>
      <w:r>
        <w:rPr>
          <w:sz w:val="24"/>
          <w:szCs w:val="24"/>
        </w:rPr>
        <w:t xml:space="preserve">on in teaching has been </w:t>
      </w:r>
      <w:r w:rsidRPr="001D6B7E">
        <w:rPr>
          <w:sz w:val="24"/>
          <w:szCs w:val="24"/>
        </w:rPr>
        <w:t xml:space="preserve">espoused by a small number of </w:t>
      </w:r>
      <w:r>
        <w:rPr>
          <w:sz w:val="24"/>
          <w:szCs w:val="24"/>
        </w:rPr>
        <w:t xml:space="preserve">modern-day </w:t>
      </w:r>
      <w:r w:rsidRPr="001D6B7E">
        <w:rPr>
          <w:sz w:val="24"/>
          <w:szCs w:val="24"/>
        </w:rPr>
        <w:t>international scholars such as</w:t>
      </w:r>
      <w:r w:rsidRPr="00780680">
        <w:rPr>
          <w:sz w:val="24"/>
          <w:szCs w:val="24"/>
        </w:rPr>
        <w:t xml:space="preserve"> Biggs and Tang (2007)</w:t>
      </w:r>
      <w:r>
        <w:rPr>
          <w:sz w:val="24"/>
          <w:szCs w:val="24"/>
        </w:rPr>
        <w:t>,</w:t>
      </w:r>
      <w:r w:rsidRPr="00C92694">
        <w:rPr>
          <w:sz w:val="24"/>
          <w:szCs w:val="24"/>
        </w:rPr>
        <w:t xml:space="preserve"> Boud and Walker (1991</w:t>
      </w:r>
      <w:r>
        <w:rPr>
          <w:sz w:val="24"/>
          <w:szCs w:val="24"/>
        </w:rPr>
        <w:t>; 1998</w:t>
      </w:r>
      <w:r w:rsidRPr="00C92694">
        <w:rPr>
          <w:sz w:val="24"/>
          <w:szCs w:val="24"/>
        </w:rPr>
        <w:t>),</w:t>
      </w:r>
      <w:r w:rsidRPr="00D901EB">
        <w:rPr>
          <w:sz w:val="24"/>
          <w:szCs w:val="24"/>
        </w:rPr>
        <w:t xml:space="preserve"> Brookfield (1995),</w:t>
      </w:r>
      <w:r w:rsidRPr="001D6B7E">
        <w:rPr>
          <w:sz w:val="24"/>
          <w:szCs w:val="24"/>
        </w:rPr>
        <w:t xml:space="preserve"> Feiman (1979</w:t>
      </w:r>
      <w:r w:rsidRPr="00780680">
        <w:rPr>
          <w:sz w:val="24"/>
          <w:szCs w:val="24"/>
        </w:rPr>
        <w:t>)</w:t>
      </w:r>
      <w:r>
        <w:rPr>
          <w:sz w:val="24"/>
          <w:szCs w:val="24"/>
        </w:rPr>
        <w:t>,</w:t>
      </w:r>
      <w:r w:rsidRPr="00780680">
        <w:rPr>
          <w:sz w:val="24"/>
          <w:szCs w:val="24"/>
        </w:rPr>
        <w:t xml:space="preserve"> Fish </w:t>
      </w:r>
      <w:r w:rsidR="00FB3A6E" w:rsidRPr="00FB3A6E">
        <w:rPr>
          <w:i/>
          <w:sz w:val="24"/>
          <w:szCs w:val="24"/>
        </w:rPr>
        <w:t>et al.</w:t>
      </w:r>
      <w:r>
        <w:rPr>
          <w:sz w:val="24"/>
          <w:szCs w:val="24"/>
        </w:rPr>
        <w:t xml:space="preserve"> </w:t>
      </w:r>
      <w:r w:rsidRPr="00780680">
        <w:rPr>
          <w:sz w:val="24"/>
          <w:szCs w:val="24"/>
        </w:rPr>
        <w:t>(1989;1991</w:t>
      </w:r>
      <w:r>
        <w:rPr>
          <w:sz w:val="24"/>
          <w:szCs w:val="24"/>
        </w:rPr>
        <w:t>;1998)</w:t>
      </w:r>
      <w:r w:rsidRPr="00780680">
        <w:rPr>
          <w:sz w:val="24"/>
          <w:szCs w:val="24"/>
        </w:rPr>
        <w:t>, Gibbs (1988), Kolb</w:t>
      </w:r>
      <w:r w:rsidRPr="001D6B7E">
        <w:rPr>
          <w:sz w:val="24"/>
          <w:szCs w:val="24"/>
        </w:rPr>
        <w:t xml:space="preserve"> (1984), Korthagen</w:t>
      </w:r>
      <w:r>
        <w:rPr>
          <w:sz w:val="24"/>
          <w:szCs w:val="24"/>
        </w:rPr>
        <w:t xml:space="preserve"> </w:t>
      </w:r>
      <w:r w:rsidRPr="001D6B7E">
        <w:rPr>
          <w:sz w:val="24"/>
          <w:szCs w:val="24"/>
        </w:rPr>
        <w:t>(1985</w:t>
      </w:r>
      <w:r>
        <w:rPr>
          <w:sz w:val="24"/>
          <w:szCs w:val="24"/>
        </w:rPr>
        <w:t>; 2001;2017</w:t>
      </w:r>
      <w:r w:rsidRPr="001D6B7E">
        <w:rPr>
          <w:sz w:val="24"/>
          <w:szCs w:val="24"/>
        </w:rPr>
        <w:t>), Tom (1985)</w:t>
      </w:r>
      <w:r>
        <w:rPr>
          <w:sz w:val="24"/>
          <w:szCs w:val="24"/>
        </w:rPr>
        <w:t xml:space="preserve"> and </w:t>
      </w:r>
      <w:r w:rsidRPr="001D6B7E">
        <w:rPr>
          <w:sz w:val="24"/>
          <w:szCs w:val="24"/>
        </w:rPr>
        <w:t xml:space="preserve">Zeichner and Liston </w:t>
      </w:r>
      <w:r>
        <w:rPr>
          <w:sz w:val="24"/>
          <w:szCs w:val="24"/>
        </w:rPr>
        <w:t>(</w:t>
      </w:r>
      <w:r w:rsidRPr="001D6B7E">
        <w:rPr>
          <w:sz w:val="24"/>
          <w:szCs w:val="24"/>
        </w:rPr>
        <w:t>1987</w:t>
      </w:r>
      <w:r>
        <w:rPr>
          <w:sz w:val="24"/>
          <w:szCs w:val="24"/>
        </w:rPr>
        <w:t>; 1996)</w:t>
      </w:r>
      <w:bookmarkStart w:id="37" w:name="_Hlk207875265"/>
      <w:r>
        <w:rPr>
          <w:sz w:val="24"/>
          <w:szCs w:val="24"/>
        </w:rPr>
        <w:t>.</w:t>
      </w:r>
      <w:r w:rsidRPr="001D6B7E">
        <w:rPr>
          <w:sz w:val="24"/>
          <w:szCs w:val="24"/>
        </w:rPr>
        <w:t xml:space="preserve"> </w:t>
      </w:r>
      <w:bookmarkEnd w:id="37"/>
      <w:r w:rsidRPr="001D6B7E">
        <w:rPr>
          <w:sz w:val="24"/>
          <w:szCs w:val="24"/>
        </w:rPr>
        <w:t>Qualitative research methodologies for studying teaching became more accepted by the time these scholars developed their theories, particularly those drawn from anthropology, ethnography and psychology</w:t>
      </w:r>
      <w:r>
        <w:rPr>
          <w:sz w:val="24"/>
          <w:szCs w:val="24"/>
        </w:rPr>
        <w:t xml:space="preserve">. </w:t>
      </w:r>
      <w:r w:rsidRPr="001D6B7E">
        <w:rPr>
          <w:sz w:val="24"/>
          <w:szCs w:val="24"/>
        </w:rPr>
        <w:t xml:space="preserve"> </w:t>
      </w:r>
      <w:r>
        <w:rPr>
          <w:sz w:val="24"/>
          <w:szCs w:val="24"/>
        </w:rPr>
        <w:t xml:space="preserve">These methods provided </w:t>
      </w:r>
      <w:r w:rsidRPr="001D6B7E">
        <w:rPr>
          <w:sz w:val="24"/>
          <w:szCs w:val="24"/>
        </w:rPr>
        <w:t>an alternative means for understanding human behaviour within the complex culture of education (Erickson, 1986</w:t>
      </w:r>
      <w:r>
        <w:rPr>
          <w:sz w:val="24"/>
          <w:szCs w:val="24"/>
        </w:rPr>
        <w:t xml:space="preserve">). </w:t>
      </w:r>
    </w:p>
    <w:p w14:paraId="78D986E4" w14:textId="5B90373E" w:rsidR="00DE7BCA" w:rsidRPr="003F613E" w:rsidRDefault="002E2ABD" w:rsidP="003F613E">
      <w:pPr>
        <w:spacing w:line="360" w:lineRule="auto"/>
        <w:rPr>
          <w:sz w:val="24"/>
          <w:szCs w:val="24"/>
        </w:rPr>
      </w:pPr>
      <w:r>
        <w:rPr>
          <w:sz w:val="24"/>
          <w:szCs w:val="24"/>
        </w:rPr>
        <w:t>I have previously argued that t</w:t>
      </w:r>
      <w:r w:rsidRPr="001D6B7E">
        <w:rPr>
          <w:sz w:val="24"/>
          <w:szCs w:val="24"/>
        </w:rPr>
        <w:t>he discipline of pedagogy</w:t>
      </w:r>
      <w:r>
        <w:rPr>
          <w:sz w:val="24"/>
          <w:szCs w:val="24"/>
        </w:rPr>
        <w:t xml:space="preserve"> has expanded into caring realms</w:t>
      </w:r>
      <w:r w:rsidR="004718DF">
        <w:rPr>
          <w:sz w:val="24"/>
          <w:szCs w:val="24"/>
        </w:rPr>
        <w:t xml:space="preserve"> and r</w:t>
      </w:r>
      <w:r w:rsidRPr="001D6B7E">
        <w:rPr>
          <w:sz w:val="24"/>
          <w:szCs w:val="24"/>
        </w:rPr>
        <w:t>eflective practice</w:t>
      </w:r>
      <w:r>
        <w:rPr>
          <w:sz w:val="24"/>
          <w:szCs w:val="24"/>
        </w:rPr>
        <w:t xml:space="preserve"> plays a significant part</w:t>
      </w:r>
      <w:r w:rsidRPr="001D6B7E">
        <w:rPr>
          <w:sz w:val="24"/>
          <w:szCs w:val="24"/>
        </w:rPr>
        <w:t xml:space="preserve"> </w:t>
      </w:r>
      <w:r>
        <w:rPr>
          <w:sz w:val="24"/>
          <w:szCs w:val="24"/>
        </w:rPr>
        <w:t xml:space="preserve">in the caring </w:t>
      </w:r>
      <w:r w:rsidRPr="001D6B7E">
        <w:rPr>
          <w:sz w:val="24"/>
          <w:szCs w:val="24"/>
        </w:rPr>
        <w:t>profession</w:t>
      </w:r>
      <w:r>
        <w:rPr>
          <w:sz w:val="24"/>
          <w:szCs w:val="24"/>
        </w:rPr>
        <w:t>s</w:t>
      </w:r>
      <w:r w:rsidRPr="001D6B7E">
        <w:rPr>
          <w:sz w:val="24"/>
          <w:szCs w:val="24"/>
        </w:rPr>
        <w:t>.</w:t>
      </w:r>
      <w:r>
        <w:rPr>
          <w:sz w:val="24"/>
          <w:szCs w:val="24"/>
        </w:rPr>
        <w:t xml:space="preserve"> </w:t>
      </w:r>
      <w:r w:rsidRPr="001D6B7E">
        <w:rPr>
          <w:sz w:val="24"/>
          <w:szCs w:val="24"/>
        </w:rPr>
        <w:t>During the late 1990’s and early 2000’s reflective practice</w:t>
      </w:r>
      <w:r>
        <w:rPr>
          <w:sz w:val="24"/>
          <w:szCs w:val="24"/>
        </w:rPr>
        <w:t xml:space="preserve"> became </w:t>
      </w:r>
      <w:r w:rsidRPr="001D6B7E">
        <w:rPr>
          <w:sz w:val="24"/>
          <w:szCs w:val="24"/>
        </w:rPr>
        <w:t xml:space="preserve">a key component of </w:t>
      </w:r>
      <w:r>
        <w:rPr>
          <w:sz w:val="24"/>
          <w:szCs w:val="24"/>
        </w:rPr>
        <w:t xml:space="preserve">continuing professional development </w:t>
      </w:r>
      <w:r w:rsidRPr="001D6B7E">
        <w:rPr>
          <w:sz w:val="24"/>
          <w:szCs w:val="24"/>
        </w:rPr>
        <w:t>in nursing</w:t>
      </w:r>
      <w:r>
        <w:rPr>
          <w:sz w:val="24"/>
          <w:szCs w:val="24"/>
        </w:rPr>
        <w:t xml:space="preserve">, occupational health professions </w:t>
      </w:r>
      <w:r w:rsidRPr="001D6B7E">
        <w:rPr>
          <w:sz w:val="24"/>
          <w:szCs w:val="24"/>
        </w:rPr>
        <w:t>and allied health professions</w:t>
      </w:r>
      <w:r>
        <w:rPr>
          <w:sz w:val="24"/>
          <w:szCs w:val="24"/>
        </w:rPr>
        <w:t xml:space="preserve"> </w:t>
      </w:r>
      <w:r w:rsidRPr="001D6B7E">
        <w:rPr>
          <w:sz w:val="24"/>
          <w:szCs w:val="24"/>
        </w:rPr>
        <w:t>(</w:t>
      </w:r>
      <w:r w:rsidRPr="009625B0">
        <w:rPr>
          <w:sz w:val="24"/>
          <w:szCs w:val="24"/>
        </w:rPr>
        <w:t>Fraser and Greenhalgh, 2001</w:t>
      </w:r>
      <w:r>
        <w:rPr>
          <w:sz w:val="24"/>
          <w:szCs w:val="24"/>
        </w:rPr>
        <w:t xml:space="preserve">; </w:t>
      </w:r>
      <w:r w:rsidRPr="00911527">
        <w:rPr>
          <w:sz w:val="24"/>
          <w:szCs w:val="24"/>
        </w:rPr>
        <w:t xml:space="preserve">Health and Care Professions Council, 2006; </w:t>
      </w:r>
      <w:r w:rsidRPr="001D6B7E">
        <w:rPr>
          <w:sz w:val="24"/>
          <w:szCs w:val="24"/>
        </w:rPr>
        <w:t>Johns, 1998;</w:t>
      </w:r>
      <w:r>
        <w:rPr>
          <w:sz w:val="24"/>
          <w:szCs w:val="24"/>
        </w:rPr>
        <w:t xml:space="preserve"> </w:t>
      </w:r>
      <w:r w:rsidRPr="001D6B7E">
        <w:rPr>
          <w:sz w:val="24"/>
          <w:szCs w:val="24"/>
        </w:rPr>
        <w:t xml:space="preserve">Rolfe, 2002). </w:t>
      </w:r>
      <w:r>
        <w:rPr>
          <w:sz w:val="24"/>
          <w:szCs w:val="24"/>
        </w:rPr>
        <w:t>I</w:t>
      </w:r>
      <w:r w:rsidRPr="001D6B7E">
        <w:rPr>
          <w:sz w:val="24"/>
          <w:szCs w:val="24"/>
        </w:rPr>
        <w:t xml:space="preserve">n the nursing sector reflecting on performance and acting on reflection is </w:t>
      </w:r>
      <w:r>
        <w:rPr>
          <w:sz w:val="24"/>
          <w:szCs w:val="24"/>
        </w:rPr>
        <w:t xml:space="preserve">regarded as </w:t>
      </w:r>
      <w:r w:rsidRPr="001D6B7E">
        <w:rPr>
          <w:sz w:val="24"/>
          <w:szCs w:val="24"/>
        </w:rPr>
        <w:t>a professional imperative</w:t>
      </w:r>
      <w:r>
        <w:rPr>
          <w:sz w:val="24"/>
          <w:szCs w:val="24"/>
        </w:rPr>
        <w:t xml:space="preserve"> (McKay, 2008). With teaching straying into the bounds of the caring profession (Payne, 2022),</w:t>
      </w:r>
      <w:r w:rsidRPr="001D6B7E">
        <w:rPr>
          <w:sz w:val="24"/>
          <w:szCs w:val="24"/>
        </w:rPr>
        <w:t xml:space="preserve"> </w:t>
      </w:r>
      <w:r>
        <w:rPr>
          <w:sz w:val="24"/>
          <w:szCs w:val="24"/>
        </w:rPr>
        <w:t xml:space="preserve">I consider </w:t>
      </w:r>
      <w:r w:rsidRPr="001D6B7E">
        <w:rPr>
          <w:sz w:val="24"/>
          <w:szCs w:val="24"/>
        </w:rPr>
        <w:t xml:space="preserve">whether reflective practice in teaching </w:t>
      </w:r>
      <w:r>
        <w:rPr>
          <w:sz w:val="24"/>
          <w:szCs w:val="24"/>
        </w:rPr>
        <w:t xml:space="preserve">mirrors </w:t>
      </w:r>
      <w:r w:rsidRPr="001D6B7E">
        <w:rPr>
          <w:sz w:val="24"/>
          <w:szCs w:val="24"/>
        </w:rPr>
        <w:t xml:space="preserve">the professional imperative position </w:t>
      </w:r>
      <w:r>
        <w:rPr>
          <w:sz w:val="24"/>
          <w:szCs w:val="24"/>
        </w:rPr>
        <w:t xml:space="preserve">espoused in the </w:t>
      </w:r>
      <w:r w:rsidRPr="001D6B7E">
        <w:rPr>
          <w:sz w:val="24"/>
          <w:szCs w:val="24"/>
        </w:rPr>
        <w:t xml:space="preserve">caring professions. </w:t>
      </w:r>
    </w:p>
    <w:p w14:paraId="41D5DBC7" w14:textId="47DCB35B" w:rsidR="002E2ABD" w:rsidRPr="003E5CDD" w:rsidRDefault="002E2ABD" w:rsidP="001D6B7E">
      <w:pPr>
        <w:rPr>
          <w:b/>
          <w:bCs/>
          <w:sz w:val="24"/>
          <w:szCs w:val="24"/>
        </w:rPr>
      </w:pPr>
      <w:r>
        <w:rPr>
          <w:b/>
          <w:bCs/>
          <w:sz w:val="24"/>
          <w:szCs w:val="24"/>
        </w:rPr>
        <w:t>Reflective Practice in Teaching</w:t>
      </w:r>
    </w:p>
    <w:p w14:paraId="445D4061" w14:textId="6F6550E3" w:rsidR="002E2ABD" w:rsidRPr="001D6B7E" w:rsidRDefault="002E2ABD" w:rsidP="00A86A6A">
      <w:pPr>
        <w:spacing w:line="360" w:lineRule="auto"/>
        <w:rPr>
          <w:sz w:val="24"/>
          <w:szCs w:val="24"/>
        </w:rPr>
      </w:pPr>
      <w:r w:rsidRPr="0030611A">
        <w:rPr>
          <w:sz w:val="24"/>
          <w:szCs w:val="24"/>
        </w:rPr>
        <w:t xml:space="preserve">According to Stenhouse (1975) </w:t>
      </w:r>
      <w:r>
        <w:rPr>
          <w:sz w:val="24"/>
          <w:szCs w:val="24"/>
        </w:rPr>
        <w:t xml:space="preserve">reflection enables </w:t>
      </w:r>
      <w:r w:rsidRPr="0030611A">
        <w:rPr>
          <w:sz w:val="24"/>
          <w:szCs w:val="24"/>
        </w:rPr>
        <w:t xml:space="preserve">teachers </w:t>
      </w:r>
      <w:r>
        <w:rPr>
          <w:sz w:val="24"/>
          <w:szCs w:val="24"/>
        </w:rPr>
        <w:t xml:space="preserve">to </w:t>
      </w:r>
      <w:r w:rsidRPr="0030611A">
        <w:rPr>
          <w:sz w:val="24"/>
          <w:szCs w:val="24"/>
        </w:rPr>
        <w:t>act as researchers of their own practice</w:t>
      </w:r>
      <w:r w:rsidR="000710FE">
        <w:rPr>
          <w:sz w:val="24"/>
          <w:szCs w:val="24"/>
        </w:rPr>
        <w:t>.</w:t>
      </w:r>
      <w:r w:rsidRPr="0030611A">
        <w:rPr>
          <w:sz w:val="24"/>
          <w:szCs w:val="24"/>
        </w:rPr>
        <w:t xml:space="preserve"> </w:t>
      </w:r>
      <w:r>
        <w:rPr>
          <w:sz w:val="24"/>
          <w:szCs w:val="24"/>
        </w:rPr>
        <w:t xml:space="preserve">Teachers </w:t>
      </w:r>
      <w:r w:rsidRPr="00C12671">
        <w:rPr>
          <w:sz w:val="24"/>
          <w:szCs w:val="24"/>
        </w:rPr>
        <w:t>who reflect are monitoring, observing and researching data and scholarship on their intentions</w:t>
      </w:r>
      <w:r w:rsidR="004163BC">
        <w:rPr>
          <w:sz w:val="24"/>
          <w:szCs w:val="24"/>
        </w:rPr>
        <w:t xml:space="preserve"> and </w:t>
      </w:r>
      <w:r w:rsidRPr="00C12671">
        <w:rPr>
          <w:sz w:val="24"/>
          <w:szCs w:val="24"/>
        </w:rPr>
        <w:t xml:space="preserve">actions, and the feelings of the </w:t>
      </w:r>
      <w:r>
        <w:rPr>
          <w:sz w:val="24"/>
          <w:szCs w:val="24"/>
        </w:rPr>
        <w:t xml:space="preserve">students </w:t>
      </w:r>
      <w:r w:rsidRPr="00C12671">
        <w:rPr>
          <w:sz w:val="24"/>
          <w:szCs w:val="24"/>
        </w:rPr>
        <w:t xml:space="preserve">they teach (Pollard, 2005). </w:t>
      </w:r>
      <w:r w:rsidRPr="0030611A">
        <w:rPr>
          <w:sz w:val="24"/>
          <w:szCs w:val="24"/>
        </w:rPr>
        <w:t xml:space="preserve">Evidence </w:t>
      </w:r>
      <w:r>
        <w:rPr>
          <w:sz w:val="24"/>
          <w:szCs w:val="24"/>
        </w:rPr>
        <w:t xml:space="preserve">thus </w:t>
      </w:r>
      <w:r w:rsidRPr="0030611A">
        <w:rPr>
          <w:sz w:val="24"/>
          <w:szCs w:val="24"/>
        </w:rPr>
        <w:t>gathered can be analysed, evaluated and disseminated with others potentially leading to improv</w:t>
      </w:r>
      <w:r>
        <w:rPr>
          <w:sz w:val="24"/>
          <w:szCs w:val="24"/>
        </w:rPr>
        <w:t>ements in</w:t>
      </w:r>
      <w:r w:rsidRPr="0030611A">
        <w:rPr>
          <w:sz w:val="24"/>
          <w:szCs w:val="24"/>
        </w:rPr>
        <w:t xml:space="preserve"> personal </w:t>
      </w:r>
      <w:r>
        <w:rPr>
          <w:sz w:val="24"/>
          <w:szCs w:val="24"/>
        </w:rPr>
        <w:t xml:space="preserve">and professional </w:t>
      </w:r>
      <w:r w:rsidRPr="0030611A">
        <w:rPr>
          <w:sz w:val="24"/>
          <w:szCs w:val="24"/>
        </w:rPr>
        <w:t>practice, and the revision of teaching plans and policies</w:t>
      </w:r>
      <w:r>
        <w:rPr>
          <w:sz w:val="24"/>
          <w:szCs w:val="24"/>
        </w:rPr>
        <w:t xml:space="preserve"> (</w:t>
      </w:r>
      <w:r w:rsidR="00AB1ADC">
        <w:rPr>
          <w:sz w:val="24"/>
          <w:szCs w:val="24"/>
        </w:rPr>
        <w:t>ibid.</w:t>
      </w:r>
      <w:r>
        <w:rPr>
          <w:sz w:val="24"/>
          <w:szCs w:val="24"/>
        </w:rPr>
        <w:t>)</w:t>
      </w:r>
      <w:r w:rsidRPr="0030611A">
        <w:rPr>
          <w:sz w:val="24"/>
          <w:szCs w:val="24"/>
        </w:rPr>
        <w:t xml:space="preserve">. </w:t>
      </w:r>
    </w:p>
    <w:p w14:paraId="487B8FF8" w14:textId="735A8EA0" w:rsidR="002E2ABD" w:rsidRDefault="002E2ABD" w:rsidP="00B91F92">
      <w:pPr>
        <w:spacing w:line="360" w:lineRule="auto"/>
        <w:rPr>
          <w:sz w:val="24"/>
          <w:szCs w:val="24"/>
        </w:rPr>
      </w:pPr>
      <w:r>
        <w:rPr>
          <w:sz w:val="24"/>
          <w:szCs w:val="24"/>
        </w:rPr>
        <w:t xml:space="preserve">Reflection can be a tool, a skill, a theory and a means to self-examine with the express purpose of increasing understanding and developing practice. </w:t>
      </w:r>
      <w:r w:rsidRPr="001D6B7E">
        <w:rPr>
          <w:sz w:val="24"/>
          <w:szCs w:val="24"/>
        </w:rPr>
        <w:t xml:space="preserve">Reflective practice </w:t>
      </w:r>
      <w:r w:rsidR="002129DE">
        <w:rPr>
          <w:sz w:val="24"/>
          <w:szCs w:val="24"/>
        </w:rPr>
        <w:t>as</w:t>
      </w:r>
      <w:r>
        <w:rPr>
          <w:sz w:val="24"/>
          <w:szCs w:val="24"/>
        </w:rPr>
        <w:t xml:space="preserve"> a tool for evaluation </w:t>
      </w:r>
      <w:r w:rsidR="004363AE">
        <w:rPr>
          <w:sz w:val="24"/>
          <w:szCs w:val="24"/>
        </w:rPr>
        <w:t xml:space="preserve">is </w:t>
      </w:r>
      <w:r>
        <w:rPr>
          <w:sz w:val="24"/>
          <w:szCs w:val="24"/>
        </w:rPr>
        <w:t xml:space="preserve">an active process of </w:t>
      </w:r>
      <w:r w:rsidRPr="001D6B7E">
        <w:rPr>
          <w:sz w:val="24"/>
          <w:szCs w:val="24"/>
        </w:rPr>
        <w:t>review and critical analysis</w:t>
      </w:r>
      <w:r>
        <w:rPr>
          <w:sz w:val="24"/>
          <w:szCs w:val="24"/>
        </w:rPr>
        <w:t xml:space="preserve"> </w:t>
      </w:r>
      <w:r w:rsidRPr="001D6B7E">
        <w:rPr>
          <w:sz w:val="24"/>
          <w:szCs w:val="24"/>
        </w:rPr>
        <w:t xml:space="preserve">(Boud </w:t>
      </w:r>
      <w:r>
        <w:rPr>
          <w:sz w:val="24"/>
          <w:szCs w:val="24"/>
        </w:rPr>
        <w:t>and Knights, 199</w:t>
      </w:r>
      <w:r w:rsidRPr="001D6B7E">
        <w:rPr>
          <w:sz w:val="24"/>
          <w:szCs w:val="24"/>
        </w:rPr>
        <w:t xml:space="preserve">6; Boud and Miller, 1996; </w:t>
      </w:r>
      <w:r>
        <w:rPr>
          <w:sz w:val="24"/>
          <w:szCs w:val="24"/>
        </w:rPr>
        <w:t xml:space="preserve">Boud </w:t>
      </w:r>
      <w:r w:rsidR="00FB3A6E" w:rsidRPr="00FB3A6E">
        <w:rPr>
          <w:i/>
          <w:sz w:val="24"/>
          <w:szCs w:val="24"/>
        </w:rPr>
        <w:t>et al.</w:t>
      </w:r>
      <w:r>
        <w:rPr>
          <w:sz w:val="24"/>
          <w:szCs w:val="24"/>
        </w:rPr>
        <w:t>, 2006; Schὂn</w:t>
      </w:r>
      <w:r w:rsidRPr="001D6B7E">
        <w:rPr>
          <w:sz w:val="24"/>
          <w:szCs w:val="24"/>
        </w:rPr>
        <w:t>, 1987)</w:t>
      </w:r>
      <w:r>
        <w:rPr>
          <w:sz w:val="24"/>
          <w:szCs w:val="24"/>
        </w:rPr>
        <w:t>; it is</w:t>
      </w:r>
      <w:r w:rsidRPr="001D6B7E">
        <w:rPr>
          <w:sz w:val="24"/>
          <w:szCs w:val="24"/>
        </w:rPr>
        <w:t xml:space="preserve"> learning by doing.  </w:t>
      </w:r>
      <w:r>
        <w:rPr>
          <w:sz w:val="24"/>
          <w:szCs w:val="24"/>
        </w:rPr>
        <w:t>R</w:t>
      </w:r>
      <w:r w:rsidRPr="001D6B7E">
        <w:rPr>
          <w:sz w:val="24"/>
          <w:szCs w:val="24"/>
        </w:rPr>
        <w:t>eferred to as metacognition (Eraut, 19</w:t>
      </w:r>
      <w:r>
        <w:rPr>
          <w:sz w:val="24"/>
          <w:szCs w:val="24"/>
        </w:rPr>
        <w:t>85</w:t>
      </w:r>
      <w:r w:rsidRPr="001D6B7E">
        <w:rPr>
          <w:sz w:val="24"/>
          <w:szCs w:val="24"/>
        </w:rPr>
        <w:t>)</w:t>
      </w:r>
      <w:r>
        <w:rPr>
          <w:sz w:val="24"/>
          <w:szCs w:val="24"/>
        </w:rPr>
        <w:t xml:space="preserve">, the process </w:t>
      </w:r>
      <w:r w:rsidRPr="001D6B7E">
        <w:rPr>
          <w:sz w:val="24"/>
          <w:szCs w:val="24"/>
        </w:rPr>
        <w:t xml:space="preserve">requires an element of </w:t>
      </w:r>
      <w:r>
        <w:rPr>
          <w:sz w:val="24"/>
          <w:szCs w:val="24"/>
        </w:rPr>
        <w:t xml:space="preserve">introspection (Gross, 2001), </w:t>
      </w:r>
      <w:r w:rsidRPr="001D6B7E">
        <w:rPr>
          <w:sz w:val="24"/>
          <w:szCs w:val="24"/>
        </w:rPr>
        <w:t>self-examination (Kember, 2000)</w:t>
      </w:r>
      <w:r>
        <w:rPr>
          <w:sz w:val="24"/>
          <w:szCs w:val="24"/>
        </w:rPr>
        <w:t xml:space="preserve"> and </w:t>
      </w:r>
      <w:r w:rsidRPr="001D6B7E">
        <w:rPr>
          <w:sz w:val="24"/>
          <w:szCs w:val="24"/>
        </w:rPr>
        <w:t>a critical evaluation of the practitioner</w:t>
      </w:r>
      <w:r w:rsidR="00D94C9A">
        <w:rPr>
          <w:sz w:val="24"/>
          <w:szCs w:val="24"/>
        </w:rPr>
        <w:t>’</w:t>
      </w:r>
      <w:r w:rsidRPr="001D6B7E">
        <w:rPr>
          <w:sz w:val="24"/>
          <w:szCs w:val="24"/>
        </w:rPr>
        <w:t xml:space="preserve">s own </w:t>
      </w:r>
      <w:r w:rsidRPr="001D6B7E">
        <w:rPr>
          <w:sz w:val="24"/>
          <w:szCs w:val="24"/>
        </w:rPr>
        <w:lastRenderedPageBreak/>
        <w:t>responses to practice situations (Finlay, 2008)</w:t>
      </w:r>
      <w:r>
        <w:rPr>
          <w:sz w:val="24"/>
          <w:szCs w:val="24"/>
        </w:rPr>
        <w:t xml:space="preserve"> to enable </w:t>
      </w:r>
      <w:r w:rsidRPr="001D6B7E">
        <w:rPr>
          <w:sz w:val="24"/>
          <w:szCs w:val="24"/>
        </w:rPr>
        <w:t>exploration</w:t>
      </w:r>
      <w:r w:rsidR="00D94C9A">
        <w:rPr>
          <w:sz w:val="24"/>
          <w:szCs w:val="24"/>
        </w:rPr>
        <w:t>s</w:t>
      </w:r>
      <w:r w:rsidRPr="001D6B7E">
        <w:rPr>
          <w:sz w:val="24"/>
          <w:szCs w:val="24"/>
        </w:rPr>
        <w:t xml:space="preserve"> of different perspectives (Loughran, 1996).  </w:t>
      </w:r>
      <w:r>
        <w:rPr>
          <w:sz w:val="24"/>
          <w:szCs w:val="24"/>
        </w:rPr>
        <w:t>A skill for</w:t>
      </w:r>
      <w:r w:rsidRPr="001D6B7E">
        <w:rPr>
          <w:sz w:val="24"/>
          <w:szCs w:val="24"/>
        </w:rPr>
        <w:t xml:space="preserve"> lifelong learning</w:t>
      </w:r>
      <w:r>
        <w:rPr>
          <w:sz w:val="24"/>
          <w:szCs w:val="24"/>
        </w:rPr>
        <w:t xml:space="preserve"> (HPCP, 2006), reflection is </w:t>
      </w:r>
      <w:r w:rsidRPr="001D6B7E">
        <w:rPr>
          <w:sz w:val="24"/>
          <w:szCs w:val="24"/>
        </w:rPr>
        <w:t xml:space="preserve">inextricably linked to personal growth and development and built up through sense making (Chappell, </w:t>
      </w:r>
      <w:r w:rsidR="00FB3A6E" w:rsidRPr="00FB3A6E">
        <w:rPr>
          <w:i/>
          <w:sz w:val="24"/>
          <w:szCs w:val="24"/>
        </w:rPr>
        <w:t>et al.</w:t>
      </w:r>
      <w:r w:rsidRPr="001E335E">
        <w:rPr>
          <w:sz w:val="24"/>
          <w:szCs w:val="24"/>
        </w:rPr>
        <w:t>,</w:t>
      </w:r>
      <w:r w:rsidRPr="001D6B7E">
        <w:rPr>
          <w:sz w:val="24"/>
          <w:szCs w:val="24"/>
        </w:rPr>
        <w:t xml:space="preserve"> 2003; </w:t>
      </w:r>
      <w:r w:rsidRPr="00B60B3A">
        <w:rPr>
          <w:sz w:val="24"/>
          <w:szCs w:val="24"/>
        </w:rPr>
        <w:t xml:space="preserve">Hodkinson </w:t>
      </w:r>
      <w:r w:rsidR="00FB3A6E" w:rsidRPr="00FB3A6E">
        <w:rPr>
          <w:i/>
          <w:sz w:val="24"/>
          <w:szCs w:val="24"/>
        </w:rPr>
        <w:t>et al.</w:t>
      </w:r>
      <w:r w:rsidRPr="00B60B3A">
        <w:rPr>
          <w:sz w:val="24"/>
          <w:szCs w:val="24"/>
        </w:rPr>
        <w:t xml:space="preserve">, 2008; </w:t>
      </w:r>
      <w:r w:rsidRPr="001D6B7E">
        <w:rPr>
          <w:sz w:val="24"/>
          <w:szCs w:val="24"/>
        </w:rPr>
        <w:t>Kolb, 1984)</w:t>
      </w:r>
      <w:r>
        <w:rPr>
          <w:sz w:val="24"/>
          <w:szCs w:val="24"/>
        </w:rPr>
        <w:t xml:space="preserve">. Reflective practice is thus </w:t>
      </w:r>
      <w:r w:rsidRPr="001D6B7E">
        <w:rPr>
          <w:sz w:val="24"/>
          <w:szCs w:val="24"/>
        </w:rPr>
        <w:t>a bridge that ca</w:t>
      </w:r>
      <w:r>
        <w:rPr>
          <w:sz w:val="24"/>
          <w:szCs w:val="24"/>
        </w:rPr>
        <w:t xml:space="preserve">n </w:t>
      </w:r>
      <w:r w:rsidRPr="001D6B7E">
        <w:rPr>
          <w:sz w:val="24"/>
          <w:szCs w:val="24"/>
        </w:rPr>
        <w:t>link theory to practice</w:t>
      </w:r>
      <w:r>
        <w:rPr>
          <w:sz w:val="24"/>
          <w:szCs w:val="24"/>
        </w:rPr>
        <w:t xml:space="preserve"> and facilitates research into, and beyond theory</w:t>
      </w:r>
      <w:r w:rsidRPr="001D6B7E">
        <w:rPr>
          <w:sz w:val="24"/>
          <w:szCs w:val="24"/>
        </w:rPr>
        <w:t>. Miller (1987) states: “I can truly understand a person only if I hear and feel what he or she is saying to me without hiding and barricading myself behind theory” (p.</w:t>
      </w:r>
      <w:r>
        <w:rPr>
          <w:sz w:val="24"/>
          <w:szCs w:val="24"/>
        </w:rPr>
        <w:t xml:space="preserve"> </w:t>
      </w:r>
      <w:r w:rsidRPr="001D6B7E">
        <w:rPr>
          <w:sz w:val="24"/>
          <w:szCs w:val="24"/>
        </w:rPr>
        <w:t>xii)</w:t>
      </w:r>
      <w:r>
        <w:rPr>
          <w:sz w:val="24"/>
          <w:szCs w:val="24"/>
        </w:rPr>
        <w:t>, and, as the following study demonstrates</w:t>
      </w:r>
      <w:r w:rsidR="00C81CCE">
        <w:rPr>
          <w:sz w:val="24"/>
          <w:szCs w:val="24"/>
        </w:rPr>
        <w:t>,</w:t>
      </w:r>
      <w:r>
        <w:rPr>
          <w:sz w:val="24"/>
          <w:szCs w:val="24"/>
        </w:rPr>
        <w:t xml:space="preserve"> reflective practice goes beyond the theory barricade.</w:t>
      </w:r>
    </w:p>
    <w:p w14:paraId="474F08EA" w14:textId="368CD9D8" w:rsidR="002E2ABD" w:rsidRPr="001D6B7E" w:rsidRDefault="002E2ABD" w:rsidP="00B91F92">
      <w:pPr>
        <w:spacing w:line="360" w:lineRule="auto"/>
        <w:rPr>
          <w:sz w:val="24"/>
          <w:szCs w:val="24"/>
        </w:rPr>
      </w:pPr>
      <w:r>
        <w:rPr>
          <w:sz w:val="24"/>
          <w:szCs w:val="24"/>
        </w:rPr>
        <w:t>In a</w:t>
      </w:r>
      <w:r w:rsidRPr="00536B02">
        <w:rPr>
          <w:sz w:val="24"/>
          <w:szCs w:val="24"/>
        </w:rPr>
        <w:t xml:space="preserve">n Australian school study (Southall </w:t>
      </w:r>
      <w:r w:rsidR="00FB3A6E" w:rsidRPr="00FB3A6E">
        <w:rPr>
          <w:i/>
          <w:sz w:val="24"/>
          <w:szCs w:val="24"/>
        </w:rPr>
        <w:t>et al.</w:t>
      </w:r>
      <w:r w:rsidRPr="00536B02">
        <w:rPr>
          <w:sz w:val="24"/>
          <w:szCs w:val="24"/>
        </w:rPr>
        <w:t xml:space="preserve">, 2021) </w:t>
      </w:r>
      <w:r>
        <w:rPr>
          <w:sz w:val="24"/>
          <w:szCs w:val="24"/>
        </w:rPr>
        <w:t xml:space="preserve">researchers </w:t>
      </w:r>
      <w:r w:rsidRPr="00536B02">
        <w:rPr>
          <w:sz w:val="24"/>
          <w:szCs w:val="24"/>
        </w:rPr>
        <w:t xml:space="preserve">explored the </w:t>
      </w:r>
      <w:r>
        <w:rPr>
          <w:sz w:val="24"/>
          <w:szCs w:val="24"/>
        </w:rPr>
        <w:t xml:space="preserve">effectiveness of reflective practice for 12 </w:t>
      </w:r>
      <w:r w:rsidRPr="00536B02">
        <w:rPr>
          <w:sz w:val="24"/>
          <w:szCs w:val="24"/>
        </w:rPr>
        <w:t xml:space="preserve">teachers seeking </w:t>
      </w:r>
      <w:r>
        <w:rPr>
          <w:sz w:val="24"/>
          <w:szCs w:val="24"/>
        </w:rPr>
        <w:t xml:space="preserve">better </w:t>
      </w:r>
      <w:r w:rsidRPr="00536B02">
        <w:rPr>
          <w:sz w:val="24"/>
          <w:szCs w:val="24"/>
        </w:rPr>
        <w:t xml:space="preserve">ways to manage challenging behaviours in their students and to improve </w:t>
      </w:r>
      <w:r>
        <w:rPr>
          <w:sz w:val="24"/>
          <w:szCs w:val="24"/>
        </w:rPr>
        <w:t xml:space="preserve">classroom </w:t>
      </w:r>
      <w:r w:rsidRPr="00536B02">
        <w:rPr>
          <w:sz w:val="24"/>
          <w:szCs w:val="24"/>
        </w:rPr>
        <w:t xml:space="preserve">climates. </w:t>
      </w:r>
      <w:r>
        <w:rPr>
          <w:sz w:val="24"/>
          <w:szCs w:val="24"/>
        </w:rPr>
        <w:t>Their s</w:t>
      </w:r>
      <w:r w:rsidRPr="00536B02">
        <w:rPr>
          <w:sz w:val="24"/>
          <w:szCs w:val="24"/>
        </w:rPr>
        <w:t>tudents were 6</w:t>
      </w:r>
      <w:r w:rsidR="00000F63">
        <w:rPr>
          <w:sz w:val="24"/>
          <w:szCs w:val="24"/>
        </w:rPr>
        <w:t xml:space="preserve"> - </w:t>
      </w:r>
      <w:r w:rsidRPr="00536B02">
        <w:rPr>
          <w:sz w:val="24"/>
          <w:szCs w:val="24"/>
        </w:rPr>
        <w:t xml:space="preserve">18 years old with mild intellectual disabilities. During the study teachers </w:t>
      </w:r>
      <w:r>
        <w:rPr>
          <w:sz w:val="24"/>
          <w:szCs w:val="24"/>
        </w:rPr>
        <w:t xml:space="preserve">engaged in reflective </w:t>
      </w:r>
      <w:r w:rsidRPr="00536B02">
        <w:rPr>
          <w:sz w:val="24"/>
          <w:szCs w:val="24"/>
        </w:rPr>
        <w:t>journalling about their experiences with one specific pupil, followed by group reflection to help t</w:t>
      </w:r>
      <w:r>
        <w:rPr>
          <w:sz w:val="24"/>
          <w:szCs w:val="24"/>
        </w:rPr>
        <w:t xml:space="preserve">hem </w:t>
      </w:r>
      <w:r w:rsidRPr="00536B02">
        <w:rPr>
          <w:sz w:val="24"/>
          <w:szCs w:val="24"/>
        </w:rPr>
        <w:t xml:space="preserve">understand and process their personal and contextual experiences, beliefs and practices. </w:t>
      </w:r>
      <w:r>
        <w:rPr>
          <w:sz w:val="24"/>
          <w:szCs w:val="24"/>
        </w:rPr>
        <w:t xml:space="preserve">After </w:t>
      </w:r>
      <w:r w:rsidRPr="00536B02">
        <w:rPr>
          <w:sz w:val="24"/>
          <w:szCs w:val="24"/>
        </w:rPr>
        <w:t>engag</w:t>
      </w:r>
      <w:r>
        <w:rPr>
          <w:sz w:val="24"/>
          <w:szCs w:val="24"/>
        </w:rPr>
        <w:t>ing</w:t>
      </w:r>
      <w:r w:rsidRPr="00536B02">
        <w:rPr>
          <w:sz w:val="24"/>
          <w:szCs w:val="24"/>
        </w:rPr>
        <w:t xml:space="preserve"> in six reflective circle rounds using the Reflective Circle Education Model (RECM)</w:t>
      </w:r>
      <w:r w:rsidR="004F6A88">
        <w:rPr>
          <w:sz w:val="24"/>
          <w:szCs w:val="24"/>
        </w:rPr>
        <w:t>,</w:t>
      </w:r>
      <w:r w:rsidRPr="00536B02">
        <w:rPr>
          <w:sz w:val="24"/>
          <w:szCs w:val="24"/>
        </w:rPr>
        <w:t xml:space="preserve"> </w:t>
      </w:r>
      <w:r>
        <w:rPr>
          <w:sz w:val="24"/>
          <w:szCs w:val="24"/>
        </w:rPr>
        <w:t xml:space="preserve">participants were </w:t>
      </w:r>
      <w:r w:rsidRPr="00536B02">
        <w:rPr>
          <w:sz w:val="24"/>
          <w:szCs w:val="24"/>
        </w:rPr>
        <w:t>interviewed using the semi-structured interview method. Staff reported experiencing</w:t>
      </w:r>
      <w:r>
        <w:rPr>
          <w:sz w:val="24"/>
          <w:szCs w:val="24"/>
        </w:rPr>
        <w:t xml:space="preserve"> </w:t>
      </w:r>
      <w:r w:rsidRPr="00536B02">
        <w:rPr>
          <w:sz w:val="24"/>
          <w:szCs w:val="24"/>
        </w:rPr>
        <w:t xml:space="preserve">mutual support and validation from their peers, </w:t>
      </w:r>
      <w:r w:rsidR="00A8610C">
        <w:rPr>
          <w:sz w:val="24"/>
          <w:szCs w:val="24"/>
        </w:rPr>
        <w:t xml:space="preserve">having </w:t>
      </w:r>
      <w:r w:rsidRPr="00536B02">
        <w:rPr>
          <w:sz w:val="24"/>
          <w:szCs w:val="24"/>
        </w:rPr>
        <w:t>a deeper understanding of the values and assumptions underpinning the</w:t>
      </w:r>
      <w:r>
        <w:rPr>
          <w:sz w:val="24"/>
          <w:szCs w:val="24"/>
        </w:rPr>
        <w:t xml:space="preserve">ir teaching and </w:t>
      </w:r>
      <w:r w:rsidRPr="00536B02">
        <w:rPr>
          <w:sz w:val="24"/>
          <w:szCs w:val="24"/>
        </w:rPr>
        <w:t>were able to develop deeper insights into their students’</w:t>
      </w:r>
      <w:r>
        <w:rPr>
          <w:sz w:val="24"/>
          <w:szCs w:val="24"/>
        </w:rPr>
        <w:t xml:space="preserve"> historic traumas</w:t>
      </w:r>
      <w:r w:rsidRPr="00536B02">
        <w:rPr>
          <w:sz w:val="24"/>
          <w:szCs w:val="24"/>
        </w:rPr>
        <w:t xml:space="preserve">. By </w:t>
      </w:r>
      <w:r>
        <w:rPr>
          <w:sz w:val="24"/>
          <w:szCs w:val="24"/>
        </w:rPr>
        <w:t xml:space="preserve">deeply scrutinising and reflecting </w:t>
      </w:r>
      <w:r w:rsidRPr="00536B02">
        <w:rPr>
          <w:sz w:val="24"/>
          <w:szCs w:val="24"/>
        </w:rPr>
        <w:t xml:space="preserve">with their colleagues, teachers expressed </w:t>
      </w:r>
      <w:r>
        <w:rPr>
          <w:sz w:val="24"/>
          <w:szCs w:val="24"/>
        </w:rPr>
        <w:t xml:space="preserve">a </w:t>
      </w:r>
      <w:r w:rsidRPr="00536B02">
        <w:rPr>
          <w:sz w:val="24"/>
          <w:szCs w:val="24"/>
        </w:rPr>
        <w:t>growing confidence in their approaches</w:t>
      </w:r>
      <w:r>
        <w:rPr>
          <w:sz w:val="24"/>
          <w:szCs w:val="24"/>
        </w:rPr>
        <w:t>,</w:t>
      </w:r>
      <w:r w:rsidRPr="00536B02">
        <w:rPr>
          <w:sz w:val="24"/>
          <w:szCs w:val="24"/>
        </w:rPr>
        <w:t xml:space="preserve"> a</w:t>
      </w:r>
      <w:r>
        <w:rPr>
          <w:sz w:val="24"/>
          <w:szCs w:val="24"/>
        </w:rPr>
        <w:t xml:space="preserve"> </w:t>
      </w:r>
      <w:r w:rsidRPr="00536B02">
        <w:rPr>
          <w:sz w:val="24"/>
          <w:szCs w:val="24"/>
        </w:rPr>
        <w:t>greater sense of efficacy</w:t>
      </w:r>
      <w:r>
        <w:rPr>
          <w:sz w:val="24"/>
          <w:szCs w:val="24"/>
        </w:rPr>
        <w:t xml:space="preserve">, an improvement in </w:t>
      </w:r>
      <w:r w:rsidRPr="00536B02">
        <w:rPr>
          <w:sz w:val="24"/>
          <w:szCs w:val="24"/>
        </w:rPr>
        <w:t>classroom climates</w:t>
      </w:r>
      <w:r>
        <w:rPr>
          <w:sz w:val="24"/>
          <w:szCs w:val="24"/>
        </w:rPr>
        <w:t xml:space="preserve"> and a reduction in their personal stress levels</w:t>
      </w:r>
      <w:r w:rsidRPr="00536B02">
        <w:rPr>
          <w:sz w:val="24"/>
          <w:szCs w:val="24"/>
        </w:rPr>
        <w:t xml:space="preserve">. </w:t>
      </w:r>
    </w:p>
    <w:p w14:paraId="3FE7D0FD" w14:textId="2DFC7764" w:rsidR="00523682" w:rsidRDefault="002E2ABD" w:rsidP="00B91F92">
      <w:pPr>
        <w:spacing w:line="360" w:lineRule="auto"/>
        <w:rPr>
          <w:sz w:val="24"/>
          <w:szCs w:val="24"/>
        </w:rPr>
      </w:pPr>
      <w:r>
        <w:rPr>
          <w:sz w:val="24"/>
          <w:szCs w:val="24"/>
        </w:rPr>
        <w:t xml:space="preserve">Deep personal scrutiny </w:t>
      </w:r>
      <w:r w:rsidRPr="001D6B7E">
        <w:rPr>
          <w:sz w:val="24"/>
          <w:szCs w:val="24"/>
        </w:rPr>
        <w:t>of practice</w:t>
      </w:r>
      <w:r>
        <w:rPr>
          <w:sz w:val="24"/>
          <w:szCs w:val="24"/>
        </w:rPr>
        <w:t xml:space="preserve"> is an integral part of reflective practice </w:t>
      </w:r>
      <w:r w:rsidRPr="00236EF9">
        <w:rPr>
          <w:sz w:val="24"/>
          <w:szCs w:val="24"/>
        </w:rPr>
        <w:t>(Fook, 2006)</w:t>
      </w:r>
      <w:r>
        <w:rPr>
          <w:sz w:val="24"/>
          <w:szCs w:val="24"/>
        </w:rPr>
        <w:t xml:space="preserve">. </w:t>
      </w:r>
      <w:r w:rsidRPr="001D6B7E">
        <w:rPr>
          <w:sz w:val="24"/>
          <w:szCs w:val="24"/>
        </w:rPr>
        <w:t>The teacher’s actions become meaningful through scrutiny which improves performance and avoids the repetition of mistakes (Rolfe, 2002</w:t>
      </w:r>
      <w:r>
        <w:rPr>
          <w:sz w:val="24"/>
          <w:szCs w:val="24"/>
        </w:rPr>
        <w:t xml:space="preserve">; Rolfe </w:t>
      </w:r>
      <w:r w:rsidR="00FB3A6E" w:rsidRPr="00FB3A6E">
        <w:rPr>
          <w:i/>
          <w:sz w:val="24"/>
          <w:szCs w:val="24"/>
        </w:rPr>
        <w:t>et al.</w:t>
      </w:r>
      <w:r>
        <w:rPr>
          <w:sz w:val="24"/>
          <w:szCs w:val="24"/>
        </w:rPr>
        <w:t>, 2011</w:t>
      </w:r>
      <w:r w:rsidRPr="001D6B7E">
        <w:rPr>
          <w:sz w:val="24"/>
          <w:szCs w:val="24"/>
        </w:rPr>
        <w:t xml:space="preserve">). </w:t>
      </w:r>
      <w:r w:rsidR="00D4117D">
        <w:rPr>
          <w:sz w:val="24"/>
          <w:szCs w:val="24"/>
        </w:rPr>
        <w:t>Such “</w:t>
      </w:r>
      <w:r w:rsidRPr="001D6B7E">
        <w:rPr>
          <w:sz w:val="24"/>
          <w:szCs w:val="24"/>
        </w:rPr>
        <w:t>rigorous reflection” (Pollard, 2005, p.18) is based on evidence and involves</w:t>
      </w:r>
      <w:r w:rsidR="002A041F">
        <w:rPr>
          <w:sz w:val="24"/>
          <w:szCs w:val="24"/>
        </w:rPr>
        <w:t xml:space="preserve"> critically</w:t>
      </w:r>
      <w:r w:rsidRPr="001D6B7E">
        <w:rPr>
          <w:sz w:val="24"/>
          <w:szCs w:val="24"/>
        </w:rPr>
        <w:t xml:space="preserve"> reflecting on one’s own and others’ assumptions, prejudices and ideologies</w:t>
      </w:r>
      <w:r>
        <w:rPr>
          <w:sz w:val="24"/>
          <w:szCs w:val="24"/>
        </w:rPr>
        <w:t xml:space="preserve">. </w:t>
      </w:r>
      <w:r w:rsidRPr="001D6B7E">
        <w:rPr>
          <w:sz w:val="24"/>
          <w:szCs w:val="24"/>
        </w:rPr>
        <w:t xml:space="preserve">Mezirow (1991) </w:t>
      </w:r>
      <w:r>
        <w:rPr>
          <w:sz w:val="24"/>
          <w:szCs w:val="24"/>
        </w:rPr>
        <w:t>believes reflection helps</w:t>
      </w:r>
      <w:r w:rsidRPr="001D6B7E">
        <w:rPr>
          <w:sz w:val="24"/>
          <w:szCs w:val="24"/>
        </w:rPr>
        <w:t xml:space="preserve"> reflectors </w:t>
      </w:r>
      <w:r>
        <w:rPr>
          <w:sz w:val="24"/>
          <w:szCs w:val="24"/>
        </w:rPr>
        <w:t xml:space="preserve">develop a critical perspective by </w:t>
      </w:r>
      <w:r w:rsidRPr="001D6B7E">
        <w:rPr>
          <w:sz w:val="24"/>
          <w:szCs w:val="24"/>
        </w:rPr>
        <w:t>becom</w:t>
      </w:r>
      <w:r>
        <w:rPr>
          <w:sz w:val="24"/>
          <w:szCs w:val="24"/>
        </w:rPr>
        <w:t>ing</w:t>
      </w:r>
      <w:r w:rsidRPr="001D6B7E">
        <w:rPr>
          <w:sz w:val="24"/>
          <w:szCs w:val="24"/>
        </w:rPr>
        <w:t xml:space="preserve"> aware of and challeng</w:t>
      </w:r>
      <w:r>
        <w:rPr>
          <w:sz w:val="24"/>
          <w:szCs w:val="24"/>
        </w:rPr>
        <w:t>ing</w:t>
      </w:r>
      <w:r w:rsidRPr="001D6B7E">
        <w:rPr>
          <w:sz w:val="24"/>
          <w:szCs w:val="24"/>
        </w:rPr>
        <w:t xml:space="preserve"> what is taken for granted. </w:t>
      </w:r>
    </w:p>
    <w:p w14:paraId="3E15E175" w14:textId="7292C9D7" w:rsidR="002E2ABD" w:rsidRPr="00501FD0" w:rsidRDefault="002E2ABD" w:rsidP="00B91F92">
      <w:pPr>
        <w:spacing w:line="360" w:lineRule="auto"/>
        <w:rPr>
          <w:color w:val="EE0000"/>
          <w:sz w:val="24"/>
          <w:szCs w:val="24"/>
        </w:rPr>
      </w:pPr>
      <w:r w:rsidRPr="005B3950">
        <w:rPr>
          <w:sz w:val="24"/>
          <w:szCs w:val="24"/>
        </w:rPr>
        <w:lastRenderedPageBreak/>
        <w:t xml:space="preserve">Dialogue </w:t>
      </w:r>
      <w:r>
        <w:rPr>
          <w:sz w:val="24"/>
          <w:szCs w:val="24"/>
        </w:rPr>
        <w:t xml:space="preserve">with others </w:t>
      </w:r>
      <w:r w:rsidRPr="005B3950">
        <w:rPr>
          <w:sz w:val="24"/>
          <w:szCs w:val="24"/>
        </w:rPr>
        <w:t>is central to becoming reflective (Ashwin, 2015; Brookfield, 1995; Freire, 1970)</w:t>
      </w:r>
      <w:r>
        <w:rPr>
          <w:sz w:val="24"/>
          <w:szCs w:val="24"/>
        </w:rPr>
        <w:t xml:space="preserve"> and </w:t>
      </w:r>
      <w:r w:rsidRPr="001D6B7E">
        <w:rPr>
          <w:sz w:val="24"/>
          <w:szCs w:val="24"/>
        </w:rPr>
        <w:t>to the development of an open, critical perspective (Brockbank and McGill, 2007</w:t>
      </w:r>
      <w:r>
        <w:rPr>
          <w:sz w:val="24"/>
          <w:szCs w:val="24"/>
        </w:rPr>
        <w:t>;</w:t>
      </w:r>
      <w:r w:rsidRPr="00C21FB7">
        <w:rPr>
          <w:sz w:val="24"/>
          <w:szCs w:val="24"/>
        </w:rPr>
        <w:t xml:space="preserve"> Schὂn, 1983; 1987</w:t>
      </w:r>
      <w:r w:rsidRPr="001D6B7E">
        <w:rPr>
          <w:sz w:val="24"/>
          <w:szCs w:val="24"/>
        </w:rPr>
        <w:t>)</w:t>
      </w:r>
      <w:r>
        <w:rPr>
          <w:sz w:val="24"/>
          <w:szCs w:val="24"/>
        </w:rPr>
        <w:t xml:space="preserve">. </w:t>
      </w:r>
      <w:r w:rsidRPr="00DF31A7">
        <w:rPr>
          <w:color w:val="C00000"/>
          <w:sz w:val="24"/>
          <w:szCs w:val="24"/>
        </w:rPr>
        <w:t xml:space="preserve"> </w:t>
      </w:r>
      <w:r w:rsidRPr="00733E81">
        <w:rPr>
          <w:sz w:val="24"/>
          <w:szCs w:val="24"/>
        </w:rPr>
        <w:t>From a benign perspective of service improvement, reflective practice seen through a collaborative lens benefits stakeholders and strives for</w:t>
      </w:r>
      <w:r>
        <w:rPr>
          <w:sz w:val="24"/>
          <w:szCs w:val="24"/>
        </w:rPr>
        <w:t xml:space="preserve"> transparency</w:t>
      </w:r>
      <w:r w:rsidRPr="00733E81">
        <w:rPr>
          <w:sz w:val="24"/>
          <w:szCs w:val="24"/>
        </w:rPr>
        <w:t>. By including deep criticality, reflection goes beyond being a</w:t>
      </w:r>
      <w:r>
        <w:rPr>
          <w:sz w:val="24"/>
          <w:szCs w:val="24"/>
        </w:rPr>
        <w:t>n instrumental</w:t>
      </w:r>
      <w:r w:rsidRPr="00733E81">
        <w:rPr>
          <w:sz w:val="24"/>
          <w:szCs w:val="24"/>
        </w:rPr>
        <w:t xml:space="preserve"> concept and strays into the realms of relationship, politics, and ethics.</w:t>
      </w:r>
    </w:p>
    <w:p w14:paraId="68772748" w14:textId="77777777" w:rsidR="002E2ABD" w:rsidRPr="00AE26F3" w:rsidRDefault="002E2ABD" w:rsidP="001D6B7E">
      <w:pPr>
        <w:rPr>
          <w:b/>
          <w:bCs/>
          <w:sz w:val="24"/>
          <w:szCs w:val="24"/>
        </w:rPr>
      </w:pPr>
      <w:bookmarkStart w:id="38" w:name="_Hlk146445466"/>
      <w:r w:rsidRPr="00AE26F3">
        <w:rPr>
          <w:b/>
          <w:bCs/>
          <w:sz w:val="24"/>
          <w:szCs w:val="24"/>
        </w:rPr>
        <w:t>Instrumental Reflection versus Critical Reflection</w:t>
      </w:r>
    </w:p>
    <w:p w14:paraId="3E2AF6EF" w14:textId="014EC5D8" w:rsidR="002E2ABD" w:rsidRDefault="002E2ABD" w:rsidP="00927EAA">
      <w:pPr>
        <w:spacing w:line="360" w:lineRule="auto"/>
        <w:rPr>
          <w:sz w:val="24"/>
          <w:szCs w:val="24"/>
        </w:rPr>
      </w:pPr>
      <w:r>
        <w:rPr>
          <w:sz w:val="24"/>
          <w:szCs w:val="24"/>
        </w:rPr>
        <w:t>S</w:t>
      </w:r>
      <w:r w:rsidRPr="004D40C6">
        <w:rPr>
          <w:sz w:val="24"/>
          <w:szCs w:val="24"/>
        </w:rPr>
        <w:t>eemingly a benign problem and solution-based process</w:t>
      </w:r>
      <w:r>
        <w:rPr>
          <w:sz w:val="24"/>
          <w:szCs w:val="24"/>
        </w:rPr>
        <w:t>, i</w:t>
      </w:r>
      <w:r w:rsidRPr="001D6B7E">
        <w:rPr>
          <w:sz w:val="24"/>
          <w:szCs w:val="24"/>
        </w:rPr>
        <w:t xml:space="preserve">nstrumental reflection </w:t>
      </w:r>
      <w:r>
        <w:rPr>
          <w:sz w:val="24"/>
          <w:szCs w:val="24"/>
        </w:rPr>
        <w:t>is</w:t>
      </w:r>
      <w:r w:rsidRPr="001D6B7E">
        <w:rPr>
          <w:sz w:val="24"/>
          <w:szCs w:val="24"/>
        </w:rPr>
        <w:t xml:space="preserve"> </w:t>
      </w:r>
      <w:r>
        <w:rPr>
          <w:sz w:val="24"/>
          <w:szCs w:val="24"/>
        </w:rPr>
        <w:t>“</w:t>
      </w:r>
      <w:r w:rsidRPr="001D6B7E">
        <w:rPr>
          <w:sz w:val="24"/>
          <w:szCs w:val="24"/>
        </w:rPr>
        <w:t>concerned with practical questions about what course of action can best lead to the achievement of goals or solutions of specific problems” (</w:t>
      </w:r>
      <w:r>
        <w:rPr>
          <w:sz w:val="24"/>
          <w:szCs w:val="24"/>
        </w:rPr>
        <w:t xml:space="preserve">Reynolds, 1997, </w:t>
      </w:r>
      <w:r w:rsidRPr="001D6B7E">
        <w:rPr>
          <w:sz w:val="24"/>
          <w:szCs w:val="24"/>
        </w:rPr>
        <w:t>p.341). Critical reflection by contrast is a</w:t>
      </w:r>
      <w:r>
        <w:rPr>
          <w:sz w:val="24"/>
          <w:szCs w:val="24"/>
        </w:rPr>
        <w:t xml:space="preserve"> </w:t>
      </w:r>
      <w:r w:rsidRPr="001D6B7E">
        <w:rPr>
          <w:sz w:val="24"/>
          <w:szCs w:val="24"/>
        </w:rPr>
        <w:t>more complex, ethica</w:t>
      </w:r>
      <w:r>
        <w:rPr>
          <w:sz w:val="24"/>
          <w:szCs w:val="24"/>
        </w:rPr>
        <w:t>l</w:t>
      </w:r>
      <w:r w:rsidRPr="001D6B7E">
        <w:rPr>
          <w:sz w:val="24"/>
          <w:szCs w:val="24"/>
        </w:rPr>
        <w:t>l</w:t>
      </w:r>
      <w:r>
        <w:rPr>
          <w:sz w:val="24"/>
          <w:szCs w:val="24"/>
        </w:rPr>
        <w:t>y</w:t>
      </w:r>
      <w:r w:rsidRPr="001D6B7E">
        <w:rPr>
          <w:sz w:val="24"/>
          <w:szCs w:val="24"/>
        </w:rPr>
        <w:t>, politically and socially transformative form of reflection</w:t>
      </w:r>
      <w:r>
        <w:rPr>
          <w:sz w:val="24"/>
          <w:szCs w:val="24"/>
        </w:rPr>
        <w:t>. I</w:t>
      </w:r>
      <w:r w:rsidRPr="001D6B7E">
        <w:rPr>
          <w:sz w:val="24"/>
          <w:szCs w:val="24"/>
        </w:rPr>
        <w:t>nstrumental reflection</w:t>
      </w:r>
      <w:r>
        <w:rPr>
          <w:sz w:val="24"/>
          <w:szCs w:val="24"/>
        </w:rPr>
        <w:t xml:space="preserve"> involves</w:t>
      </w:r>
      <w:r w:rsidRPr="001D6B7E">
        <w:rPr>
          <w:sz w:val="24"/>
          <w:szCs w:val="24"/>
        </w:rPr>
        <w:t xml:space="preserve"> understanding the world as described by others</w:t>
      </w:r>
      <w:r>
        <w:rPr>
          <w:sz w:val="24"/>
          <w:szCs w:val="24"/>
        </w:rPr>
        <w:t xml:space="preserve"> (Reynolds, 1997)</w:t>
      </w:r>
      <w:r w:rsidRPr="001D6B7E">
        <w:rPr>
          <w:sz w:val="24"/>
          <w:szCs w:val="24"/>
        </w:rPr>
        <w:t>, and critical reflection encourages individuals to</w:t>
      </w:r>
      <w:r>
        <w:rPr>
          <w:sz w:val="24"/>
          <w:szCs w:val="24"/>
        </w:rPr>
        <w:t xml:space="preserve"> </w:t>
      </w:r>
      <w:r w:rsidRPr="001D6B7E">
        <w:rPr>
          <w:sz w:val="24"/>
          <w:szCs w:val="24"/>
        </w:rPr>
        <w:t>critica</w:t>
      </w:r>
      <w:r>
        <w:rPr>
          <w:sz w:val="24"/>
          <w:szCs w:val="24"/>
        </w:rPr>
        <w:t>l</w:t>
      </w:r>
      <w:r w:rsidRPr="001D6B7E">
        <w:rPr>
          <w:sz w:val="24"/>
          <w:szCs w:val="24"/>
        </w:rPr>
        <w:t>l</w:t>
      </w:r>
      <w:r>
        <w:rPr>
          <w:sz w:val="24"/>
          <w:szCs w:val="24"/>
        </w:rPr>
        <w:t xml:space="preserve">y analyse their </w:t>
      </w:r>
      <w:r w:rsidRPr="001D6B7E">
        <w:rPr>
          <w:sz w:val="24"/>
          <w:szCs w:val="24"/>
        </w:rPr>
        <w:t xml:space="preserve">world and their position in it </w:t>
      </w:r>
      <w:r w:rsidRPr="00427BBC">
        <w:rPr>
          <w:sz w:val="24"/>
          <w:szCs w:val="24"/>
        </w:rPr>
        <w:t xml:space="preserve">(Boud </w:t>
      </w:r>
      <w:r w:rsidR="00FB3A6E" w:rsidRPr="00FB3A6E">
        <w:rPr>
          <w:i/>
          <w:sz w:val="24"/>
          <w:szCs w:val="24"/>
        </w:rPr>
        <w:t>et al.</w:t>
      </w:r>
      <w:r w:rsidRPr="00427BBC">
        <w:rPr>
          <w:sz w:val="24"/>
          <w:szCs w:val="24"/>
        </w:rPr>
        <w:t xml:space="preserve">, 2006; Boud and Miller, 1996; </w:t>
      </w:r>
      <w:r>
        <w:rPr>
          <w:sz w:val="24"/>
          <w:szCs w:val="24"/>
        </w:rPr>
        <w:t>Schön</w:t>
      </w:r>
      <w:r w:rsidRPr="00427BBC">
        <w:rPr>
          <w:sz w:val="24"/>
          <w:szCs w:val="24"/>
        </w:rPr>
        <w:t>, 1987)</w:t>
      </w:r>
      <w:r>
        <w:rPr>
          <w:sz w:val="24"/>
          <w:szCs w:val="24"/>
        </w:rPr>
        <w:t xml:space="preserve">, therein </w:t>
      </w:r>
      <w:r w:rsidRPr="001D5AD3">
        <w:rPr>
          <w:sz w:val="24"/>
          <w:szCs w:val="24"/>
        </w:rPr>
        <w:t>seek</w:t>
      </w:r>
      <w:r>
        <w:rPr>
          <w:sz w:val="24"/>
          <w:szCs w:val="24"/>
        </w:rPr>
        <w:t>ing</w:t>
      </w:r>
      <w:r w:rsidRPr="001D5AD3">
        <w:rPr>
          <w:sz w:val="24"/>
          <w:szCs w:val="24"/>
        </w:rPr>
        <w:t xml:space="preserve"> to </w:t>
      </w:r>
      <w:r>
        <w:rPr>
          <w:sz w:val="24"/>
          <w:szCs w:val="24"/>
        </w:rPr>
        <w:t xml:space="preserve">promote social awareness </w:t>
      </w:r>
      <w:r w:rsidRPr="00D62342">
        <w:rPr>
          <w:sz w:val="24"/>
          <w:szCs w:val="24"/>
        </w:rPr>
        <w:t>(Dewey, 1933)</w:t>
      </w:r>
      <w:r>
        <w:rPr>
          <w:sz w:val="24"/>
          <w:szCs w:val="24"/>
        </w:rPr>
        <w:t xml:space="preserve"> </w:t>
      </w:r>
      <w:r w:rsidRPr="005866B3">
        <w:rPr>
          <w:sz w:val="24"/>
          <w:szCs w:val="24"/>
        </w:rPr>
        <w:t>beyond the scope of the classroom (Curzon and Tummons, 202</w:t>
      </w:r>
      <w:r>
        <w:rPr>
          <w:sz w:val="24"/>
          <w:szCs w:val="24"/>
        </w:rPr>
        <w:t xml:space="preserve">1). </w:t>
      </w:r>
    </w:p>
    <w:p w14:paraId="114FF962" w14:textId="7CF92B7C" w:rsidR="002E2ABD" w:rsidRDefault="002E2ABD" w:rsidP="00927EAA">
      <w:pPr>
        <w:spacing w:line="360" w:lineRule="auto"/>
        <w:rPr>
          <w:sz w:val="24"/>
          <w:szCs w:val="24"/>
        </w:rPr>
      </w:pPr>
      <w:r>
        <w:rPr>
          <w:sz w:val="24"/>
          <w:szCs w:val="24"/>
        </w:rPr>
        <w:t xml:space="preserve">Now </w:t>
      </w:r>
      <w:r w:rsidRPr="001D6B7E">
        <w:rPr>
          <w:sz w:val="24"/>
          <w:szCs w:val="24"/>
        </w:rPr>
        <w:t xml:space="preserve">entering </w:t>
      </w:r>
      <w:r>
        <w:rPr>
          <w:sz w:val="24"/>
          <w:szCs w:val="24"/>
        </w:rPr>
        <w:t xml:space="preserve">the </w:t>
      </w:r>
      <w:r w:rsidRPr="001D6B7E">
        <w:rPr>
          <w:sz w:val="24"/>
          <w:szCs w:val="24"/>
        </w:rPr>
        <w:t>realms of systemic politics</w:t>
      </w:r>
      <w:r>
        <w:rPr>
          <w:sz w:val="24"/>
          <w:szCs w:val="24"/>
        </w:rPr>
        <w:t>,</w:t>
      </w:r>
      <w:r w:rsidRPr="007C0365">
        <w:rPr>
          <w:sz w:val="24"/>
          <w:szCs w:val="24"/>
        </w:rPr>
        <w:t xml:space="preserve"> </w:t>
      </w:r>
      <w:r w:rsidRPr="00373BBA">
        <w:rPr>
          <w:sz w:val="24"/>
          <w:szCs w:val="24"/>
        </w:rPr>
        <w:t xml:space="preserve">Zeichner (1981) argues that teaching raises moral, ethical, and political issues which must be </w:t>
      </w:r>
      <w:r>
        <w:rPr>
          <w:sz w:val="24"/>
          <w:szCs w:val="24"/>
        </w:rPr>
        <w:t xml:space="preserve">critically </w:t>
      </w:r>
      <w:r w:rsidRPr="00373BBA">
        <w:rPr>
          <w:sz w:val="24"/>
          <w:szCs w:val="24"/>
        </w:rPr>
        <w:t xml:space="preserve">reflected upon so that worthwhile professional and personal judgements can be made. </w:t>
      </w:r>
      <w:r w:rsidRPr="001D6B7E">
        <w:rPr>
          <w:sz w:val="24"/>
          <w:szCs w:val="24"/>
        </w:rPr>
        <w:t>Critical reflection</w:t>
      </w:r>
      <w:r>
        <w:rPr>
          <w:sz w:val="24"/>
          <w:szCs w:val="24"/>
        </w:rPr>
        <w:t xml:space="preserve"> embraces change and social reform, </w:t>
      </w:r>
      <w:r w:rsidRPr="001D6B7E">
        <w:rPr>
          <w:sz w:val="24"/>
          <w:szCs w:val="24"/>
        </w:rPr>
        <w:t>question</w:t>
      </w:r>
      <w:r>
        <w:rPr>
          <w:sz w:val="24"/>
          <w:szCs w:val="24"/>
        </w:rPr>
        <w:t>s</w:t>
      </w:r>
      <w:r w:rsidRPr="001D6B7E">
        <w:rPr>
          <w:sz w:val="24"/>
          <w:szCs w:val="24"/>
        </w:rPr>
        <w:t xml:space="preserve"> what is known</w:t>
      </w:r>
      <w:r w:rsidR="00741710">
        <w:rPr>
          <w:sz w:val="24"/>
          <w:szCs w:val="24"/>
        </w:rPr>
        <w:t xml:space="preserve"> </w:t>
      </w:r>
      <w:r w:rsidRPr="001D6B7E">
        <w:rPr>
          <w:sz w:val="24"/>
          <w:szCs w:val="24"/>
        </w:rPr>
        <w:t xml:space="preserve">then </w:t>
      </w:r>
      <w:r w:rsidR="00741710">
        <w:rPr>
          <w:sz w:val="24"/>
          <w:szCs w:val="24"/>
        </w:rPr>
        <w:t>subsequentl</w:t>
      </w:r>
      <w:r w:rsidR="00423F8D">
        <w:rPr>
          <w:sz w:val="24"/>
          <w:szCs w:val="24"/>
        </w:rPr>
        <w:t xml:space="preserve">y </w:t>
      </w:r>
      <w:r w:rsidRPr="001D6B7E">
        <w:rPr>
          <w:sz w:val="24"/>
          <w:szCs w:val="24"/>
        </w:rPr>
        <w:t>refram</w:t>
      </w:r>
      <w:r>
        <w:rPr>
          <w:sz w:val="24"/>
          <w:szCs w:val="24"/>
        </w:rPr>
        <w:t>es</w:t>
      </w:r>
      <w:r w:rsidRPr="001D6B7E">
        <w:rPr>
          <w:sz w:val="24"/>
          <w:szCs w:val="24"/>
        </w:rPr>
        <w:t xml:space="preserve"> assumptions that have been </w:t>
      </w:r>
      <w:r>
        <w:rPr>
          <w:sz w:val="24"/>
          <w:szCs w:val="24"/>
        </w:rPr>
        <w:t xml:space="preserve">hitherto </w:t>
      </w:r>
      <w:r w:rsidRPr="001D6B7E">
        <w:rPr>
          <w:sz w:val="24"/>
          <w:szCs w:val="24"/>
        </w:rPr>
        <w:t xml:space="preserve">uncritically accepted (Brookfield, 1995; Burns, 2002). </w:t>
      </w:r>
      <w:r>
        <w:rPr>
          <w:sz w:val="24"/>
          <w:szCs w:val="24"/>
        </w:rPr>
        <w:t>Through critical reflection a</w:t>
      </w:r>
      <w:r w:rsidRPr="001D6B7E">
        <w:rPr>
          <w:sz w:val="24"/>
          <w:szCs w:val="24"/>
        </w:rPr>
        <w:t xml:space="preserve">lternative perspectives on </w:t>
      </w:r>
      <w:r>
        <w:rPr>
          <w:sz w:val="24"/>
          <w:szCs w:val="24"/>
        </w:rPr>
        <w:t xml:space="preserve">assumptions, </w:t>
      </w:r>
      <w:r w:rsidRPr="001D6B7E">
        <w:rPr>
          <w:sz w:val="24"/>
          <w:szCs w:val="24"/>
        </w:rPr>
        <w:t>actions</w:t>
      </w:r>
      <w:r>
        <w:rPr>
          <w:sz w:val="24"/>
          <w:szCs w:val="24"/>
        </w:rPr>
        <w:t xml:space="preserve"> </w:t>
      </w:r>
      <w:r w:rsidRPr="001D6B7E">
        <w:rPr>
          <w:sz w:val="24"/>
          <w:szCs w:val="24"/>
        </w:rPr>
        <w:t xml:space="preserve">and ideology can be adopted </w:t>
      </w:r>
      <w:r>
        <w:rPr>
          <w:sz w:val="24"/>
          <w:szCs w:val="24"/>
        </w:rPr>
        <w:t>together with</w:t>
      </w:r>
      <w:r w:rsidRPr="001D6B7E">
        <w:rPr>
          <w:sz w:val="24"/>
          <w:szCs w:val="24"/>
        </w:rPr>
        <w:t xml:space="preserve"> an understanding of how dominant cultural values create power imbalances</w:t>
      </w:r>
      <w:r>
        <w:rPr>
          <w:sz w:val="24"/>
          <w:szCs w:val="24"/>
        </w:rPr>
        <w:t xml:space="preserve"> (</w:t>
      </w:r>
      <w:r w:rsidR="00AB1ADC">
        <w:rPr>
          <w:sz w:val="24"/>
          <w:szCs w:val="24"/>
        </w:rPr>
        <w:t>ibid.</w:t>
      </w:r>
      <w:r>
        <w:rPr>
          <w:sz w:val="24"/>
          <w:szCs w:val="24"/>
        </w:rPr>
        <w:t>)</w:t>
      </w:r>
      <w:r w:rsidRPr="001D6B7E">
        <w:rPr>
          <w:sz w:val="24"/>
          <w:szCs w:val="24"/>
        </w:rPr>
        <w:t>. Burns (2002) notes that the process of critical reflection highlights political motivations and consequences, and Reynolds (1998) adds that it questions social rather than individual assumptions and pursues emancipation from ideologies</w:t>
      </w:r>
      <w:r>
        <w:rPr>
          <w:sz w:val="24"/>
          <w:szCs w:val="24"/>
        </w:rPr>
        <w:t xml:space="preserve">. </w:t>
      </w:r>
      <w:r w:rsidRPr="006818D1">
        <w:rPr>
          <w:sz w:val="24"/>
          <w:szCs w:val="24"/>
        </w:rPr>
        <w:t>It seems the critical reflection process is highly political and inv</w:t>
      </w:r>
      <w:r>
        <w:rPr>
          <w:sz w:val="24"/>
          <w:szCs w:val="24"/>
        </w:rPr>
        <w:t>ites</w:t>
      </w:r>
      <w:r w:rsidRPr="006818D1">
        <w:rPr>
          <w:sz w:val="24"/>
          <w:szCs w:val="24"/>
        </w:rPr>
        <w:t xml:space="preserve"> activism on behalf of the critical reflector. </w:t>
      </w:r>
    </w:p>
    <w:p w14:paraId="441ECDD0" w14:textId="5714A39E" w:rsidR="002E2ABD" w:rsidRPr="000E1F79" w:rsidRDefault="002E2ABD" w:rsidP="000E1F79">
      <w:pPr>
        <w:spacing w:line="360" w:lineRule="auto"/>
        <w:rPr>
          <w:rFonts w:ascii="Calibri" w:eastAsia="Aptos" w:hAnsi="Calibri" w:cs="Calibri"/>
          <w:kern w:val="2"/>
          <w:sz w:val="24"/>
          <w:szCs w:val="24"/>
          <w14:ligatures w14:val="standardContextual"/>
        </w:rPr>
      </w:pPr>
      <w:r>
        <w:rPr>
          <w:sz w:val="24"/>
          <w:szCs w:val="24"/>
        </w:rPr>
        <w:t xml:space="preserve">Emotional </w:t>
      </w:r>
      <w:r w:rsidRPr="001D6B7E">
        <w:rPr>
          <w:sz w:val="24"/>
          <w:szCs w:val="24"/>
        </w:rPr>
        <w:t xml:space="preserve">consequences for the </w:t>
      </w:r>
      <w:r>
        <w:rPr>
          <w:sz w:val="24"/>
          <w:szCs w:val="24"/>
        </w:rPr>
        <w:t>critical</w:t>
      </w:r>
      <w:r w:rsidRPr="001D6B7E">
        <w:rPr>
          <w:sz w:val="24"/>
          <w:szCs w:val="24"/>
        </w:rPr>
        <w:t xml:space="preserve"> reflector</w:t>
      </w:r>
      <w:r>
        <w:rPr>
          <w:sz w:val="24"/>
          <w:szCs w:val="24"/>
        </w:rPr>
        <w:t xml:space="preserve">, </w:t>
      </w:r>
      <w:r w:rsidR="00AF4744">
        <w:rPr>
          <w:sz w:val="24"/>
          <w:szCs w:val="24"/>
        </w:rPr>
        <w:t>however,</w:t>
      </w:r>
      <w:r>
        <w:rPr>
          <w:sz w:val="24"/>
          <w:szCs w:val="24"/>
        </w:rPr>
        <w:t xml:space="preserve"> </w:t>
      </w:r>
      <w:r w:rsidRPr="001D6B7E">
        <w:rPr>
          <w:sz w:val="24"/>
          <w:szCs w:val="24"/>
        </w:rPr>
        <w:t>can be psychologically explosive</w:t>
      </w:r>
      <w:r>
        <w:rPr>
          <w:sz w:val="24"/>
          <w:szCs w:val="24"/>
        </w:rPr>
        <w:t xml:space="preserve"> and result in the</w:t>
      </w:r>
      <w:r w:rsidRPr="001D6B7E">
        <w:rPr>
          <w:sz w:val="24"/>
          <w:szCs w:val="24"/>
        </w:rPr>
        <w:t xml:space="preserve"> structure of </w:t>
      </w:r>
      <w:r>
        <w:rPr>
          <w:sz w:val="24"/>
          <w:szCs w:val="24"/>
        </w:rPr>
        <w:t xml:space="preserve">their </w:t>
      </w:r>
      <w:r w:rsidRPr="001D6B7E">
        <w:rPr>
          <w:sz w:val="24"/>
          <w:szCs w:val="24"/>
        </w:rPr>
        <w:t xml:space="preserve">assumptive world </w:t>
      </w:r>
      <w:r>
        <w:rPr>
          <w:sz w:val="24"/>
          <w:szCs w:val="24"/>
        </w:rPr>
        <w:t>crumbling (Brookfield, 1995)</w:t>
      </w:r>
      <w:r w:rsidRPr="001D6B7E">
        <w:rPr>
          <w:sz w:val="24"/>
          <w:szCs w:val="24"/>
        </w:rPr>
        <w:t xml:space="preserve">. </w:t>
      </w:r>
      <w:r>
        <w:rPr>
          <w:sz w:val="24"/>
          <w:szCs w:val="24"/>
        </w:rPr>
        <w:t>A</w:t>
      </w:r>
      <w:r w:rsidRPr="0012677F">
        <w:rPr>
          <w:sz w:val="24"/>
          <w:szCs w:val="24"/>
        </w:rPr>
        <w:t xml:space="preserve"> reflective practitioner </w:t>
      </w:r>
      <w:r>
        <w:rPr>
          <w:sz w:val="24"/>
          <w:szCs w:val="24"/>
        </w:rPr>
        <w:t xml:space="preserve">is constantly </w:t>
      </w:r>
      <w:r w:rsidRPr="0012677F">
        <w:rPr>
          <w:sz w:val="24"/>
          <w:szCs w:val="24"/>
        </w:rPr>
        <w:t xml:space="preserve">fusing personal beliefs and values into a professional </w:t>
      </w:r>
      <w:r w:rsidRPr="0012677F">
        <w:rPr>
          <w:sz w:val="24"/>
          <w:szCs w:val="24"/>
        </w:rPr>
        <w:lastRenderedPageBreak/>
        <w:t>identity (Larrivee, 2000)</w:t>
      </w:r>
      <w:r>
        <w:rPr>
          <w:sz w:val="24"/>
          <w:szCs w:val="24"/>
        </w:rPr>
        <w:t>, an act of deep creativity, and i</w:t>
      </w:r>
      <w:r w:rsidRPr="001D6B7E">
        <w:rPr>
          <w:sz w:val="24"/>
          <w:szCs w:val="24"/>
        </w:rPr>
        <w:t xml:space="preserve">n a precarious work clime critical reflections may be dangerous </w:t>
      </w:r>
      <w:r>
        <w:rPr>
          <w:sz w:val="24"/>
          <w:szCs w:val="24"/>
        </w:rPr>
        <w:t xml:space="preserve">to </w:t>
      </w:r>
      <w:r w:rsidRPr="001D6B7E">
        <w:rPr>
          <w:sz w:val="24"/>
          <w:szCs w:val="24"/>
        </w:rPr>
        <w:t>acknowledge</w:t>
      </w:r>
      <w:r>
        <w:rPr>
          <w:sz w:val="24"/>
          <w:szCs w:val="24"/>
        </w:rPr>
        <w:t xml:space="preserve">, let alone act upon. May (1975) </w:t>
      </w:r>
      <w:r>
        <w:rPr>
          <w:rFonts w:ascii="Calibri" w:eastAsia="Aptos" w:hAnsi="Calibri" w:cs="Calibri"/>
          <w:kern w:val="2"/>
          <w:sz w:val="24"/>
          <w:szCs w:val="24"/>
          <w14:ligatures w14:val="standardContextual"/>
        </w:rPr>
        <w:t xml:space="preserve">notes that the creative </w:t>
      </w:r>
      <w:r w:rsidR="00542C2A">
        <w:rPr>
          <w:rFonts w:ascii="Calibri" w:eastAsia="Aptos" w:hAnsi="Calibri" w:cs="Calibri"/>
          <w:kern w:val="2"/>
          <w:sz w:val="24"/>
          <w:szCs w:val="24"/>
          <w14:ligatures w14:val="standardContextual"/>
        </w:rPr>
        <w:t>challenges</w:t>
      </w:r>
      <w:r w:rsidR="009C1234">
        <w:rPr>
          <w:rFonts w:ascii="Calibri" w:eastAsia="Aptos" w:hAnsi="Calibri" w:cs="Calibri"/>
          <w:kern w:val="2"/>
          <w:sz w:val="24"/>
          <w:szCs w:val="24"/>
          <w14:ligatures w14:val="standardContextual"/>
        </w:rPr>
        <w:t xml:space="preserve"> the status quo and is therein</w:t>
      </w:r>
      <w:r w:rsidRPr="003706B4">
        <w:rPr>
          <w:rFonts w:ascii="Calibri" w:eastAsia="Aptos" w:hAnsi="Calibri" w:cs="Calibri"/>
          <w:kern w:val="2"/>
          <w:sz w:val="24"/>
          <w:szCs w:val="24"/>
          <w14:ligatures w14:val="standardContextual"/>
        </w:rPr>
        <w:t xml:space="preserve"> a threat to</w:t>
      </w:r>
      <w:r w:rsidR="00A951DE">
        <w:rPr>
          <w:rFonts w:ascii="Calibri" w:eastAsia="Aptos" w:hAnsi="Calibri" w:cs="Calibri"/>
          <w:kern w:val="2"/>
          <w:sz w:val="24"/>
          <w:szCs w:val="24"/>
          <w14:ligatures w14:val="standardContextual"/>
        </w:rPr>
        <w:t xml:space="preserve"> </w:t>
      </w:r>
      <w:r w:rsidR="009A5608">
        <w:rPr>
          <w:rFonts w:ascii="Calibri" w:eastAsia="Aptos" w:hAnsi="Calibri" w:cs="Calibri"/>
          <w:kern w:val="2"/>
          <w:sz w:val="24"/>
          <w:szCs w:val="24"/>
          <w14:ligatures w14:val="standardContextual"/>
        </w:rPr>
        <w:t xml:space="preserve">political </w:t>
      </w:r>
      <w:r w:rsidR="00A951DE">
        <w:rPr>
          <w:rFonts w:ascii="Calibri" w:eastAsia="Aptos" w:hAnsi="Calibri" w:cs="Calibri"/>
          <w:kern w:val="2"/>
          <w:sz w:val="24"/>
          <w:szCs w:val="24"/>
          <w14:ligatures w14:val="standardContextual"/>
        </w:rPr>
        <w:t>assembly line of power</w:t>
      </w:r>
      <w:r>
        <w:rPr>
          <w:rFonts w:ascii="Calibri" w:eastAsia="Aptos" w:hAnsi="Calibri" w:cs="Calibri"/>
          <w:kern w:val="2"/>
          <w:sz w:val="24"/>
          <w:szCs w:val="24"/>
          <w14:ligatures w14:val="standardContextual"/>
        </w:rPr>
        <w:t xml:space="preserve">. To critically reflect is to wake up </w:t>
      </w:r>
      <w:r w:rsidR="00FD7FF5">
        <w:rPr>
          <w:rFonts w:ascii="Calibri" w:eastAsia="Aptos" w:hAnsi="Calibri" w:cs="Calibri"/>
          <w:kern w:val="2"/>
          <w:sz w:val="24"/>
          <w:szCs w:val="24"/>
          <w14:ligatures w14:val="standardContextual"/>
        </w:rPr>
        <w:t>to and</w:t>
      </w:r>
      <w:r>
        <w:rPr>
          <w:rFonts w:ascii="Calibri" w:eastAsia="Aptos" w:hAnsi="Calibri" w:cs="Calibri"/>
          <w:kern w:val="2"/>
          <w:sz w:val="24"/>
          <w:szCs w:val="24"/>
          <w14:ligatures w14:val="standardContextual"/>
        </w:rPr>
        <w:t xml:space="preserve"> no longer conform to the assembly line.</w:t>
      </w:r>
      <w:r w:rsidRPr="000E1F79">
        <w:rPr>
          <w:color w:val="EE0000"/>
          <w:sz w:val="24"/>
          <w:szCs w:val="24"/>
        </w:rPr>
        <w:t xml:space="preserve"> </w:t>
      </w:r>
    </w:p>
    <w:p w14:paraId="6CCA7AA7" w14:textId="77777777" w:rsidR="002E2ABD" w:rsidRPr="00FA570E" w:rsidRDefault="002E2ABD" w:rsidP="00927EAA">
      <w:pPr>
        <w:spacing w:line="360" w:lineRule="auto"/>
        <w:rPr>
          <w:b/>
          <w:bCs/>
          <w:sz w:val="24"/>
          <w:szCs w:val="24"/>
        </w:rPr>
      </w:pPr>
      <w:r w:rsidRPr="00FA570E">
        <w:rPr>
          <w:rFonts w:ascii="Calibri" w:eastAsia="Aptos" w:hAnsi="Calibri" w:cs="Calibri"/>
          <w:b/>
          <w:bCs/>
          <w:kern w:val="2"/>
          <w:sz w:val="24"/>
          <w:szCs w:val="24"/>
          <w14:ligatures w14:val="standardContextual"/>
        </w:rPr>
        <w:t>Reflexivity</w:t>
      </w:r>
    </w:p>
    <w:p w14:paraId="30F0B6CD" w14:textId="39517D86" w:rsidR="00934C16" w:rsidRDefault="002E2ABD" w:rsidP="00927EAA">
      <w:pPr>
        <w:spacing w:line="360" w:lineRule="auto"/>
        <w:rPr>
          <w:sz w:val="24"/>
          <w:szCs w:val="24"/>
        </w:rPr>
      </w:pPr>
      <w:r>
        <w:rPr>
          <w:sz w:val="24"/>
          <w:szCs w:val="24"/>
        </w:rPr>
        <w:t>R</w:t>
      </w:r>
      <w:r w:rsidRPr="00BB05D8">
        <w:rPr>
          <w:sz w:val="24"/>
          <w:szCs w:val="24"/>
        </w:rPr>
        <w:t>eflexivity</w:t>
      </w:r>
      <w:r w:rsidRPr="00B51BA8">
        <w:rPr>
          <w:sz w:val="24"/>
          <w:szCs w:val="24"/>
        </w:rPr>
        <w:t xml:space="preserve"> and is the action of subject towards object (Archer, 2010). </w:t>
      </w:r>
      <w:r w:rsidR="001C7232" w:rsidRPr="001C7232">
        <w:rPr>
          <w:sz w:val="24"/>
          <w:szCs w:val="24"/>
        </w:rPr>
        <w:t xml:space="preserve">Reflexivity as doing involves the self, the identity of the teacher and a willingness to challenge, change and develop thoughts, experiences, and behaviours in service of the teacher’s practice. </w:t>
      </w:r>
      <w:r w:rsidRPr="00B84AB9">
        <w:rPr>
          <w:sz w:val="24"/>
          <w:szCs w:val="24"/>
        </w:rPr>
        <w:t>Whether applied to knowledge, practice, systems or the self, reflection is the noun and reflexivity the verb, the doing.</w:t>
      </w:r>
      <w:r w:rsidR="00F81079">
        <w:rPr>
          <w:sz w:val="24"/>
          <w:szCs w:val="24"/>
        </w:rPr>
        <w:t xml:space="preserve"> </w:t>
      </w:r>
      <w:r>
        <w:rPr>
          <w:sz w:val="24"/>
          <w:szCs w:val="24"/>
        </w:rPr>
        <w:t>D</w:t>
      </w:r>
      <w:r w:rsidRPr="001D6B7E">
        <w:rPr>
          <w:sz w:val="24"/>
          <w:szCs w:val="24"/>
        </w:rPr>
        <w:t>escribe</w:t>
      </w:r>
      <w:r>
        <w:rPr>
          <w:sz w:val="24"/>
          <w:szCs w:val="24"/>
        </w:rPr>
        <w:t>d by Cunliffe (2002)</w:t>
      </w:r>
      <w:r w:rsidRPr="001D6B7E">
        <w:rPr>
          <w:sz w:val="24"/>
          <w:szCs w:val="24"/>
        </w:rPr>
        <w:t xml:space="preserve"> as “complexity of thinking or experience by exposing contradictions, doubts, dilemmas and possibilities” (p.28)</w:t>
      </w:r>
      <w:r w:rsidR="00243877">
        <w:rPr>
          <w:sz w:val="24"/>
          <w:szCs w:val="24"/>
        </w:rPr>
        <w:t xml:space="preserve">, </w:t>
      </w:r>
      <w:r>
        <w:rPr>
          <w:sz w:val="24"/>
          <w:szCs w:val="24"/>
        </w:rPr>
        <w:t>by being reflexive</w:t>
      </w:r>
      <w:r w:rsidR="00243877">
        <w:rPr>
          <w:sz w:val="24"/>
          <w:szCs w:val="24"/>
        </w:rPr>
        <w:t xml:space="preserve"> </w:t>
      </w:r>
      <w:r>
        <w:rPr>
          <w:sz w:val="24"/>
          <w:szCs w:val="24"/>
        </w:rPr>
        <w:t xml:space="preserve">the reflector is critically </w:t>
      </w:r>
      <w:r w:rsidRPr="001D6B7E">
        <w:rPr>
          <w:sz w:val="24"/>
          <w:szCs w:val="24"/>
        </w:rPr>
        <w:t>engaging in</w:t>
      </w:r>
      <w:r w:rsidR="00491D4D">
        <w:rPr>
          <w:sz w:val="24"/>
          <w:szCs w:val="24"/>
        </w:rPr>
        <w:t xml:space="preserve"> </w:t>
      </w:r>
      <w:r w:rsidR="003B23A6">
        <w:rPr>
          <w:sz w:val="24"/>
          <w:szCs w:val="24"/>
        </w:rPr>
        <w:t>their own doubts and dilemmas</w:t>
      </w:r>
      <w:r w:rsidR="004F6A41">
        <w:rPr>
          <w:sz w:val="24"/>
          <w:szCs w:val="24"/>
        </w:rPr>
        <w:t xml:space="preserve"> in teaching and</w:t>
      </w:r>
      <w:r w:rsidR="00E127DB">
        <w:rPr>
          <w:sz w:val="24"/>
          <w:szCs w:val="24"/>
        </w:rPr>
        <w:t xml:space="preserve"> in</w:t>
      </w:r>
      <w:r w:rsidRPr="001D6B7E">
        <w:rPr>
          <w:sz w:val="24"/>
          <w:szCs w:val="24"/>
        </w:rPr>
        <w:t xml:space="preserve"> a struggle against a sense of immutability</w:t>
      </w:r>
      <w:r>
        <w:rPr>
          <w:sz w:val="24"/>
          <w:szCs w:val="24"/>
        </w:rPr>
        <w:t xml:space="preserve"> in systemic structures and practices (Bolton, 2014)</w:t>
      </w:r>
      <w:r w:rsidRPr="001D6B7E">
        <w:rPr>
          <w:sz w:val="24"/>
          <w:szCs w:val="24"/>
        </w:rPr>
        <w:t>.</w:t>
      </w:r>
    </w:p>
    <w:p w14:paraId="083C2837" w14:textId="1DA195F0" w:rsidR="002E2ABD" w:rsidRDefault="002E2ABD" w:rsidP="00927EAA">
      <w:pPr>
        <w:spacing w:line="360" w:lineRule="auto"/>
        <w:rPr>
          <w:sz w:val="24"/>
          <w:szCs w:val="24"/>
        </w:rPr>
      </w:pPr>
      <w:r w:rsidRPr="007859D4">
        <w:rPr>
          <w:rFonts w:ascii="Calibri" w:eastAsia="Aptos" w:hAnsi="Calibri" w:cs="Calibri"/>
          <w:kern w:val="2"/>
          <w:sz w:val="24"/>
          <w:szCs w:val="24"/>
          <w14:ligatures w14:val="standardContextual"/>
        </w:rPr>
        <w:t>Bourdieu (1993) coined the term “epistemic reflexivity” (p.366) to describe the process of being reflexive</w:t>
      </w:r>
      <w:r>
        <w:rPr>
          <w:rFonts w:ascii="Calibri" w:eastAsia="Aptos" w:hAnsi="Calibri" w:cs="Calibri"/>
          <w:kern w:val="2"/>
          <w:sz w:val="24"/>
          <w:szCs w:val="24"/>
          <w14:ligatures w14:val="standardContextual"/>
        </w:rPr>
        <w:t xml:space="preserve"> in service of</w:t>
      </w:r>
      <w:r w:rsidRPr="007859D4">
        <w:rPr>
          <w:rFonts w:ascii="Calibri" w:eastAsia="Aptos" w:hAnsi="Calibri" w:cs="Calibri"/>
          <w:kern w:val="2"/>
          <w:sz w:val="24"/>
          <w:szCs w:val="24"/>
          <w14:ligatures w14:val="standardContextual"/>
        </w:rPr>
        <w:t xml:space="preserve"> the production of knowledge. </w:t>
      </w:r>
      <w:bookmarkStart w:id="39" w:name="_Hlk177032724"/>
      <w:r w:rsidRPr="007859D4">
        <w:rPr>
          <w:rFonts w:ascii="Calibri" w:eastAsia="Aptos" w:hAnsi="Calibri" w:cs="Calibri"/>
          <w:kern w:val="2"/>
          <w:sz w:val="24"/>
          <w:szCs w:val="24"/>
          <w14:ligatures w14:val="standardContextual"/>
        </w:rPr>
        <w:t>Ruokonen-Engler and Siouti (2016)</w:t>
      </w:r>
      <w:bookmarkEnd w:id="39"/>
      <w:r w:rsidRPr="007859D4">
        <w:rPr>
          <w:rFonts w:ascii="Calibri" w:eastAsia="Aptos" w:hAnsi="Calibri" w:cs="Calibri"/>
          <w:kern w:val="2"/>
          <w:sz w:val="24"/>
          <w:szCs w:val="24"/>
          <w14:ligatures w14:val="standardContextual"/>
        </w:rPr>
        <w:t xml:space="preserve"> expand this further to include the concept of biographical experience and biographical knowledge production for researchers as a way of uncovering “biographical entanglements” (p. 745), a process they call “biological reflexivity” (pp. 749-750). Mayes (</w:t>
      </w:r>
      <w:r>
        <w:rPr>
          <w:rFonts w:ascii="Calibri" w:eastAsia="Aptos" w:hAnsi="Calibri" w:cs="Calibri"/>
          <w:kern w:val="2"/>
          <w:sz w:val="24"/>
          <w:szCs w:val="24"/>
          <w14:ligatures w14:val="standardContextual"/>
        </w:rPr>
        <w:t>2003</w:t>
      </w:r>
      <w:r w:rsidRPr="007859D4">
        <w:rPr>
          <w:rFonts w:ascii="Calibri" w:eastAsia="Aptos" w:hAnsi="Calibri" w:cs="Calibri"/>
          <w:kern w:val="2"/>
          <w:sz w:val="24"/>
          <w:szCs w:val="24"/>
          <w14:ligatures w14:val="standardContextual"/>
        </w:rPr>
        <w:t xml:space="preserve">) proposes </w:t>
      </w:r>
      <w:r>
        <w:rPr>
          <w:rFonts w:ascii="Calibri" w:eastAsia="Aptos" w:hAnsi="Calibri" w:cs="Calibri"/>
          <w:kern w:val="2"/>
          <w:sz w:val="24"/>
          <w:szCs w:val="24"/>
          <w14:ligatures w14:val="standardContextual"/>
        </w:rPr>
        <w:t xml:space="preserve">archetypal </w:t>
      </w:r>
      <w:r w:rsidRPr="007859D4">
        <w:rPr>
          <w:rFonts w:ascii="Calibri" w:eastAsia="Aptos" w:hAnsi="Calibri" w:cs="Calibri"/>
          <w:kern w:val="2"/>
          <w:sz w:val="24"/>
          <w:szCs w:val="24"/>
          <w14:ligatures w14:val="standardContextual"/>
        </w:rPr>
        <w:t>bio</w:t>
      </w:r>
      <w:r>
        <w:rPr>
          <w:rFonts w:ascii="Calibri" w:eastAsia="Aptos" w:hAnsi="Calibri" w:cs="Calibri"/>
          <w:kern w:val="2"/>
          <w:sz w:val="24"/>
          <w:szCs w:val="24"/>
          <w14:ligatures w14:val="standardContextual"/>
        </w:rPr>
        <w:t>graph</w:t>
      </w:r>
      <w:r w:rsidRPr="007859D4">
        <w:rPr>
          <w:rFonts w:ascii="Calibri" w:eastAsia="Aptos" w:hAnsi="Calibri" w:cs="Calibri"/>
          <w:kern w:val="2"/>
          <w:sz w:val="24"/>
          <w:szCs w:val="24"/>
          <w14:ligatures w14:val="standardContextual"/>
        </w:rPr>
        <w:t>ical reflectivity built on psychoanalytic foundations, a process whereby the teacher examines the psychodynamic determinants of their reasons for becoming teachers and how the teachers practice their work.</w:t>
      </w:r>
      <w:r>
        <w:rPr>
          <w:rFonts w:ascii="Calibri" w:eastAsia="Aptos" w:hAnsi="Calibri" w:cs="Calibri"/>
          <w:kern w:val="2"/>
          <w:sz w:val="24"/>
          <w:szCs w:val="24"/>
          <w14:ligatures w14:val="standardContextual"/>
        </w:rPr>
        <w:t xml:space="preserve"> </w:t>
      </w:r>
    </w:p>
    <w:p w14:paraId="06DF817A" w14:textId="11F4FA14" w:rsidR="002E2ABD" w:rsidRPr="00ED4A43" w:rsidRDefault="002E2ABD" w:rsidP="00927EAA">
      <w:pPr>
        <w:spacing w:line="360" w:lineRule="auto"/>
        <w:rPr>
          <w:sz w:val="24"/>
          <w:szCs w:val="24"/>
        </w:rPr>
      </w:pPr>
      <w:r>
        <w:rPr>
          <w:sz w:val="24"/>
          <w:szCs w:val="24"/>
        </w:rPr>
        <w:t xml:space="preserve">It seems </w:t>
      </w:r>
      <w:r w:rsidR="004C60AA">
        <w:rPr>
          <w:sz w:val="24"/>
          <w:szCs w:val="24"/>
        </w:rPr>
        <w:t xml:space="preserve">reflection changes and expands </w:t>
      </w:r>
      <w:r w:rsidRPr="00ED4A43">
        <w:rPr>
          <w:sz w:val="24"/>
          <w:szCs w:val="24"/>
        </w:rPr>
        <w:t>the conceptual map of the teacher</w:t>
      </w:r>
      <w:r>
        <w:rPr>
          <w:sz w:val="24"/>
          <w:szCs w:val="24"/>
        </w:rPr>
        <w:t xml:space="preserve">, </w:t>
      </w:r>
      <w:r w:rsidRPr="00ED4A43">
        <w:rPr>
          <w:sz w:val="24"/>
          <w:szCs w:val="24"/>
        </w:rPr>
        <w:t xml:space="preserve">and reflexivity is a key component </w:t>
      </w:r>
      <w:r w:rsidR="00D55560">
        <w:rPr>
          <w:sz w:val="24"/>
          <w:szCs w:val="24"/>
        </w:rPr>
        <w:t>in engaging in this</w:t>
      </w:r>
      <w:r w:rsidRPr="00ED4A43">
        <w:rPr>
          <w:sz w:val="24"/>
          <w:szCs w:val="24"/>
        </w:rPr>
        <w:t xml:space="preserve"> change. </w:t>
      </w:r>
      <w:r>
        <w:rPr>
          <w:sz w:val="24"/>
          <w:szCs w:val="24"/>
        </w:rPr>
        <w:t>N</w:t>
      </w:r>
      <w:r w:rsidRPr="00ED4A43">
        <w:rPr>
          <w:sz w:val="24"/>
          <w:szCs w:val="24"/>
        </w:rPr>
        <w:t>ot only does the teacher’s conceptual map need to embrace change</w:t>
      </w:r>
      <w:r w:rsidR="00A529CD">
        <w:rPr>
          <w:sz w:val="24"/>
          <w:szCs w:val="24"/>
        </w:rPr>
        <w:t xml:space="preserve"> when reflecting</w:t>
      </w:r>
      <w:r w:rsidRPr="00ED4A43">
        <w:rPr>
          <w:sz w:val="24"/>
          <w:szCs w:val="24"/>
        </w:rPr>
        <w:t>, but also the personal map</w:t>
      </w:r>
      <w:r>
        <w:rPr>
          <w:sz w:val="24"/>
          <w:szCs w:val="24"/>
        </w:rPr>
        <w:t>, and feelings may have a part to play in the change process</w:t>
      </w:r>
      <w:r w:rsidRPr="00ED4A43">
        <w:rPr>
          <w:sz w:val="24"/>
          <w:szCs w:val="24"/>
        </w:rPr>
        <w:t>.</w:t>
      </w:r>
      <w:r w:rsidRPr="00272C8E">
        <w:rPr>
          <w:color w:val="EE0000"/>
          <w:sz w:val="24"/>
          <w:szCs w:val="24"/>
        </w:rPr>
        <w:t xml:space="preserve"> </w:t>
      </w:r>
      <w:r>
        <w:rPr>
          <w:sz w:val="24"/>
          <w:szCs w:val="24"/>
        </w:rPr>
        <w:t xml:space="preserve">As we shall now see, </w:t>
      </w:r>
      <w:r w:rsidRPr="00272C8E">
        <w:rPr>
          <w:sz w:val="24"/>
          <w:szCs w:val="24"/>
        </w:rPr>
        <w:t xml:space="preserve">the process of reflection engages emotions and is not simply a service user evaluation </w:t>
      </w:r>
      <w:r>
        <w:rPr>
          <w:sz w:val="24"/>
          <w:szCs w:val="24"/>
        </w:rPr>
        <w:t xml:space="preserve">tool </w:t>
      </w:r>
      <w:r w:rsidRPr="00272C8E">
        <w:rPr>
          <w:sz w:val="24"/>
          <w:szCs w:val="24"/>
        </w:rPr>
        <w:t xml:space="preserve">(Kuit </w:t>
      </w:r>
      <w:r w:rsidR="00FB3A6E" w:rsidRPr="00FB3A6E">
        <w:rPr>
          <w:i/>
          <w:sz w:val="24"/>
          <w:szCs w:val="24"/>
        </w:rPr>
        <w:t>et al.</w:t>
      </w:r>
      <w:r w:rsidRPr="00272C8E">
        <w:rPr>
          <w:sz w:val="24"/>
          <w:szCs w:val="24"/>
        </w:rPr>
        <w:t>, 2001).</w:t>
      </w:r>
    </w:p>
    <w:p w14:paraId="4776E156" w14:textId="77777777" w:rsidR="002E2ABD" w:rsidRDefault="002E2ABD" w:rsidP="00927EAA">
      <w:pPr>
        <w:spacing w:line="360" w:lineRule="auto"/>
        <w:rPr>
          <w:sz w:val="24"/>
          <w:szCs w:val="24"/>
        </w:rPr>
      </w:pPr>
      <w:r w:rsidRPr="0076004D">
        <w:rPr>
          <w:b/>
          <w:bCs/>
          <w:sz w:val="24"/>
          <w:szCs w:val="24"/>
        </w:rPr>
        <w:t xml:space="preserve">Reflective practice </w:t>
      </w:r>
      <w:r>
        <w:rPr>
          <w:b/>
          <w:bCs/>
          <w:sz w:val="24"/>
          <w:szCs w:val="24"/>
        </w:rPr>
        <w:t>and emotion</w:t>
      </w:r>
      <w:r w:rsidRPr="00B666F7">
        <w:rPr>
          <w:sz w:val="24"/>
          <w:szCs w:val="24"/>
        </w:rPr>
        <w:t xml:space="preserve"> </w:t>
      </w:r>
    </w:p>
    <w:p w14:paraId="51CB2CE4" w14:textId="434993C1" w:rsidR="00461344" w:rsidRDefault="002E2ABD" w:rsidP="00927EAA">
      <w:pPr>
        <w:spacing w:line="360" w:lineRule="auto"/>
        <w:rPr>
          <w:sz w:val="24"/>
          <w:szCs w:val="24"/>
        </w:rPr>
      </w:pPr>
      <w:r w:rsidRPr="00EE6F58">
        <w:rPr>
          <w:sz w:val="24"/>
          <w:szCs w:val="24"/>
        </w:rPr>
        <w:t xml:space="preserve">The act of reflection can engage feelings, and some stages of the reflection process involve attending to feelings (Boud, </w:t>
      </w:r>
      <w:r w:rsidR="00FB3A6E" w:rsidRPr="00FB3A6E">
        <w:rPr>
          <w:i/>
          <w:sz w:val="24"/>
          <w:szCs w:val="24"/>
        </w:rPr>
        <w:t>et al.</w:t>
      </w:r>
      <w:r w:rsidRPr="00EE6F58">
        <w:rPr>
          <w:sz w:val="24"/>
          <w:szCs w:val="24"/>
        </w:rPr>
        <w:t>, 1985).</w:t>
      </w:r>
      <w:r w:rsidRPr="00EE6F58">
        <w:rPr>
          <w:b/>
          <w:bCs/>
          <w:sz w:val="24"/>
          <w:szCs w:val="24"/>
        </w:rPr>
        <w:t xml:space="preserve"> </w:t>
      </w:r>
      <w:r w:rsidRPr="00051129">
        <w:rPr>
          <w:sz w:val="24"/>
          <w:szCs w:val="24"/>
        </w:rPr>
        <w:t xml:space="preserve">Gohm and Clore (2002) suggest that greater </w:t>
      </w:r>
      <w:r w:rsidRPr="00051129">
        <w:rPr>
          <w:sz w:val="24"/>
          <w:szCs w:val="24"/>
        </w:rPr>
        <w:lastRenderedPageBreak/>
        <w:t>awareness of emotions enhance</w:t>
      </w:r>
      <w:r>
        <w:rPr>
          <w:sz w:val="24"/>
          <w:szCs w:val="24"/>
        </w:rPr>
        <w:t>s</w:t>
      </w:r>
      <w:r w:rsidRPr="00051129">
        <w:rPr>
          <w:sz w:val="24"/>
          <w:szCs w:val="24"/>
        </w:rPr>
        <w:t xml:space="preserve"> the process and impact of reflection</w:t>
      </w:r>
      <w:r>
        <w:rPr>
          <w:sz w:val="24"/>
          <w:szCs w:val="24"/>
        </w:rPr>
        <w:t xml:space="preserve"> and</w:t>
      </w:r>
      <w:r w:rsidRPr="00051129">
        <w:rPr>
          <w:sz w:val="24"/>
          <w:szCs w:val="24"/>
        </w:rPr>
        <w:t xml:space="preserve"> </w:t>
      </w:r>
      <w:r w:rsidRPr="00E65FF1">
        <w:rPr>
          <w:sz w:val="24"/>
          <w:szCs w:val="24"/>
        </w:rPr>
        <w:t xml:space="preserve">the teacher’s capacity to manage their own emotions </w:t>
      </w:r>
      <w:r>
        <w:rPr>
          <w:sz w:val="24"/>
          <w:szCs w:val="24"/>
        </w:rPr>
        <w:t>is viewed as being</w:t>
      </w:r>
      <w:r w:rsidRPr="00E65FF1">
        <w:rPr>
          <w:sz w:val="24"/>
          <w:szCs w:val="24"/>
        </w:rPr>
        <w:t xml:space="preserve"> vital to successful student-centred teaching, the current paradigm</w:t>
      </w:r>
      <w:r w:rsidRPr="009E403F">
        <w:rPr>
          <w:sz w:val="24"/>
          <w:szCs w:val="24"/>
        </w:rPr>
        <w:t xml:space="preserve"> </w:t>
      </w:r>
      <w:r>
        <w:rPr>
          <w:sz w:val="24"/>
          <w:szCs w:val="24"/>
        </w:rPr>
        <w:t>(</w:t>
      </w:r>
      <w:r w:rsidRPr="009E403F">
        <w:rPr>
          <w:sz w:val="24"/>
          <w:szCs w:val="24"/>
        </w:rPr>
        <w:t>Kordts-Freudinger</w:t>
      </w:r>
      <w:r>
        <w:rPr>
          <w:sz w:val="24"/>
          <w:szCs w:val="24"/>
        </w:rPr>
        <w:t xml:space="preserve">, </w:t>
      </w:r>
      <w:r w:rsidRPr="009E403F">
        <w:rPr>
          <w:sz w:val="24"/>
          <w:szCs w:val="24"/>
        </w:rPr>
        <w:t>2014)</w:t>
      </w:r>
      <w:r w:rsidRPr="00E65FF1">
        <w:rPr>
          <w:sz w:val="24"/>
          <w:szCs w:val="24"/>
        </w:rPr>
        <w:t xml:space="preserve">. </w:t>
      </w:r>
      <w:r w:rsidRPr="00BF3EED">
        <w:rPr>
          <w:sz w:val="24"/>
          <w:szCs w:val="24"/>
        </w:rPr>
        <w:t>Much of the literature focuses on “managing emotions</w:t>
      </w:r>
      <w:r w:rsidR="00B71075">
        <w:rPr>
          <w:sz w:val="24"/>
          <w:szCs w:val="24"/>
        </w:rPr>
        <w:t xml:space="preserve">, </w:t>
      </w:r>
      <w:r w:rsidRPr="00BF3EED">
        <w:rPr>
          <w:sz w:val="24"/>
          <w:szCs w:val="24"/>
        </w:rPr>
        <w:t xml:space="preserve">emotion regulation, emotional control, self-regulation, self-control, emotion-focused coping” (Hartel </w:t>
      </w:r>
      <w:r w:rsidR="00FB3A6E" w:rsidRPr="00FB3A6E">
        <w:rPr>
          <w:i/>
          <w:sz w:val="24"/>
          <w:szCs w:val="24"/>
        </w:rPr>
        <w:t>et al.</w:t>
      </w:r>
      <w:r w:rsidRPr="00BF3EED">
        <w:rPr>
          <w:sz w:val="24"/>
          <w:szCs w:val="24"/>
        </w:rPr>
        <w:t xml:space="preserve">, 2005, p. 254). </w:t>
      </w:r>
      <w:r>
        <w:rPr>
          <w:sz w:val="24"/>
          <w:szCs w:val="24"/>
        </w:rPr>
        <w:t xml:space="preserve">Although some </w:t>
      </w:r>
      <w:r w:rsidRPr="001D6B7E">
        <w:rPr>
          <w:sz w:val="24"/>
          <w:szCs w:val="24"/>
        </w:rPr>
        <w:t xml:space="preserve">models of reflection suggest that emotion can act as a catalyst </w:t>
      </w:r>
      <w:r w:rsidR="00461344" w:rsidRPr="001D6B7E">
        <w:rPr>
          <w:sz w:val="24"/>
          <w:szCs w:val="24"/>
        </w:rPr>
        <w:t>for</w:t>
      </w:r>
      <w:r w:rsidR="00461344">
        <w:rPr>
          <w:sz w:val="24"/>
          <w:szCs w:val="24"/>
        </w:rPr>
        <w:t xml:space="preserve"> and</w:t>
      </w:r>
      <w:r>
        <w:rPr>
          <w:sz w:val="24"/>
          <w:szCs w:val="24"/>
        </w:rPr>
        <w:t xml:space="preserve"> be</w:t>
      </w:r>
      <w:r w:rsidRPr="001D6B7E">
        <w:rPr>
          <w:sz w:val="24"/>
          <w:szCs w:val="24"/>
        </w:rPr>
        <w:t xml:space="preserve"> a by-product of reflection (Appendix A)</w:t>
      </w:r>
      <w:r>
        <w:rPr>
          <w:sz w:val="24"/>
          <w:szCs w:val="24"/>
        </w:rPr>
        <w:t xml:space="preserve">, </w:t>
      </w:r>
      <w:r w:rsidRPr="001D6B7E">
        <w:rPr>
          <w:sz w:val="24"/>
          <w:szCs w:val="24"/>
        </w:rPr>
        <w:t>most models are derivative of a rationalist model where emotion requires management (Vince, 2006).</w:t>
      </w:r>
    </w:p>
    <w:p w14:paraId="07C28896" w14:textId="05233327" w:rsidR="002E2ABD" w:rsidRDefault="002E2ABD" w:rsidP="00927EAA">
      <w:pPr>
        <w:spacing w:line="360" w:lineRule="auto"/>
        <w:rPr>
          <w:sz w:val="24"/>
          <w:szCs w:val="24"/>
        </w:rPr>
      </w:pPr>
      <w:r w:rsidRPr="00B3213F">
        <w:rPr>
          <w:sz w:val="24"/>
          <w:szCs w:val="24"/>
        </w:rPr>
        <w:t xml:space="preserve">Ecclestone and Hayes (2009) voice discontent about </w:t>
      </w:r>
      <w:r>
        <w:rPr>
          <w:sz w:val="24"/>
          <w:szCs w:val="24"/>
        </w:rPr>
        <w:t xml:space="preserve">what they view as a destructive </w:t>
      </w:r>
      <w:r w:rsidRPr="00B3213F">
        <w:rPr>
          <w:sz w:val="24"/>
          <w:szCs w:val="24"/>
        </w:rPr>
        <w:t>emotional turn in education</w:t>
      </w:r>
      <w:r>
        <w:rPr>
          <w:sz w:val="24"/>
          <w:szCs w:val="24"/>
        </w:rPr>
        <w:t xml:space="preserve"> </w:t>
      </w:r>
      <w:r w:rsidR="00431FE2">
        <w:rPr>
          <w:sz w:val="24"/>
          <w:szCs w:val="24"/>
        </w:rPr>
        <w:t xml:space="preserve">whereby emotions are running amok, </w:t>
      </w:r>
      <w:r w:rsidRPr="00B3213F">
        <w:rPr>
          <w:sz w:val="24"/>
          <w:szCs w:val="24"/>
        </w:rPr>
        <w:t>and</w:t>
      </w:r>
      <w:r w:rsidR="00431FE2">
        <w:rPr>
          <w:sz w:val="24"/>
          <w:szCs w:val="24"/>
        </w:rPr>
        <w:t xml:space="preserve"> they</w:t>
      </w:r>
      <w:r w:rsidRPr="00B3213F">
        <w:rPr>
          <w:sz w:val="24"/>
          <w:szCs w:val="24"/>
        </w:rPr>
        <w:t xml:space="preserve"> </w:t>
      </w:r>
      <w:r>
        <w:rPr>
          <w:sz w:val="24"/>
          <w:szCs w:val="24"/>
        </w:rPr>
        <w:t xml:space="preserve">include </w:t>
      </w:r>
      <w:r w:rsidRPr="00B3213F">
        <w:rPr>
          <w:sz w:val="24"/>
          <w:szCs w:val="24"/>
        </w:rPr>
        <w:t>reflective practice</w:t>
      </w:r>
      <w:r>
        <w:rPr>
          <w:sz w:val="24"/>
          <w:szCs w:val="24"/>
        </w:rPr>
        <w:t xml:space="preserve"> </w:t>
      </w:r>
      <w:r w:rsidRPr="00B3213F">
        <w:rPr>
          <w:sz w:val="24"/>
          <w:szCs w:val="24"/>
        </w:rPr>
        <w:t xml:space="preserve">in </w:t>
      </w:r>
      <w:r>
        <w:rPr>
          <w:sz w:val="24"/>
          <w:szCs w:val="24"/>
        </w:rPr>
        <w:t>their critique</w:t>
      </w:r>
      <w:r w:rsidRPr="00B3213F">
        <w:rPr>
          <w:sz w:val="24"/>
          <w:szCs w:val="24"/>
        </w:rPr>
        <w:t xml:space="preserve">. </w:t>
      </w:r>
      <w:r>
        <w:rPr>
          <w:sz w:val="24"/>
          <w:szCs w:val="24"/>
        </w:rPr>
        <w:t xml:space="preserve">I read the destruction as the contamination of the scholarship by emotion and the demands reflective practice places on the teacher. Rather than a demand, reflective practice that incorporates and attends to feelings might result in </w:t>
      </w:r>
      <w:r w:rsidRPr="00085F0D">
        <w:rPr>
          <w:sz w:val="24"/>
          <w:szCs w:val="24"/>
        </w:rPr>
        <w:t xml:space="preserve">people </w:t>
      </w:r>
      <w:r>
        <w:rPr>
          <w:sz w:val="24"/>
          <w:szCs w:val="24"/>
        </w:rPr>
        <w:t xml:space="preserve">being able to </w:t>
      </w:r>
      <w:r w:rsidRPr="00085F0D">
        <w:rPr>
          <w:sz w:val="24"/>
          <w:szCs w:val="24"/>
        </w:rPr>
        <w:t>respond more adaptively to change, challenge and choices (Harber, 2005).</w:t>
      </w:r>
    </w:p>
    <w:p w14:paraId="4CFE8EB3" w14:textId="6853A2AB" w:rsidR="002E2ABD" w:rsidRDefault="002E2ABD" w:rsidP="00927EAA">
      <w:pPr>
        <w:spacing w:line="360" w:lineRule="auto"/>
        <w:rPr>
          <w:sz w:val="24"/>
          <w:szCs w:val="24"/>
        </w:rPr>
      </w:pPr>
      <w:r w:rsidRPr="00A35C47">
        <w:rPr>
          <w:sz w:val="24"/>
          <w:szCs w:val="24"/>
        </w:rPr>
        <w:t xml:space="preserve">Recent developments in </w:t>
      </w:r>
      <w:r>
        <w:rPr>
          <w:sz w:val="24"/>
          <w:szCs w:val="24"/>
        </w:rPr>
        <w:t>n</w:t>
      </w:r>
      <w:r w:rsidRPr="00E3208F">
        <w:rPr>
          <w:sz w:val="24"/>
          <w:szCs w:val="24"/>
        </w:rPr>
        <w:t xml:space="preserve">euroscience </w:t>
      </w:r>
      <w:r>
        <w:rPr>
          <w:sz w:val="24"/>
          <w:szCs w:val="24"/>
        </w:rPr>
        <w:t xml:space="preserve">are discovering </w:t>
      </w:r>
      <w:r w:rsidRPr="00E3208F">
        <w:rPr>
          <w:sz w:val="24"/>
          <w:szCs w:val="24"/>
        </w:rPr>
        <w:t xml:space="preserve">that emotion is inseparable from cognition (Damasio, 2003), and </w:t>
      </w:r>
      <w:r>
        <w:rPr>
          <w:sz w:val="24"/>
          <w:szCs w:val="24"/>
        </w:rPr>
        <w:t xml:space="preserve">in </w:t>
      </w:r>
      <w:r w:rsidRPr="00E3208F">
        <w:rPr>
          <w:sz w:val="24"/>
          <w:szCs w:val="24"/>
        </w:rPr>
        <w:t xml:space="preserve">social science emotions </w:t>
      </w:r>
      <w:r>
        <w:rPr>
          <w:sz w:val="24"/>
          <w:szCs w:val="24"/>
        </w:rPr>
        <w:t xml:space="preserve">increasingly </w:t>
      </w:r>
      <w:r w:rsidRPr="00E3208F">
        <w:rPr>
          <w:sz w:val="24"/>
          <w:szCs w:val="24"/>
        </w:rPr>
        <w:t xml:space="preserve">play a key role in evaluating </w:t>
      </w:r>
      <w:r>
        <w:rPr>
          <w:sz w:val="24"/>
          <w:szCs w:val="24"/>
        </w:rPr>
        <w:t xml:space="preserve">learning </w:t>
      </w:r>
      <w:r w:rsidRPr="00E3208F">
        <w:rPr>
          <w:sz w:val="24"/>
          <w:szCs w:val="24"/>
        </w:rPr>
        <w:t xml:space="preserve">situations (Archer, 2010). </w:t>
      </w:r>
      <w:bookmarkStart w:id="40" w:name="_Hlk208492908"/>
      <w:r w:rsidR="008A6AA4">
        <w:rPr>
          <w:sz w:val="24"/>
          <w:szCs w:val="24"/>
        </w:rPr>
        <w:t xml:space="preserve">A study conducted by </w:t>
      </w:r>
      <w:r>
        <w:rPr>
          <w:sz w:val="24"/>
          <w:szCs w:val="24"/>
        </w:rPr>
        <w:t>Ippolito and Kingsbury (2024</w:t>
      </w:r>
      <w:bookmarkEnd w:id="40"/>
      <w:r>
        <w:rPr>
          <w:sz w:val="24"/>
          <w:szCs w:val="24"/>
        </w:rPr>
        <w:t xml:space="preserve">) found that in HE settings even in traditionally objective disciplines such as Science and Engineering, emotions play a significant role in catalysing and sustaining learning. Arguing that cognition and emotion are a process of reciprocal interaction in a group setting, the notion of emotional socialisation (Eisenberg </w:t>
      </w:r>
      <w:r w:rsidR="00FB3A6E" w:rsidRPr="00FB3A6E">
        <w:rPr>
          <w:i/>
          <w:sz w:val="24"/>
          <w:szCs w:val="24"/>
        </w:rPr>
        <w:t>et al.</w:t>
      </w:r>
      <w:r>
        <w:rPr>
          <w:sz w:val="24"/>
          <w:szCs w:val="24"/>
        </w:rPr>
        <w:t>, 1998) was explored through focus groups and an anonymous questionnaire. Posing questions about their feelings whilst learning, 18 participants reported that by processing their feelings related to knowledge acquisition in a group setting they were better able to understand new educational goals, transform epistemic beliefs and regulate any associated emotions. It was found that empathy, the capacity to perceive, understand and respond to the emotional experiences of others (</w:t>
      </w:r>
      <w:r w:rsidR="0010325B" w:rsidRPr="0010325B">
        <w:rPr>
          <w:sz w:val="24"/>
          <w:szCs w:val="24"/>
        </w:rPr>
        <w:t xml:space="preserve">Eisenberg </w:t>
      </w:r>
      <w:r w:rsidR="0010325B" w:rsidRPr="0010325B">
        <w:rPr>
          <w:i/>
          <w:sz w:val="24"/>
          <w:szCs w:val="24"/>
        </w:rPr>
        <w:t>et al.</w:t>
      </w:r>
      <w:r w:rsidR="0010325B" w:rsidRPr="0010325B">
        <w:rPr>
          <w:sz w:val="24"/>
          <w:szCs w:val="24"/>
        </w:rPr>
        <w:t>, 1998</w:t>
      </w:r>
      <w:r w:rsidR="0010325B">
        <w:rPr>
          <w:sz w:val="24"/>
          <w:szCs w:val="24"/>
        </w:rPr>
        <w:t xml:space="preserve">; </w:t>
      </w:r>
      <w:r>
        <w:rPr>
          <w:sz w:val="24"/>
          <w:szCs w:val="24"/>
        </w:rPr>
        <w:t>Szanto and Krueger, 2019)</w:t>
      </w:r>
      <w:r w:rsidR="00B64822">
        <w:rPr>
          <w:sz w:val="24"/>
          <w:szCs w:val="24"/>
        </w:rPr>
        <w:t>,</w:t>
      </w:r>
      <w:r>
        <w:rPr>
          <w:sz w:val="24"/>
          <w:szCs w:val="24"/>
        </w:rPr>
        <w:t xml:space="preserve"> could be framed as a cognitive competency (Gilbert </w:t>
      </w:r>
      <w:r w:rsidR="00FB3A6E" w:rsidRPr="00FB3A6E">
        <w:rPr>
          <w:i/>
          <w:sz w:val="24"/>
          <w:szCs w:val="24"/>
        </w:rPr>
        <w:t>et al.</w:t>
      </w:r>
      <w:r>
        <w:rPr>
          <w:sz w:val="24"/>
          <w:szCs w:val="24"/>
        </w:rPr>
        <w:t>, 2018).</w:t>
      </w:r>
      <w:r w:rsidRPr="00B315BF">
        <w:rPr>
          <w:sz w:val="24"/>
          <w:szCs w:val="24"/>
        </w:rPr>
        <w:t xml:space="preserve"> The </w:t>
      </w:r>
      <w:r>
        <w:rPr>
          <w:sz w:val="24"/>
          <w:szCs w:val="24"/>
        </w:rPr>
        <w:t xml:space="preserve">study </w:t>
      </w:r>
      <w:r w:rsidRPr="00B315BF">
        <w:rPr>
          <w:sz w:val="24"/>
          <w:szCs w:val="24"/>
        </w:rPr>
        <w:t>concluded that emotional socialisation could aid, inform and drive more inclusive practice</w:t>
      </w:r>
      <w:r>
        <w:rPr>
          <w:sz w:val="24"/>
          <w:szCs w:val="24"/>
        </w:rPr>
        <w:t xml:space="preserve"> and </w:t>
      </w:r>
      <w:r w:rsidRPr="00AE6D39">
        <w:rPr>
          <w:sz w:val="24"/>
          <w:szCs w:val="24"/>
        </w:rPr>
        <w:t>highlights the importance of understanding emotions and cognition as</w:t>
      </w:r>
      <w:r>
        <w:rPr>
          <w:sz w:val="24"/>
          <w:szCs w:val="24"/>
        </w:rPr>
        <w:t xml:space="preserve"> collaborative and</w:t>
      </w:r>
      <w:r w:rsidRPr="00AE6D39">
        <w:rPr>
          <w:sz w:val="24"/>
          <w:szCs w:val="24"/>
        </w:rPr>
        <w:t xml:space="preserve"> reciprocal</w:t>
      </w:r>
      <w:r>
        <w:rPr>
          <w:sz w:val="24"/>
          <w:szCs w:val="24"/>
        </w:rPr>
        <w:t xml:space="preserve"> </w:t>
      </w:r>
      <w:r w:rsidRPr="00AE6D39">
        <w:rPr>
          <w:sz w:val="24"/>
          <w:szCs w:val="24"/>
        </w:rPr>
        <w:t>process</w:t>
      </w:r>
      <w:r w:rsidR="00347C8A">
        <w:rPr>
          <w:sz w:val="24"/>
          <w:szCs w:val="24"/>
        </w:rPr>
        <w:t>es</w:t>
      </w:r>
      <w:r w:rsidRPr="00AE6D39">
        <w:rPr>
          <w:sz w:val="24"/>
          <w:szCs w:val="24"/>
        </w:rPr>
        <w:t>.</w:t>
      </w:r>
    </w:p>
    <w:p w14:paraId="5CB5494F" w14:textId="77777777" w:rsidR="002E2ABD" w:rsidRPr="007C6681" w:rsidRDefault="002E2ABD" w:rsidP="00927EAA">
      <w:pPr>
        <w:spacing w:line="360" w:lineRule="auto"/>
        <w:rPr>
          <w:b/>
          <w:bCs/>
          <w:sz w:val="24"/>
          <w:szCs w:val="24"/>
        </w:rPr>
      </w:pPr>
      <w:r w:rsidRPr="007C6681">
        <w:rPr>
          <w:b/>
          <w:bCs/>
          <w:sz w:val="24"/>
          <w:szCs w:val="24"/>
        </w:rPr>
        <w:lastRenderedPageBreak/>
        <w:t>Critique of Reflective Practice</w:t>
      </w:r>
    </w:p>
    <w:p w14:paraId="31CA4533" w14:textId="1770A2E8" w:rsidR="002E2ABD" w:rsidRPr="00B07747" w:rsidRDefault="002E2ABD" w:rsidP="00927EAA">
      <w:pPr>
        <w:spacing w:line="360" w:lineRule="auto"/>
        <w:rPr>
          <w:sz w:val="24"/>
          <w:szCs w:val="24"/>
        </w:rPr>
      </w:pPr>
      <w:r>
        <w:rPr>
          <w:sz w:val="24"/>
          <w:szCs w:val="24"/>
        </w:rPr>
        <w:t xml:space="preserve">Extorted </w:t>
      </w:r>
      <w:r w:rsidRPr="007C6681">
        <w:rPr>
          <w:sz w:val="24"/>
          <w:szCs w:val="24"/>
        </w:rPr>
        <w:t>as both a means to emancipation and a panacea to address problems in teaching</w:t>
      </w:r>
      <w:r w:rsidR="00B406EC">
        <w:rPr>
          <w:sz w:val="24"/>
          <w:szCs w:val="24"/>
        </w:rPr>
        <w:t>,</w:t>
      </w:r>
      <w:r w:rsidRPr="007C6681">
        <w:rPr>
          <w:sz w:val="24"/>
          <w:szCs w:val="24"/>
        </w:rPr>
        <w:t xml:space="preserve"> </w:t>
      </w:r>
      <w:r>
        <w:rPr>
          <w:sz w:val="24"/>
          <w:szCs w:val="24"/>
        </w:rPr>
        <w:t xml:space="preserve">reflective practice is </w:t>
      </w:r>
      <w:r w:rsidRPr="007C6681">
        <w:rPr>
          <w:sz w:val="24"/>
          <w:szCs w:val="24"/>
        </w:rPr>
        <w:t>criticised</w:t>
      </w:r>
      <w:r>
        <w:rPr>
          <w:sz w:val="24"/>
          <w:szCs w:val="24"/>
        </w:rPr>
        <w:t xml:space="preserve"> </w:t>
      </w:r>
      <w:r w:rsidRPr="007C6681">
        <w:rPr>
          <w:sz w:val="24"/>
          <w:szCs w:val="24"/>
        </w:rPr>
        <w:t xml:space="preserve">as a “current vogue” (Ecclestone and Hayes, 2009, p.100). The lack of clarity around reflection is one of the biggest criticisms of critical reflection (Swan and Bailey, 2004), a factor exacerbated by the number of terms used interchangeably with variable meanings (Appendix A). </w:t>
      </w:r>
      <w:r>
        <w:rPr>
          <w:sz w:val="24"/>
          <w:szCs w:val="24"/>
        </w:rPr>
        <w:t xml:space="preserve">It is difficult to ascertain </w:t>
      </w:r>
      <w:r w:rsidRPr="007C6681">
        <w:rPr>
          <w:sz w:val="24"/>
          <w:szCs w:val="24"/>
        </w:rPr>
        <w:t xml:space="preserve">whether reflective practice is a method, a tool, a framework, a concept, a process or simply yet another task for the overworked </w:t>
      </w:r>
      <w:r>
        <w:rPr>
          <w:sz w:val="24"/>
          <w:szCs w:val="24"/>
        </w:rPr>
        <w:t xml:space="preserve">HE </w:t>
      </w:r>
      <w:r w:rsidRPr="007C6681">
        <w:rPr>
          <w:sz w:val="24"/>
          <w:szCs w:val="24"/>
        </w:rPr>
        <w:t>teacher to engage in</w:t>
      </w:r>
      <w:r w:rsidR="00481340">
        <w:rPr>
          <w:sz w:val="24"/>
          <w:szCs w:val="24"/>
        </w:rPr>
        <w:t xml:space="preserve"> (Schultz, 2022a)</w:t>
      </w:r>
      <w:r w:rsidRPr="007C6681">
        <w:rPr>
          <w:sz w:val="24"/>
          <w:szCs w:val="24"/>
        </w:rPr>
        <w:t xml:space="preserve">. The nature of the reflective process remains </w:t>
      </w:r>
      <w:r w:rsidR="00B13D3C" w:rsidRPr="007C6681">
        <w:rPr>
          <w:sz w:val="24"/>
          <w:szCs w:val="24"/>
        </w:rPr>
        <w:t>elusive,</w:t>
      </w:r>
      <w:r w:rsidRPr="007C6681">
        <w:rPr>
          <w:sz w:val="24"/>
          <w:szCs w:val="24"/>
        </w:rPr>
        <w:t xml:space="preserve"> and taxonomies of reflective practice and reflexivity </w:t>
      </w:r>
      <w:r w:rsidR="000663FA">
        <w:rPr>
          <w:sz w:val="24"/>
          <w:szCs w:val="24"/>
        </w:rPr>
        <w:t>(Swan and Bail</w:t>
      </w:r>
      <w:r w:rsidR="00670C0D">
        <w:rPr>
          <w:sz w:val="24"/>
          <w:szCs w:val="24"/>
        </w:rPr>
        <w:t>ey, 2004</w:t>
      </w:r>
      <w:r w:rsidRPr="007C6681">
        <w:rPr>
          <w:sz w:val="24"/>
          <w:szCs w:val="24"/>
        </w:rPr>
        <w:t xml:space="preserve">) demonstrate a lack of a clear, robust and standardised definition. </w:t>
      </w:r>
      <w:r>
        <w:rPr>
          <w:sz w:val="24"/>
          <w:szCs w:val="24"/>
        </w:rPr>
        <w:t xml:space="preserve">The terms </w:t>
      </w:r>
      <w:r w:rsidRPr="007C6681">
        <w:rPr>
          <w:sz w:val="24"/>
          <w:szCs w:val="24"/>
        </w:rPr>
        <w:t>reflectivity</w:t>
      </w:r>
      <w:r>
        <w:rPr>
          <w:sz w:val="24"/>
          <w:szCs w:val="24"/>
        </w:rPr>
        <w:t xml:space="preserve">, </w:t>
      </w:r>
      <w:r w:rsidRPr="007C6681">
        <w:rPr>
          <w:sz w:val="24"/>
          <w:szCs w:val="24"/>
        </w:rPr>
        <w:t xml:space="preserve">reflexivity, and critical reflection </w:t>
      </w:r>
      <w:r>
        <w:rPr>
          <w:sz w:val="24"/>
          <w:szCs w:val="24"/>
        </w:rPr>
        <w:t xml:space="preserve">all </w:t>
      </w:r>
      <w:r w:rsidRPr="007C6681">
        <w:rPr>
          <w:sz w:val="24"/>
          <w:szCs w:val="24"/>
        </w:rPr>
        <w:t>have different meanings</w:t>
      </w:r>
      <w:r w:rsidR="00B13D3C">
        <w:rPr>
          <w:sz w:val="24"/>
          <w:szCs w:val="24"/>
        </w:rPr>
        <w:t xml:space="preserve"> </w:t>
      </w:r>
      <w:r w:rsidRPr="007C6681">
        <w:rPr>
          <w:sz w:val="24"/>
          <w:szCs w:val="24"/>
        </w:rPr>
        <w:t>and implications for practice</w:t>
      </w:r>
      <w:r w:rsidRPr="00467747">
        <w:rPr>
          <w:sz w:val="24"/>
          <w:szCs w:val="24"/>
        </w:rPr>
        <w:t xml:space="preserve"> </w:t>
      </w:r>
      <w:r>
        <w:rPr>
          <w:sz w:val="24"/>
          <w:szCs w:val="24"/>
        </w:rPr>
        <w:t>(</w:t>
      </w:r>
      <w:r w:rsidRPr="00467747">
        <w:rPr>
          <w:sz w:val="24"/>
          <w:szCs w:val="24"/>
        </w:rPr>
        <w:t>Bleakley</w:t>
      </w:r>
      <w:r>
        <w:rPr>
          <w:sz w:val="24"/>
          <w:szCs w:val="24"/>
        </w:rPr>
        <w:t xml:space="preserve">, </w:t>
      </w:r>
      <w:r w:rsidRPr="00467747">
        <w:rPr>
          <w:sz w:val="24"/>
          <w:szCs w:val="24"/>
        </w:rPr>
        <w:t>1999)</w:t>
      </w:r>
      <w:r>
        <w:rPr>
          <w:sz w:val="24"/>
          <w:szCs w:val="24"/>
        </w:rPr>
        <w:t xml:space="preserve">. Furthermore, </w:t>
      </w:r>
      <w:r w:rsidRPr="007C6681">
        <w:rPr>
          <w:sz w:val="24"/>
          <w:szCs w:val="24"/>
        </w:rPr>
        <w:t>the discipline</w:t>
      </w:r>
      <w:r>
        <w:rPr>
          <w:sz w:val="24"/>
          <w:szCs w:val="24"/>
        </w:rPr>
        <w:t xml:space="preserve"> and </w:t>
      </w:r>
      <w:r w:rsidRPr="007C6681">
        <w:rPr>
          <w:sz w:val="24"/>
          <w:szCs w:val="24"/>
        </w:rPr>
        <w:t>philosophical positioning of authors</w:t>
      </w:r>
      <w:r>
        <w:rPr>
          <w:sz w:val="24"/>
          <w:szCs w:val="24"/>
        </w:rPr>
        <w:t xml:space="preserve"> </w:t>
      </w:r>
      <w:r w:rsidRPr="007C6681">
        <w:rPr>
          <w:sz w:val="24"/>
          <w:szCs w:val="24"/>
        </w:rPr>
        <w:t>can impact on the</w:t>
      </w:r>
      <w:r>
        <w:rPr>
          <w:sz w:val="24"/>
          <w:szCs w:val="24"/>
        </w:rPr>
        <w:t>ir</w:t>
      </w:r>
      <w:r w:rsidRPr="007C6681">
        <w:rPr>
          <w:sz w:val="24"/>
          <w:szCs w:val="24"/>
        </w:rPr>
        <w:t xml:space="preserve"> meaning and validity</w:t>
      </w:r>
      <w:r>
        <w:rPr>
          <w:sz w:val="24"/>
          <w:szCs w:val="24"/>
        </w:rPr>
        <w:t xml:space="preserve"> (</w:t>
      </w:r>
      <w:r w:rsidR="00AB1ADC">
        <w:rPr>
          <w:sz w:val="24"/>
          <w:szCs w:val="24"/>
        </w:rPr>
        <w:t>ibid.</w:t>
      </w:r>
      <w:r>
        <w:rPr>
          <w:sz w:val="24"/>
          <w:szCs w:val="24"/>
        </w:rPr>
        <w:t>)</w:t>
      </w:r>
      <w:r w:rsidR="002C123B">
        <w:rPr>
          <w:sz w:val="24"/>
          <w:szCs w:val="24"/>
        </w:rPr>
        <w:t>,</w:t>
      </w:r>
      <w:r>
        <w:rPr>
          <w:sz w:val="24"/>
          <w:szCs w:val="24"/>
        </w:rPr>
        <w:t xml:space="preserve"> and Fook </w:t>
      </w:r>
      <w:r w:rsidR="00FB3A6E" w:rsidRPr="00FB3A6E">
        <w:rPr>
          <w:i/>
          <w:sz w:val="24"/>
          <w:szCs w:val="24"/>
        </w:rPr>
        <w:t>et al.</w:t>
      </w:r>
      <w:r>
        <w:rPr>
          <w:sz w:val="24"/>
          <w:szCs w:val="24"/>
        </w:rPr>
        <w:t xml:space="preserve"> (2006) believe the</w:t>
      </w:r>
      <w:r w:rsidRPr="007C6681">
        <w:rPr>
          <w:sz w:val="24"/>
          <w:szCs w:val="24"/>
        </w:rPr>
        <w:t xml:space="preserve"> definitively separate meanings of these terms</w:t>
      </w:r>
      <w:r>
        <w:rPr>
          <w:sz w:val="24"/>
          <w:szCs w:val="24"/>
        </w:rPr>
        <w:t xml:space="preserve"> imply </w:t>
      </w:r>
      <w:r w:rsidRPr="007C6681">
        <w:rPr>
          <w:sz w:val="24"/>
          <w:szCs w:val="24"/>
        </w:rPr>
        <w:t xml:space="preserve">there is a danger of overthinking the term </w:t>
      </w:r>
      <w:r>
        <w:rPr>
          <w:sz w:val="24"/>
          <w:szCs w:val="24"/>
        </w:rPr>
        <w:t>“</w:t>
      </w:r>
      <w:r w:rsidRPr="007C6681">
        <w:rPr>
          <w:sz w:val="24"/>
          <w:szCs w:val="24"/>
        </w:rPr>
        <w:t>reflection</w:t>
      </w:r>
      <w:r>
        <w:rPr>
          <w:sz w:val="24"/>
          <w:szCs w:val="24"/>
        </w:rPr>
        <w:t>”</w:t>
      </w:r>
      <w:r w:rsidRPr="007C6681">
        <w:rPr>
          <w:sz w:val="24"/>
          <w:szCs w:val="24"/>
        </w:rPr>
        <w:t xml:space="preserve">. </w:t>
      </w:r>
    </w:p>
    <w:p w14:paraId="37CD85C7" w14:textId="441AD78D" w:rsidR="002E2ABD" w:rsidRDefault="002E2ABD" w:rsidP="00927EAA">
      <w:pPr>
        <w:spacing w:line="360" w:lineRule="auto"/>
        <w:rPr>
          <w:sz w:val="24"/>
          <w:szCs w:val="24"/>
        </w:rPr>
      </w:pPr>
      <w:r w:rsidRPr="00FA0B31">
        <w:rPr>
          <w:sz w:val="24"/>
          <w:szCs w:val="24"/>
        </w:rPr>
        <w:t>Models of reflection offer a structure</w:t>
      </w:r>
      <w:r>
        <w:rPr>
          <w:sz w:val="24"/>
          <w:szCs w:val="24"/>
        </w:rPr>
        <w:t xml:space="preserve"> and </w:t>
      </w:r>
      <w:r w:rsidRPr="00FA0B31">
        <w:rPr>
          <w:sz w:val="24"/>
          <w:szCs w:val="24"/>
        </w:rPr>
        <w:t>imply that there is a pre</w:t>
      </w:r>
      <w:r>
        <w:rPr>
          <w:sz w:val="24"/>
          <w:szCs w:val="24"/>
        </w:rPr>
        <w:t xml:space="preserve">scriptive and right </w:t>
      </w:r>
      <w:r w:rsidRPr="00FA0B31">
        <w:rPr>
          <w:sz w:val="24"/>
          <w:szCs w:val="24"/>
        </w:rPr>
        <w:t>way to follow steps</w:t>
      </w:r>
      <w:r>
        <w:rPr>
          <w:sz w:val="24"/>
          <w:szCs w:val="24"/>
        </w:rPr>
        <w:t xml:space="preserve"> in the process, however, these r</w:t>
      </w:r>
      <w:r w:rsidRPr="00FA0B31">
        <w:rPr>
          <w:sz w:val="24"/>
          <w:szCs w:val="24"/>
        </w:rPr>
        <w:t xml:space="preserve">ecipes for action </w:t>
      </w:r>
      <w:r w:rsidRPr="00776A7D">
        <w:rPr>
          <w:sz w:val="24"/>
          <w:szCs w:val="24"/>
        </w:rPr>
        <w:t>cannot ubiquitously be applied to every situation</w:t>
      </w:r>
      <w:r w:rsidRPr="00FA0B31">
        <w:rPr>
          <w:sz w:val="24"/>
          <w:szCs w:val="24"/>
        </w:rPr>
        <w:t>.</w:t>
      </w:r>
      <w:r>
        <w:rPr>
          <w:sz w:val="24"/>
          <w:szCs w:val="24"/>
        </w:rPr>
        <w:t xml:space="preserve"> </w:t>
      </w:r>
      <w:r w:rsidRPr="00FA0B31">
        <w:rPr>
          <w:sz w:val="24"/>
          <w:szCs w:val="24"/>
        </w:rPr>
        <w:t>Many models of reflection involve introspection and state the overarching aim of reflection is to improve teaching practice</w:t>
      </w:r>
      <w:r>
        <w:rPr>
          <w:sz w:val="24"/>
          <w:szCs w:val="24"/>
        </w:rPr>
        <w:t xml:space="preserve"> to benefit the learner</w:t>
      </w:r>
      <w:r w:rsidRPr="00FA0B31">
        <w:rPr>
          <w:sz w:val="24"/>
          <w:szCs w:val="24"/>
        </w:rPr>
        <w:t xml:space="preserve"> (Appendix A).</w:t>
      </w:r>
      <w:r w:rsidRPr="00A60A68">
        <w:rPr>
          <w:color w:val="EE0000"/>
          <w:sz w:val="24"/>
          <w:szCs w:val="24"/>
        </w:rPr>
        <w:t xml:space="preserve"> </w:t>
      </w:r>
      <w:r w:rsidRPr="00FB6E6C">
        <w:rPr>
          <w:sz w:val="24"/>
          <w:szCs w:val="24"/>
        </w:rPr>
        <w:t>Introspection</w:t>
      </w:r>
      <w:r w:rsidR="00C911F1">
        <w:rPr>
          <w:sz w:val="24"/>
          <w:szCs w:val="24"/>
        </w:rPr>
        <w:t xml:space="preserve"> </w:t>
      </w:r>
      <w:r w:rsidRPr="00FB6E6C">
        <w:rPr>
          <w:sz w:val="24"/>
          <w:szCs w:val="24"/>
        </w:rPr>
        <w:t>can ignite feelings</w:t>
      </w:r>
      <w:r>
        <w:rPr>
          <w:sz w:val="24"/>
          <w:szCs w:val="24"/>
        </w:rPr>
        <w:t xml:space="preserve">, </w:t>
      </w:r>
      <w:r w:rsidRPr="00743DB1">
        <w:rPr>
          <w:sz w:val="24"/>
          <w:szCs w:val="24"/>
        </w:rPr>
        <w:t>yet the language and processes of reflection</w:t>
      </w:r>
      <w:r w:rsidR="009E207B">
        <w:rPr>
          <w:sz w:val="24"/>
          <w:szCs w:val="24"/>
        </w:rPr>
        <w:t xml:space="preserve"> </w:t>
      </w:r>
      <w:r w:rsidRPr="00743DB1">
        <w:rPr>
          <w:sz w:val="24"/>
          <w:szCs w:val="24"/>
        </w:rPr>
        <w:t>are not well suited to working with emotions</w:t>
      </w:r>
      <w:r>
        <w:rPr>
          <w:sz w:val="24"/>
          <w:szCs w:val="24"/>
        </w:rPr>
        <w:t xml:space="preserve"> </w:t>
      </w:r>
      <w:r w:rsidRPr="00977F5B">
        <w:rPr>
          <w:sz w:val="24"/>
          <w:szCs w:val="24"/>
        </w:rPr>
        <w:t>(Mezirow, 1991a)</w:t>
      </w:r>
      <w:r w:rsidRPr="00743DB1">
        <w:rPr>
          <w:sz w:val="24"/>
          <w:szCs w:val="24"/>
        </w:rPr>
        <w:t xml:space="preserve">. </w:t>
      </w:r>
      <w:r w:rsidRPr="00230C8A">
        <w:rPr>
          <w:sz w:val="24"/>
          <w:szCs w:val="24"/>
        </w:rPr>
        <w:t>For example, the Johns (1998, 2000, 2004) model of structured reflection (MSR) is a “device to enable practitioners to penetrate the essence of reflection on experience” (Johns, 2004, p.3)</w:t>
      </w:r>
      <w:r w:rsidRPr="00A60A68">
        <w:rPr>
          <w:sz w:val="24"/>
          <w:szCs w:val="24"/>
        </w:rPr>
        <w:t xml:space="preserve">. The process </w:t>
      </w:r>
      <w:r w:rsidRPr="00230C8A">
        <w:rPr>
          <w:sz w:val="24"/>
          <w:szCs w:val="24"/>
        </w:rPr>
        <w:t xml:space="preserve">begins with practitioners pausing to focus on their thoughts and </w:t>
      </w:r>
      <w:r w:rsidR="00C911F1" w:rsidRPr="00230C8A">
        <w:rPr>
          <w:sz w:val="24"/>
          <w:szCs w:val="24"/>
        </w:rPr>
        <w:t>feelings</w:t>
      </w:r>
      <w:r w:rsidR="00C911F1">
        <w:rPr>
          <w:sz w:val="24"/>
          <w:szCs w:val="24"/>
        </w:rPr>
        <w:t xml:space="preserve"> and</w:t>
      </w:r>
      <w:r w:rsidRPr="00230C8A">
        <w:rPr>
          <w:sz w:val="24"/>
          <w:szCs w:val="24"/>
        </w:rPr>
        <w:t xml:space="preserve"> proceeds to </w:t>
      </w:r>
      <w:r>
        <w:rPr>
          <w:sz w:val="24"/>
          <w:szCs w:val="24"/>
        </w:rPr>
        <w:t xml:space="preserve">focussing </w:t>
      </w:r>
      <w:r w:rsidRPr="00230C8A">
        <w:rPr>
          <w:sz w:val="24"/>
          <w:szCs w:val="24"/>
        </w:rPr>
        <w:t>o</w:t>
      </w:r>
      <w:r>
        <w:rPr>
          <w:sz w:val="24"/>
          <w:szCs w:val="24"/>
        </w:rPr>
        <w:t>n</w:t>
      </w:r>
      <w:r w:rsidRPr="00230C8A">
        <w:rPr>
          <w:sz w:val="24"/>
          <w:szCs w:val="24"/>
        </w:rPr>
        <w:t xml:space="preserve"> significant issues within their work-based experience. Significantly there is no directive in the Johns model as to how to attend to feelings. </w:t>
      </w:r>
      <w:r w:rsidRPr="00FA0B31">
        <w:rPr>
          <w:sz w:val="24"/>
          <w:szCs w:val="24"/>
        </w:rPr>
        <w:t>Moreover,</w:t>
      </w:r>
      <w:r>
        <w:rPr>
          <w:sz w:val="24"/>
          <w:szCs w:val="24"/>
        </w:rPr>
        <w:t xml:space="preserve"> generically</w:t>
      </w:r>
      <w:r w:rsidRPr="00FA0B31">
        <w:rPr>
          <w:sz w:val="24"/>
          <w:szCs w:val="24"/>
        </w:rPr>
        <w:t xml:space="preserve"> </w:t>
      </w:r>
      <w:r>
        <w:rPr>
          <w:sz w:val="24"/>
          <w:szCs w:val="24"/>
        </w:rPr>
        <w:t xml:space="preserve">in the scholarship </w:t>
      </w:r>
      <w:r w:rsidRPr="00FA0B31">
        <w:rPr>
          <w:sz w:val="24"/>
          <w:szCs w:val="24"/>
        </w:rPr>
        <w:t xml:space="preserve">reflection is not </w:t>
      </w:r>
      <w:r w:rsidR="005B2EB9">
        <w:rPr>
          <w:sz w:val="24"/>
          <w:szCs w:val="24"/>
        </w:rPr>
        <w:t>considered</w:t>
      </w:r>
      <w:r w:rsidRPr="00FA0B31">
        <w:rPr>
          <w:sz w:val="24"/>
          <w:szCs w:val="24"/>
        </w:rPr>
        <w:t xml:space="preserve"> as a support mechanism for the teacher</w:t>
      </w:r>
      <w:r w:rsidR="005004A0">
        <w:rPr>
          <w:sz w:val="24"/>
          <w:szCs w:val="24"/>
        </w:rPr>
        <w:t>’</w:t>
      </w:r>
      <w:r w:rsidRPr="00FA0B31">
        <w:rPr>
          <w:sz w:val="24"/>
          <w:szCs w:val="24"/>
        </w:rPr>
        <w:t xml:space="preserve">s emotional process. </w:t>
      </w:r>
    </w:p>
    <w:p w14:paraId="6291EB5F" w14:textId="16ABD74E" w:rsidR="002E2ABD" w:rsidRDefault="002E2ABD" w:rsidP="00927EAA">
      <w:pPr>
        <w:spacing w:line="360" w:lineRule="auto"/>
        <w:rPr>
          <w:sz w:val="24"/>
          <w:szCs w:val="24"/>
        </w:rPr>
      </w:pPr>
      <w:r w:rsidRPr="005948EA">
        <w:rPr>
          <w:sz w:val="24"/>
          <w:szCs w:val="24"/>
        </w:rPr>
        <w:t xml:space="preserve">The overarching idea that reflective practice is </w:t>
      </w:r>
      <w:r>
        <w:rPr>
          <w:sz w:val="24"/>
          <w:szCs w:val="24"/>
        </w:rPr>
        <w:t xml:space="preserve">an </w:t>
      </w:r>
      <w:r w:rsidRPr="005948EA">
        <w:rPr>
          <w:sz w:val="24"/>
          <w:szCs w:val="24"/>
        </w:rPr>
        <w:t>intellectual responsibility (Dewey, 1933</w:t>
      </w:r>
      <w:r w:rsidR="00452226" w:rsidRPr="005948EA">
        <w:rPr>
          <w:sz w:val="24"/>
          <w:szCs w:val="24"/>
        </w:rPr>
        <w:t>), professional</w:t>
      </w:r>
      <w:r w:rsidRPr="005948EA">
        <w:rPr>
          <w:sz w:val="24"/>
          <w:szCs w:val="24"/>
        </w:rPr>
        <w:t xml:space="preserve"> imperative (Eraut, 1994; McKay, 2008) </w:t>
      </w:r>
      <w:r>
        <w:rPr>
          <w:sz w:val="24"/>
          <w:szCs w:val="24"/>
        </w:rPr>
        <w:t xml:space="preserve">and </w:t>
      </w:r>
      <w:r w:rsidRPr="005948EA">
        <w:rPr>
          <w:sz w:val="24"/>
          <w:szCs w:val="24"/>
        </w:rPr>
        <w:t xml:space="preserve">a pedagogic panacea is undeniably attractive, yet there is little meaningful research that demonstrates </w:t>
      </w:r>
      <w:r>
        <w:rPr>
          <w:sz w:val="24"/>
          <w:szCs w:val="24"/>
        </w:rPr>
        <w:t xml:space="preserve">its </w:t>
      </w:r>
      <w:r w:rsidRPr="005948EA">
        <w:rPr>
          <w:sz w:val="24"/>
          <w:szCs w:val="24"/>
        </w:rPr>
        <w:t xml:space="preserve">efficacy (Fook </w:t>
      </w:r>
      <w:r w:rsidR="00FB3A6E" w:rsidRPr="00FB3A6E">
        <w:rPr>
          <w:i/>
          <w:sz w:val="24"/>
          <w:szCs w:val="24"/>
        </w:rPr>
        <w:t>et al.</w:t>
      </w:r>
      <w:r w:rsidRPr="005948EA">
        <w:rPr>
          <w:sz w:val="24"/>
          <w:szCs w:val="24"/>
        </w:rPr>
        <w:t xml:space="preserve">, </w:t>
      </w:r>
      <w:r w:rsidRPr="005948EA">
        <w:rPr>
          <w:sz w:val="24"/>
          <w:szCs w:val="24"/>
        </w:rPr>
        <w:lastRenderedPageBreak/>
        <w:t>2006).</w:t>
      </w:r>
      <w:r>
        <w:rPr>
          <w:sz w:val="24"/>
          <w:szCs w:val="24"/>
        </w:rPr>
        <w:t xml:space="preserve"> </w:t>
      </w:r>
      <w:r w:rsidR="00D0197E">
        <w:rPr>
          <w:sz w:val="24"/>
          <w:szCs w:val="24"/>
        </w:rPr>
        <w:t>Reflection</w:t>
      </w:r>
      <w:r w:rsidRPr="00972FEA">
        <w:rPr>
          <w:sz w:val="24"/>
          <w:szCs w:val="24"/>
        </w:rPr>
        <w:t xml:space="preserve"> is difficult to measure </w:t>
      </w:r>
      <w:r>
        <w:rPr>
          <w:sz w:val="24"/>
          <w:szCs w:val="24"/>
        </w:rPr>
        <w:t>empirically and</w:t>
      </w:r>
      <w:r w:rsidRPr="00972FEA">
        <w:rPr>
          <w:sz w:val="24"/>
          <w:szCs w:val="24"/>
        </w:rPr>
        <w:t xml:space="preserve"> could therefore be rendered a</w:t>
      </w:r>
      <w:r>
        <w:rPr>
          <w:sz w:val="24"/>
          <w:szCs w:val="24"/>
        </w:rPr>
        <w:t>n irrelevant</w:t>
      </w:r>
      <w:r w:rsidRPr="00972FEA">
        <w:rPr>
          <w:sz w:val="24"/>
          <w:szCs w:val="24"/>
        </w:rPr>
        <w:t xml:space="preserve"> soft skill. The development of knowledge is positioned as a key benefit of the process of reflection, yet how reflective practice contributes to knowledge building lacks robust evidence. Indeed, the</w:t>
      </w:r>
      <w:r>
        <w:rPr>
          <w:sz w:val="24"/>
          <w:szCs w:val="24"/>
        </w:rPr>
        <w:t>re is a</w:t>
      </w:r>
      <w:r w:rsidRPr="00972FEA">
        <w:rPr>
          <w:sz w:val="24"/>
          <w:szCs w:val="24"/>
        </w:rPr>
        <w:t xml:space="preserve"> lack of theoretical and empirical evidence for its potential value for individuals and organisational learning (Fook, </w:t>
      </w:r>
      <w:r w:rsidR="00FB3A6E" w:rsidRPr="00FB3A6E">
        <w:rPr>
          <w:i/>
          <w:sz w:val="24"/>
          <w:szCs w:val="24"/>
        </w:rPr>
        <w:t>et al.</w:t>
      </w:r>
      <w:r w:rsidRPr="006D1489">
        <w:rPr>
          <w:sz w:val="24"/>
          <w:szCs w:val="24"/>
        </w:rPr>
        <w:t>,</w:t>
      </w:r>
      <w:r w:rsidRPr="00972FEA">
        <w:rPr>
          <w:i/>
          <w:iCs/>
          <w:sz w:val="24"/>
          <w:szCs w:val="24"/>
        </w:rPr>
        <w:t xml:space="preserve"> </w:t>
      </w:r>
      <w:r w:rsidRPr="00972FEA">
        <w:rPr>
          <w:sz w:val="24"/>
          <w:szCs w:val="24"/>
        </w:rPr>
        <w:t xml:space="preserve">2006). </w:t>
      </w:r>
      <w:r w:rsidRPr="00A870F8">
        <w:rPr>
          <w:sz w:val="24"/>
          <w:szCs w:val="24"/>
        </w:rPr>
        <w:t xml:space="preserve">Furthermore, effective teaching requires time for reflection (Brookfield, 1995: </w:t>
      </w:r>
      <w:r>
        <w:rPr>
          <w:sz w:val="24"/>
          <w:szCs w:val="24"/>
        </w:rPr>
        <w:t xml:space="preserve">Greiman and Covington, 2007; </w:t>
      </w:r>
      <w:r w:rsidRPr="00A870F8">
        <w:rPr>
          <w:sz w:val="24"/>
          <w:szCs w:val="24"/>
        </w:rPr>
        <w:t>Palmer, 1998; Ramsden, 1998), and academics in the current clime are time poor</w:t>
      </w:r>
      <w:r w:rsidR="00763E34">
        <w:rPr>
          <w:sz w:val="24"/>
          <w:szCs w:val="24"/>
        </w:rPr>
        <w:t xml:space="preserve"> </w:t>
      </w:r>
      <w:r w:rsidR="0049473E">
        <w:rPr>
          <w:sz w:val="24"/>
          <w:szCs w:val="24"/>
        </w:rPr>
        <w:t>(</w:t>
      </w:r>
      <w:r w:rsidR="0049473E" w:rsidRPr="0049473E">
        <w:rPr>
          <w:sz w:val="24"/>
          <w:szCs w:val="24"/>
        </w:rPr>
        <w:t xml:space="preserve">Pocock, </w:t>
      </w:r>
      <w:r w:rsidR="0049473E" w:rsidRPr="0049473E">
        <w:rPr>
          <w:i/>
          <w:sz w:val="24"/>
          <w:szCs w:val="24"/>
        </w:rPr>
        <w:t>et al.</w:t>
      </w:r>
      <w:r w:rsidR="0049473E" w:rsidRPr="0049473E">
        <w:rPr>
          <w:sz w:val="24"/>
          <w:szCs w:val="24"/>
        </w:rPr>
        <w:t>, 2012</w:t>
      </w:r>
      <w:r w:rsidR="0049473E">
        <w:rPr>
          <w:sz w:val="24"/>
          <w:szCs w:val="24"/>
        </w:rPr>
        <w:t>)</w:t>
      </w:r>
      <w:r w:rsidRPr="00A870F8">
        <w:rPr>
          <w:sz w:val="24"/>
          <w:szCs w:val="24"/>
        </w:rPr>
        <w:t>. Webster-Wright (2013) notes</w:t>
      </w:r>
      <w:r>
        <w:rPr>
          <w:sz w:val="24"/>
          <w:szCs w:val="24"/>
        </w:rPr>
        <w:t>:</w:t>
      </w:r>
      <w:r w:rsidRPr="00A870F8">
        <w:rPr>
          <w:sz w:val="24"/>
          <w:szCs w:val="24"/>
        </w:rPr>
        <w:t xml:space="preserve"> “</w:t>
      </w:r>
      <w:r w:rsidR="00CB7B8C">
        <w:rPr>
          <w:sz w:val="24"/>
          <w:szCs w:val="24"/>
        </w:rPr>
        <w:t>T</w:t>
      </w:r>
      <w:r w:rsidRPr="00A870F8">
        <w:rPr>
          <w:sz w:val="24"/>
          <w:szCs w:val="24"/>
        </w:rPr>
        <w:t>he pace of academia does not nurture and may impede any form of reflective practice” (p. 557) and time to reflect is missing in the working lives of academics (</w:t>
      </w:r>
      <w:bookmarkStart w:id="41" w:name="_Hlk219446587"/>
      <w:r w:rsidRPr="00A870F8">
        <w:rPr>
          <w:sz w:val="24"/>
          <w:szCs w:val="24"/>
        </w:rPr>
        <w:t xml:space="preserve">Pocock, </w:t>
      </w:r>
      <w:r w:rsidR="00FB3A6E" w:rsidRPr="00FB3A6E">
        <w:rPr>
          <w:i/>
          <w:sz w:val="24"/>
          <w:szCs w:val="24"/>
        </w:rPr>
        <w:t>et al.</w:t>
      </w:r>
      <w:r w:rsidRPr="00A870F8">
        <w:rPr>
          <w:sz w:val="24"/>
          <w:szCs w:val="24"/>
        </w:rPr>
        <w:t>, 2012</w:t>
      </w:r>
      <w:bookmarkEnd w:id="41"/>
      <w:r w:rsidRPr="00A870F8">
        <w:rPr>
          <w:sz w:val="24"/>
          <w:szCs w:val="24"/>
        </w:rPr>
        <w:t xml:space="preserve">). </w:t>
      </w:r>
    </w:p>
    <w:p w14:paraId="12FF91AD" w14:textId="7FFB0D50" w:rsidR="002E2ABD" w:rsidRDefault="002E2ABD" w:rsidP="00927EAA">
      <w:pPr>
        <w:spacing w:line="360" w:lineRule="auto"/>
        <w:rPr>
          <w:sz w:val="24"/>
          <w:szCs w:val="24"/>
        </w:rPr>
      </w:pPr>
      <w:r>
        <w:rPr>
          <w:sz w:val="24"/>
          <w:szCs w:val="24"/>
        </w:rPr>
        <w:t>R</w:t>
      </w:r>
      <w:r w:rsidRPr="005432E6">
        <w:rPr>
          <w:sz w:val="24"/>
          <w:szCs w:val="24"/>
        </w:rPr>
        <w:t xml:space="preserve">eflection </w:t>
      </w:r>
      <w:r>
        <w:rPr>
          <w:sz w:val="24"/>
          <w:szCs w:val="24"/>
        </w:rPr>
        <w:t xml:space="preserve">is </w:t>
      </w:r>
      <w:r w:rsidR="00B14E1C">
        <w:rPr>
          <w:sz w:val="24"/>
          <w:szCs w:val="24"/>
        </w:rPr>
        <w:t xml:space="preserve">considered </w:t>
      </w:r>
      <w:r w:rsidRPr="005432E6">
        <w:rPr>
          <w:sz w:val="24"/>
          <w:szCs w:val="24"/>
        </w:rPr>
        <w:t xml:space="preserve">a cognitive and affective process that requires active self-examination </w:t>
      </w:r>
      <w:r w:rsidRPr="000D6E97">
        <w:rPr>
          <w:sz w:val="24"/>
          <w:szCs w:val="24"/>
        </w:rPr>
        <w:t>of responses, beliefs</w:t>
      </w:r>
      <w:r w:rsidR="005004A0">
        <w:rPr>
          <w:sz w:val="24"/>
          <w:szCs w:val="24"/>
        </w:rPr>
        <w:t xml:space="preserve"> </w:t>
      </w:r>
      <w:r w:rsidRPr="000D6E97">
        <w:rPr>
          <w:sz w:val="24"/>
          <w:szCs w:val="24"/>
        </w:rPr>
        <w:t>and premises</w:t>
      </w:r>
      <w:r>
        <w:rPr>
          <w:sz w:val="24"/>
          <w:szCs w:val="24"/>
        </w:rPr>
        <w:t xml:space="preserve"> </w:t>
      </w:r>
      <w:r w:rsidRPr="000D6E97">
        <w:rPr>
          <w:sz w:val="24"/>
          <w:szCs w:val="24"/>
        </w:rPr>
        <w:t>result</w:t>
      </w:r>
      <w:r>
        <w:rPr>
          <w:sz w:val="24"/>
          <w:szCs w:val="24"/>
        </w:rPr>
        <w:t>ing</w:t>
      </w:r>
      <w:r w:rsidRPr="000D6E97">
        <w:rPr>
          <w:sz w:val="24"/>
          <w:szCs w:val="24"/>
        </w:rPr>
        <w:t xml:space="preserve"> in new understanding</w:t>
      </w:r>
      <w:r>
        <w:rPr>
          <w:sz w:val="24"/>
          <w:szCs w:val="24"/>
        </w:rPr>
        <w:t xml:space="preserve"> (Rogers, 2001)</w:t>
      </w:r>
      <w:r w:rsidRPr="000D6E97">
        <w:rPr>
          <w:sz w:val="24"/>
          <w:szCs w:val="24"/>
        </w:rPr>
        <w:t xml:space="preserve">. Sold as a simple process, </w:t>
      </w:r>
      <w:r>
        <w:rPr>
          <w:sz w:val="24"/>
          <w:szCs w:val="24"/>
        </w:rPr>
        <w:t xml:space="preserve">there are </w:t>
      </w:r>
      <w:r w:rsidRPr="000D6E97">
        <w:rPr>
          <w:sz w:val="24"/>
          <w:szCs w:val="24"/>
        </w:rPr>
        <w:t xml:space="preserve">perils such as an awakening to hidden drivers in the built environment that scholars such as Ahmed (2021) </w:t>
      </w:r>
      <w:r w:rsidR="002B211E">
        <w:rPr>
          <w:sz w:val="24"/>
          <w:szCs w:val="24"/>
        </w:rPr>
        <w:t xml:space="preserve">and Brookfield (1995) </w:t>
      </w:r>
      <w:r w:rsidRPr="000D6E97">
        <w:rPr>
          <w:sz w:val="24"/>
          <w:szCs w:val="24"/>
        </w:rPr>
        <w:t xml:space="preserve">are only too aware of. </w:t>
      </w:r>
      <w:r w:rsidRPr="00EE75B4">
        <w:rPr>
          <w:sz w:val="24"/>
          <w:szCs w:val="24"/>
        </w:rPr>
        <w:t>According to McCormack and Kennelly (2011) the outcome of reflective practice is that teachers become conscious of their teaching practice</w:t>
      </w:r>
      <w:r w:rsidR="00C64CE3">
        <w:rPr>
          <w:sz w:val="24"/>
          <w:szCs w:val="24"/>
        </w:rPr>
        <w:t xml:space="preserve"> and can </w:t>
      </w:r>
      <w:r w:rsidRPr="00EE75B4">
        <w:rPr>
          <w:sz w:val="24"/>
          <w:szCs w:val="24"/>
        </w:rPr>
        <w:t xml:space="preserve">enhance their sense of self and </w:t>
      </w:r>
      <w:r w:rsidR="004E6A6B">
        <w:rPr>
          <w:sz w:val="24"/>
          <w:szCs w:val="24"/>
        </w:rPr>
        <w:t xml:space="preserve">their </w:t>
      </w:r>
      <w:r w:rsidRPr="00EE75B4">
        <w:rPr>
          <w:sz w:val="24"/>
          <w:szCs w:val="24"/>
        </w:rPr>
        <w:t>professional identity. This benign claim is questionable particularly as reflective practice can unearth localised difficulties that reflect underlying institutional and structural problems (Brookfield, 1995)</w:t>
      </w:r>
      <w:r>
        <w:rPr>
          <w:sz w:val="24"/>
          <w:szCs w:val="24"/>
        </w:rPr>
        <w:t>. Furthermore, colleagues may view challenges to accepted practices as an indication of the critically reflective teacher’s “penchant for troublemaking” (</w:t>
      </w:r>
      <w:r w:rsidR="00AB1ADC">
        <w:rPr>
          <w:sz w:val="24"/>
          <w:szCs w:val="24"/>
        </w:rPr>
        <w:t>ibid.</w:t>
      </w:r>
      <w:r>
        <w:rPr>
          <w:sz w:val="24"/>
          <w:szCs w:val="24"/>
        </w:rPr>
        <w:t xml:space="preserve">, p.71). </w:t>
      </w:r>
    </w:p>
    <w:p w14:paraId="71845E7B" w14:textId="1D831903" w:rsidR="002E2ABD" w:rsidRPr="00A82D23" w:rsidRDefault="002E2ABD" w:rsidP="00927EAA">
      <w:pPr>
        <w:spacing w:line="360" w:lineRule="auto"/>
        <w:rPr>
          <w:sz w:val="24"/>
          <w:szCs w:val="24"/>
        </w:rPr>
      </w:pPr>
      <w:r w:rsidRPr="00C33AE6">
        <w:rPr>
          <w:sz w:val="24"/>
          <w:szCs w:val="24"/>
        </w:rPr>
        <w:t>Embedded in the culture of the university is the notion of teaching as a solitary activity</w:t>
      </w:r>
      <w:r w:rsidR="00112100">
        <w:rPr>
          <w:sz w:val="24"/>
          <w:szCs w:val="24"/>
        </w:rPr>
        <w:t xml:space="preserve"> </w:t>
      </w:r>
      <w:r w:rsidRPr="00C33AE6">
        <w:rPr>
          <w:sz w:val="24"/>
          <w:szCs w:val="24"/>
        </w:rPr>
        <w:t>and academics’ inclination to “play safe” (Kennelly and McCormack, 2015, p.952) which minimises the personal risk of making professional enemies.</w:t>
      </w:r>
      <w:r>
        <w:rPr>
          <w:sz w:val="24"/>
          <w:szCs w:val="24"/>
        </w:rPr>
        <w:t xml:space="preserve"> W</w:t>
      </w:r>
      <w:r w:rsidRPr="00A82D23">
        <w:rPr>
          <w:sz w:val="24"/>
          <w:szCs w:val="24"/>
        </w:rPr>
        <w:t xml:space="preserve">hen the teacher engages in </w:t>
      </w:r>
      <w:r>
        <w:rPr>
          <w:sz w:val="24"/>
          <w:szCs w:val="24"/>
        </w:rPr>
        <w:t xml:space="preserve">reflective practice there is </w:t>
      </w:r>
      <w:r w:rsidRPr="00A82D23">
        <w:rPr>
          <w:sz w:val="24"/>
          <w:szCs w:val="24"/>
        </w:rPr>
        <w:t>the potential of evoking hostility from colleagues</w:t>
      </w:r>
      <w:r>
        <w:rPr>
          <w:sz w:val="24"/>
          <w:szCs w:val="24"/>
        </w:rPr>
        <w:t xml:space="preserve"> and the teacher therein risks committing “cultural suicide” (Brookfield, 1995, p.237)</w:t>
      </w:r>
      <w:r w:rsidRPr="00A82D23">
        <w:rPr>
          <w:sz w:val="24"/>
          <w:szCs w:val="24"/>
        </w:rPr>
        <w:t>. As Brookfield notes: “Until we feel secure enough to engage others in the activity, critical reflection will mostly happen in isolation” (</w:t>
      </w:r>
      <w:r w:rsidR="00AB1ADC">
        <w:rPr>
          <w:sz w:val="24"/>
          <w:szCs w:val="24"/>
        </w:rPr>
        <w:t>ibid.</w:t>
      </w:r>
      <w:r>
        <w:rPr>
          <w:sz w:val="24"/>
          <w:szCs w:val="24"/>
        </w:rPr>
        <w:t xml:space="preserve">, </w:t>
      </w:r>
      <w:r w:rsidRPr="00A82D23">
        <w:rPr>
          <w:sz w:val="24"/>
          <w:szCs w:val="24"/>
        </w:rPr>
        <w:t>p.71).</w:t>
      </w:r>
      <w:r w:rsidRPr="0078089F">
        <w:rPr>
          <w:sz w:val="24"/>
          <w:szCs w:val="24"/>
        </w:rPr>
        <w:t xml:space="preserve"> Perhaps these are valid reasons for teachers maintaining the status quo, being apolitical and engaging in </w:t>
      </w:r>
      <w:r>
        <w:rPr>
          <w:sz w:val="24"/>
          <w:szCs w:val="24"/>
        </w:rPr>
        <w:t xml:space="preserve">solitary, </w:t>
      </w:r>
      <w:r w:rsidRPr="0078089F">
        <w:rPr>
          <w:sz w:val="24"/>
          <w:szCs w:val="24"/>
        </w:rPr>
        <w:t>instrumental reflection</w:t>
      </w:r>
      <w:r w:rsidR="00E83E3B">
        <w:rPr>
          <w:sz w:val="24"/>
          <w:szCs w:val="24"/>
        </w:rPr>
        <w:t xml:space="preserve"> (Schultz, 2022a)</w:t>
      </w:r>
      <w:r w:rsidRPr="0078089F">
        <w:rPr>
          <w:sz w:val="24"/>
          <w:szCs w:val="24"/>
        </w:rPr>
        <w:t>.</w:t>
      </w:r>
    </w:p>
    <w:p w14:paraId="7E297D35" w14:textId="6B6EE979" w:rsidR="002E2ABD" w:rsidRPr="00F165E1" w:rsidRDefault="002E2ABD" w:rsidP="00927EAA">
      <w:pPr>
        <w:spacing w:line="360" w:lineRule="auto"/>
        <w:rPr>
          <w:color w:val="EE0000"/>
          <w:sz w:val="24"/>
          <w:szCs w:val="24"/>
        </w:rPr>
      </w:pPr>
      <w:r w:rsidRPr="001D6B7E">
        <w:rPr>
          <w:sz w:val="24"/>
          <w:szCs w:val="24"/>
        </w:rPr>
        <w:lastRenderedPageBreak/>
        <w:t>The process of critical reflection raises questions of how, and with whom reflection can happen</w:t>
      </w:r>
      <w:r>
        <w:rPr>
          <w:sz w:val="24"/>
          <w:szCs w:val="24"/>
        </w:rPr>
        <w:t xml:space="preserve">. It </w:t>
      </w:r>
      <w:r w:rsidRPr="001D6B7E">
        <w:rPr>
          <w:sz w:val="24"/>
          <w:szCs w:val="24"/>
        </w:rPr>
        <w:t xml:space="preserve">can be undertaken </w:t>
      </w:r>
      <w:r w:rsidRPr="00013469">
        <w:rPr>
          <w:i/>
          <w:iCs/>
          <w:sz w:val="24"/>
          <w:szCs w:val="24"/>
        </w:rPr>
        <w:t>in situ</w:t>
      </w:r>
      <w:r>
        <w:rPr>
          <w:sz w:val="24"/>
          <w:szCs w:val="24"/>
        </w:rPr>
        <w:t xml:space="preserve">, </w:t>
      </w:r>
      <w:r w:rsidRPr="001D6B7E">
        <w:rPr>
          <w:sz w:val="24"/>
          <w:szCs w:val="24"/>
        </w:rPr>
        <w:t xml:space="preserve">retrospectively and be </w:t>
      </w:r>
      <w:r>
        <w:rPr>
          <w:sz w:val="24"/>
          <w:szCs w:val="24"/>
        </w:rPr>
        <w:t xml:space="preserve">operationalised </w:t>
      </w:r>
      <w:r w:rsidRPr="001D6B7E">
        <w:rPr>
          <w:sz w:val="24"/>
          <w:szCs w:val="24"/>
        </w:rPr>
        <w:t>alone or with others (Forrester</w:t>
      </w:r>
      <w:r>
        <w:rPr>
          <w:sz w:val="24"/>
          <w:szCs w:val="24"/>
        </w:rPr>
        <w:t xml:space="preserve"> and Tashchian,</w:t>
      </w:r>
      <w:r w:rsidRPr="001D6B7E">
        <w:rPr>
          <w:sz w:val="24"/>
          <w:szCs w:val="24"/>
        </w:rPr>
        <w:t xml:space="preserve"> 2010; Peters</w:t>
      </w:r>
      <w:r>
        <w:rPr>
          <w:sz w:val="24"/>
          <w:szCs w:val="24"/>
        </w:rPr>
        <w:t>,</w:t>
      </w:r>
      <w:r w:rsidRPr="001D6B7E">
        <w:rPr>
          <w:sz w:val="24"/>
          <w:szCs w:val="24"/>
        </w:rPr>
        <w:t xml:space="preserve"> 1991; </w:t>
      </w:r>
      <w:r>
        <w:rPr>
          <w:sz w:val="24"/>
          <w:szCs w:val="24"/>
        </w:rPr>
        <w:t>Schön,</w:t>
      </w:r>
      <w:r w:rsidRPr="001D6B7E">
        <w:rPr>
          <w:sz w:val="24"/>
          <w:szCs w:val="24"/>
        </w:rPr>
        <w:t xml:space="preserve"> 1983). </w:t>
      </w:r>
      <w:r>
        <w:rPr>
          <w:sz w:val="24"/>
          <w:szCs w:val="24"/>
        </w:rPr>
        <w:t>I</w:t>
      </w:r>
      <w:r w:rsidRPr="00024901">
        <w:rPr>
          <w:sz w:val="24"/>
          <w:szCs w:val="24"/>
        </w:rPr>
        <w:t>t is through engaging in collaborative reflection in a reflective team (McKay, 200</w:t>
      </w:r>
      <w:r>
        <w:rPr>
          <w:sz w:val="24"/>
          <w:szCs w:val="24"/>
        </w:rPr>
        <w:t>8)</w:t>
      </w:r>
      <w:r w:rsidRPr="00024901">
        <w:rPr>
          <w:sz w:val="24"/>
          <w:szCs w:val="24"/>
        </w:rPr>
        <w:t xml:space="preserve"> that practice can be transformed (Freire, 197</w:t>
      </w:r>
      <w:r>
        <w:rPr>
          <w:sz w:val="24"/>
          <w:szCs w:val="24"/>
        </w:rPr>
        <w:t>0</w:t>
      </w:r>
      <w:r w:rsidRPr="00024901">
        <w:rPr>
          <w:sz w:val="24"/>
          <w:szCs w:val="24"/>
        </w:rPr>
        <w:t>), yet that requires individual and collective, systemic dispositions.</w:t>
      </w:r>
      <w:r w:rsidRPr="00837211">
        <w:rPr>
          <w:sz w:val="24"/>
          <w:szCs w:val="24"/>
        </w:rPr>
        <w:t xml:space="preserve"> Boud </w:t>
      </w:r>
      <w:r w:rsidR="00FB3A6E" w:rsidRPr="00FB3A6E">
        <w:rPr>
          <w:i/>
          <w:sz w:val="24"/>
          <w:szCs w:val="24"/>
        </w:rPr>
        <w:t>et al.</w:t>
      </w:r>
      <w:r w:rsidR="002A1387">
        <w:rPr>
          <w:sz w:val="24"/>
          <w:szCs w:val="24"/>
        </w:rPr>
        <w:t xml:space="preserve"> </w:t>
      </w:r>
      <w:r w:rsidRPr="00837211">
        <w:rPr>
          <w:sz w:val="24"/>
          <w:szCs w:val="24"/>
        </w:rPr>
        <w:t>(2006) highlight the</w:t>
      </w:r>
      <w:r>
        <w:rPr>
          <w:sz w:val="24"/>
          <w:szCs w:val="24"/>
        </w:rPr>
        <w:t xml:space="preserve"> </w:t>
      </w:r>
      <w:r w:rsidRPr="00837211">
        <w:rPr>
          <w:sz w:val="24"/>
          <w:szCs w:val="24"/>
        </w:rPr>
        <w:t>need for methods of reflection that extend beyond the individual to systems that support team and organisational reflection</w:t>
      </w:r>
      <w:r>
        <w:rPr>
          <w:sz w:val="24"/>
          <w:szCs w:val="24"/>
        </w:rPr>
        <w:t xml:space="preserve"> and propose “productive reflection”</w:t>
      </w:r>
      <w:r w:rsidR="002A1387">
        <w:rPr>
          <w:sz w:val="24"/>
          <w:szCs w:val="24"/>
        </w:rPr>
        <w:t xml:space="preserve"> (p.5)</w:t>
      </w:r>
      <w:r w:rsidR="00270582">
        <w:rPr>
          <w:sz w:val="24"/>
          <w:szCs w:val="24"/>
        </w:rPr>
        <w:t xml:space="preserve"> </w:t>
      </w:r>
      <w:r w:rsidR="00F42A77">
        <w:rPr>
          <w:sz w:val="24"/>
          <w:szCs w:val="24"/>
        </w:rPr>
        <w:t>to meet this need</w:t>
      </w:r>
      <w:r>
        <w:rPr>
          <w:sz w:val="24"/>
          <w:szCs w:val="24"/>
        </w:rPr>
        <w:t>. Productive reflection</w:t>
      </w:r>
      <w:r w:rsidRPr="00837211">
        <w:rPr>
          <w:sz w:val="24"/>
          <w:szCs w:val="24"/>
        </w:rPr>
        <w:t xml:space="preserve"> should lead to action with and for others for the advantage </w:t>
      </w:r>
      <w:r>
        <w:rPr>
          <w:sz w:val="24"/>
          <w:szCs w:val="24"/>
        </w:rPr>
        <w:t xml:space="preserve">of </w:t>
      </w:r>
      <w:r w:rsidRPr="00837211">
        <w:rPr>
          <w:sz w:val="24"/>
          <w:szCs w:val="24"/>
        </w:rPr>
        <w:t>the service users, the organisation and wider society (Cressey and Boud, 2006)</w:t>
      </w:r>
      <w:r>
        <w:rPr>
          <w:sz w:val="24"/>
          <w:szCs w:val="24"/>
        </w:rPr>
        <w:t xml:space="preserve">. One obstacle to its implementation is a perception that reflection is self-indulgent (Bulman and Schutz, 2008). </w:t>
      </w:r>
      <w:r w:rsidRPr="00583A93">
        <w:rPr>
          <w:sz w:val="24"/>
          <w:szCs w:val="24"/>
        </w:rPr>
        <w:t xml:space="preserve">Bolton (2010) </w:t>
      </w:r>
      <w:r>
        <w:rPr>
          <w:sz w:val="24"/>
          <w:szCs w:val="24"/>
        </w:rPr>
        <w:t xml:space="preserve">challenges this notion </w:t>
      </w:r>
      <w:r w:rsidRPr="00055CE7">
        <w:rPr>
          <w:sz w:val="24"/>
          <w:szCs w:val="24"/>
        </w:rPr>
        <w:t>stress</w:t>
      </w:r>
      <w:r>
        <w:rPr>
          <w:sz w:val="24"/>
          <w:szCs w:val="24"/>
        </w:rPr>
        <w:t>ing</w:t>
      </w:r>
      <w:r w:rsidRPr="00055CE7">
        <w:rPr>
          <w:sz w:val="24"/>
          <w:szCs w:val="24"/>
        </w:rPr>
        <w:t xml:space="preserve"> that reflective practice </w:t>
      </w:r>
      <w:r>
        <w:rPr>
          <w:sz w:val="24"/>
          <w:szCs w:val="24"/>
        </w:rPr>
        <w:t xml:space="preserve">can be </w:t>
      </w:r>
      <w:r w:rsidRPr="00055CE7">
        <w:rPr>
          <w:sz w:val="24"/>
          <w:szCs w:val="24"/>
        </w:rPr>
        <w:t xml:space="preserve">politically, socially </w:t>
      </w:r>
      <w:r>
        <w:rPr>
          <w:sz w:val="24"/>
          <w:szCs w:val="24"/>
        </w:rPr>
        <w:t xml:space="preserve">and </w:t>
      </w:r>
      <w:r w:rsidRPr="00055CE7">
        <w:rPr>
          <w:sz w:val="24"/>
          <w:szCs w:val="24"/>
        </w:rPr>
        <w:t xml:space="preserve">psychologically useful </w:t>
      </w:r>
      <w:r>
        <w:rPr>
          <w:sz w:val="24"/>
          <w:szCs w:val="24"/>
        </w:rPr>
        <w:t>and is not “</w:t>
      </w:r>
      <w:r w:rsidRPr="00055CE7">
        <w:rPr>
          <w:sz w:val="24"/>
          <w:szCs w:val="24"/>
        </w:rPr>
        <w:t>a mere quietest navel-gazing exercise” (p.</w:t>
      </w:r>
      <w:r>
        <w:rPr>
          <w:sz w:val="24"/>
          <w:szCs w:val="24"/>
        </w:rPr>
        <w:t>12</w:t>
      </w:r>
      <w:r w:rsidRPr="00055CE7">
        <w:rPr>
          <w:sz w:val="24"/>
          <w:szCs w:val="24"/>
        </w:rPr>
        <w:t xml:space="preserve">). </w:t>
      </w:r>
      <w:r w:rsidRPr="001D6B7E">
        <w:rPr>
          <w:sz w:val="24"/>
          <w:szCs w:val="24"/>
        </w:rPr>
        <w:t xml:space="preserve">To reflect alone may be the safest option in the marketisation clime, </w:t>
      </w:r>
      <w:r>
        <w:rPr>
          <w:sz w:val="24"/>
          <w:szCs w:val="24"/>
        </w:rPr>
        <w:t>however</w:t>
      </w:r>
      <w:r w:rsidRPr="001D6B7E">
        <w:rPr>
          <w:sz w:val="24"/>
          <w:szCs w:val="24"/>
        </w:rPr>
        <w:t xml:space="preserve"> it is unclear </w:t>
      </w:r>
      <w:r>
        <w:rPr>
          <w:sz w:val="24"/>
          <w:szCs w:val="24"/>
        </w:rPr>
        <w:t xml:space="preserve">if teachers can process </w:t>
      </w:r>
      <w:r w:rsidRPr="001D6B7E">
        <w:rPr>
          <w:sz w:val="24"/>
          <w:szCs w:val="24"/>
        </w:rPr>
        <w:t xml:space="preserve">assumptions </w:t>
      </w:r>
      <w:r>
        <w:rPr>
          <w:sz w:val="24"/>
          <w:szCs w:val="24"/>
        </w:rPr>
        <w:t xml:space="preserve">and context-specific political </w:t>
      </w:r>
      <w:r w:rsidRPr="001D6B7E">
        <w:rPr>
          <w:sz w:val="24"/>
          <w:szCs w:val="24"/>
        </w:rPr>
        <w:t xml:space="preserve">drivers </w:t>
      </w:r>
      <w:r>
        <w:rPr>
          <w:sz w:val="24"/>
          <w:szCs w:val="24"/>
        </w:rPr>
        <w:t>on their own</w:t>
      </w:r>
      <w:r w:rsidRPr="001D6B7E">
        <w:rPr>
          <w:sz w:val="24"/>
          <w:szCs w:val="24"/>
        </w:rPr>
        <w:t xml:space="preserve">. </w:t>
      </w:r>
    </w:p>
    <w:p w14:paraId="6B9A3427" w14:textId="15AD715F" w:rsidR="00184BAD" w:rsidRPr="00094814" w:rsidRDefault="002E2ABD" w:rsidP="00927EAA">
      <w:pPr>
        <w:spacing w:line="360" w:lineRule="auto"/>
        <w:rPr>
          <w:sz w:val="24"/>
          <w:szCs w:val="24"/>
        </w:rPr>
      </w:pPr>
      <w:r w:rsidRPr="001D6B7E">
        <w:rPr>
          <w:sz w:val="24"/>
          <w:szCs w:val="24"/>
        </w:rPr>
        <w:t xml:space="preserve">Reflection </w:t>
      </w:r>
      <w:r>
        <w:rPr>
          <w:sz w:val="24"/>
          <w:szCs w:val="24"/>
        </w:rPr>
        <w:t xml:space="preserve">involves </w:t>
      </w:r>
      <w:r w:rsidRPr="001D6B7E">
        <w:rPr>
          <w:sz w:val="24"/>
          <w:szCs w:val="24"/>
        </w:rPr>
        <w:t xml:space="preserve">criticality </w:t>
      </w:r>
      <w:r>
        <w:rPr>
          <w:sz w:val="24"/>
          <w:szCs w:val="24"/>
        </w:rPr>
        <w:t xml:space="preserve">and requires sensitivity, consideration and </w:t>
      </w:r>
      <w:r w:rsidR="003C6D13">
        <w:rPr>
          <w:sz w:val="24"/>
          <w:szCs w:val="24"/>
        </w:rPr>
        <w:t>practi</w:t>
      </w:r>
      <w:r w:rsidR="000370DE">
        <w:rPr>
          <w:sz w:val="24"/>
          <w:szCs w:val="24"/>
        </w:rPr>
        <w:t xml:space="preserve">sing </w:t>
      </w:r>
      <w:r w:rsidRPr="001D6B7E">
        <w:rPr>
          <w:sz w:val="24"/>
          <w:szCs w:val="24"/>
        </w:rPr>
        <w:t>ethical</w:t>
      </w:r>
      <w:r>
        <w:rPr>
          <w:sz w:val="24"/>
          <w:szCs w:val="24"/>
        </w:rPr>
        <w:t xml:space="preserve"> fidelity to the needs of others such as students and colleagues </w:t>
      </w:r>
      <w:r w:rsidRPr="001D6B7E">
        <w:rPr>
          <w:sz w:val="24"/>
          <w:szCs w:val="24"/>
        </w:rPr>
        <w:t xml:space="preserve">(Light </w:t>
      </w:r>
      <w:r w:rsidR="00FB3A6E" w:rsidRPr="00FB3A6E">
        <w:rPr>
          <w:i/>
          <w:sz w:val="24"/>
          <w:szCs w:val="24"/>
        </w:rPr>
        <w:t>et al.</w:t>
      </w:r>
      <w:r w:rsidRPr="00A23CD8">
        <w:rPr>
          <w:sz w:val="24"/>
          <w:szCs w:val="24"/>
        </w:rPr>
        <w:t>,</w:t>
      </w:r>
      <w:r w:rsidRPr="001D6B7E">
        <w:rPr>
          <w:sz w:val="24"/>
          <w:szCs w:val="24"/>
        </w:rPr>
        <w:t xml:space="preserve"> 2009). </w:t>
      </w:r>
      <w:r>
        <w:rPr>
          <w:sz w:val="24"/>
          <w:szCs w:val="24"/>
        </w:rPr>
        <w:t>This</w:t>
      </w:r>
      <w:r w:rsidRPr="001D6B7E">
        <w:rPr>
          <w:sz w:val="24"/>
          <w:szCs w:val="24"/>
        </w:rPr>
        <w:t xml:space="preserve"> </w:t>
      </w:r>
      <w:r>
        <w:rPr>
          <w:sz w:val="24"/>
          <w:szCs w:val="24"/>
        </w:rPr>
        <w:t xml:space="preserve">ethical fidelity </w:t>
      </w:r>
      <w:r w:rsidRPr="001D6B7E">
        <w:rPr>
          <w:sz w:val="24"/>
          <w:szCs w:val="24"/>
        </w:rPr>
        <w:t xml:space="preserve">seems to exclude a concern </w:t>
      </w:r>
      <w:r>
        <w:rPr>
          <w:sz w:val="24"/>
          <w:szCs w:val="24"/>
        </w:rPr>
        <w:t xml:space="preserve">for </w:t>
      </w:r>
      <w:r w:rsidRPr="001D6B7E">
        <w:rPr>
          <w:sz w:val="24"/>
          <w:szCs w:val="24"/>
        </w:rPr>
        <w:t>the self. If reflection involves not just the reflector’s practice but also the social, moral</w:t>
      </w:r>
      <w:r>
        <w:rPr>
          <w:sz w:val="24"/>
          <w:szCs w:val="24"/>
        </w:rPr>
        <w:t xml:space="preserve"> </w:t>
      </w:r>
      <w:r w:rsidRPr="001D6B7E">
        <w:rPr>
          <w:sz w:val="24"/>
          <w:szCs w:val="24"/>
        </w:rPr>
        <w:t>and political context for that practice (Ashcroft and Foreman-Peck, 1994</w:t>
      </w:r>
      <w:r>
        <w:rPr>
          <w:sz w:val="24"/>
          <w:szCs w:val="24"/>
        </w:rPr>
        <w:t>;</w:t>
      </w:r>
      <w:r w:rsidRPr="00F24B70">
        <w:rPr>
          <w:rFonts w:ascii="Calibri" w:eastAsia="Aptos" w:hAnsi="Calibri" w:cs="Calibri"/>
          <w:kern w:val="2"/>
          <w:sz w:val="24"/>
          <w:szCs w:val="24"/>
          <w14:ligatures w14:val="standardContextual"/>
        </w:rPr>
        <w:t xml:space="preserve"> </w:t>
      </w:r>
      <w:r w:rsidRPr="00F24B70">
        <w:rPr>
          <w:sz w:val="24"/>
          <w:szCs w:val="24"/>
        </w:rPr>
        <w:t>Denzin</w:t>
      </w:r>
      <w:r w:rsidR="00D5164B">
        <w:rPr>
          <w:sz w:val="24"/>
          <w:szCs w:val="24"/>
        </w:rPr>
        <w:t xml:space="preserve">, </w:t>
      </w:r>
      <w:r w:rsidRPr="00F24B70">
        <w:rPr>
          <w:sz w:val="24"/>
          <w:szCs w:val="24"/>
        </w:rPr>
        <w:t>1997</w:t>
      </w:r>
      <w:r w:rsidRPr="001D6B7E">
        <w:rPr>
          <w:sz w:val="24"/>
          <w:szCs w:val="24"/>
        </w:rPr>
        <w:t>), therein lies a rub. The teacher is in peril if the</w:t>
      </w:r>
      <w:r>
        <w:rPr>
          <w:sz w:val="24"/>
          <w:szCs w:val="24"/>
        </w:rPr>
        <w:t xml:space="preserve">y are unprepared for </w:t>
      </w:r>
      <w:r w:rsidRPr="001D6B7E">
        <w:rPr>
          <w:sz w:val="24"/>
          <w:szCs w:val="24"/>
        </w:rPr>
        <w:t xml:space="preserve">the political context for practice (Brookfield, 1995). </w:t>
      </w:r>
      <w:r>
        <w:rPr>
          <w:sz w:val="24"/>
          <w:szCs w:val="24"/>
        </w:rPr>
        <w:t>As an ethical concern it is important to understand</w:t>
      </w:r>
      <w:r>
        <w:rPr>
          <w:rFonts w:ascii="Calibri" w:eastAsia="Aptos" w:hAnsi="Calibri" w:cs="Calibri"/>
          <w:kern w:val="2"/>
          <w:sz w:val="24"/>
          <w:szCs w:val="24"/>
          <w14:ligatures w14:val="standardContextual"/>
        </w:rPr>
        <w:t xml:space="preserve"> </w:t>
      </w:r>
      <w:r w:rsidRPr="009A52CF">
        <w:rPr>
          <w:rFonts w:ascii="Calibri" w:eastAsia="Aptos" w:hAnsi="Calibri" w:cs="Calibri"/>
          <w:kern w:val="2"/>
          <w:sz w:val="24"/>
          <w:szCs w:val="24"/>
          <w14:ligatures w14:val="standardContextual"/>
        </w:rPr>
        <w:t>how personal, social and cultural contexts impact on our conduct</w:t>
      </w:r>
      <w:r>
        <w:rPr>
          <w:rFonts w:ascii="Calibri" w:eastAsia="Aptos" w:hAnsi="Calibri" w:cs="Calibri"/>
          <w:kern w:val="2"/>
          <w:sz w:val="24"/>
          <w:szCs w:val="24"/>
          <w14:ligatures w14:val="standardContextual"/>
        </w:rPr>
        <w:t xml:space="preserve"> and interpretations</w:t>
      </w:r>
      <w:r w:rsidR="005B250B">
        <w:rPr>
          <w:rFonts w:ascii="Calibri" w:eastAsia="Aptos" w:hAnsi="Calibri" w:cs="Calibri"/>
          <w:kern w:val="2"/>
          <w:sz w:val="24"/>
          <w:szCs w:val="24"/>
          <w14:ligatures w14:val="standardContextual"/>
        </w:rPr>
        <w:t>,</w:t>
      </w:r>
      <w:r>
        <w:rPr>
          <w:rFonts w:ascii="Calibri" w:eastAsia="Aptos" w:hAnsi="Calibri" w:cs="Calibri"/>
          <w:kern w:val="2"/>
          <w:sz w:val="24"/>
          <w:szCs w:val="24"/>
          <w14:ligatures w14:val="standardContextual"/>
        </w:rPr>
        <w:t xml:space="preserve"> and research and reflection aid in this endeavour (Denzin, 1997)</w:t>
      </w:r>
      <w:r w:rsidRPr="009A52CF">
        <w:rPr>
          <w:rFonts w:ascii="Calibri" w:eastAsia="Aptos" w:hAnsi="Calibri" w:cs="Calibri"/>
          <w:kern w:val="2"/>
          <w:sz w:val="24"/>
          <w:szCs w:val="24"/>
          <w14:ligatures w14:val="standardContextual"/>
        </w:rPr>
        <w:t>.</w:t>
      </w:r>
      <w:r>
        <w:rPr>
          <w:rFonts w:ascii="Calibri" w:eastAsia="Aptos" w:hAnsi="Calibri" w:cs="Calibri"/>
          <w:kern w:val="2"/>
          <w:sz w:val="24"/>
          <w:szCs w:val="24"/>
          <w14:ligatures w14:val="standardContextual"/>
        </w:rPr>
        <w:t xml:space="preserve"> </w:t>
      </w:r>
      <w:r w:rsidRPr="009A52CF">
        <w:rPr>
          <w:rFonts w:ascii="Calibri" w:eastAsia="Aptos" w:hAnsi="Calibri" w:cs="Calibri"/>
          <w:kern w:val="2"/>
          <w:sz w:val="24"/>
          <w:szCs w:val="24"/>
          <w14:ligatures w14:val="standardContextual"/>
        </w:rPr>
        <w:t xml:space="preserve">Guillemin and Gillam (2004) </w:t>
      </w:r>
      <w:r>
        <w:rPr>
          <w:rFonts w:ascii="Calibri" w:eastAsia="Aptos" w:hAnsi="Calibri" w:cs="Calibri"/>
          <w:kern w:val="2"/>
          <w:sz w:val="24"/>
          <w:szCs w:val="24"/>
          <w14:ligatures w14:val="standardContextual"/>
        </w:rPr>
        <w:t xml:space="preserve">believe </w:t>
      </w:r>
      <w:r w:rsidRPr="009A52CF">
        <w:rPr>
          <w:rFonts w:ascii="Calibri" w:eastAsia="Aptos" w:hAnsi="Calibri" w:cs="Calibri"/>
          <w:kern w:val="2"/>
          <w:sz w:val="24"/>
          <w:szCs w:val="24"/>
          <w14:ligatures w14:val="standardContextual"/>
        </w:rPr>
        <w:t xml:space="preserve">researcher reflexivity </w:t>
      </w:r>
      <w:r>
        <w:rPr>
          <w:rFonts w:ascii="Calibri" w:eastAsia="Aptos" w:hAnsi="Calibri" w:cs="Calibri"/>
          <w:kern w:val="2"/>
          <w:sz w:val="24"/>
          <w:szCs w:val="24"/>
          <w14:ligatures w14:val="standardContextual"/>
        </w:rPr>
        <w:t>potentially</w:t>
      </w:r>
      <w:r w:rsidRPr="009A52CF">
        <w:rPr>
          <w:rFonts w:ascii="Calibri" w:eastAsia="Aptos" w:hAnsi="Calibri" w:cs="Calibri"/>
          <w:kern w:val="2"/>
          <w:sz w:val="24"/>
          <w:szCs w:val="24"/>
          <w14:ligatures w14:val="standardContextual"/>
        </w:rPr>
        <w:t xml:space="preserve"> </w:t>
      </w:r>
      <w:r>
        <w:rPr>
          <w:rFonts w:ascii="Calibri" w:eastAsia="Aptos" w:hAnsi="Calibri" w:cs="Calibri"/>
          <w:kern w:val="2"/>
          <w:sz w:val="24"/>
          <w:szCs w:val="24"/>
          <w14:ligatures w14:val="standardContextual"/>
        </w:rPr>
        <w:t>enhances</w:t>
      </w:r>
      <w:r w:rsidRPr="009A52CF">
        <w:rPr>
          <w:rFonts w:ascii="Calibri" w:eastAsia="Aptos" w:hAnsi="Calibri" w:cs="Calibri"/>
          <w:kern w:val="2"/>
          <w:sz w:val="24"/>
          <w:szCs w:val="24"/>
          <w14:ligatures w14:val="standardContextual"/>
        </w:rPr>
        <w:t xml:space="preserve"> the quality and validity of research but is not usually considered as a tool for ensuring ethical research processes and practices</w:t>
      </w:r>
      <w:r>
        <w:rPr>
          <w:rFonts w:ascii="Calibri" w:eastAsia="Aptos" w:hAnsi="Calibri" w:cs="Calibri"/>
          <w:kern w:val="2"/>
          <w:sz w:val="24"/>
          <w:szCs w:val="24"/>
          <w14:ligatures w14:val="standardContextual"/>
        </w:rPr>
        <w:t>. Y</w:t>
      </w:r>
      <w:r w:rsidRPr="009A52CF">
        <w:rPr>
          <w:rFonts w:ascii="Calibri" w:eastAsia="Aptos" w:hAnsi="Calibri" w:cs="Calibri"/>
          <w:kern w:val="2"/>
          <w:sz w:val="24"/>
          <w:szCs w:val="24"/>
          <w14:ligatures w14:val="standardContextual"/>
        </w:rPr>
        <w:t xml:space="preserve">et surely </w:t>
      </w:r>
      <w:r>
        <w:rPr>
          <w:rFonts w:ascii="Calibri" w:eastAsia="Aptos" w:hAnsi="Calibri" w:cs="Calibri"/>
          <w:kern w:val="2"/>
          <w:sz w:val="24"/>
          <w:szCs w:val="24"/>
          <w14:ligatures w14:val="standardContextual"/>
        </w:rPr>
        <w:t>engaging in reflective practice</w:t>
      </w:r>
      <w:r w:rsidRPr="009A52CF">
        <w:rPr>
          <w:rFonts w:ascii="Calibri" w:eastAsia="Aptos" w:hAnsi="Calibri" w:cs="Calibri"/>
          <w:kern w:val="2"/>
          <w:sz w:val="24"/>
          <w:szCs w:val="24"/>
          <w14:ligatures w14:val="standardContextual"/>
        </w:rPr>
        <w:t xml:space="preserve"> is precisely how researchers can ensure “ethical mindfulness” (Bond, 2000).</w:t>
      </w:r>
      <w:r w:rsidRPr="009A52CF">
        <w:rPr>
          <w:sz w:val="24"/>
          <w:szCs w:val="24"/>
        </w:rPr>
        <w:t xml:space="preserve"> </w:t>
      </w:r>
      <w:r>
        <w:rPr>
          <w:sz w:val="24"/>
          <w:szCs w:val="24"/>
        </w:rPr>
        <w:t xml:space="preserve">I shall now consider </w:t>
      </w:r>
      <w:r w:rsidRPr="007030A7">
        <w:rPr>
          <w:sz w:val="24"/>
          <w:szCs w:val="24"/>
        </w:rPr>
        <w:t xml:space="preserve">what place </w:t>
      </w:r>
      <w:r>
        <w:rPr>
          <w:sz w:val="24"/>
          <w:szCs w:val="24"/>
        </w:rPr>
        <w:t xml:space="preserve">reflective practice </w:t>
      </w:r>
      <w:r w:rsidRPr="007030A7">
        <w:rPr>
          <w:sz w:val="24"/>
          <w:szCs w:val="24"/>
        </w:rPr>
        <w:t>occupies in the modern university.</w:t>
      </w:r>
    </w:p>
    <w:p w14:paraId="2F6C181E" w14:textId="77777777" w:rsidR="001118C7" w:rsidRDefault="001118C7" w:rsidP="00927EAA">
      <w:pPr>
        <w:spacing w:line="360" w:lineRule="auto"/>
        <w:rPr>
          <w:b/>
          <w:bCs/>
          <w:sz w:val="24"/>
          <w:szCs w:val="24"/>
        </w:rPr>
      </w:pPr>
    </w:p>
    <w:p w14:paraId="75818FCD" w14:textId="77777777" w:rsidR="001118C7" w:rsidRDefault="001118C7" w:rsidP="00927EAA">
      <w:pPr>
        <w:spacing w:line="360" w:lineRule="auto"/>
        <w:rPr>
          <w:b/>
          <w:bCs/>
          <w:sz w:val="24"/>
          <w:szCs w:val="24"/>
        </w:rPr>
      </w:pPr>
    </w:p>
    <w:p w14:paraId="7CDB3499" w14:textId="60E6135C" w:rsidR="002E2ABD" w:rsidRPr="004A1F63" w:rsidRDefault="002E2ABD" w:rsidP="00927EAA">
      <w:pPr>
        <w:spacing w:line="360" w:lineRule="auto"/>
        <w:rPr>
          <w:b/>
          <w:bCs/>
          <w:sz w:val="24"/>
          <w:szCs w:val="24"/>
        </w:rPr>
      </w:pPr>
      <w:r>
        <w:rPr>
          <w:b/>
          <w:bCs/>
          <w:sz w:val="24"/>
          <w:szCs w:val="24"/>
        </w:rPr>
        <w:lastRenderedPageBreak/>
        <w:t xml:space="preserve">Students: Personal Development </w:t>
      </w:r>
      <w:r w:rsidR="0002438A">
        <w:rPr>
          <w:b/>
          <w:bCs/>
          <w:sz w:val="24"/>
          <w:szCs w:val="24"/>
        </w:rPr>
        <w:t>Planning</w:t>
      </w:r>
    </w:p>
    <w:p w14:paraId="007DC5BA" w14:textId="3A1AECA2" w:rsidR="002E2ABD" w:rsidRPr="001D6B7E" w:rsidRDefault="002E2ABD" w:rsidP="00927EAA">
      <w:pPr>
        <w:spacing w:line="360" w:lineRule="auto"/>
        <w:rPr>
          <w:sz w:val="24"/>
          <w:szCs w:val="24"/>
        </w:rPr>
      </w:pPr>
      <w:r w:rsidRPr="001D6B7E">
        <w:rPr>
          <w:sz w:val="24"/>
          <w:szCs w:val="24"/>
        </w:rPr>
        <w:t>Reflection in teaching was first recommended in the Dearing report (</w:t>
      </w:r>
      <w:r>
        <w:rPr>
          <w:sz w:val="24"/>
          <w:szCs w:val="24"/>
        </w:rPr>
        <w:t xml:space="preserve">Dearing, </w:t>
      </w:r>
      <w:r w:rsidRPr="001D6B7E">
        <w:rPr>
          <w:sz w:val="24"/>
          <w:szCs w:val="24"/>
        </w:rPr>
        <w:t>1997) for personal development planning (PDP) for students</w:t>
      </w:r>
      <w:r>
        <w:rPr>
          <w:sz w:val="24"/>
          <w:szCs w:val="24"/>
        </w:rPr>
        <w:t>,</w:t>
      </w:r>
      <w:r w:rsidRPr="001D6B7E">
        <w:rPr>
          <w:sz w:val="24"/>
          <w:szCs w:val="24"/>
        </w:rPr>
        <w:t xml:space="preserve"> and personal development review (PDR) for teachers. Reflection was introduced to teaching by the quality assurance agency (QAA</w:t>
      </w:r>
      <w:r>
        <w:rPr>
          <w:sz w:val="24"/>
          <w:szCs w:val="24"/>
        </w:rPr>
        <w:t>, 2009</w:t>
      </w:r>
      <w:r w:rsidRPr="001D6B7E">
        <w:rPr>
          <w:sz w:val="24"/>
          <w:szCs w:val="24"/>
        </w:rPr>
        <w:t>), an independent body for HE staff</w:t>
      </w:r>
      <w:r>
        <w:rPr>
          <w:sz w:val="24"/>
          <w:szCs w:val="24"/>
        </w:rPr>
        <w:t xml:space="preserve"> that</w:t>
      </w:r>
      <w:r w:rsidRPr="001D6B7E">
        <w:rPr>
          <w:sz w:val="24"/>
          <w:szCs w:val="24"/>
        </w:rPr>
        <w:t xml:space="preserve"> maintain</w:t>
      </w:r>
      <w:r>
        <w:rPr>
          <w:sz w:val="24"/>
          <w:szCs w:val="24"/>
        </w:rPr>
        <w:t>s</w:t>
      </w:r>
      <w:r w:rsidRPr="001D6B7E">
        <w:rPr>
          <w:sz w:val="24"/>
          <w:szCs w:val="24"/>
        </w:rPr>
        <w:t xml:space="preserve"> quality standards in HE</w:t>
      </w:r>
      <w:r>
        <w:rPr>
          <w:sz w:val="24"/>
          <w:szCs w:val="24"/>
        </w:rPr>
        <w:t xml:space="preserve"> and </w:t>
      </w:r>
      <w:r w:rsidRPr="001D6B7E">
        <w:rPr>
          <w:sz w:val="24"/>
          <w:szCs w:val="24"/>
        </w:rPr>
        <w:t>promot</w:t>
      </w:r>
      <w:r>
        <w:rPr>
          <w:sz w:val="24"/>
          <w:szCs w:val="24"/>
        </w:rPr>
        <w:t xml:space="preserve">es </w:t>
      </w:r>
      <w:r w:rsidRPr="001D6B7E">
        <w:rPr>
          <w:sz w:val="24"/>
          <w:szCs w:val="24"/>
        </w:rPr>
        <w:t>innovation and good practice. The PDP process</w:t>
      </w:r>
      <w:r>
        <w:rPr>
          <w:sz w:val="24"/>
          <w:szCs w:val="24"/>
        </w:rPr>
        <w:t xml:space="preserve"> aims to encourage students to</w:t>
      </w:r>
      <w:r w:rsidRPr="001D6B7E">
        <w:rPr>
          <w:sz w:val="24"/>
          <w:szCs w:val="24"/>
        </w:rPr>
        <w:t xml:space="preserve"> r</w:t>
      </w:r>
      <w:r>
        <w:rPr>
          <w:sz w:val="24"/>
          <w:szCs w:val="24"/>
        </w:rPr>
        <w:t xml:space="preserve">eflect on </w:t>
      </w:r>
      <w:r w:rsidRPr="001D6B7E">
        <w:rPr>
          <w:sz w:val="24"/>
          <w:szCs w:val="24"/>
        </w:rPr>
        <w:t>their progress</w:t>
      </w:r>
      <w:r>
        <w:rPr>
          <w:sz w:val="24"/>
          <w:szCs w:val="24"/>
        </w:rPr>
        <w:t xml:space="preserve"> and </w:t>
      </w:r>
      <w:r w:rsidRPr="001D6B7E">
        <w:rPr>
          <w:sz w:val="24"/>
          <w:szCs w:val="24"/>
        </w:rPr>
        <w:t>articulate their strengths and weaknesses</w:t>
      </w:r>
      <w:r>
        <w:rPr>
          <w:sz w:val="24"/>
          <w:szCs w:val="24"/>
        </w:rPr>
        <w:t xml:space="preserve"> to enhance</w:t>
      </w:r>
      <w:r w:rsidRPr="001D6B7E">
        <w:rPr>
          <w:sz w:val="24"/>
          <w:szCs w:val="24"/>
        </w:rPr>
        <w:t xml:space="preserve"> their employability through greater self-awareness. </w:t>
      </w:r>
      <w:r>
        <w:rPr>
          <w:sz w:val="24"/>
          <w:szCs w:val="24"/>
        </w:rPr>
        <w:t xml:space="preserve">To this end, reflective practice </w:t>
      </w:r>
      <w:r w:rsidRPr="001D6B7E">
        <w:rPr>
          <w:sz w:val="24"/>
          <w:szCs w:val="24"/>
        </w:rPr>
        <w:t>features</w:t>
      </w:r>
      <w:r>
        <w:rPr>
          <w:sz w:val="24"/>
          <w:szCs w:val="24"/>
        </w:rPr>
        <w:t xml:space="preserve"> </w:t>
      </w:r>
      <w:r w:rsidRPr="001D6B7E">
        <w:rPr>
          <w:sz w:val="24"/>
          <w:szCs w:val="24"/>
        </w:rPr>
        <w:t>across curricula in assessment assignments for students</w:t>
      </w:r>
      <w:r>
        <w:rPr>
          <w:sz w:val="24"/>
          <w:szCs w:val="24"/>
        </w:rPr>
        <w:t xml:space="preserve">. However, this raises a point that if the process of reflection is not understood students </w:t>
      </w:r>
      <w:r w:rsidRPr="001D6B7E">
        <w:rPr>
          <w:sz w:val="24"/>
          <w:szCs w:val="24"/>
        </w:rPr>
        <w:t xml:space="preserve">may </w:t>
      </w:r>
      <w:r>
        <w:rPr>
          <w:sz w:val="24"/>
          <w:szCs w:val="24"/>
        </w:rPr>
        <w:t xml:space="preserve">adjust </w:t>
      </w:r>
      <w:r w:rsidRPr="001D6B7E">
        <w:rPr>
          <w:sz w:val="24"/>
          <w:szCs w:val="24"/>
        </w:rPr>
        <w:t>their reflective writing to meet assessment criteria rather than from a position of authentic reflection</w:t>
      </w:r>
      <w:r>
        <w:rPr>
          <w:sz w:val="24"/>
          <w:szCs w:val="24"/>
        </w:rPr>
        <w:t>. Indeed, r</w:t>
      </w:r>
      <w:r w:rsidRPr="001D6B7E">
        <w:rPr>
          <w:sz w:val="24"/>
          <w:szCs w:val="24"/>
        </w:rPr>
        <w:t>eflective practice</w:t>
      </w:r>
      <w:r>
        <w:rPr>
          <w:sz w:val="24"/>
          <w:szCs w:val="24"/>
        </w:rPr>
        <w:t xml:space="preserve"> can</w:t>
      </w:r>
      <w:r w:rsidRPr="00926920">
        <w:rPr>
          <w:sz w:val="24"/>
          <w:szCs w:val="24"/>
        </w:rPr>
        <w:t xml:space="preserve"> become</w:t>
      </w:r>
      <w:r>
        <w:rPr>
          <w:sz w:val="24"/>
          <w:szCs w:val="24"/>
        </w:rPr>
        <w:t xml:space="preserve"> </w:t>
      </w:r>
      <w:r w:rsidRPr="00926920">
        <w:rPr>
          <w:sz w:val="24"/>
          <w:szCs w:val="24"/>
        </w:rPr>
        <w:t>ritualised</w:t>
      </w:r>
      <w:r>
        <w:rPr>
          <w:sz w:val="24"/>
          <w:szCs w:val="24"/>
        </w:rPr>
        <w:t xml:space="preserve"> </w:t>
      </w:r>
      <w:r w:rsidRPr="00926920">
        <w:rPr>
          <w:sz w:val="24"/>
          <w:szCs w:val="24"/>
        </w:rPr>
        <w:t>when imposed through prescribed activities</w:t>
      </w:r>
      <w:r>
        <w:rPr>
          <w:sz w:val="24"/>
          <w:szCs w:val="24"/>
        </w:rPr>
        <w:t xml:space="preserve"> </w:t>
      </w:r>
      <w:r w:rsidRPr="00926920">
        <w:rPr>
          <w:sz w:val="24"/>
          <w:szCs w:val="24"/>
        </w:rPr>
        <w:t>(Boud and Walker, 1998).</w:t>
      </w:r>
      <w:r w:rsidRPr="00B42E33">
        <w:rPr>
          <w:sz w:val="24"/>
          <w:szCs w:val="24"/>
        </w:rPr>
        <w:t xml:space="preserve"> </w:t>
      </w:r>
      <w:r w:rsidRPr="00625330">
        <w:rPr>
          <w:sz w:val="24"/>
          <w:szCs w:val="24"/>
        </w:rPr>
        <w:t>Referring to reflective practice as “a wicked problem”</w:t>
      </w:r>
      <w:r w:rsidR="00BF2285">
        <w:rPr>
          <w:sz w:val="24"/>
          <w:szCs w:val="24"/>
        </w:rPr>
        <w:t xml:space="preserve"> (Platt, 2014, p.</w:t>
      </w:r>
      <w:r w:rsidR="005D1CF2">
        <w:rPr>
          <w:sz w:val="24"/>
          <w:szCs w:val="24"/>
        </w:rPr>
        <w:t>4</w:t>
      </w:r>
      <w:r w:rsidR="00BF2285">
        <w:rPr>
          <w:sz w:val="24"/>
          <w:szCs w:val="24"/>
        </w:rPr>
        <w:t>4)</w:t>
      </w:r>
      <w:r w:rsidRPr="00625330">
        <w:rPr>
          <w:sz w:val="24"/>
          <w:szCs w:val="24"/>
        </w:rPr>
        <w:t>, Platt suggests that forcing reflection leads to “faked reflection” (</w:t>
      </w:r>
      <w:r w:rsidR="005D1CF2">
        <w:rPr>
          <w:sz w:val="24"/>
          <w:szCs w:val="24"/>
        </w:rPr>
        <w:t>ibid.</w:t>
      </w:r>
      <w:r w:rsidRPr="00625330">
        <w:rPr>
          <w:sz w:val="24"/>
          <w:szCs w:val="24"/>
        </w:rPr>
        <w:t>) and recommends that reflective practice be embedded in, rather than separated from mainstream teaching processes</w:t>
      </w:r>
      <w:r>
        <w:rPr>
          <w:sz w:val="24"/>
          <w:szCs w:val="24"/>
        </w:rPr>
        <w:t xml:space="preserve">. </w:t>
      </w:r>
    </w:p>
    <w:p w14:paraId="741712A9" w14:textId="77777777" w:rsidR="002E2ABD" w:rsidRPr="00806308" w:rsidRDefault="002E2ABD" w:rsidP="00927EAA">
      <w:pPr>
        <w:spacing w:line="360" w:lineRule="auto"/>
        <w:rPr>
          <w:b/>
          <w:bCs/>
          <w:sz w:val="24"/>
          <w:szCs w:val="24"/>
        </w:rPr>
      </w:pPr>
      <w:r>
        <w:rPr>
          <w:b/>
          <w:bCs/>
          <w:sz w:val="24"/>
          <w:szCs w:val="24"/>
        </w:rPr>
        <w:t xml:space="preserve">Teachers: </w:t>
      </w:r>
      <w:r w:rsidRPr="00806308">
        <w:rPr>
          <w:b/>
          <w:bCs/>
          <w:sz w:val="24"/>
          <w:szCs w:val="24"/>
        </w:rPr>
        <w:t>Performance and Development Review</w:t>
      </w:r>
    </w:p>
    <w:p w14:paraId="3433D009" w14:textId="140F8D64" w:rsidR="002E2ABD" w:rsidRDefault="002E2ABD" w:rsidP="00927EAA">
      <w:pPr>
        <w:spacing w:line="360" w:lineRule="auto"/>
        <w:rPr>
          <w:sz w:val="24"/>
          <w:szCs w:val="24"/>
        </w:rPr>
      </w:pPr>
      <w:r w:rsidRPr="001D6B7E">
        <w:rPr>
          <w:sz w:val="24"/>
          <w:szCs w:val="24"/>
        </w:rPr>
        <w:t xml:space="preserve">According to the </w:t>
      </w:r>
      <w:r w:rsidRPr="00DF180A">
        <w:rPr>
          <w:sz w:val="24"/>
          <w:szCs w:val="24"/>
        </w:rPr>
        <w:t xml:space="preserve">Quality Assurance Agency </w:t>
      </w:r>
      <w:r w:rsidRPr="001D6B7E">
        <w:rPr>
          <w:sz w:val="24"/>
          <w:szCs w:val="24"/>
        </w:rPr>
        <w:t>(</w:t>
      </w:r>
      <w:r>
        <w:rPr>
          <w:sz w:val="24"/>
          <w:szCs w:val="24"/>
        </w:rPr>
        <w:t xml:space="preserve">QAA, </w:t>
      </w:r>
      <w:r w:rsidRPr="001D6B7E">
        <w:rPr>
          <w:sz w:val="24"/>
          <w:szCs w:val="24"/>
        </w:rPr>
        <w:t>1997), the P</w:t>
      </w:r>
      <w:r w:rsidR="001C0F6A">
        <w:rPr>
          <w:sz w:val="24"/>
          <w:szCs w:val="24"/>
        </w:rPr>
        <w:t xml:space="preserve">erformance and </w:t>
      </w:r>
      <w:r w:rsidR="001C0F6A" w:rsidRPr="001D6B7E">
        <w:rPr>
          <w:sz w:val="24"/>
          <w:szCs w:val="24"/>
        </w:rPr>
        <w:t>D</w:t>
      </w:r>
      <w:r w:rsidR="001C0F6A">
        <w:rPr>
          <w:sz w:val="24"/>
          <w:szCs w:val="24"/>
        </w:rPr>
        <w:t xml:space="preserve">evelopment </w:t>
      </w:r>
      <w:r w:rsidRPr="001D6B7E">
        <w:rPr>
          <w:sz w:val="24"/>
          <w:szCs w:val="24"/>
        </w:rPr>
        <w:t>R</w:t>
      </w:r>
      <w:r w:rsidR="001C0F6A">
        <w:rPr>
          <w:sz w:val="24"/>
          <w:szCs w:val="24"/>
        </w:rPr>
        <w:t>eview (PDR)</w:t>
      </w:r>
      <w:r w:rsidRPr="001D6B7E">
        <w:rPr>
          <w:sz w:val="24"/>
          <w:szCs w:val="24"/>
        </w:rPr>
        <w:t xml:space="preserve"> </w:t>
      </w:r>
      <w:r>
        <w:rPr>
          <w:sz w:val="24"/>
          <w:szCs w:val="24"/>
        </w:rPr>
        <w:t xml:space="preserve">affords </w:t>
      </w:r>
      <w:r w:rsidRPr="001D6B7E">
        <w:rPr>
          <w:sz w:val="24"/>
          <w:szCs w:val="24"/>
        </w:rPr>
        <w:t xml:space="preserve">all </w:t>
      </w:r>
      <w:r>
        <w:rPr>
          <w:sz w:val="24"/>
          <w:szCs w:val="24"/>
        </w:rPr>
        <w:t xml:space="preserve">HE </w:t>
      </w:r>
      <w:r w:rsidRPr="001D6B7E">
        <w:rPr>
          <w:sz w:val="24"/>
          <w:szCs w:val="24"/>
        </w:rPr>
        <w:t xml:space="preserve">staff </w:t>
      </w:r>
      <w:r>
        <w:rPr>
          <w:sz w:val="24"/>
          <w:szCs w:val="24"/>
        </w:rPr>
        <w:t xml:space="preserve">members </w:t>
      </w:r>
      <w:r w:rsidRPr="001D6B7E">
        <w:rPr>
          <w:sz w:val="24"/>
          <w:szCs w:val="24"/>
        </w:rPr>
        <w:t>the opportunity to reflect on their performance, progress and development need</w:t>
      </w:r>
      <w:r>
        <w:rPr>
          <w:sz w:val="24"/>
          <w:szCs w:val="24"/>
        </w:rPr>
        <w:t xml:space="preserve">s. It is </w:t>
      </w:r>
      <w:r w:rsidRPr="008815A8">
        <w:rPr>
          <w:sz w:val="24"/>
          <w:szCs w:val="24"/>
        </w:rPr>
        <w:t>an annual evaluation process undertake</w:t>
      </w:r>
      <w:r w:rsidR="009A49AF">
        <w:rPr>
          <w:sz w:val="24"/>
          <w:szCs w:val="24"/>
        </w:rPr>
        <w:t>n</w:t>
      </w:r>
      <w:r w:rsidRPr="008815A8">
        <w:rPr>
          <w:sz w:val="24"/>
          <w:szCs w:val="24"/>
        </w:rPr>
        <w:t xml:space="preserve"> with </w:t>
      </w:r>
      <w:r w:rsidR="009A49AF">
        <w:rPr>
          <w:sz w:val="24"/>
          <w:szCs w:val="24"/>
        </w:rPr>
        <w:t>a</w:t>
      </w:r>
      <w:r w:rsidRPr="008815A8">
        <w:rPr>
          <w:sz w:val="24"/>
          <w:szCs w:val="24"/>
        </w:rPr>
        <w:t xml:space="preserve"> line manager with the purpose of aligning individual staff development needs with the strategic direction of the university. </w:t>
      </w:r>
      <w:r>
        <w:rPr>
          <w:sz w:val="24"/>
          <w:szCs w:val="24"/>
        </w:rPr>
        <w:t xml:space="preserve">However, there is evidence that </w:t>
      </w:r>
      <w:r w:rsidR="009A49AF">
        <w:rPr>
          <w:sz w:val="24"/>
          <w:szCs w:val="24"/>
        </w:rPr>
        <w:t xml:space="preserve">teaching </w:t>
      </w:r>
      <w:r>
        <w:rPr>
          <w:sz w:val="24"/>
          <w:szCs w:val="24"/>
        </w:rPr>
        <w:t xml:space="preserve">staff </w:t>
      </w:r>
      <w:r w:rsidRPr="001D6B7E">
        <w:rPr>
          <w:sz w:val="24"/>
          <w:szCs w:val="24"/>
        </w:rPr>
        <w:t>mistrust the process and perceive the PDR as a controlling mechanism aligned to a performativity culture</w:t>
      </w:r>
      <w:r>
        <w:rPr>
          <w:sz w:val="24"/>
          <w:szCs w:val="24"/>
        </w:rPr>
        <w:t xml:space="preserve"> (Floyd, 2019)</w:t>
      </w:r>
      <w:r w:rsidRPr="001D6B7E">
        <w:rPr>
          <w:sz w:val="24"/>
          <w:szCs w:val="24"/>
        </w:rPr>
        <w:t>.</w:t>
      </w:r>
    </w:p>
    <w:p w14:paraId="42C0CB33" w14:textId="04C6CA5A" w:rsidR="002E2ABD" w:rsidRPr="001D6B7E" w:rsidRDefault="002E2ABD" w:rsidP="00927EAA">
      <w:pPr>
        <w:spacing w:line="360" w:lineRule="auto"/>
        <w:rPr>
          <w:sz w:val="24"/>
          <w:szCs w:val="24"/>
        </w:rPr>
      </w:pPr>
      <w:r w:rsidRPr="001D6B7E">
        <w:rPr>
          <w:sz w:val="24"/>
          <w:szCs w:val="24"/>
        </w:rPr>
        <w:t>Floyd (</w:t>
      </w:r>
      <w:r>
        <w:rPr>
          <w:sz w:val="24"/>
          <w:szCs w:val="24"/>
        </w:rPr>
        <w:t>2019</w:t>
      </w:r>
      <w:r w:rsidRPr="001D6B7E">
        <w:rPr>
          <w:sz w:val="24"/>
          <w:szCs w:val="24"/>
        </w:rPr>
        <w:t xml:space="preserve">) conducted a study in a UK university </w:t>
      </w:r>
      <w:r>
        <w:rPr>
          <w:sz w:val="24"/>
          <w:szCs w:val="24"/>
        </w:rPr>
        <w:t>with</w:t>
      </w:r>
      <w:r w:rsidRPr="001D6B7E">
        <w:rPr>
          <w:sz w:val="24"/>
          <w:szCs w:val="24"/>
        </w:rPr>
        <w:t xml:space="preserve"> 15 academic leaders and 15 academic staff participants. A two-stage qualitative study comprising interviews and an online survey, the study concluded that the PDR process could offer significant guidance and support for professional development</w:t>
      </w:r>
      <w:r>
        <w:rPr>
          <w:sz w:val="24"/>
          <w:szCs w:val="24"/>
        </w:rPr>
        <w:t xml:space="preserve"> and </w:t>
      </w:r>
      <w:r w:rsidRPr="001D6B7E">
        <w:rPr>
          <w:sz w:val="24"/>
          <w:szCs w:val="24"/>
        </w:rPr>
        <w:t>have a positive effect on student learning, staff motivation, recruitment and retention</w:t>
      </w:r>
      <w:r>
        <w:rPr>
          <w:sz w:val="24"/>
          <w:szCs w:val="24"/>
        </w:rPr>
        <w:t>.</w:t>
      </w:r>
      <w:r w:rsidRPr="001D6B7E">
        <w:rPr>
          <w:sz w:val="24"/>
          <w:szCs w:val="24"/>
        </w:rPr>
        <w:t xml:space="preserve"> Thirty-three per cent of staff interviewed felt able to have open discussions and garner support for their work, yet 40% disagreed or strongly </w:t>
      </w:r>
      <w:r w:rsidRPr="001D6B7E">
        <w:rPr>
          <w:sz w:val="24"/>
          <w:szCs w:val="24"/>
        </w:rPr>
        <w:lastRenderedPageBreak/>
        <w:t>disagreed. Furthermore, 25% of participants felt they could not be honest about their needs</w:t>
      </w:r>
      <w:r>
        <w:rPr>
          <w:sz w:val="24"/>
          <w:szCs w:val="24"/>
        </w:rPr>
        <w:t xml:space="preserve"> and </w:t>
      </w:r>
      <w:r w:rsidRPr="001D6B7E">
        <w:rPr>
          <w:sz w:val="24"/>
          <w:szCs w:val="24"/>
        </w:rPr>
        <w:t xml:space="preserve">some participants reported that </w:t>
      </w:r>
      <w:r>
        <w:rPr>
          <w:sz w:val="24"/>
          <w:szCs w:val="24"/>
        </w:rPr>
        <w:t>the PDR</w:t>
      </w:r>
      <w:r w:rsidRPr="001D6B7E">
        <w:rPr>
          <w:sz w:val="24"/>
          <w:szCs w:val="24"/>
        </w:rPr>
        <w:t xml:space="preserve"> lacked professional relevance and was over</w:t>
      </w:r>
      <w:r w:rsidR="008751FF">
        <w:rPr>
          <w:sz w:val="24"/>
          <w:szCs w:val="24"/>
        </w:rPr>
        <w:t>ly</w:t>
      </w:r>
      <w:r w:rsidRPr="001D6B7E">
        <w:rPr>
          <w:sz w:val="24"/>
          <w:szCs w:val="24"/>
        </w:rPr>
        <w:t xml:space="preserve"> reliant on overambitious target setting.</w:t>
      </w:r>
      <w:r>
        <w:rPr>
          <w:sz w:val="24"/>
          <w:szCs w:val="24"/>
        </w:rPr>
        <w:t xml:space="preserve"> O</w:t>
      </w:r>
      <w:r w:rsidRPr="001D6B7E">
        <w:rPr>
          <w:sz w:val="24"/>
          <w:szCs w:val="24"/>
        </w:rPr>
        <w:t>verall staff reported concern</w:t>
      </w:r>
      <w:r>
        <w:rPr>
          <w:sz w:val="24"/>
          <w:szCs w:val="24"/>
        </w:rPr>
        <w:t>s</w:t>
      </w:r>
      <w:r w:rsidRPr="001D6B7E">
        <w:rPr>
          <w:sz w:val="24"/>
          <w:szCs w:val="24"/>
        </w:rPr>
        <w:t xml:space="preserve"> about the confidentiality of their responses in PDR meetings</w:t>
      </w:r>
      <w:r>
        <w:rPr>
          <w:sz w:val="24"/>
          <w:szCs w:val="24"/>
        </w:rPr>
        <w:t xml:space="preserve"> </w:t>
      </w:r>
      <w:r w:rsidR="002A292E">
        <w:rPr>
          <w:sz w:val="24"/>
          <w:szCs w:val="24"/>
        </w:rPr>
        <w:t xml:space="preserve">which I believe </w:t>
      </w:r>
      <w:r>
        <w:rPr>
          <w:sz w:val="24"/>
          <w:szCs w:val="24"/>
        </w:rPr>
        <w:t xml:space="preserve">might result in </w:t>
      </w:r>
      <w:r w:rsidR="002A292E">
        <w:rPr>
          <w:sz w:val="24"/>
          <w:szCs w:val="24"/>
        </w:rPr>
        <w:t xml:space="preserve">teachers engaging in </w:t>
      </w:r>
      <w:r>
        <w:rPr>
          <w:sz w:val="24"/>
          <w:szCs w:val="24"/>
        </w:rPr>
        <w:t>faked reflection (Platt, 2014</w:t>
      </w:r>
      <w:r w:rsidR="00C13B68">
        <w:rPr>
          <w:sz w:val="24"/>
          <w:szCs w:val="24"/>
        </w:rPr>
        <w:t>).</w:t>
      </w:r>
      <w:r w:rsidRPr="001D6B7E">
        <w:rPr>
          <w:sz w:val="24"/>
          <w:szCs w:val="24"/>
        </w:rPr>
        <w:t xml:space="preserve"> Although a small-scale study, there is clear indication that </w:t>
      </w:r>
      <w:r w:rsidR="009C747C">
        <w:rPr>
          <w:sz w:val="24"/>
          <w:szCs w:val="24"/>
        </w:rPr>
        <w:t xml:space="preserve">given </w:t>
      </w:r>
      <w:r w:rsidRPr="001D6B7E">
        <w:rPr>
          <w:sz w:val="24"/>
          <w:szCs w:val="24"/>
        </w:rPr>
        <w:t>the context and culture</w:t>
      </w:r>
      <w:r>
        <w:rPr>
          <w:sz w:val="24"/>
          <w:szCs w:val="24"/>
        </w:rPr>
        <w:t>, the PDR process</w:t>
      </w:r>
      <w:r w:rsidRPr="001D6B7E">
        <w:rPr>
          <w:sz w:val="24"/>
          <w:szCs w:val="24"/>
        </w:rPr>
        <w:t xml:space="preserve"> </w:t>
      </w:r>
      <w:r>
        <w:rPr>
          <w:sz w:val="24"/>
          <w:szCs w:val="24"/>
        </w:rPr>
        <w:t>was regarded with suspicion</w:t>
      </w:r>
      <w:r w:rsidRPr="001D6B7E">
        <w:rPr>
          <w:sz w:val="24"/>
          <w:szCs w:val="24"/>
        </w:rPr>
        <w:t>.</w:t>
      </w:r>
    </w:p>
    <w:p w14:paraId="79404CE0" w14:textId="0B876CE5" w:rsidR="002E2ABD" w:rsidRPr="001D6B7E" w:rsidRDefault="002E2ABD" w:rsidP="00927EAA">
      <w:pPr>
        <w:spacing w:line="360" w:lineRule="auto"/>
        <w:rPr>
          <w:sz w:val="24"/>
          <w:szCs w:val="24"/>
        </w:rPr>
      </w:pPr>
      <w:r w:rsidRPr="001D6B7E">
        <w:rPr>
          <w:sz w:val="24"/>
          <w:szCs w:val="24"/>
        </w:rPr>
        <w:t>Whilst there is a need for accountability,</w:t>
      </w:r>
      <w:r>
        <w:rPr>
          <w:sz w:val="24"/>
          <w:szCs w:val="24"/>
        </w:rPr>
        <w:t xml:space="preserve"> reflective practice </w:t>
      </w:r>
      <w:r w:rsidRPr="001D6B7E">
        <w:rPr>
          <w:sz w:val="24"/>
          <w:szCs w:val="24"/>
        </w:rPr>
        <w:t xml:space="preserve">could </w:t>
      </w:r>
      <w:r>
        <w:rPr>
          <w:sz w:val="24"/>
          <w:szCs w:val="24"/>
        </w:rPr>
        <w:t xml:space="preserve">contribute to </w:t>
      </w:r>
      <w:r w:rsidRPr="001D6B7E">
        <w:rPr>
          <w:sz w:val="24"/>
          <w:szCs w:val="24"/>
        </w:rPr>
        <w:t>a cultural divide between teach</w:t>
      </w:r>
      <w:r>
        <w:rPr>
          <w:sz w:val="24"/>
          <w:szCs w:val="24"/>
        </w:rPr>
        <w:t xml:space="preserve">ers </w:t>
      </w:r>
      <w:r w:rsidRPr="001D6B7E">
        <w:rPr>
          <w:sz w:val="24"/>
          <w:szCs w:val="24"/>
        </w:rPr>
        <w:t>and management (Wallace, 2002)</w:t>
      </w:r>
      <w:r w:rsidR="00E94443">
        <w:rPr>
          <w:sz w:val="24"/>
          <w:szCs w:val="24"/>
        </w:rPr>
        <w:t>,</w:t>
      </w:r>
      <w:r>
        <w:rPr>
          <w:sz w:val="24"/>
          <w:szCs w:val="24"/>
        </w:rPr>
        <w:t xml:space="preserve"> and the process could </w:t>
      </w:r>
      <w:r w:rsidRPr="00992314">
        <w:rPr>
          <w:sz w:val="24"/>
          <w:szCs w:val="24"/>
        </w:rPr>
        <w:t xml:space="preserve">feed </w:t>
      </w:r>
      <w:r>
        <w:rPr>
          <w:sz w:val="24"/>
          <w:szCs w:val="24"/>
        </w:rPr>
        <w:t>a</w:t>
      </w:r>
      <w:r w:rsidRPr="00992314">
        <w:rPr>
          <w:sz w:val="24"/>
          <w:szCs w:val="24"/>
        </w:rPr>
        <w:t xml:space="preserve"> blame culture (Avis, 2005)</w:t>
      </w:r>
      <w:r>
        <w:rPr>
          <w:sz w:val="24"/>
          <w:szCs w:val="24"/>
        </w:rPr>
        <w:t>. Furthermore, reflection</w:t>
      </w:r>
      <w:r w:rsidRPr="00DD7CBF">
        <w:rPr>
          <w:sz w:val="24"/>
          <w:szCs w:val="24"/>
        </w:rPr>
        <w:t xml:space="preserve"> involves re-evaluation of practices</w:t>
      </w:r>
      <w:r>
        <w:rPr>
          <w:sz w:val="24"/>
          <w:szCs w:val="24"/>
        </w:rPr>
        <w:t xml:space="preserve"> and prompts and promotes change. </w:t>
      </w:r>
      <w:r w:rsidRPr="004F56C4">
        <w:rPr>
          <w:sz w:val="24"/>
          <w:szCs w:val="24"/>
        </w:rPr>
        <w:t>As Bartle and Eloquin (2021) attest, assumptions about theories and practices can remain “frozen in aspic” (p.15) if they remain unchallenged</w:t>
      </w:r>
      <w:r>
        <w:rPr>
          <w:sz w:val="24"/>
          <w:szCs w:val="24"/>
        </w:rPr>
        <w:t>, yet engaging in the change process can breed mistrust (Brookfield, 1995) and is not embraced by all.</w:t>
      </w:r>
      <w:r w:rsidRPr="00FB2CE3">
        <w:rPr>
          <w:sz w:val="24"/>
          <w:szCs w:val="24"/>
        </w:rPr>
        <w:t xml:space="preserve"> </w:t>
      </w:r>
    </w:p>
    <w:bookmarkEnd w:id="38"/>
    <w:p w14:paraId="32D2160D" w14:textId="77777777" w:rsidR="002E2ABD" w:rsidRPr="00E05899" w:rsidRDefault="002E2ABD" w:rsidP="00927EAA">
      <w:pPr>
        <w:spacing w:line="360" w:lineRule="auto"/>
        <w:rPr>
          <w:b/>
          <w:bCs/>
          <w:sz w:val="24"/>
          <w:szCs w:val="24"/>
        </w:rPr>
      </w:pPr>
      <w:r>
        <w:rPr>
          <w:b/>
          <w:bCs/>
          <w:sz w:val="24"/>
          <w:szCs w:val="24"/>
        </w:rPr>
        <w:t>Is it safe to reflect?</w:t>
      </w:r>
    </w:p>
    <w:p w14:paraId="40A4C11F" w14:textId="71E99250" w:rsidR="002E2ABD" w:rsidRDefault="002E2ABD" w:rsidP="00927EAA">
      <w:pPr>
        <w:spacing w:line="360" w:lineRule="auto"/>
        <w:rPr>
          <w:sz w:val="24"/>
          <w:szCs w:val="24"/>
        </w:rPr>
      </w:pPr>
      <w:r w:rsidRPr="001D6B7E">
        <w:rPr>
          <w:sz w:val="24"/>
          <w:szCs w:val="24"/>
        </w:rPr>
        <w:t xml:space="preserve">Teachers commonly resist change </w:t>
      </w:r>
      <w:r>
        <w:rPr>
          <w:sz w:val="24"/>
          <w:szCs w:val="24"/>
        </w:rPr>
        <w:t xml:space="preserve">which </w:t>
      </w:r>
      <w:r w:rsidRPr="001D6B7E">
        <w:rPr>
          <w:sz w:val="24"/>
          <w:szCs w:val="24"/>
        </w:rPr>
        <w:t>mak</w:t>
      </w:r>
      <w:r>
        <w:rPr>
          <w:sz w:val="24"/>
          <w:szCs w:val="24"/>
        </w:rPr>
        <w:t>es</w:t>
      </w:r>
      <w:r w:rsidRPr="001D6B7E">
        <w:rPr>
          <w:sz w:val="24"/>
          <w:szCs w:val="24"/>
        </w:rPr>
        <w:t xml:space="preserve"> it difficult </w:t>
      </w:r>
      <w:r>
        <w:rPr>
          <w:sz w:val="24"/>
          <w:szCs w:val="24"/>
        </w:rPr>
        <w:t xml:space="preserve">to operationalise </w:t>
      </w:r>
      <w:r w:rsidRPr="001D6B7E">
        <w:rPr>
          <w:sz w:val="24"/>
          <w:szCs w:val="24"/>
        </w:rPr>
        <w:t>academic development (Bamber, 2008</w:t>
      </w:r>
      <w:r>
        <w:rPr>
          <w:sz w:val="24"/>
          <w:szCs w:val="24"/>
        </w:rPr>
        <w:t>; Brookfield, 1995</w:t>
      </w:r>
      <w:r w:rsidRPr="001D6B7E">
        <w:rPr>
          <w:sz w:val="24"/>
          <w:szCs w:val="24"/>
        </w:rPr>
        <w:t>)</w:t>
      </w:r>
      <w:r>
        <w:rPr>
          <w:sz w:val="24"/>
          <w:szCs w:val="24"/>
        </w:rPr>
        <w:t>, added to which conditions are not always right, or ripe for change</w:t>
      </w:r>
      <w:r w:rsidR="00A055CA">
        <w:rPr>
          <w:sz w:val="24"/>
          <w:szCs w:val="24"/>
        </w:rPr>
        <w:t xml:space="preserve"> (Schultz, 2022a</w:t>
      </w:r>
      <w:r w:rsidR="006C536D">
        <w:rPr>
          <w:sz w:val="24"/>
          <w:szCs w:val="24"/>
        </w:rPr>
        <w:t>)</w:t>
      </w:r>
      <w:r w:rsidRPr="001D6B7E">
        <w:rPr>
          <w:sz w:val="24"/>
          <w:szCs w:val="24"/>
        </w:rPr>
        <w:t>. Crawford (2010) for instance considers that one of the</w:t>
      </w:r>
      <w:r>
        <w:rPr>
          <w:sz w:val="24"/>
          <w:szCs w:val="24"/>
        </w:rPr>
        <w:t xml:space="preserve"> </w:t>
      </w:r>
      <w:r w:rsidRPr="001D6B7E">
        <w:rPr>
          <w:sz w:val="24"/>
          <w:szCs w:val="24"/>
        </w:rPr>
        <w:t xml:space="preserve">critical success factors for teachers’ academic development is the existence of a supportive environment for developing and/or sharing of good teaching practices. Brockbank and McGill (2007) believe </w:t>
      </w:r>
      <w:r>
        <w:rPr>
          <w:sz w:val="24"/>
          <w:szCs w:val="24"/>
        </w:rPr>
        <w:t xml:space="preserve">reflective </w:t>
      </w:r>
      <w:r w:rsidRPr="001D6B7E">
        <w:rPr>
          <w:sz w:val="24"/>
          <w:szCs w:val="24"/>
        </w:rPr>
        <w:t>practice is crucial to the development of professional artistry (</w:t>
      </w:r>
      <w:r>
        <w:rPr>
          <w:sz w:val="24"/>
          <w:szCs w:val="24"/>
        </w:rPr>
        <w:t>Schὂn</w:t>
      </w:r>
      <w:r w:rsidRPr="001D6B7E">
        <w:rPr>
          <w:sz w:val="24"/>
          <w:szCs w:val="24"/>
        </w:rPr>
        <w:t>, 1983)</w:t>
      </w:r>
      <w:r>
        <w:rPr>
          <w:sz w:val="24"/>
          <w:szCs w:val="24"/>
        </w:rPr>
        <w:t xml:space="preserve"> and</w:t>
      </w:r>
      <w:r w:rsidRPr="001D6B7E">
        <w:rPr>
          <w:sz w:val="24"/>
          <w:szCs w:val="24"/>
        </w:rPr>
        <w:t xml:space="preserve"> is fostered within an environment of trust.</w:t>
      </w:r>
      <w:r>
        <w:rPr>
          <w:sz w:val="24"/>
          <w:szCs w:val="24"/>
        </w:rPr>
        <w:t xml:space="preserve"> </w:t>
      </w:r>
      <w:r w:rsidRPr="005011E5">
        <w:rPr>
          <w:sz w:val="24"/>
          <w:szCs w:val="24"/>
        </w:rPr>
        <w:t>For trust to thrive a safe environment is important (Erikson, 1963)</w:t>
      </w:r>
      <w:r>
        <w:rPr>
          <w:sz w:val="24"/>
          <w:szCs w:val="24"/>
        </w:rPr>
        <w:t>.</w:t>
      </w:r>
    </w:p>
    <w:p w14:paraId="0B919848" w14:textId="5DB7674A" w:rsidR="002E2ABD" w:rsidRPr="0049445D" w:rsidRDefault="002E2ABD" w:rsidP="00927EAA">
      <w:pPr>
        <w:spacing w:line="360" w:lineRule="auto"/>
        <w:rPr>
          <w:sz w:val="24"/>
          <w:szCs w:val="24"/>
        </w:rPr>
      </w:pPr>
      <w:r>
        <w:rPr>
          <w:sz w:val="24"/>
          <w:szCs w:val="24"/>
        </w:rPr>
        <w:t>Reflective practice</w:t>
      </w:r>
      <w:r w:rsidRPr="001D6B7E">
        <w:rPr>
          <w:sz w:val="24"/>
          <w:szCs w:val="24"/>
        </w:rPr>
        <w:t xml:space="preserve"> </w:t>
      </w:r>
      <w:r>
        <w:rPr>
          <w:sz w:val="24"/>
          <w:szCs w:val="24"/>
        </w:rPr>
        <w:t xml:space="preserve">requires the </w:t>
      </w:r>
      <w:r w:rsidRPr="001D6B7E">
        <w:rPr>
          <w:sz w:val="24"/>
          <w:szCs w:val="24"/>
        </w:rPr>
        <w:t>courage to talk about imperfections, to be vulnerable</w:t>
      </w:r>
      <w:r>
        <w:rPr>
          <w:sz w:val="24"/>
          <w:szCs w:val="24"/>
        </w:rPr>
        <w:t xml:space="preserve"> and involves </w:t>
      </w:r>
      <w:r w:rsidRPr="001D6B7E">
        <w:rPr>
          <w:sz w:val="24"/>
          <w:szCs w:val="24"/>
        </w:rPr>
        <w:t>communicative virtues (Burbules and Rice,</w:t>
      </w:r>
      <w:r>
        <w:rPr>
          <w:sz w:val="24"/>
          <w:szCs w:val="24"/>
        </w:rPr>
        <w:t xml:space="preserve"> </w:t>
      </w:r>
      <w:r w:rsidRPr="001D6B7E">
        <w:rPr>
          <w:sz w:val="24"/>
          <w:szCs w:val="24"/>
        </w:rPr>
        <w:t>1991)</w:t>
      </w:r>
      <w:r>
        <w:rPr>
          <w:sz w:val="24"/>
          <w:szCs w:val="24"/>
        </w:rPr>
        <w:t>. These include</w:t>
      </w:r>
      <w:r w:rsidRPr="001D6B7E">
        <w:rPr>
          <w:sz w:val="24"/>
          <w:szCs w:val="24"/>
        </w:rPr>
        <w:t xml:space="preserve"> a willingness to listen </w:t>
      </w:r>
      <w:r>
        <w:rPr>
          <w:sz w:val="24"/>
          <w:szCs w:val="24"/>
        </w:rPr>
        <w:t xml:space="preserve">and </w:t>
      </w:r>
      <w:r w:rsidRPr="001D6B7E">
        <w:rPr>
          <w:sz w:val="24"/>
          <w:szCs w:val="24"/>
        </w:rPr>
        <w:t>to admit mistakes</w:t>
      </w:r>
      <w:r>
        <w:rPr>
          <w:sz w:val="24"/>
          <w:szCs w:val="24"/>
        </w:rPr>
        <w:t xml:space="preserve"> (</w:t>
      </w:r>
      <w:r w:rsidR="00AB1ADC">
        <w:rPr>
          <w:sz w:val="24"/>
          <w:szCs w:val="24"/>
        </w:rPr>
        <w:t>ibid.</w:t>
      </w:r>
      <w:r>
        <w:rPr>
          <w:sz w:val="24"/>
          <w:szCs w:val="24"/>
        </w:rPr>
        <w:t>) which require</w:t>
      </w:r>
      <w:r w:rsidRPr="001D6B7E">
        <w:rPr>
          <w:sz w:val="24"/>
          <w:szCs w:val="24"/>
        </w:rPr>
        <w:t xml:space="preserve"> a high degree of self-awareness (Brookfield, 1995)</w:t>
      </w:r>
      <w:r>
        <w:rPr>
          <w:sz w:val="24"/>
          <w:szCs w:val="24"/>
        </w:rPr>
        <w:t xml:space="preserve">. This raises questions of </w:t>
      </w:r>
      <w:r w:rsidR="00270381">
        <w:rPr>
          <w:sz w:val="24"/>
          <w:szCs w:val="24"/>
        </w:rPr>
        <w:t>whether</w:t>
      </w:r>
      <w:r>
        <w:rPr>
          <w:sz w:val="24"/>
          <w:szCs w:val="24"/>
        </w:rPr>
        <w:t xml:space="preserve"> the environment can be trusted to value potential vulnerabilities arising from self-disclosure or for </w:t>
      </w:r>
      <w:r w:rsidRPr="006F0054">
        <w:rPr>
          <w:sz w:val="24"/>
          <w:szCs w:val="24"/>
        </w:rPr>
        <w:t xml:space="preserve">critical conversations to </w:t>
      </w:r>
      <w:r>
        <w:rPr>
          <w:sz w:val="24"/>
          <w:szCs w:val="24"/>
        </w:rPr>
        <w:t>take place. I</w:t>
      </w:r>
      <w:r w:rsidRPr="0049445D">
        <w:rPr>
          <w:sz w:val="24"/>
          <w:szCs w:val="24"/>
        </w:rPr>
        <w:t xml:space="preserve">f the environment breeds mistrust or fear, </w:t>
      </w:r>
      <w:r>
        <w:rPr>
          <w:sz w:val="24"/>
          <w:szCs w:val="24"/>
        </w:rPr>
        <w:t xml:space="preserve">there is a risk that </w:t>
      </w:r>
      <w:r w:rsidRPr="00CB235E">
        <w:rPr>
          <w:sz w:val="24"/>
          <w:szCs w:val="24"/>
        </w:rPr>
        <w:t>self-disclosure</w:t>
      </w:r>
      <w:r>
        <w:rPr>
          <w:sz w:val="24"/>
          <w:szCs w:val="24"/>
        </w:rPr>
        <w:t xml:space="preserve"> can result</w:t>
      </w:r>
      <w:r w:rsidRPr="00CB235E">
        <w:rPr>
          <w:sz w:val="24"/>
          <w:szCs w:val="24"/>
        </w:rPr>
        <w:t xml:space="preserve"> in censure or punishment</w:t>
      </w:r>
      <w:r>
        <w:rPr>
          <w:sz w:val="24"/>
          <w:szCs w:val="24"/>
        </w:rPr>
        <w:t xml:space="preserve"> and the reflector may keep their vulnerabilities secret</w:t>
      </w:r>
      <w:r w:rsidR="00974524">
        <w:rPr>
          <w:sz w:val="24"/>
          <w:szCs w:val="24"/>
        </w:rPr>
        <w:t xml:space="preserve"> </w:t>
      </w:r>
      <w:r w:rsidR="00974524">
        <w:rPr>
          <w:sz w:val="24"/>
          <w:szCs w:val="24"/>
        </w:rPr>
        <w:lastRenderedPageBreak/>
        <w:t>(Floyd, 2019</w:t>
      </w:r>
      <w:r w:rsidR="00BB1BBD">
        <w:rPr>
          <w:sz w:val="24"/>
          <w:szCs w:val="24"/>
        </w:rPr>
        <w:t>;</w:t>
      </w:r>
      <w:r w:rsidR="00912C21">
        <w:rPr>
          <w:sz w:val="24"/>
          <w:szCs w:val="24"/>
        </w:rPr>
        <w:t xml:space="preserve"> Gill, </w:t>
      </w:r>
      <w:r w:rsidR="00C05F09">
        <w:rPr>
          <w:sz w:val="24"/>
          <w:szCs w:val="24"/>
        </w:rPr>
        <w:t>2009</w:t>
      </w:r>
      <w:r w:rsidR="00974524">
        <w:rPr>
          <w:sz w:val="24"/>
          <w:szCs w:val="24"/>
        </w:rPr>
        <w:t>)</w:t>
      </w:r>
      <w:r>
        <w:rPr>
          <w:sz w:val="24"/>
          <w:szCs w:val="24"/>
        </w:rPr>
        <w:t>.</w:t>
      </w:r>
      <w:r w:rsidRPr="00C1133F">
        <w:rPr>
          <w:sz w:val="24"/>
          <w:szCs w:val="24"/>
        </w:rPr>
        <w:t xml:space="preserve"> In the institutional anxiety machine (Hall and Bowles, 2016) </w:t>
      </w:r>
      <w:r w:rsidR="00805098">
        <w:rPr>
          <w:sz w:val="24"/>
          <w:szCs w:val="24"/>
        </w:rPr>
        <w:t>of the university</w:t>
      </w:r>
      <w:r w:rsidR="00693946">
        <w:rPr>
          <w:sz w:val="24"/>
          <w:szCs w:val="24"/>
        </w:rPr>
        <w:t xml:space="preserve"> and a culture of secrecy</w:t>
      </w:r>
      <w:r w:rsidR="00BC56F5">
        <w:rPr>
          <w:sz w:val="24"/>
          <w:szCs w:val="24"/>
        </w:rPr>
        <w:t xml:space="preserve">, </w:t>
      </w:r>
      <w:r w:rsidR="006C188A">
        <w:rPr>
          <w:sz w:val="24"/>
          <w:szCs w:val="24"/>
        </w:rPr>
        <w:t>c</w:t>
      </w:r>
      <w:r w:rsidRPr="0049445D">
        <w:rPr>
          <w:sz w:val="24"/>
          <w:szCs w:val="24"/>
        </w:rPr>
        <w:t>ritical reflect</w:t>
      </w:r>
      <w:r>
        <w:rPr>
          <w:sz w:val="24"/>
          <w:szCs w:val="24"/>
        </w:rPr>
        <w:t xml:space="preserve">ion </w:t>
      </w:r>
      <w:r w:rsidR="00805098">
        <w:rPr>
          <w:sz w:val="24"/>
          <w:szCs w:val="24"/>
        </w:rPr>
        <w:t xml:space="preserve">is </w:t>
      </w:r>
      <w:r w:rsidRPr="0049445D">
        <w:rPr>
          <w:sz w:val="24"/>
          <w:szCs w:val="24"/>
        </w:rPr>
        <w:t>destined to fail</w:t>
      </w:r>
      <w:r w:rsidR="00693946">
        <w:rPr>
          <w:sz w:val="24"/>
          <w:szCs w:val="24"/>
        </w:rPr>
        <w:t xml:space="preserve"> </w:t>
      </w:r>
      <w:r>
        <w:rPr>
          <w:sz w:val="24"/>
          <w:szCs w:val="24"/>
        </w:rPr>
        <w:t>(Brookfield, 1995</w:t>
      </w:r>
      <w:bookmarkStart w:id="42" w:name="_Hlk215120414"/>
      <w:r>
        <w:rPr>
          <w:sz w:val="24"/>
          <w:szCs w:val="24"/>
        </w:rPr>
        <w:t>)</w:t>
      </w:r>
      <w:r w:rsidRPr="0049445D">
        <w:rPr>
          <w:sz w:val="24"/>
          <w:szCs w:val="24"/>
        </w:rPr>
        <w:t xml:space="preserve">. </w:t>
      </w:r>
    </w:p>
    <w:bookmarkEnd w:id="42"/>
    <w:p w14:paraId="6B8BC9B6" w14:textId="0F211AF7" w:rsidR="002E2ABD" w:rsidRDefault="002E2ABD" w:rsidP="00927EAA">
      <w:pPr>
        <w:spacing w:line="360" w:lineRule="auto"/>
        <w:rPr>
          <w:sz w:val="24"/>
          <w:szCs w:val="24"/>
        </w:rPr>
      </w:pPr>
      <w:r>
        <w:rPr>
          <w:sz w:val="24"/>
          <w:szCs w:val="24"/>
        </w:rPr>
        <w:t xml:space="preserve">The reader might be forgiven for wondering if reflective practice has any value particularly since there are seemingly no tangible benefits, severable noticeable difficulties </w:t>
      </w:r>
      <w:r w:rsidRPr="00462C4B">
        <w:rPr>
          <w:sz w:val="24"/>
          <w:szCs w:val="24"/>
        </w:rPr>
        <w:t>and barriers</w:t>
      </w:r>
      <w:r w:rsidR="004C60B7">
        <w:rPr>
          <w:sz w:val="24"/>
          <w:szCs w:val="24"/>
        </w:rPr>
        <w:t>,</w:t>
      </w:r>
      <w:r>
        <w:rPr>
          <w:sz w:val="24"/>
          <w:szCs w:val="24"/>
        </w:rPr>
        <w:t xml:space="preserve"> </w:t>
      </w:r>
      <w:r w:rsidRPr="00462C4B">
        <w:rPr>
          <w:sz w:val="24"/>
          <w:szCs w:val="24"/>
        </w:rPr>
        <w:t xml:space="preserve">and </w:t>
      </w:r>
      <w:r>
        <w:rPr>
          <w:sz w:val="24"/>
          <w:szCs w:val="24"/>
        </w:rPr>
        <w:t xml:space="preserve">the institutional culture impedes its inception. Safe environmental and psychological conditions are required for authentic and critical reflection to be actualised. </w:t>
      </w:r>
      <w:r w:rsidRPr="008505BD">
        <w:rPr>
          <w:sz w:val="24"/>
          <w:szCs w:val="24"/>
        </w:rPr>
        <w:t xml:space="preserve">As has been identified, reflective practice itself requires more structure and structural </w:t>
      </w:r>
      <w:r w:rsidR="00950328">
        <w:rPr>
          <w:sz w:val="24"/>
          <w:szCs w:val="24"/>
        </w:rPr>
        <w:t xml:space="preserve">conditions of </w:t>
      </w:r>
      <w:r w:rsidRPr="008505BD">
        <w:rPr>
          <w:sz w:val="24"/>
          <w:szCs w:val="24"/>
        </w:rPr>
        <w:t xml:space="preserve">holding which I am proposing can be operationalised through the mechanism of supervision. </w:t>
      </w:r>
      <w:r>
        <w:rPr>
          <w:sz w:val="24"/>
          <w:szCs w:val="24"/>
        </w:rPr>
        <w:t xml:space="preserve">Supervision is the formal container, the environmental mother, the structure and space that </w:t>
      </w:r>
      <w:r w:rsidR="007C6F23">
        <w:rPr>
          <w:sz w:val="24"/>
          <w:szCs w:val="24"/>
        </w:rPr>
        <w:t xml:space="preserve">collectively </w:t>
      </w:r>
      <w:r>
        <w:rPr>
          <w:sz w:val="24"/>
          <w:szCs w:val="24"/>
        </w:rPr>
        <w:t>safely hold the process of reflection.</w:t>
      </w:r>
    </w:p>
    <w:p w14:paraId="6CC636DD" w14:textId="77777777" w:rsidR="002E2ABD" w:rsidRPr="009F296C" w:rsidRDefault="002E2ABD" w:rsidP="00927EAA">
      <w:pPr>
        <w:spacing w:line="360" w:lineRule="auto"/>
        <w:rPr>
          <w:sz w:val="24"/>
          <w:szCs w:val="24"/>
        </w:rPr>
      </w:pPr>
      <w:r>
        <w:rPr>
          <w:b/>
          <w:bCs/>
          <w:sz w:val="24"/>
          <w:szCs w:val="24"/>
        </w:rPr>
        <w:t>Supervision</w:t>
      </w:r>
    </w:p>
    <w:p w14:paraId="0B339DEC" w14:textId="6BC1CB67" w:rsidR="002E2ABD" w:rsidRDefault="002E2ABD" w:rsidP="004D7D23">
      <w:pPr>
        <w:spacing w:line="360" w:lineRule="auto"/>
        <w:rPr>
          <w:sz w:val="24"/>
          <w:szCs w:val="24"/>
        </w:rPr>
      </w:pPr>
      <w:r w:rsidRPr="00897387">
        <w:rPr>
          <w:sz w:val="24"/>
          <w:szCs w:val="24"/>
        </w:rPr>
        <w:t xml:space="preserve">In recognition of the impact and emotional toll on teachers, reflective practice has been suggested as a support mechanism for staff in education (Bartle, 2023; DuBois, 2010; </w:t>
      </w:r>
      <w:r w:rsidR="00E157A5">
        <w:rPr>
          <w:sz w:val="24"/>
          <w:szCs w:val="24"/>
        </w:rPr>
        <w:t>Lawrence</w:t>
      </w:r>
      <w:r w:rsidR="00C6604A">
        <w:rPr>
          <w:sz w:val="24"/>
          <w:szCs w:val="24"/>
        </w:rPr>
        <w:t>, 2019;</w:t>
      </w:r>
      <w:r w:rsidR="00E157A5">
        <w:rPr>
          <w:sz w:val="24"/>
          <w:szCs w:val="24"/>
        </w:rPr>
        <w:t xml:space="preserve"> </w:t>
      </w:r>
      <w:r w:rsidRPr="00897387">
        <w:rPr>
          <w:sz w:val="24"/>
          <w:szCs w:val="24"/>
        </w:rPr>
        <w:t>Reid and Soan, 2019; Willis and Baines, 2018).</w:t>
      </w:r>
      <w:r>
        <w:rPr>
          <w:sz w:val="24"/>
          <w:szCs w:val="24"/>
        </w:rPr>
        <w:t xml:space="preserve"> S</w:t>
      </w:r>
      <w:r w:rsidRPr="00F97CD6">
        <w:rPr>
          <w:sz w:val="24"/>
          <w:szCs w:val="24"/>
        </w:rPr>
        <w:t xml:space="preserve">upervision is the </w:t>
      </w:r>
      <w:r>
        <w:rPr>
          <w:sz w:val="24"/>
          <w:szCs w:val="24"/>
        </w:rPr>
        <w:t>formal contracted</w:t>
      </w:r>
      <w:r w:rsidRPr="00F97CD6">
        <w:rPr>
          <w:sz w:val="24"/>
          <w:szCs w:val="24"/>
        </w:rPr>
        <w:t xml:space="preserve"> </w:t>
      </w:r>
      <w:r>
        <w:rPr>
          <w:sz w:val="24"/>
          <w:szCs w:val="24"/>
        </w:rPr>
        <w:t xml:space="preserve">container which </w:t>
      </w:r>
      <w:r w:rsidRPr="005135AF">
        <w:rPr>
          <w:sz w:val="24"/>
          <w:szCs w:val="24"/>
        </w:rPr>
        <w:t xml:space="preserve">serves the function of supporting personal and professional development, reflective practice (CQC, 2013; 2013a) and psychological safety. </w:t>
      </w:r>
      <w:r w:rsidRPr="006A7811">
        <w:rPr>
          <w:sz w:val="24"/>
          <w:szCs w:val="24"/>
        </w:rPr>
        <w:t>Psychological safety is a term used to describe the extent to which people feel included, safe to voice concerns and able to challenge habitual practice without fear of embarrassment, marginalisation, or reprisals (Clarke, 2020; Kahn, 1990).</w:t>
      </w:r>
      <w:r w:rsidRPr="00387254">
        <w:rPr>
          <w:sz w:val="24"/>
          <w:szCs w:val="24"/>
        </w:rPr>
        <w:t xml:space="preserve">  </w:t>
      </w:r>
    </w:p>
    <w:p w14:paraId="5D261269" w14:textId="24D36739" w:rsidR="00F173D1" w:rsidRPr="00AC17D1" w:rsidRDefault="002E2ABD" w:rsidP="00927EAA">
      <w:pPr>
        <w:spacing w:line="360" w:lineRule="auto"/>
        <w:rPr>
          <w:sz w:val="24"/>
          <w:szCs w:val="24"/>
        </w:rPr>
      </w:pPr>
      <w:r w:rsidRPr="000A39E8">
        <w:rPr>
          <w:sz w:val="24"/>
          <w:szCs w:val="24"/>
        </w:rPr>
        <w:t>Maintaining psychological safety is highlighted as an important factor for optimising professional performance</w:t>
      </w:r>
      <w:r w:rsidR="00EE27CC">
        <w:rPr>
          <w:sz w:val="24"/>
          <w:szCs w:val="24"/>
        </w:rPr>
        <w:t xml:space="preserve"> and </w:t>
      </w:r>
      <w:r w:rsidRPr="000A39E8">
        <w:rPr>
          <w:sz w:val="24"/>
          <w:szCs w:val="24"/>
        </w:rPr>
        <w:t>individual well-being (</w:t>
      </w:r>
      <w:r>
        <w:rPr>
          <w:sz w:val="24"/>
          <w:szCs w:val="24"/>
        </w:rPr>
        <w:t>Kahn, 1990</w:t>
      </w:r>
      <w:r w:rsidRPr="000A39E8">
        <w:rPr>
          <w:sz w:val="24"/>
          <w:szCs w:val="24"/>
        </w:rPr>
        <w:t>.)</w:t>
      </w:r>
      <w:r>
        <w:rPr>
          <w:sz w:val="24"/>
          <w:szCs w:val="24"/>
        </w:rPr>
        <w:t xml:space="preserve"> When experiencing psychological </w:t>
      </w:r>
      <w:r w:rsidR="007011AC">
        <w:rPr>
          <w:sz w:val="24"/>
          <w:szCs w:val="24"/>
        </w:rPr>
        <w:t>safety,</w:t>
      </w:r>
      <w:r>
        <w:rPr>
          <w:sz w:val="24"/>
          <w:szCs w:val="24"/>
        </w:rPr>
        <w:t xml:space="preserve"> the individual is </w:t>
      </w:r>
      <w:r w:rsidRPr="00846594">
        <w:rPr>
          <w:sz w:val="24"/>
          <w:szCs w:val="24"/>
        </w:rPr>
        <w:t xml:space="preserve">able to reveal </w:t>
      </w:r>
      <w:r>
        <w:rPr>
          <w:sz w:val="24"/>
          <w:szCs w:val="24"/>
        </w:rPr>
        <w:t xml:space="preserve">their </w:t>
      </w:r>
      <w:r w:rsidRPr="00846594">
        <w:rPr>
          <w:sz w:val="24"/>
          <w:szCs w:val="24"/>
        </w:rPr>
        <w:t>whole self “without fear of negative consequences to self-image, status or career” (</w:t>
      </w:r>
      <w:r w:rsidR="00AB1ADC">
        <w:rPr>
          <w:sz w:val="24"/>
          <w:szCs w:val="24"/>
        </w:rPr>
        <w:t>ibid.</w:t>
      </w:r>
      <w:r>
        <w:rPr>
          <w:sz w:val="24"/>
          <w:szCs w:val="24"/>
        </w:rPr>
        <w:t xml:space="preserve"> </w:t>
      </w:r>
      <w:r w:rsidRPr="00846594">
        <w:rPr>
          <w:sz w:val="24"/>
          <w:szCs w:val="24"/>
        </w:rPr>
        <w:t>p.708)</w:t>
      </w:r>
      <w:r w:rsidR="00431BC1">
        <w:rPr>
          <w:sz w:val="24"/>
          <w:szCs w:val="24"/>
        </w:rPr>
        <w:t>. H</w:t>
      </w:r>
      <w:r>
        <w:rPr>
          <w:sz w:val="24"/>
          <w:szCs w:val="24"/>
        </w:rPr>
        <w:t>owever, when there is fear within an organisation (Clarke, 2020) psychological safety is compromised</w:t>
      </w:r>
      <w:r w:rsidRPr="00F97CD6">
        <w:rPr>
          <w:sz w:val="24"/>
          <w:szCs w:val="24"/>
        </w:rPr>
        <w:t xml:space="preserve">. </w:t>
      </w:r>
      <w:r w:rsidRPr="004D7D23">
        <w:rPr>
          <w:sz w:val="24"/>
          <w:szCs w:val="24"/>
        </w:rPr>
        <w:t xml:space="preserve">Under the Health and Safety at Work Act (1974) and the Management of Health and Safety at Work Regulations (1999) </w:t>
      </w:r>
      <w:r w:rsidRPr="00F173D1">
        <w:rPr>
          <w:sz w:val="24"/>
          <w:szCs w:val="24"/>
        </w:rPr>
        <w:t xml:space="preserve">all </w:t>
      </w:r>
      <w:r w:rsidRPr="004D7D23">
        <w:rPr>
          <w:sz w:val="24"/>
          <w:szCs w:val="24"/>
        </w:rPr>
        <w:t>employers have a duty to ensure the health, safety and welfare of their employees. How this is implemented remains the responsibility of professional bodies and employers</w:t>
      </w:r>
      <w:r>
        <w:rPr>
          <w:sz w:val="24"/>
          <w:szCs w:val="24"/>
        </w:rPr>
        <w:t xml:space="preserve"> and given the need for support this study is identifying, supervision may fulfil a health, safety and welfare function for teachers in HE.</w:t>
      </w:r>
      <w:r w:rsidRPr="004D7D23">
        <w:rPr>
          <w:sz w:val="24"/>
          <w:szCs w:val="24"/>
        </w:rPr>
        <w:t xml:space="preserve"> </w:t>
      </w:r>
      <w:r>
        <w:rPr>
          <w:sz w:val="24"/>
          <w:szCs w:val="24"/>
        </w:rPr>
        <w:t xml:space="preserve">Table </w:t>
      </w:r>
      <w:r w:rsidR="00DF48CD">
        <w:rPr>
          <w:sz w:val="24"/>
          <w:szCs w:val="24"/>
        </w:rPr>
        <w:t>4</w:t>
      </w:r>
      <w:r>
        <w:rPr>
          <w:sz w:val="24"/>
          <w:szCs w:val="24"/>
        </w:rPr>
        <w:t xml:space="preserve"> </w:t>
      </w:r>
      <w:r w:rsidR="00A104F2">
        <w:rPr>
          <w:sz w:val="24"/>
          <w:szCs w:val="24"/>
        </w:rPr>
        <w:t xml:space="preserve">(p.87) </w:t>
      </w:r>
      <w:r>
        <w:rPr>
          <w:sz w:val="24"/>
          <w:szCs w:val="24"/>
        </w:rPr>
        <w:t xml:space="preserve">delineates the purpose and nature of supervision: </w:t>
      </w:r>
    </w:p>
    <w:p w14:paraId="25A8F080" w14:textId="7656D6D2" w:rsidR="002E2ABD" w:rsidRPr="00546B79" w:rsidRDefault="002E2ABD" w:rsidP="00FD465A">
      <w:pPr>
        <w:ind w:left="1440" w:firstLine="720"/>
        <w:rPr>
          <w:i/>
          <w:iCs/>
          <w:sz w:val="24"/>
          <w:szCs w:val="24"/>
        </w:rPr>
      </w:pPr>
      <w:r w:rsidRPr="00546B79">
        <w:rPr>
          <w:i/>
          <w:iCs/>
          <w:sz w:val="24"/>
          <w:szCs w:val="24"/>
        </w:rPr>
        <w:lastRenderedPageBreak/>
        <w:t>Table</w:t>
      </w:r>
      <w:r w:rsidR="00DF48CD">
        <w:rPr>
          <w:i/>
          <w:iCs/>
          <w:sz w:val="24"/>
          <w:szCs w:val="24"/>
        </w:rPr>
        <w:t xml:space="preserve"> 4</w:t>
      </w:r>
      <w:r w:rsidRPr="00546B79">
        <w:rPr>
          <w:i/>
          <w:iCs/>
          <w:sz w:val="24"/>
          <w:szCs w:val="24"/>
        </w:rPr>
        <w:t>: Purpose and nature of supervision</w:t>
      </w:r>
    </w:p>
    <w:tbl>
      <w:tblPr>
        <w:tblStyle w:val="TableGrid"/>
        <w:tblW w:w="9338" w:type="dxa"/>
        <w:tblLook w:val="04A0" w:firstRow="1" w:lastRow="0" w:firstColumn="1" w:lastColumn="0" w:noHBand="0" w:noVBand="1"/>
      </w:tblPr>
      <w:tblGrid>
        <w:gridCol w:w="6232"/>
        <w:gridCol w:w="3106"/>
      </w:tblGrid>
      <w:tr w:rsidR="002E2ABD" w14:paraId="38497645" w14:textId="77777777" w:rsidTr="00C21891">
        <w:trPr>
          <w:trHeight w:val="313"/>
        </w:trPr>
        <w:tc>
          <w:tcPr>
            <w:tcW w:w="6232" w:type="dxa"/>
          </w:tcPr>
          <w:p w14:paraId="5D1F2934" w14:textId="77777777" w:rsidR="002E2ABD" w:rsidRPr="007801A0" w:rsidRDefault="002E2ABD" w:rsidP="00574D08">
            <w:pPr>
              <w:rPr>
                <w:b/>
                <w:bCs/>
                <w:sz w:val="24"/>
                <w:szCs w:val="24"/>
              </w:rPr>
            </w:pPr>
            <w:r w:rsidRPr="007801A0">
              <w:rPr>
                <w:b/>
                <w:bCs/>
                <w:sz w:val="24"/>
                <w:szCs w:val="24"/>
              </w:rPr>
              <w:t>What supervision provides</w:t>
            </w:r>
          </w:p>
        </w:tc>
        <w:tc>
          <w:tcPr>
            <w:tcW w:w="3106" w:type="dxa"/>
          </w:tcPr>
          <w:p w14:paraId="0F7C8D68" w14:textId="77777777" w:rsidR="002E2ABD" w:rsidRPr="007801A0" w:rsidRDefault="002E2ABD" w:rsidP="00574D08">
            <w:pPr>
              <w:rPr>
                <w:b/>
                <w:bCs/>
                <w:sz w:val="24"/>
                <w:szCs w:val="24"/>
              </w:rPr>
            </w:pPr>
            <w:r w:rsidRPr="007801A0">
              <w:rPr>
                <w:b/>
                <w:bCs/>
                <w:sz w:val="24"/>
                <w:szCs w:val="24"/>
              </w:rPr>
              <w:t>The nature of supervision</w:t>
            </w:r>
          </w:p>
        </w:tc>
      </w:tr>
      <w:tr w:rsidR="002E2ABD" w14:paraId="1C7C796A" w14:textId="77777777" w:rsidTr="00C21891">
        <w:trPr>
          <w:trHeight w:val="639"/>
        </w:trPr>
        <w:tc>
          <w:tcPr>
            <w:tcW w:w="6232" w:type="dxa"/>
          </w:tcPr>
          <w:p w14:paraId="754B0456" w14:textId="3493AA02" w:rsidR="002E2ABD" w:rsidRPr="00612CBF" w:rsidRDefault="002E2ABD" w:rsidP="00574D08">
            <w:r w:rsidRPr="00612CBF">
              <w:t>An opportunity for providing emotional management and support</w:t>
            </w:r>
          </w:p>
          <w:p w14:paraId="59F25E30" w14:textId="1A439AD5" w:rsidR="002E2ABD" w:rsidRPr="00612CBF" w:rsidRDefault="002E2ABD" w:rsidP="00574D08">
            <w:r w:rsidRPr="00612CBF">
              <w:t xml:space="preserve">(Rae, </w:t>
            </w:r>
            <w:r w:rsidR="00FB3A6E" w:rsidRPr="00FB3A6E">
              <w:rPr>
                <w:i/>
              </w:rPr>
              <w:t>et al.</w:t>
            </w:r>
            <w:r w:rsidRPr="00612CBF">
              <w:t>, 2017; Steel, 2001; Walter and McKersie, 2020)</w:t>
            </w:r>
          </w:p>
        </w:tc>
        <w:tc>
          <w:tcPr>
            <w:tcW w:w="3106" w:type="dxa"/>
          </w:tcPr>
          <w:p w14:paraId="42143686" w14:textId="77777777" w:rsidR="002E2ABD" w:rsidRPr="00612CBF" w:rsidRDefault="002E2ABD" w:rsidP="00574D08">
            <w:r w:rsidRPr="00612CBF">
              <w:t>Structure, boundary and safety</w:t>
            </w:r>
          </w:p>
        </w:tc>
      </w:tr>
      <w:tr w:rsidR="002E2ABD" w14:paraId="2F7BC2EE" w14:textId="77777777" w:rsidTr="00C21891">
        <w:trPr>
          <w:trHeight w:val="854"/>
        </w:trPr>
        <w:tc>
          <w:tcPr>
            <w:tcW w:w="6232" w:type="dxa"/>
          </w:tcPr>
          <w:p w14:paraId="6E4A9CF7" w14:textId="1D071A96" w:rsidR="002E2ABD" w:rsidRPr="00612CBF" w:rsidRDefault="002E2ABD" w:rsidP="00574D08">
            <w:r w:rsidRPr="00612CBF">
              <w:t>A space to share information, personal concerns, hopes and feelings about experiences</w:t>
            </w:r>
          </w:p>
          <w:p w14:paraId="3F74982E" w14:textId="4DABEBDE" w:rsidR="002E2ABD" w:rsidRPr="00612CBF" w:rsidRDefault="002E2ABD" w:rsidP="00574D08">
            <w:r>
              <w:t>(</w:t>
            </w:r>
            <w:r w:rsidRPr="00612CBF">
              <w:t>Bartl</w:t>
            </w:r>
            <w:r>
              <w:t xml:space="preserve">e, </w:t>
            </w:r>
            <w:r w:rsidRPr="00612CBF">
              <w:t>2023; Scaife, 2019)</w:t>
            </w:r>
          </w:p>
        </w:tc>
        <w:tc>
          <w:tcPr>
            <w:tcW w:w="3106" w:type="dxa"/>
          </w:tcPr>
          <w:p w14:paraId="76FEFEA4" w14:textId="77777777" w:rsidR="002E2ABD" w:rsidRPr="00612CBF" w:rsidRDefault="002E2ABD" w:rsidP="00574D08">
            <w:r w:rsidRPr="00612CBF">
              <w:t>A safe space within which to share openly</w:t>
            </w:r>
          </w:p>
        </w:tc>
      </w:tr>
      <w:tr w:rsidR="002E2ABD" w14:paraId="37089BD7" w14:textId="77777777" w:rsidTr="00C21891">
        <w:trPr>
          <w:trHeight w:val="952"/>
        </w:trPr>
        <w:tc>
          <w:tcPr>
            <w:tcW w:w="6232" w:type="dxa"/>
          </w:tcPr>
          <w:p w14:paraId="1034C9FF" w14:textId="093800BE" w:rsidR="002E2ABD" w:rsidRPr="00612CBF" w:rsidRDefault="002E2ABD" w:rsidP="00574D08">
            <w:r w:rsidRPr="00612CBF">
              <w:t>Supervision provides opportunities for the supervisee to grow and keep growing, to be understood and challenged</w:t>
            </w:r>
            <w:r w:rsidR="004F7039">
              <w:t xml:space="preserve"> </w:t>
            </w:r>
            <w:r w:rsidRPr="00612CBF">
              <w:t>(Ali</w:t>
            </w:r>
            <w:r>
              <w:t>l</w:t>
            </w:r>
            <w:r w:rsidRPr="00612CBF">
              <w:t xml:space="preserve">a </w:t>
            </w:r>
            <w:r w:rsidR="00FB3A6E" w:rsidRPr="00FB3A6E">
              <w:rPr>
                <w:i/>
              </w:rPr>
              <w:t>et al.</w:t>
            </w:r>
            <w:r w:rsidRPr="00612CBF">
              <w:t>, 2015)</w:t>
            </w:r>
          </w:p>
        </w:tc>
        <w:tc>
          <w:tcPr>
            <w:tcW w:w="3106" w:type="dxa"/>
          </w:tcPr>
          <w:p w14:paraId="54360271" w14:textId="77777777" w:rsidR="002E2ABD" w:rsidRPr="00612CBF" w:rsidRDefault="002E2ABD" w:rsidP="00574D08">
            <w:r w:rsidRPr="00612CBF">
              <w:t>Self-actualisation (Maslow, 1943) and growth</w:t>
            </w:r>
          </w:p>
        </w:tc>
      </w:tr>
      <w:tr w:rsidR="002E2ABD" w14:paraId="48A90CB7" w14:textId="77777777" w:rsidTr="00C21891">
        <w:trPr>
          <w:trHeight w:val="1007"/>
        </w:trPr>
        <w:tc>
          <w:tcPr>
            <w:tcW w:w="6232" w:type="dxa"/>
          </w:tcPr>
          <w:p w14:paraId="604F6B6F" w14:textId="59361C47" w:rsidR="002E2ABD" w:rsidRPr="00612CBF" w:rsidRDefault="002E2ABD" w:rsidP="00574D08">
            <w:r>
              <w:t>“</w:t>
            </w:r>
            <w:r w:rsidRPr="00612CBF">
              <w:t>Supervision provides an environment where colleagues are encouraged to collaborate, challenge thinking and redirect misconceptions</w:t>
            </w:r>
            <w:r>
              <w:t>”</w:t>
            </w:r>
          </w:p>
          <w:p w14:paraId="61D9637B" w14:textId="11926D4A" w:rsidR="002E2ABD" w:rsidRPr="00612CBF" w:rsidRDefault="002E2ABD" w:rsidP="00574D08">
            <w:r>
              <w:t xml:space="preserve">(Aslett, 2024, </w:t>
            </w:r>
            <w:r w:rsidRPr="00612CBF">
              <w:t>p.2</w:t>
            </w:r>
            <w:r>
              <w:t>)</w:t>
            </w:r>
          </w:p>
        </w:tc>
        <w:tc>
          <w:tcPr>
            <w:tcW w:w="3106" w:type="dxa"/>
          </w:tcPr>
          <w:p w14:paraId="6BCA3D92" w14:textId="77777777" w:rsidR="002E2ABD" w:rsidRPr="00612CBF" w:rsidRDefault="002E2ABD" w:rsidP="00574D08">
            <w:r w:rsidRPr="00612CBF">
              <w:t>A space to be challenged, process behaviours and actions and to work together</w:t>
            </w:r>
          </w:p>
        </w:tc>
      </w:tr>
      <w:tr w:rsidR="002E2ABD" w14:paraId="06F0607F" w14:textId="77777777" w:rsidTr="00C21891">
        <w:trPr>
          <w:trHeight w:val="1760"/>
        </w:trPr>
        <w:tc>
          <w:tcPr>
            <w:tcW w:w="6232" w:type="dxa"/>
          </w:tcPr>
          <w:p w14:paraId="407303F2" w14:textId="39777D96" w:rsidR="002E2ABD" w:rsidRPr="00612CBF" w:rsidRDefault="002E2ABD" w:rsidP="00574D08">
            <w:r w:rsidRPr="00612CBF">
              <w:t xml:space="preserve">“A forum where supervisees review and reflect on their work in order to do it better. Practitioners bring their actual work practice to another person, or a group and with their help review what happened in the practice in order to learn from that </w:t>
            </w:r>
            <w:r w:rsidR="004F7039" w:rsidRPr="00612CBF">
              <w:t>experience” (</w:t>
            </w:r>
            <w:r w:rsidRPr="00612CBF">
              <w:t>Carroll, 2007, p.36)</w:t>
            </w:r>
          </w:p>
        </w:tc>
        <w:tc>
          <w:tcPr>
            <w:tcW w:w="3106" w:type="dxa"/>
          </w:tcPr>
          <w:p w14:paraId="176B3581" w14:textId="77777777" w:rsidR="002E2ABD" w:rsidRPr="00612CBF" w:rsidRDefault="002E2ABD" w:rsidP="00574D08">
            <w:r w:rsidRPr="00612CBF">
              <w:t>Being held within a boundary and safe space in order to learn and grow</w:t>
            </w:r>
          </w:p>
        </w:tc>
      </w:tr>
      <w:tr w:rsidR="002E2ABD" w14:paraId="768624BE" w14:textId="77777777" w:rsidTr="00C21891">
        <w:trPr>
          <w:trHeight w:val="1278"/>
        </w:trPr>
        <w:tc>
          <w:tcPr>
            <w:tcW w:w="6232" w:type="dxa"/>
          </w:tcPr>
          <w:p w14:paraId="4EB29851" w14:textId="73B3E84D" w:rsidR="002E2ABD" w:rsidRPr="00612CBF" w:rsidRDefault="002E2ABD" w:rsidP="00574D08">
            <w:r w:rsidRPr="00612CBF">
              <w:t xml:space="preserve">Within a supportive structure the supervisee is an active participant and is enabled to explore and express their feelings in relation to </w:t>
            </w:r>
            <w:r>
              <w:t xml:space="preserve">their </w:t>
            </w:r>
            <w:r w:rsidRPr="00612CBF">
              <w:t>work</w:t>
            </w:r>
          </w:p>
          <w:p w14:paraId="348A2D66" w14:textId="3819A4D5" w:rsidR="002E2ABD" w:rsidRPr="00612CBF" w:rsidRDefault="002E2ABD" w:rsidP="00574D08">
            <w:r w:rsidRPr="00612CBF">
              <w:t>(Davys and Beddoe, 2010)</w:t>
            </w:r>
          </w:p>
        </w:tc>
        <w:tc>
          <w:tcPr>
            <w:tcW w:w="3106" w:type="dxa"/>
          </w:tcPr>
          <w:p w14:paraId="33FC70F5" w14:textId="77777777" w:rsidR="002E2ABD" w:rsidRPr="00612CBF" w:rsidRDefault="002E2ABD" w:rsidP="00574D08">
            <w:r w:rsidRPr="00612CBF">
              <w:t>Safe, exploratory space and psychological safety</w:t>
            </w:r>
          </w:p>
        </w:tc>
      </w:tr>
      <w:tr w:rsidR="002E2ABD" w14:paraId="67B1158F" w14:textId="77777777" w:rsidTr="00C21891">
        <w:trPr>
          <w:trHeight w:val="313"/>
        </w:trPr>
        <w:tc>
          <w:tcPr>
            <w:tcW w:w="6232" w:type="dxa"/>
          </w:tcPr>
          <w:p w14:paraId="133C80A4" w14:textId="724BB35D" w:rsidR="002E2ABD" w:rsidRPr="00E71E75" w:rsidRDefault="002E2ABD" w:rsidP="00E71E75">
            <w:r w:rsidRPr="00E71E75">
              <w:t>Supervision fosters the development and management of best practice, and “provides a space to discuss and manage the emotional and psychological effects of the work” (Reid and Soan, 2019, p.3)</w:t>
            </w:r>
          </w:p>
          <w:p w14:paraId="131FD18C" w14:textId="77777777" w:rsidR="002E2ABD" w:rsidRDefault="002E2ABD" w:rsidP="00574D08">
            <w:pPr>
              <w:rPr>
                <w:sz w:val="24"/>
                <w:szCs w:val="24"/>
              </w:rPr>
            </w:pPr>
          </w:p>
        </w:tc>
        <w:tc>
          <w:tcPr>
            <w:tcW w:w="3106" w:type="dxa"/>
          </w:tcPr>
          <w:p w14:paraId="46B6A3A7" w14:textId="77777777" w:rsidR="002E2ABD" w:rsidRPr="00230189" w:rsidRDefault="002E2ABD" w:rsidP="00574D08">
            <w:r w:rsidRPr="00230189">
              <w:t>Psychological safety</w:t>
            </w:r>
            <w:r>
              <w:t>. Professional development. Safe space.</w:t>
            </w:r>
          </w:p>
        </w:tc>
      </w:tr>
    </w:tbl>
    <w:p w14:paraId="628FADCC" w14:textId="77777777" w:rsidR="00F173D1" w:rsidRDefault="00F173D1" w:rsidP="00927EAA">
      <w:pPr>
        <w:spacing w:line="360" w:lineRule="auto"/>
        <w:rPr>
          <w:sz w:val="24"/>
          <w:szCs w:val="24"/>
        </w:rPr>
      </w:pPr>
    </w:p>
    <w:p w14:paraId="1DB8A8C0" w14:textId="277B6F1F" w:rsidR="00B77D98" w:rsidRPr="00885347" w:rsidRDefault="002E2ABD" w:rsidP="00927EAA">
      <w:pPr>
        <w:spacing w:line="360" w:lineRule="auto"/>
        <w:rPr>
          <w:sz w:val="24"/>
          <w:szCs w:val="24"/>
        </w:rPr>
      </w:pPr>
      <w:r>
        <w:rPr>
          <w:sz w:val="24"/>
          <w:szCs w:val="24"/>
        </w:rPr>
        <w:t xml:space="preserve">What is being captured in these definitions is reflection is held contractually within boundaries of a structured and contained supervisory space which aims to improve outcomes (Borders </w:t>
      </w:r>
      <w:r w:rsidR="00FB3A6E" w:rsidRPr="00FB3A6E">
        <w:rPr>
          <w:i/>
          <w:sz w:val="24"/>
          <w:szCs w:val="24"/>
        </w:rPr>
        <w:t>et al.</w:t>
      </w:r>
      <w:r>
        <w:rPr>
          <w:sz w:val="24"/>
          <w:szCs w:val="24"/>
        </w:rPr>
        <w:t>, 2014) and enable reflectors to safely explore their thoughts</w:t>
      </w:r>
      <w:r w:rsidR="006D3626">
        <w:rPr>
          <w:sz w:val="24"/>
          <w:szCs w:val="24"/>
        </w:rPr>
        <w:t xml:space="preserve"> </w:t>
      </w:r>
      <w:r>
        <w:rPr>
          <w:sz w:val="24"/>
          <w:szCs w:val="24"/>
        </w:rPr>
        <w:t>and feelings. Reflective practice, already identified as messy, complicated, diverse and unclear requires holding</w:t>
      </w:r>
      <w:r w:rsidR="00513DF2">
        <w:rPr>
          <w:sz w:val="24"/>
          <w:szCs w:val="24"/>
        </w:rPr>
        <w:t xml:space="preserve"> (Winnicott, 1965)</w:t>
      </w:r>
      <w:r w:rsidR="00105067">
        <w:rPr>
          <w:sz w:val="24"/>
          <w:szCs w:val="24"/>
        </w:rPr>
        <w:t xml:space="preserve">, </w:t>
      </w:r>
      <w:r>
        <w:rPr>
          <w:sz w:val="24"/>
          <w:szCs w:val="24"/>
        </w:rPr>
        <w:t xml:space="preserve">and supervision provides that holding. I shall now explore </w:t>
      </w:r>
      <w:r w:rsidRPr="00853852">
        <w:rPr>
          <w:sz w:val="24"/>
          <w:szCs w:val="24"/>
        </w:rPr>
        <w:t xml:space="preserve">examples </w:t>
      </w:r>
      <w:r>
        <w:rPr>
          <w:sz w:val="24"/>
          <w:szCs w:val="24"/>
        </w:rPr>
        <w:t xml:space="preserve">from the </w:t>
      </w:r>
      <w:r w:rsidRPr="00853852">
        <w:rPr>
          <w:sz w:val="24"/>
          <w:szCs w:val="24"/>
        </w:rPr>
        <w:t>caring professio</w:t>
      </w:r>
      <w:r>
        <w:rPr>
          <w:sz w:val="24"/>
          <w:szCs w:val="24"/>
        </w:rPr>
        <w:t xml:space="preserve">n </w:t>
      </w:r>
      <w:r w:rsidRPr="00853852">
        <w:rPr>
          <w:sz w:val="24"/>
          <w:szCs w:val="24"/>
        </w:rPr>
        <w:t>where supervision is embedded</w:t>
      </w:r>
      <w:r>
        <w:rPr>
          <w:sz w:val="24"/>
          <w:szCs w:val="24"/>
        </w:rPr>
        <w:t xml:space="preserve"> as a holding mechanism for the reflective process.</w:t>
      </w:r>
    </w:p>
    <w:p w14:paraId="12F52E64" w14:textId="77777777" w:rsidR="001118C7" w:rsidRDefault="001118C7" w:rsidP="00927EAA">
      <w:pPr>
        <w:spacing w:line="360" w:lineRule="auto"/>
        <w:rPr>
          <w:b/>
          <w:bCs/>
          <w:sz w:val="24"/>
          <w:szCs w:val="24"/>
        </w:rPr>
      </w:pPr>
    </w:p>
    <w:p w14:paraId="4A1565B4" w14:textId="77777777" w:rsidR="001118C7" w:rsidRDefault="001118C7" w:rsidP="00927EAA">
      <w:pPr>
        <w:spacing w:line="360" w:lineRule="auto"/>
        <w:rPr>
          <w:b/>
          <w:bCs/>
          <w:sz w:val="24"/>
          <w:szCs w:val="24"/>
        </w:rPr>
      </w:pPr>
    </w:p>
    <w:p w14:paraId="59661BDE" w14:textId="630175E9" w:rsidR="002E2ABD" w:rsidRPr="00D5093C" w:rsidRDefault="002E2ABD" w:rsidP="00927EAA">
      <w:pPr>
        <w:spacing w:line="360" w:lineRule="auto"/>
        <w:rPr>
          <w:sz w:val="24"/>
          <w:szCs w:val="24"/>
        </w:rPr>
      </w:pPr>
      <w:r w:rsidRPr="00DD7CB8">
        <w:rPr>
          <w:b/>
          <w:bCs/>
          <w:sz w:val="24"/>
          <w:szCs w:val="24"/>
        </w:rPr>
        <w:lastRenderedPageBreak/>
        <w:t>Clinical Supervision</w:t>
      </w:r>
    </w:p>
    <w:p w14:paraId="3D47EE3D" w14:textId="3DD25E25" w:rsidR="002E2ABD" w:rsidRDefault="002E2ABD" w:rsidP="00C92F3B">
      <w:pPr>
        <w:spacing w:line="360" w:lineRule="auto"/>
        <w:rPr>
          <w:sz w:val="24"/>
          <w:szCs w:val="24"/>
        </w:rPr>
      </w:pPr>
      <w:r>
        <w:rPr>
          <w:sz w:val="24"/>
          <w:szCs w:val="24"/>
        </w:rPr>
        <w:t>In the caring professions i</w:t>
      </w:r>
      <w:r w:rsidRPr="00A01C8A">
        <w:rPr>
          <w:sz w:val="24"/>
          <w:szCs w:val="24"/>
        </w:rPr>
        <w:t xml:space="preserve">t is acknowledged that the provision of compassionate and effective patient care depends on the health and well-being of the professionals delivering it (West </w:t>
      </w:r>
      <w:r w:rsidR="00FB3A6E" w:rsidRPr="00FB3A6E">
        <w:rPr>
          <w:i/>
          <w:sz w:val="24"/>
          <w:szCs w:val="24"/>
        </w:rPr>
        <w:t>et al.</w:t>
      </w:r>
      <w:r w:rsidRPr="00A01C8A">
        <w:rPr>
          <w:sz w:val="24"/>
          <w:szCs w:val="24"/>
        </w:rPr>
        <w:t xml:space="preserve">, 2020). </w:t>
      </w:r>
      <w:r>
        <w:rPr>
          <w:sz w:val="24"/>
          <w:szCs w:val="24"/>
        </w:rPr>
        <w:t>T</w:t>
      </w:r>
      <w:r w:rsidRPr="00DC2504">
        <w:rPr>
          <w:sz w:val="24"/>
          <w:szCs w:val="24"/>
        </w:rPr>
        <w:t xml:space="preserve">he Health and Care Professions Council (HCPC, </w:t>
      </w:r>
      <w:r>
        <w:rPr>
          <w:sz w:val="24"/>
          <w:szCs w:val="24"/>
        </w:rPr>
        <w:t xml:space="preserve">2006; </w:t>
      </w:r>
      <w:r w:rsidRPr="00DC2504">
        <w:rPr>
          <w:sz w:val="24"/>
          <w:szCs w:val="24"/>
        </w:rPr>
        <w:t xml:space="preserve">2024) recognises the importance of </w:t>
      </w:r>
      <w:r>
        <w:rPr>
          <w:sz w:val="24"/>
          <w:szCs w:val="24"/>
        </w:rPr>
        <w:t xml:space="preserve">staff </w:t>
      </w:r>
      <w:r w:rsidRPr="00DC2504">
        <w:rPr>
          <w:sz w:val="24"/>
          <w:szCs w:val="24"/>
        </w:rPr>
        <w:t>emotional well-being and recommends clinical supervision to help build professional resilience and combat stress.</w:t>
      </w:r>
      <w:r w:rsidRPr="00C92F3B">
        <w:rPr>
          <w:sz w:val="24"/>
          <w:szCs w:val="24"/>
        </w:rPr>
        <w:t xml:space="preserve"> </w:t>
      </w:r>
      <w:r w:rsidRPr="00C12BE3">
        <w:rPr>
          <w:sz w:val="24"/>
          <w:szCs w:val="24"/>
        </w:rPr>
        <w:t>Supervision is viewed as a career-long practice demonstrating not only scrutiny of practice but accountability to the profession and allied stakeholders (Beddoe, 2020; O’Neill, 2002). Supervision provides a space for a practitioner to draw upon support from a supervisor in a joint endeavour to attend to relational, emotional and operational dynamics inherent in their work (</w:t>
      </w:r>
      <w:bookmarkStart w:id="43" w:name="_Hlk214695209"/>
      <w:r w:rsidRPr="00C12BE3">
        <w:rPr>
          <w:sz w:val="24"/>
          <w:szCs w:val="24"/>
        </w:rPr>
        <w:t>Hawkins and Shohet, 2000; 2006; 2012</w:t>
      </w:r>
      <w:bookmarkEnd w:id="43"/>
      <w:r w:rsidRPr="00C12BE3">
        <w:rPr>
          <w:sz w:val="24"/>
          <w:szCs w:val="24"/>
        </w:rPr>
        <w:t>).</w:t>
      </w:r>
      <w:r w:rsidRPr="007825B9">
        <w:rPr>
          <w:sz w:val="24"/>
          <w:szCs w:val="24"/>
        </w:rPr>
        <w:t xml:space="preserve"> </w:t>
      </w:r>
      <w:r>
        <w:rPr>
          <w:sz w:val="24"/>
          <w:szCs w:val="24"/>
        </w:rPr>
        <w:t>For example, i</w:t>
      </w:r>
      <w:r w:rsidRPr="007825B9">
        <w:rPr>
          <w:sz w:val="24"/>
          <w:szCs w:val="24"/>
        </w:rPr>
        <w:t xml:space="preserve">n the healthcare system in recognition of increasingly diverse demands of patient care (NHS England, 2019; 2020; West </w:t>
      </w:r>
      <w:r w:rsidR="00FB3A6E" w:rsidRPr="00FB3A6E">
        <w:rPr>
          <w:i/>
          <w:sz w:val="24"/>
          <w:szCs w:val="24"/>
        </w:rPr>
        <w:t>et al.</w:t>
      </w:r>
      <w:r w:rsidRPr="007825B9">
        <w:rPr>
          <w:sz w:val="24"/>
          <w:szCs w:val="24"/>
        </w:rPr>
        <w:t xml:space="preserve">, 2020) </w:t>
      </w:r>
      <w:r>
        <w:rPr>
          <w:sz w:val="24"/>
          <w:szCs w:val="24"/>
        </w:rPr>
        <w:t xml:space="preserve">and the need to promote </w:t>
      </w:r>
      <w:r w:rsidRPr="00EC68C5">
        <w:rPr>
          <w:sz w:val="24"/>
          <w:szCs w:val="24"/>
        </w:rPr>
        <w:t xml:space="preserve">cultures where </w:t>
      </w:r>
      <w:r>
        <w:rPr>
          <w:sz w:val="24"/>
          <w:szCs w:val="24"/>
        </w:rPr>
        <w:t>practitioners</w:t>
      </w:r>
      <w:r w:rsidRPr="00EC68C5">
        <w:rPr>
          <w:sz w:val="24"/>
          <w:szCs w:val="24"/>
        </w:rPr>
        <w:t xml:space="preserve"> feel safe, valued, and heard (Dixon-Woods, </w:t>
      </w:r>
      <w:r w:rsidR="00FB3A6E" w:rsidRPr="00FB3A6E">
        <w:rPr>
          <w:i/>
          <w:sz w:val="24"/>
          <w:szCs w:val="24"/>
        </w:rPr>
        <w:t>et al.</w:t>
      </w:r>
      <w:r w:rsidRPr="00EC68C5">
        <w:rPr>
          <w:sz w:val="24"/>
          <w:szCs w:val="24"/>
        </w:rPr>
        <w:t>,</w:t>
      </w:r>
      <w:r w:rsidRPr="00EC68C5">
        <w:rPr>
          <w:i/>
          <w:iCs/>
          <w:sz w:val="24"/>
          <w:szCs w:val="24"/>
        </w:rPr>
        <w:t xml:space="preserve"> </w:t>
      </w:r>
      <w:r w:rsidRPr="00EC68C5">
        <w:rPr>
          <w:sz w:val="24"/>
          <w:szCs w:val="24"/>
        </w:rPr>
        <w:t xml:space="preserve">2014; Kinman </w:t>
      </w:r>
      <w:r w:rsidR="00FB3A6E" w:rsidRPr="00FB3A6E">
        <w:rPr>
          <w:i/>
          <w:sz w:val="24"/>
          <w:szCs w:val="24"/>
        </w:rPr>
        <w:t>et al.</w:t>
      </w:r>
      <w:r w:rsidRPr="00EC68C5">
        <w:rPr>
          <w:sz w:val="24"/>
          <w:szCs w:val="24"/>
        </w:rPr>
        <w:t>, 2020)</w:t>
      </w:r>
      <w:r w:rsidR="005808F2">
        <w:rPr>
          <w:sz w:val="24"/>
          <w:szCs w:val="24"/>
        </w:rPr>
        <w:t>,</w:t>
      </w:r>
      <w:r w:rsidRPr="00EC68C5">
        <w:rPr>
          <w:sz w:val="24"/>
          <w:szCs w:val="24"/>
        </w:rPr>
        <w:t xml:space="preserve"> </w:t>
      </w:r>
      <w:r w:rsidRPr="007825B9">
        <w:rPr>
          <w:sz w:val="24"/>
          <w:szCs w:val="24"/>
        </w:rPr>
        <w:t xml:space="preserve">supervision is acknowledged as a support mechanism for nurses. </w:t>
      </w:r>
      <w:r>
        <w:rPr>
          <w:sz w:val="24"/>
          <w:szCs w:val="24"/>
        </w:rPr>
        <w:t xml:space="preserve">Through the mechanism of </w:t>
      </w:r>
      <w:r w:rsidR="0087667B">
        <w:rPr>
          <w:sz w:val="24"/>
          <w:szCs w:val="24"/>
        </w:rPr>
        <w:t>supervision,</w:t>
      </w:r>
      <w:r w:rsidR="00F77AAB">
        <w:rPr>
          <w:sz w:val="24"/>
          <w:szCs w:val="24"/>
        </w:rPr>
        <w:t xml:space="preserve"> </w:t>
      </w:r>
      <w:r>
        <w:rPr>
          <w:sz w:val="24"/>
          <w:szCs w:val="24"/>
        </w:rPr>
        <w:t>t</w:t>
      </w:r>
      <w:r w:rsidRPr="00C12BE3">
        <w:rPr>
          <w:sz w:val="24"/>
          <w:szCs w:val="24"/>
        </w:rPr>
        <w:t>he quality of the practitioner’s work is improved, relationships with service users are transformed and the practitioner enhances their practice and the wider profession (</w:t>
      </w:r>
      <w:r w:rsidRPr="00B850DA">
        <w:rPr>
          <w:sz w:val="24"/>
          <w:szCs w:val="24"/>
        </w:rPr>
        <w:t>Hawkins and Shohet, 2000; 2006; 201</w:t>
      </w:r>
      <w:r w:rsidR="0094108D">
        <w:rPr>
          <w:sz w:val="24"/>
          <w:szCs w:val="24"/>
        </w:rPr>
        <w:t>2</w:t>
      </w:r>
      <w:r w:rsidRPr="00C12BE3">
        <w:rPr>
          <w:sz w:val="24"/>
          <w:szCs w:val="24"/>
        </w:rPr>
        <w:t>).</w:t>
      </w:r>
    </w:p>
    <w:p w14:paraId="0B8B64CB" w14:textId="502E936F" w:rsidR="002E2ABD" w:rsidRDefault="002E2ABD" w:rsidP="00927EAA">
      <w:pPr>
        <w:spacing w:line="360" w:lineRule="auto"/>
        <w:rPr>
          <w:sz w:val="24"/>
          <w:szCs w:val="24"/>
        </w:rPr>
      </w:pPr>
      <w:r w:rsidRPr="00F53BA8">
        <w:rPr>
          <w:sz w:val="24"/>
          <w:szCs w:val="24"/>
        </w:rPr>
        <w:t>According to the Care Quality Commission (CQC</w:t>
      </w:r>
      <w:r>
        <w:rPr>
          <w:sz w:val="24"/>
          <w:szCs w:val="24"/>
        </w:rPr>
        <w:t>, 2013; 2013a</w:t>
      </w:r>
      <w:r w:rsidRPr="00F53BA8">
        <w:rPr>
          <w:sz w:val="24"/>
          <w:szCs w:val="24"/>
        </w:rPr>
        <w:t>) clinical supervision enables practitioners to develop their skills, knowledge</w:t>
      </w:r>
      <w:r w:rsidR="008840CF">
        <w:rPr>
          <w:sz w:val="24"/>
          <w:szCs w:val="24"/>
        </w:rPr>
        <w:t xml:space="preserve"> </w:t>
      </w:r>
      <w:r w:rsidRPr="00F53BA8">
        <w:rPr>
          <w:sz w:val="24"/>
          <w:szCs w:val="24"/>
        </w:rPr>
        <w:t>and competenc</w:t>
      </w:r>
      <w:r>
        <w:rPr>
          <w:sz w:val="24"/>
          <w:szCs w:val="24"/>
        </w:rPr>
        <w:t xml:space="preserve">e, </w:t>
      </w:r>
      <w:r w:rsidRPr="001D6B7E">
        <w:rPr>
          <w:sz w:val="24"/>
          <w:szCs w:val="24"/>
        </w:rPr>
        <w:t xml:space="preserve">reflect on practice, learn from experience </w:t>
      </w:r>
      <w:r>
        <w:rPr>
          <w:sz w:val="24"/>
          <w:szCs w:val="24"/>
        </w:rPr>
        <w:t xml:space="preserve">and </w:t>
      </w:r>
      <w:r w:rsidRPr="001D6B7E">
        <w:rPr>
          <w:sz w:val="24"/>
          <w:szCs w:val="24"/>
        </w:rPr>
        <w:t>develop resilience from challenges faced in the workplace (</w:t>
      </w:r>
      <w:r w:rsidR="001C2F8A" w:rsidRPr="001C2F8A">
        <w:rPr>
          <w:sz w:val="24"/>
          <w:szCs w:val="24"/>
        </w:rPr>
        <w:t xml:space="preserve">Alila </w:t>
      </w:r>
      <w:r w:rsidR="00FB3A6E" w:rsidRPr="00FB3A6E">
        <w:rPr>
          <w:i/>
          <w:sz w:val="24"/>
          <w:szCs w:val="24"/>
        </w:rPr>
        <w:t>et al.</w:t>
      </w:r>
      <w:r w:rsidR="001C2F8A" w:rsidRPr="001C2F8A">
        <w:rPr>
          <w:sz w:val="24"/>
          <w:szCs w:val="24"/>
        </w:rPr>
        <w:t>, 2016</w:t>
      </w:r>
      <w:r w:rsidR="001C2F8A">
        <w:rPr>
          <w:sz w:val="24"/>
          <w:szCs w:val="24"/>
        </w:rPr>
        <w:t xml:space="preserve">; </w:t>
      </w:r>
      <w:r w:rsidRPr="001D6B7E">
        <w:rPr>
          <w:sz w:val="24"/>
          <w:szCs w:val="24"/>
        </w:rPr>
        <w:t>Hawkins and Shohet, 2012)</w:t>
      </w:r>
      <w:r>
        <w:rPr>
          <w:sz w:val="24"/>
          <w:szCs w:val="24"/>
        </w:rPr>
        <w:t xml:space="preserve">. </w:t>
      </w:r>
      <w:bookmarkStart w:id="44" w:name="_Hlk147715460"/>
      <w:r>
        <w:rPr>
          <w:sz w:val="24"/>
          <w:szCs w:val="24"/>
        </w:rPr>
        <w:t xml:space="preserve">It </w:t>
      </w:r>
      <w:r w:rsidRPr="001D6B7E">
        <w:rPr>
          <w:sz w:val="24"/>
          <w:szCs w:val="24"/>
        </w:rPr>
        <w:t xml:space="preserve">is solution focussed and in service of the work, </w:t>
      </w:r>
      <w:r>
        <w:rPr>
          <w:sz w:val="24"/>
          <w:szCs w:val="24"/>
        </w:rPr>
        <w:t>practitioner</w:t>
      </w:r>
      <w:r w:rsidRPr="001D6B7E">
        <w:rPr>
          <w:sz w:val="24"/>
          <w:szCs w:val="24"/>
        </w:rPr>
        <w:t xml:space="preserve"> and </w:t>
      </w:r>
      <w:r>
        <w:rPr>
          <w:sz w:val="24"/>
          <w:szCs w:val="24"/>
        </w:rPr>
        <w:t>service user</w:t>
      </w:r>
      <w:r w:rsidRPr="001D6B7E">
        <w:rPr>
          <w:sz w:val="24"/>
          <w:szCs w:val="24"/>
        </w:rPr>
        <w:t xml:space="preserve">. </w:t>
      </w:r>
      <w:r>
        <w:rPr>
          <w:sz w:val="24"/>
          <w:szCs w:val="24"/>
        </w:rPr>
        <w:t xml:space="preserve">It </w:t>
      </w:r>
      <w:r w:rsidRPr="001D6B7E">
        <w:rPr>
          <w:sz w:val="24"/>
          <w:szCs w:val="24"/>
        </w:rPr>
        <w:t>also has a component of critical reflection</w:t>
      </w:r>
      <w:r>
        <w:rPr>
          <w:sz w:val="24"/>
          <w:szCs w:val="24"/>
        </w:rPr>
        <w:t xml:space="preserve"> and </w:t>
      </w:r>
      <w:r w:rsidRPr="001D6B7E">
        <w:rPr>
          <w:sz w:val="24"/>
          <w:szCs w:val="24"/>
        </w:rPr>
        <w:t xml:space="preserve">digs deep into </w:t>
      </w:r>
      <w:r>
        <w:rPr>
          <w:sz w:val="24"/>
          <w:szCs w:val="24"/>
        </w:rPr>
        <w:t xml:space="preserve">practice </w:t>
      </w:r>
      <w:r w:rsidRPr="001D6B7E">
        <w:rPr>
          <w:sz w:val="24"/>
          <w:szCs w:val="24"/>
        </w:rPr>
        <w:t>stories to expose inequities, focuses on the self-examination of the practitioner and involves critical thinking and decision making.</w:t>
      </w:r>
      <w:r>
        <w:rPr>
          <w:sz w:val="24"/>
          <w:szCs w:val="24"/>
        </w:rPr>
        <w:t xml:space="preserve"> The function of supervision is to hold the practitioner</w:t>
      </w:r>
      <w:r w:rsidR="00CC4A06">
        <w:rPr>
          <w:sz w:val="24"/>
          <w:szCs w:val="24"/>
        </w:rPr>
        <w:t xml:space="preserve"> and </w:t>
      </w:r>
      <w:r>
        <w:rPr>
          <w:sz w:val="24"/>
          <w:szCs w:val="24"/>
        </w:rPr>
        <w:t xml:space="preserve">provide guidance and </w:t>
      </w:r>
      <w:r w:rsidR="00622865">
        <w:rPr>
          <w:sz w:val="24"/>
          <w:szCs w:val="24"/>
        </w:rPr>
        <w:t>support</w:t>
      </w:r>
      <w:r>
        <w:rPr>
          <w:sz w:val="24"/>
          <w:szCs w:val="24"/>
        </w:rPr>
        <w:t>.</w:t>
      </w:r>
      <w:r w:rsidRPr="001D6B7E">
        <w:rPr>
          <w:sz w:val="24"/>
          <w:szCs w:val="24"/>
        </w:rPr>
        <w:t xml:space="preserve"> </w:t>
      </w:r>
    </w:p>
    <w:bookmarkEnd w:id="44"/>
    <w:p w14:paraId="1B12AAA8" w14:textId="35CE69BE" w:rsidR="003905E8" w:rsidRDefault="002E2ABD" w:rsidP="00927EAA">
      <w:pPr>
        <w:spacing w:line="360" w:lineRule="auto"/>
        <w:rPr>
          <w:sz w:val="24"/>
          <w:szCs w:val="24"/>
        </w:rPr>
      </w:pPr>
      <w:r w:rsidRPr="0018454D">
        <w:rPr>
          <w:sz w:val="24"/>
          <w:szCs w:val="24"/>
        </w:rPr>
        <w:t>Beyond healthcare, clinical supervision is employed in allied healthcare professions such as dentistry, social work, the probation service and therapeutic professions.</w:t>
      </w:r>
      <w:r>
        <w:rPr>
          <w:color w:val="C00000"/>
          <w:sz w:val="24"/>
          <w:szCs w:val="24"/>
        </w:rPr>
        <w:t xml:space="preserve"> </w:t>
      </w:r>
      <w:r>
        <w:rPr>
          <w:sz w:val="24"/>
          <w:szCs w:val="24"/>
        </w:rPr>
        <w:t xml:space="preserve">An example from the allied healthcare field demonstrates how supervision can provide restorative support for staff. </w:t>
      </w:r>
      <w:r w:rsidRPr="001D6B7E">
        <w:rPr>
          <w:sz w:val="24"/>
          <w:szCs w:val="24"/>
        </w:rPr>
        <w:t xml:space="preserve">Carr and White (2023) conducted qualitative research into </w:t>
      </w:r>
      <w:r>
        <w:rPr>
          <w:sz w:val="24"/>
          <w:szCs w:val="24"/>
        </w:rPr>
        <w:t xml:space="preserve">sonographer </w:t>
      </w:r>
      <w:r w:rsidRPr="001D6B7E">
        <w:rPr>
          <w:sz w:val="24"/>
          <w:szCs w:val="24"/>
        </w:rPr>
        <w:t xml:space="preserve">colleagues’ experience of </w:t>
      </w:r>
      <w:r>
        <w:rPr>
          <w:sz w:val="24"/>
          <w:szCs w:val="24"/>
        </w:rPr>
        <w:t xml:space="preserve">clinical </w:t>
      </w:r>
      <w:r w:rsidRPr="001D6B7E">
        <w:rPr>
          <w:sz w:val="24"/>
          <w:szCs w:val="24"/>
        </w:rPr>
        <w:t xml:space="preserve">supervision. </w:t>
      </w:r>
      <w:r>
        <w:rPr>
          <w:sz w:val="24"/>
          <w:szCs w:val="24"/>
        </w:rPr>
        <w:t>T</w:t>
      </w:r>
      <w:r w:rsidRPr="001D6B7E">
        <w:rPr>
          <w:sz w:val="24"/>
          <w:szCs w:val="24"/>
        </w:rPr>
        <w:t>he authors utilised the A-EQUIP (</w:t>
      </w:r>
      <w:r>
        <w:rPr>
          <w:sz w:val="24"/>
          <w:szCs w:val="24"/>
        </w:rPr>
        <w:t>A</w:t>
      </w:r>
      <w:r w:rsidRPr="001D6B7E">
        <w:rPr>
          <w:sz w:val="24"/>
          <w:szCs w:val="24"/>
        </w:rPr>
        <w:t xml:space="preserve">dvocating and </w:t>
      </w:r>
      <w:r>
        <w:rPr>
          <w:sz w:val="24"/>
          <w:szCs w:val="24"/>
        </w:rPr>
        <w:lastRenderedPageBreak/>
        <w:t>E</w:t>
      </w:r>
      <w:r w:rsidRPr="001D6B7E">
        <w:rPr>
          <w:sz w:val="24"/>
          <w:szCs w:val="24"/>
        </w:rPr>
        <w:t xml:space="preserve">ducating for </w:t>
      </w:r>
      <w:r>
        <w:rPr>
          <w:sz w:val="24"/>
          <w:szCs w:val="24"/>
        </w:rPr>
        <w:t>Q</w:t>
      </w:r>
      <w:r w:rsidRPr="001D6B7E">
        <w:rPr>
          <w:sz w:val="24"/>
          <w:szCs w:val="24"/>
        </w:rPr>
        <w:t xml:space="preserve">uality </w:t>
      </w:r>
      <w:r>
        <w:rPr>
          <w:sz w:val="24"/>
          <w:szCs w:val="24"/>
        </w:rPr>
        <w:t>I</w:t>
      </w:r>
      <w:r w:rsidRPr="001D6B7E">
        <w:rPr>
          <w:sz w:val="24"/>
          <w:szCs w:val="24"/>
        </w:rPr>
        <w:t>mprovement</w:t>
      </w:r>
      <w:r>
        <w:rPr>
          <w:sz w:val="24"/>
          <w:szCs w:val="24"/>
        </w:rPr>
        <w:t>)</w:t>
      </w:r>
      <w:r w:rsidRPr="001D6B7E">
        <w:rPr>
          <w:sz w:val="24"/>
          <w:szCs w:val="24"/>
        </w:rPr>
        <w:t xml:space="preserve"> model of supervision (NHS England, 2017) based on the Proctor (1986) model used extensively in healthcare (Ross, 2019)</w:t>
      </w:r>
      <w:r>
        <w:rPr>
          <w:sz w:val="24"/>
          <w:szCs w:val="24"/>
        </w:rPr>
        <w:t>. The Proctor model (1986) c</w:t>
      </w:r>
      <w:r w:rsidRPr="001D6B7E">
        <w:rPr>
          <w:sz w:val="24"/>
          <w:szCs w:val="24"/>
        </w:rPr>
        <w:t>ompris</w:t>
      </w:r>
      <w:r>
        <w:rPr>
          <w:sz w:val="24"/>
          <w:szCs w:val="24"/>
        </w:rPr>
        <w:t>es</w:t>
      </w:r>
      <w:r w:rsidRPr="001D6B7E">
        <w:rPr>
          <w:sz w:val="24"/>
          <w:szCs w:val="24"/>
        </w:rPr>
        <w:t xml:space="preserve"> formative (educational), normative (quality) and restorative (supporting emotional well-being) functions</w:t>
      </w:r>
      <w:r>
        <w:rPr>
          <w:sz w:val="24"/>
          <w:szCs w:val="24"/>
        </w:rPr>
        <w:t xml:space="preserve">. </w:t>
      </w:r>
      <w:r w:rsidRPr="001D6B7E">
        <w:rPr>
          <w:sz w:val="24"/>
          <w:szCs w:val="24"/>
        </w:rPr>
        <w:t xml:space="preserve">Although a small-scale study </w:t>
      </w:r>
      <w:r>
        <w:rPr>
          <w:sz w:val="24"/>
          <w:szCs w:val="24"/>
        </w:rPr>
        <w:t xml:space="preserve">using </w:t>
      </w:r>
      <w:r w:rsidRPr="001D6B7E">
        <w:rPr>
          <w:sz w:val="24"/>
          <w:szCs w:val="24"/>
        </w:rPr>
        <w:t xml:space="preserve">an online survey with 32 sonographers, some 50% of sonographers reported </w:t>
      </w:r>
      <w:r w:rsidR="005544D1">
        <w:rPr>
          <w:sz w:val="24"/>
          <w:szCs w:val="24"/>
        </w:rPr>
        <w:t xml:space="preserve">generically feeling </w:t>
      </w:r>
      <w:r w:rsidRPr="001D6B7E">
        <w:rPr>
          <w:sz w:val="24"/>
          <w:szCs w:val="24"/>
        </w:rPr>
        <w:t xml:space="preserve">unsupported in their working practices and identified restorative supervision as emotional support. </w:t>
      </w:r>
    </w:p>
    <w:p w14:paraId="7DA66FEC" w14:textId="635C252F" w:rsidR="002E2ABD" w:rsidRPr="00CE1CFA" w:rsidRDefault="002E2ABD" w:rsidP="00927EAA">
      <w:pPr>
        <w:spacing w:line="360" w:lineRule="auto"/>
        <w:rPr>
          <w:color w:val="C00000"/>
          <w:sz w:val="24"/>
          <w:szCs w:val="24"/>
        </w:rPr>
      </w:pPr>
      <w:r w:rsidRPr="001D6B7E">
        <w:rPr>
          <w:sz w:val="24"/>
          <w:szCs w:val="24"/>
        </w:rPr>
        <w:t>Wallbank and Wonnacott (2015) propose</w:t>
      </w:r>
      <w:r>
        <w:rPr>
          <w:sz w:val="24"/>
          <w:szCs w:val="24"/>
        </w:rPr>
        <w:t>d</w:t>
      </w:r>
      <w:r w:rsidRPr="001D6B7E">
        <w:rPr>
          <w:sz w:val="24"/>
          <w:szCs w:val="24"/>
        </w:rPr>
        <w:t xml:space="preserve"> </w:t>
      </w:r>
      <w:r>
        <w:rPr>
          <w:sz w:val="24"/>
          <w:szCs w:val="24"/>
        </w:rPr>
        <w:t>an</w:t>
      </w:r>
      <w:r w:rsidRPr="001D6B7E">
        <w:rPr>
          <w:sz w:val="24"/>
          <w:szCs w:val="24"/>
        </w:rPr>
        <w:t xml:space="preserve"> integrated restorative model to underpin effective safeguarding supervision in health settings based on restorative supervision</w:t>
      </w:r>
      <w:r w:rsidR="00176851">
        <w:rPr>
          <w:sz w:val="24"/>
          <w:szCs w:val="24"/>
        </w:rPr>
        <w:t xml:space="preserve"> </w:t>
      </w:r>
      <w:r>
        <w:rPr>
          <w:sz w:val="24"/>
          <w:szCs w:val="24"/>
        </w:rPr>
        <w:t>which includes elements of safeguarding</w:t>
      </w:r>
      <w:r w:rsidR="00176851">
        <w:rPr>
          <w:sz w:val="24"/>
          <w:szCs w:val="24"/>
        </w:rPr>
        <w:t xml:space="preserve"> </w:t>
      </w:r>
      <w:r w:rsidR="00176851" w:rsidRPr="00176851">
        <w:rPr>
          <w:sz w:val="24"/>
          <w:szCs w:val="24"/>
        </w:rPr>
        <w:t>(Wallbank and Woods, 2012)</w:t>
      </w:r>
      <w:r>
        <w:rPr>
          <w:sz w:val="24"/>
          <w:szCs w:val="24"/>
        </w:rPr>
        <w:t xml:space="preserve">. </w:t>
      </w:r>
      <w:r w:rsidRPr="001D6B7E">
        <w:rPr>
          <w:sz w:val="24"/>
          <w:szCs w:val="24"/>
        </w:rPr>
        <w:t xml:space="preserve">Effective safeguarding supervision </w:t>
      </w:r>
      <w:r>
        <w:rPr>
          <w:sz w:val="24"/>
          <w:szCs w:val="24"/>
        </w:rPr>
        <w:t xml:space="preserve">should </w:t>
      </w:r>
      <w:r w:rsidRPr="001D6B7E">
        <w:rPr>
          <w:sz w:val="24"/>
          <w:szCs w:val="24"/>
        </w:rPr>
        <w:t>combine critical reflective practice and critical thinking with the restorative experience for the professional to feel supported and maintain their capacity to think (Wallbank and Wonnacott, 201</w:t>
      </w:r>
      <w:r>
        <w:rPr>
          <w:sz w:val="24"/>
          <w:szCs w:val="24"/>
        </w:rPr>
        <w:t>6</w:t>
      </w:r>
      <w:r w:rsidRPr="001D6B7E">
        <w:rPr>
          <w:sz w:val="24"/>
          <w:szCs w:val="24"/>
        </w:rPr>
        <w:t xml:space="preserve">). </w:t>
      </w:r>
      <w:r>
        <w:rPr>
          <w:sz w:val="24"/>
          <w:szCs w:val="24"/>
        </w:rPr>
        <w:t>Seemingly, the focus of an integrative restorative model is to return the practitioner to a place of clear thinking, not clear feeling. With echoes of the importance and dominance of clear thinking in teaching</w:t>
      </w:r>
      <w:r w:rsidR="00261AF6">
        <w:rPr>
          <w:sz w:val="24"/>
          <w:szCs w:val="24"/>
        </w:rPr>
        <w:t xml:space="preserve"> and s</w:t>
      </w:r>
      <w:r w:rsidR="00A96DA3">
        <w:rPr>
          <w:sz w:val="24"/>
          <w:szCs w:val="24"/>
        </w:rPr>
        <w:t>cholarship</w:t>
      </w:r>
      <w:r>
        <w:rPr>
          <w:sz w:val="24"/>
          <w:szCs w:val="24"/>
        </w:rPr>
        <w:t xml:space="preserve"> (Ecclestone and Hayes, 2009), I shall now explore the role of supervision in education.</w:t>
      </w:r>
    </w:p>
    <w:p w14:paraId="7520A911" w14:textId="77777777" w:rsidR="002E2ABD" w:rsidRPr="00531C29" w:rsidRDefault="002E2ABD" w:rsidP="00927EAA">
      <w:pPr>
        <w:spacing w:line="360" w:lineRule="auto"/>
        <w:rPr>
          <w:b/>
          <w:bCs/>
          <w:sz w:val="24"/>
          <w:szCs w:val="24"/>
        </w:rPr>
      </w:pPr>
      <w:r w:rsidRPr="00531C29">
        <w:rPr>
          <w:b/>
          <w:bCs/>
          <w:sz w:val="24"/>
          <w:szCs w:val="24"/>
        </w:rPr>
        <w:t xml:space="preserve">Supervision and education </w:t>
      </w:r>
    </w:p>
    <w:p w14:paraId="0102E698" w14:textId="2E31FD5B" w:rsidR="002E2ABD" w:rsidRDefault="00FC0FB2" w:rsidP="00927EAA">
      <w:pPr>
        <w:spacing w:line="360" w:lineRule="auto"/>
        <w:rPr>
          <w:sz w:val="24"/>
          <w:szCs w:val="24"/>
        </w:rPr>
      </w:pPr>
      <w:r w:rsidRPr="00FC0FB2">
        <w:rPr>
          <w:sz w:val="24"/>
          <w:szCs w:val="24"/>
        </w:rPr>
        <w:t>Recent research in schools has supported the need to encourage learning for individual growth in school staff not just for their employability (McKay, 2017).</w:t>
      </w:r>
      <w:r w:rsidR="00567ABC">
        <w:rPr>
          <w:sz w:val="24"/>
          <w:szCs w:val="24"/>
        </w:rPr>
        <w:t xml:space="preserve"> Supervision </w:t>
      </w:r>
      <w:r w:rsidR="00F13A1A">
        <w:rPr>
          <w:sz w:val="24"/>
          <w:szCs w:val="24"/>
        </w:rPr>
        <w:t xml:space="preserve">provides opportunities for individual growth and development. </w:t>
      </w:r>
      <w:r w:rsidR="004813B2">
        <w:rPr>
          <w:sz w:val="24"/>
          <w:szCs w:val="24"/>
        </w:rPr>
        <w:t>It</w:t>
      </w:r>
      <w:r w:rsidR="002E2ABD" w:rsidRPr="009B12C7">
        <w:rPr>
          <w:sz w:val="24"/>
          <w:szCs w:val="24"/>
        </w:rPr>
        <w:t xml:space="preserve"> is </w:t>
      </w:r>
      <w:r w:rsidR="009E22DA">
        <w:rPr>
          <w:sz w:val="24"/>
          <w:szCs w:val="24"/>
        </w:rPr>
        <w:t xml:space="preserve">a </w:t>
      </w:r>
      <w:r w:rsidR="002E2ABD" w:rsidRPr="009B12C7">
        <w:rPr>
          <w:sz w:val="24"/>
          <w:szCs w:val="24"/>
        </w:rPr>
        <w:t>development</w:t>
      </w:r>
      <w:r w:rsidR="009E22DA">
        <w:rPr>
          <w:sz w:val="24"/>
          <w:szCs w:val="24"/>
        </w:rPr>
        <w:t>al</w:t>
      </w:r>
      <w:r w:rsidR="002E2ABD" w:rsidRPr="009B12C7">
        <w:rPr>
          <w:sz w:val="24"/>
          <w:szCs w:val="24"/>
        </w:rPr>
        <w:t xml:space="preserve"> </w:t>
      </w:r>
      <w:r w:rsidR="004813B2">
        <w:rPr>
          <w:sz w:val="24"/>
          <w:szCs w:val="24"/>
        </w:rPr>
        <w:t>process</w:t>
      </w:r>
      <w:r w:rsidR="00E12405">
        <w:rPr>
          <w:sz w:val="24"/>
          <w:szCs w:val="24"/>
        </w:rPr>
        <w:t xml:space="preserve"> that is relational in nature</w:t>
      </w:r>
      <w:r w:rsidR="007E6B31">
        <w:rPr>
          <w:sz w:val="24"/>
          <w:szCs w:val="24"/>
        </w:rPr>
        <w:t xml:space="preserve"> which</w:t>
      </w:r>
      <w:r w:rsidR="002E2ABD" w:rsidRPr="009B12C7">
        <w:rPr>
          <w:sz w:val="24"/>
          <w:szCs w:val="24"/>
        </w:rPr>
        <w:t xml:space="preserve"> encompasses collaboration, reflection and dialogue</w:t>
      </w:r>
      <w:r w:rsidR="00D25272">
        <w:rPr>
          <w:sz w:val="24"/>
          <w:szCs w:val="24"/>
        </w:rPr>
        <w:t>,</w:t>
      </w:r>
      <w:r w:rsidR="004813B2">
        <w:rPr>
          <w:sz w:val="24"/>
          <w:szCs w:val="24"/>
        </w:rPr>
        <w:t xml:space="preserve"> and </w:t>
      </w:r>
      <w:r w:rsidR="002E2ABD" w:rsidRPr="009B12C7">
        <w:rPr>
          <w:sz w:val="24"/>
          <w:szCs w:val="24"/>
        </w:rPr>
        <w:t>enabl</w:t>
      </w:r>
      <w:r w:rsidR="004813B2">
        <w:rPr>
          <w:sz w:val="24"/>
          <w:szCs w:val="24"/>
        </w:rPr>
        <w:t>es</w:t>
      </w:r>
      <w:r w:rsidR="002E2ABD" w:rsidRPr="009B12C7">
        <w:rPr>
          <w:sz w:val="24"/>
          <w:szCs w:val="24"/>
        </w:rPr>
        <w:t xml:space="preserve"> a supervisee to develop their professional skills (Alila </w:t>
      </w:r>
      <w:r w:rsidR="00FB3A6E" w:rsidRPr="00FB3A6E">
        <w:rPr>
          <w:i/>
          <w:sz w:val="24"/>
          <w:szCs w:val="24"/>
        </w:rPr>
        <w:t>et al.</w:t>
      </w:r>
      <w:r w:rsidR="002E2ABD" w:rsidRPr="009B12C7">
        <w:rPr>
          <w:sz w:val="24"/>
          <w:szCs w:val="24"/>
        </w:rPr>
        <w:t>,</w:t>
      </w:r>
      <w:r w:rsidR="002E2ABD" w:rsidRPr="009B12C7">
        <w:rPr>
          <w:i/>
          <w:iCs/>
          <w:sz w:val="24"/>
          <w:szCs w:val="24"/>
        </w:rPr>
        <w:t xml:space="preserve"> </w:t>
      </w:r>
      <w:r w:rsidR="002E2ABD" w:rsidRPr="009B12C7">
        <w:rPr>
          <w:sz w:val="24"/>
          <w:szCs w:val="24"/>
        </w:rPr>
        <w:t xml:space="preserve">2016). </w:t>
      </w:r>
      <w:r w:rsidR="002E2ABD">
        <w:rPr>
          <w:sz w:val="24"/>
          <w:szCs w:val="24"/>
        </w:rPr>
        <w:t xml:space="preserve">It provides a personalistic approach </w:t>
      </w:r>
      <w:r w:rsidR="002E2ABD" w:rsidRPr="00A626EF">
        <w:rPr>
          <w:sz w:val="24"/>
          <w:szCs w:val="24"/>
        </w:rPr>
        <w:t>(Coombs, 1972; Zeichner, 1983)</w:t>
      </w:r>
      <w:r w:rsidR="002E2ABD">
        <w:rPr>
          <w:sz w:val="24"/>
          <w:szCs w:val="24"/>
        </w:rPr>
        <w:t xml:space="preserve"> that </w:t>
      </w:r>
      <w:r w:rsidR="002E2ABD" w:rsidRPr="00B82375">
        <w:rPr>
          <w:sz w:val="24"/>
          <w:szCs w:val="24"/>
        </w:rPr>
        <w:t>acknowledges the subjective experience and the complexities of human encounters</w:t>
      </w:r>
      <w:r w:rsidR="007B1DCA">
        <w:rPr>
          <w:sz w:val="24"/>
          <w:szCs w:val="24"/>
        </w:rPr>
        <w:t xml:space="preserve">, </w:t>
      </w:r>
      <w:r w:rsidR="002E2ABD">
        <w:rPr>
          <w:sz w:val="24"/>
          <w:szCs w:val="24"/>
        </w:rPr>
        <w:t xml:space="preserve">factors </w:t>
      </w:r>
      <w:r w:rsidR="007B1DCA">
        <w:rPr>
          <w:sz w:val="24"/>
          <w:szCs w:val="24"/>
        </w:rPr>
        <w:t xml:space="preserve">which </w:t>
      </w:r>
      <w:r w:rsidR="002E2ABD">
        <w:rPr>
          <w:sz w:val="24"/>
          <w:szCs w:val="24"/>
        </w:rPr>
        <w:t>are particularly relevant to the relational realms of teaching</w:t>
      </w:r>
      <w:r w:rsidR="002E2ABD" w:rsidRPr="00B82375">
        <w:rPr>
          <w:sz w:val="24"/>
          <w:szCs w:val="24"/>
        </w:rPr>
        <w:t xml:space="preserve">. </w:t>
      </w:r>
    </w:p>
    <w:p w14:paraId="6754FA9B" w14:textId="0438F450" w:rsidR="002E2ABD" w:rsidRDefault="002E2ABD" w:rsidP="00927EAA">
      <w:pPr>
        <w:spacing w:line="360" w:lineRule="auto"/>
        <w:rPr>
          <w:sz w:val="24"/>
          <w:szCs w:val="24"/>
        </w:rPr>
      </w:pPr>
      <w:r w:rsidRPr="00B82375">
        <w:rPr>
          <w:sz w:val="24"/>
          <w:szCs w:val="24"/>
        </w:rPr>
        <w:t>With human encounters comes emotion, the self, identity and complexity, and</w:t>
      </w:r>
      <w:r>
        <w:rPr>
          <w:sz w:val="24"/>
          <w:szCs w:val="24"/>
        </w:rPr>
        <w:t xml:space="preserve"> </w:t>
      </w:r>
      <w:r w:rsidRPr="00B82375">
        <w:rPr>
          <w:sz w:val="24"/>
          <w:szCs w:val="24"/>
        </w:rPr>
        <w:t>supervis</w:t>
      </w:r>
      <w:r>
        <w:rPr>
          <w:sz w:val="24"/>
          <w:szCs w:val="24"/>
        </w:rPr>
        <w:t xml:space="preserve">ion could </w:t>
      </w:r>
      <w:r w:rsidRPr="00B82375">
        <w:rPr>
          <w:sz w:val="24"/>
          <w:szCs w:val="24"/>
        </w:rPr>
        <w:t xml:space="preserve">provide </w:t>
      </w:r>
      <w:r>
        <w:rPr>
          <w:sz w:val="24"/>
          <w:szCs w:val="24"/>
        </w:rPr>
        <w:t xml:space="preserve">an emotional well-being space </w:t>
      </w:r>
      <w:r w:rsidRPr="00B82375">
        <w:rPr>
          <w:sz w:val="24"/>
          <w:szCs w:val="24"/>
        </w:rPr>
        <w:t>for the teacher</w:t>
      </w:r>
      <w:r>
        <w:rPr>
          <w:sz w:val="24"/>
          <w:szCs w:val="24"/>
        </w:rPr>
        <w:t xml:space="preserve"> to reflect on </w:t>
      </w:r>
      <w:r w:rsidRPr="00B82375">
        <w:rPr>
          <w:sz w:val="24"/>
          <w:szCs w:val="24"/>
        </w:rPr>
        <w:t xml:space="preserve">the process of teaching. </w:t>
      </w:r>
      <w:r>
        <w:rPr>
          <w:sz w:val="24"/>
          <w:szCs w:val="24"/>
        </w:rPr>
        <w:t xml:space="preserve">For example, in a school study </w:t>
      </w:r>
      <w:r w:rsidRPr="001D6B7E">
        <w:rPr>
          <w:sz w:val="24"/>
          <w:szCs w:val="24"/>
        </w:rPr>
        <w:t xml:space="preserve">Reid and Soan (2019) provided senior leaders and special educational needs coordinators (SENCOs) with </w:t>
      </w:r>
      <w:r>
        <w:rPr>
          <w:sz w:val="24"/>
          <w:szCs w:val="24"/>
        </w:rPr>
        <w:t xml:space="preserve">supervision </w:t>
      </w:r>
      <w:r w:rsidRPr="001D6B7E">
        <w:rPr>
          <w:sz w:val="24"/>
          <w:szCs w:val="24"/>
        </w:rPr>
        <w:t>to reflect on professional practice issue</w:t>
      </w:r>
      <w:r>
        <w:rPr>
          <w:sz w:val="24"/>
          <w:szCs w:val="24"/>
        </w:rPr>
        <w:t>s</w:t>
      </w:r>
      <w:r w:rsidRPr="001D6B7E">
        <w:rPr>
          <w:sz w:val="24"/>
          <w:szCs w:val="24"/>
        </w:rPr>
        <w:t xml:space="preserve">. </w:t>
      </w:r>
      <w:r>
        <w:rPr>
          <w:sz w:val="24"/>
          <w:szCs w:val="24"/>
        </w:rPr>
        <w:t>S</w:t>
      </w:r>
      <w:r w:rsidRPr="001D6B7E">
        <w:rPr>
          <w:sz w:val="24"/>
          <w:szCs w:val="24"/>
        </w:rPr>
        <w:t>upervision sessions ran for two hours, six times a year over two years</w:t>
      </w:r>
      <w:r>
        <w:rPr>
          <w:sz w:val="24"/>
          <w:szCs w:val="24"/>
        </w:rPr>
        <w:t xml:space="preserve"> and the process was evaluated at the beginning and end of the study using a questionnaire. The </w:t>
      </w:r>
      <w:r w:rsidR="009C1715">
        <w:rPr>
          <w:sz w:val="24"/>
          <w:szCs w:val="24"/>
        </w:rPr>
        <w:lastRenderedPageBreak/>
        <w:t>seven</w:t>
      </w:r>
      <w:r>
        <w:rPr>
          <w:sz w:val="24"/>
          <w:szCs w:val="24"/>
        </w:rPr>
        <w:t xml:space="preserve"> r</w:t>
      </w:r>
      <w:r w:rsidRPr="001D6B7E">
        <w:rPr>
          <w:sz w:val="24"/>
          <w:szCs w:val="24"/>
        </w:rPr>
        <w:t xml:space="preserve">espondents </w:t>
      </w:r>
      <w:r>
        <w:rPr>
          <w:sz w:val="24"/>
          <w:szCs w:val="24"/>
        </w:rPr>
        <w:t xml:space="preserve">found </w:t>
      </w:r>
      <w:r w:rsidRPr="001D6B7E">
        <w:rPr>
          <w:sz w:val="24"/>
          <w:szCs w:val="24"/>
        </w:rPr>
        <w:t>supervision to be a powerful and restorative experience</w:t>
      </w:r>
      <w:r>
        <w:rPr>
          <w:sz w:val="24"/>
          <w:szCs w:val="24"/>
        </w:rPr>
        <w:t xml:space="preserve"> which </w:t>
      </w:r>
      <w:r w:rsidRPr="001D6B7E">
        <w:rPr>
          <w:sz w:val="24"/>
          <w:szCs w:val="24"/>
        </w:rPr>
        <w:t>enabled their development in reflexivity and problem-solving</w:t>
      </w:r>
      <w:r>
        <w:rPr>
          <w:sz w:val="24"/>
          <w:szCs w:val="24"/>
        </w:rPr>
        <w:t xml:space="preserve"> skills</w:t>
      </w:r>
      <w:r w:rsidRPr="001D6B7E">
        <w:rPr>
          <w:sz w:val="24"/>
          <w:szCs w:val="24"/>
        </w:rPr>
        <w:t xml:space="preserve">. </w:t>
      </w:r>
      <w:r>
        <w:rPr>
          <w:sz w:val="24"/>
          <w:szCs w:val="24"/>
        </w:rPr>
        <w:t>However, t</w:t>
      </w:r>
      <w:r w:rsidRPr="001D6B7E">
        <w:rPr>
          <w:sz w:val="24"/>
          <w:szCs w:val="24"/>
        </w:rPr>
        <w:t xml:space="preserve">he methodology </w:t>
      </w:r>
      <w:r>
        <w:rPr>
          <w:sz w:val="24"/>
          <w:szCs w:val="24"/>
        </w:rPr>
        <w:t xml:space="preserve">employed </w:t>
      </w:r>
      <w:r w:rsidRPr="001D6B7E">
        <w:rPr>
          <w:sz w:val="24"/>
          <w:szCs w:val="24"/>
        </w:rPr>
        <w:t xml:space="preserve">raises some ethical </w:t>
      </w:r>
      <w:r>
        <w:rPr>
          <w:sz w:val="24"/>
          <w:szCs w:val="24"/>
        </w:rPr>
        <w:t xml:space="preserve">and boundary </w:t>
      </w:r>
      <w:r w:rsidRPr="001D6B7E">
        <w:rPr>
          <w:sz w:val="24"/>
          <w:szCs w:val="24"/>
        </w:rPr>
        <w:t xml:space="preserve">concerns. The supervisor, a qualified counsellor at the </w:t>
      </w:r>
      <w:r>
        <w:rPr>
          <w:sz w:val="24"/>
          <w:szCs w:val="24"/>
        </w:rPr>
        <w:t>same u</w:t>
      </w:r>
      <w:r w:rsidRPr="001D6B7E">
        <w:rPr>
          <w:sz w:val="24"/>
          <w:szCs w:val="24"/>
        </w:rPr>
        <w:t>niversity, supervised participants in the first year only, and non-counsellor colleagues supervised in year two</w:t>
      </w:r>
      <w:r>
        <w:rPr>
          <w:sz w:val="24"/>
          <w:szCs w:val="24"/>
        </w:rPr>
        <w:t xml:space="preserve"> with no explanation </w:t>
      </w:r>
      <w:r w:rsidRPr="001D6B7E">
        <w:rPr>
          <w:sz w:val="24"/>
          <w:szCs w:val="24"/>
        </w:rPr>
        <w:t>provided regarding this change. A joint project between the University of Canterbury and The Diocese of Canterbury</w:t>
      </w:r>
      <w:r>
        <w:rPr>
          <w:sz w:val="24"/>
          <w:szCs w:val="24"/>
        </w:rPr>
        <w:t>, funding was not declared</w:t>
      </w:r>
      <w:r w:rsidRPr="001D6B7E">
        <w:rPr>
          <w:sz w:val="24"/>
          <w:szCs w:val="24"/>
        </w:rPr>
        <w:t xml:space="preserve"> lea</w:t>
      </w:r>
      <w:r>
        <w:rPr>
          <w:sz w:val="24"/>
          <w:szCs w:val="24"/>
        </w:rPr>
        <w:t>ding to</w:t>
      </w:r>
      <w:r w:rsidRPr="001D6B7E">
        <w:rPr>
          <w:sz w:val="24"/>
          <w:szCs w:val="24"/>
        </w:rPr>
        <w:t xml:space="preserve"> speculations regarding the role of the </w:t>
      </w:r>
      <w:r>
        <w:rPr>
          <w:sz w:val="24"/>
          <w:szCs w:val="24"/>
        </w:rPr>
        <w:t>stakeholders.</w:t>
      </w:r>
      <w:r w:rsidRPr="001D6B7E">
        <w:rPr>
          <w:sz w:val="24"/>
          <w:szCs w:val="24"/>
        </w:rPr>
        <w:t xml:space="preserve"> </w:t>
      </w:r>
    </w:p>
    <w:p w14:paraId="421EFEA7" w14:textId="77777777" w:rsidR="002E2ABD" w:rsidRDefault="002E2ABD" w:rsidP="00927EAA">
      <w:pPr>
        <w:spacing w:line="360" w:lineRule="auto"/>
        <w:rPr>
          <w:sz w:val="24"/>
          <w:szCs w:val="24"/>
        </w:rPr>
      </w:pPr>
      <w:r>
        <w:rPr>
          <w:sz w:val="24"/>
          <w:szCs w:val="24"/>
        </w:rPr>
        <w:t xml:space="preserve">Willis and Baines (2017) conducted research </w:t>
      </w:r>
      <w:r w:rsidRPr="003B3491">
        <w:rPr>
          <w:sz w:val="24"/>
          <w:szCs w:val="24"/>
        </w:rPr>
        <w:t>in a social, emotional and mental health (SEMH) special school</w:t>
      </w:r>
      <w:r>
        <w:rPr>
          <w:sz w:val="24"/>
          <w:szCs w:val="24"/>
        </w:rPr>
        <w:t xml:space="preserve"> with </w:t>
      </w:r>
      <w:r w:rsidRPr="003B3491">
        <w:rPr>
          <w:sz w:val="24"/>
          <w:szCs w:val="24"/>
        </w:rPr>
        <w:t xml:space="preserve">12 school staff </w:t>
      </w:r>
      <w:r>
        <w:rPr>
          <w:sz w:val="24"/>
          <w:szCs w:val="24"/>
        </w:rPr>
        <w:t xml:space="preserve">to </w:t>
      </w:r>
      <w:r w:rsidRPr="003B3491">
        <w:rPr>
          <w:sz w:val="24"/>
          <w:szCs w:val="24"/>
        </w:rPr>
        <w:t xml:space="preserve">examine the perceived benefits and difficulties of introducing and maintaining effective group supervision. Data </w:t>
      </w:r>
      <w:r>
        <w:rPr>
          <w:sz w:val="24"/>
          <w:szCs w:val="24"/>
        </w:rPr>
        <w:t xml:space="preserve">was </w:t>
      </w:r>
      <w:r w:rsidRPr="003B3491">
        <w:rPr>
          <w:sz w:val="24"/>
          <w:szCs w:val="24"/>
        </w:rPr>
        <w:t>gathered through semi-structured, one-to-one interviews</w:t>
      </w:r>
      <w:r>
        <w:rPr>
          <w:sz w:val="24"/>
          <w:szCs w:val="24"/>
        </w:rPr>
        <w:t xml:space="preserve"> and </w:t>
      </w:r>
      <w:r w:rsidRPr="003B3491">
        <w:rPr>
          <w:sz w:val="24"/>
          <w:szCs w:val="24"/>
        </w:rPr>
        <w:t>analysed thematically. Findings indicated that attending group supervision provided participants with opportunit</w:t>
      </w:r>
      <w:r>
        <w:rPr>
          <w:sz w:val="24"/>
          <w:szCs w:val="24"/>
        </w:rPr>
        <w:t>ies</w:t>
      </w:r>
      <w:r w:rsidRPr="003B3491">
        <w:rPr>
          <w:sz w:val="24"/>
          <w:szCs w:val="24"/>
        </w:rPr>
        <w:t xml:space="preserve"> to foster a greater sense of camaraderie with their colleagues and address the issue of stress through the sharing and validating of emotions and experiences. </w:t>
      </w:r>
      <w:r>
        <w:rPr>
          <w:sz w:val="24"/>
          <w:szCs w:val="24"/>
        </w:rPr>
        <w:t xml:space="preserve">The </w:t>
      </w:r>
      <w:r w:rsidRPr="003B3491">
        <w:rPr>
          <w:sz w:val="24"/>
          <w:szCs w:val="24"/>
        </w:rPr>
        <w:t xml:space="preserve">need to ensure </w:t>
      </w:r>
      <w:r>
        <w:rPr>
          <w:sz w:val="24"/>
          <w:szCs w:val="24"/>
        </w:rPr>
        <w:t xml:space="preserve">group </w:t>
      </w:r>
      <w:r w:rsidRPr="003B3491">
        <w:rPr>
          <w:sz w:val="24"/>
          <w:szCs w:val="24"/>
        </w:rPr>
        <w:t xml:space="preserve">sessions </w:t>
      </w:r>
      <w:r>
        <w:rPr>
          <w:sz w:val="24"/>
          <w:szCs w:val="24"/>
        </w:rPr>
        <w:t xml:space="preserve">were </w:t>
      </w:r>
      <w:r w:rsidRPr="003B3491">
        <w:rPr>
          <w:sz w:val="24"/>
          <w:szCs w:val="24"/>
        </w:rPr>
        <w:t>chaired by an effective, independent superviso</w:t>
      </w:r>
      <w:r>
        <w:rPr>
          <w:sz w:val="24"/>
          <w:szCs w:val="24"/>
        </w:rPr>
        <w:t>r and to e</w:t>
      </w:r>
      <w:r w:rsidRPr="003B3491">
        <w:rPr>
          <w:sz w:val="24"/>
          <w:szCs w:val="24"/>
        </w:rPr>
        <w:t>stablish a method of evaluating group supervision as a means of maintaining its effectiveness</w:t>
      </w:r>
      <w:r>
        <w:rPr>
          <w:sz w:val="24"/>
          <w:szCs w:val="24"/>
        </w:rPr>
        <w:t xml:space="preserve"> were identified</w:t>
      </w:r>
      <w:r w:rsidRPr="003B3491">
        <w:rPr>
          <w:sz w:val="24"/>
          <w:szCs w:val="24"/>
        </w:rPr>
        <w:t>.</w:t>
      </w:r>
    </w:p>
    <w:p w14:paraId="3A1C12A7" w14:textId="5867EF53" w:rsidR="002E2ABD" w:rsidRPr="00874E85" w:rsidRDefault="002E2ABD" w:rsidP="00927EAA">
      <w:pPr>
        <w:spacing w:line="360" w:lineRule="auto"/>
        <w:rPr>
          <w:sz w:val="24"/>
          <w:szCs w:val="24"/>
        </w:rPr>
      </w:pPr>
      <w:r>
        <w:rPr>
          <w:sz w:val="24"/>
          <w:szCs w:val="24"/>
        </w:rPr>
        <w:t xml:space="preserve">I note that in the Wills and Baines (2017) study there was a focus on the vulnerability and trauma inherent in working with challenging students. A relatively new discipline, supervision within education is starting to recognise the need for supervisory support for staff working with vulnerable students. </w:t>
      </w:r>
      <w:r w:rsidRPr="00874E85">
        <w:rPr>
          <w:sz w:val="24"/>
          <w:szCs w:val="24"/>
        </w:rPr>
        <w:t xml:space="preserve">Indeed, there have been calls from some teachers/leaders in education to access supervision akin to that received by Health and Social Care professionals (Bainbridge </w:t>
      </w:r>
      <w:r w:rsidR="00FB3A6E" w:rsidRPr="00FB3A6E">
        <w:rPr>
          <w:i/>
          <w:sz w:val="24"/>
          <w:szCs w:val="24"/>
        </w:rPr>
        <w:t>et al.</w:t>
      </w:r>
      <w:r w:rsidRPr="00874E85">
        <w:rPr>
          <w:sz w:val="24"/>
          <w:szCs w:val="24"/>
        </w:rPr>
        <w:t>, 2019</w:t>
      </w:r>
      <w:r>
        <w:rPr>
          <w:sz w:val="24"/>
          <w:szCs w:val="24"/>
        </w:rPr>
        <w:t>;</w:t>
      </w:r>
      <w:r w:rsidRPr="00496964">
        <w:rPr>
          <w:sz w:val="24"/>
          <w:szCs w:val="24"/>
        </w:rPr>
        <w:t xml:space="preserve"> Fonagy, 2018</w:t>
      </w:r>
      <w:r w:rsidRPr="00874E85">
        <w:rPr>
          <w:sz w:val="24"/>
          <w:szCs w:val="24"/>
        </w:rPr>
        <w:t>) in recognition of the emotionally taxing nature of the work.</w:t>
      </w:r>
    </w:p>
    <w:p w14:paraId="62045D2B" w14:textId="56BC094E" w:rsidR="002E2ABD" w:rsidRDefault="002E2ABD" w:rsidP="00927EAA">
      <w:pPr>
        <w:spacing w:line="360" w:lineRule="auto"/>
        <w:rPr>
          <w:sz w:val="24"/>
          <w:szCs w:val="24"/>
        </w:rPr>
      </w:pPr>
      <w:r>
        <w:rPr>
          <w:sz w:val="24"/>
          <w:szCs w:val="24"/>
        </w:rPr>
        <w:t>More recently a report</w:t>
      </w:r>
      <w:r w:rsidRPr="000A6BEE">
        <w:rPr>
          <w:sz w:val="24"/>
          <w:szCs w:val="24"/>
        </w:rPr>
        <w:t xml:space="preserve"> </w:t>
      </w:r>
      <w:r>
        <w:rPr>
          <w:sz w:val="24"/>
          <w:szCs w:val="24"/>
        </w:rPr>
        <w:t xml:space="preserve">on professional supervision for education staff commissioned by Barnardo’s Scotland (Lawrence, 2019) illuminates some of the </w:t>
      </w:r>
      <w:r w:rsidRPr="000A6BEE">
        <w:rPr>
          <w:sz w:val="24"/>
          <w:szCs w:val="24"/>
        </w:rPr>
        <w:t xml:space="preserve">emotional and psychological </w:t>
      </w:r>
      <w:r>
        <w:rPr>
          <w:sz w:val="24"/>
          <w:szCs w:val="24"/>
        </w:rPr>
        <w:t>factors present for staff</w:t>
      </w:r>
      <w:r w:rsidRPr="000A6BEE">
        <w:rPr>
          <w:sz w:val="24"/>
          <w:szCs w:val="24"/>
        </w:rPr>
        <w:t xml:space="preserve"> working in </w:t>
      </w:r>
      <w:r>
        <w:rPr>
          <w:sz w:val="24"/>
          <w:szCs w:val="24"/>
        </w:rPr>
        <w:t>schools</w:t>
      </w:r>
      <w:r w:rsidRPr="000A6BEE">
        <w:rPr>
          <w:sz w:val="24"/>
          <w:szCs w:val="24"/>
        </w:rPr>
        <w:t xml:space="preserve">. </w:t>
      </w:r>
      <w:r>
        <w:rPr>
          <w:sz w:val="24"/>
          <w:szCs w:val="24"/>
        </w:rPr>
        <w:t xml:space="preserve">Acknowledging that emotional difficulties experienced by pupils </w:t>
      </w:r>
      <w:r w:rsidRPr="000A6BEE">
        <w:rPr>
          <w:sz w:val="24"/>
          <w:szCs w:val="24"/>
        </w:rPr>
        <w:t>outside of school</w:t>
      </w:r>
      <w:r>
        <w:rPr>
          <w:sz w:val="24"/>
          <w:szCs w:val="24"/>
        </w:rPr>
        <w:t xml:space="preserve"> can be reenacted in the classroom, Burley (</w:t>
      </w:r>
      <w:r w:rsidR="00C134CB">
        <w:rPr>
          <w:sz w:val="24"/>
          <w:szCs w:val="24"/>
        </w:rPr>
        <w:t>in Lawrence, 2019</w:t>
      </w:r>
      <w:r>
        <w:rPr>
          <w:sz w:val="24"/>
          <w:szCs w:val="24"/>
        </w:rPr>
        <w:t xml:space="preserve">) described how </w:t>
      </w:r>
      <w:r w:rsidRPr="000A6BEE">
        <w:rPr>
          <w:sz w:val="24"/>
          <w:szCs w:val="24"/>
        </w:rPr>
        <w:t>long-term distress</w:t>
      </w:r>
      <w:r>
        <w:rPr>
          <w:sz w:val="24"/>
          <w:szCs w:val="24"/>
        </w:rPr>
        <w:t>,</w:t>
      </w:r>
      <w:r w:rsidRPr="000A6BEE">
        <w:rPr>
          <w:sz w:val="24"/>
          <w:szCs w:val="24"/>
        </w:rPr>
        <w:t xml:space="preserve"> vicarious trauma and adversity</w:t>
      </w:r>
      <w:r>
        <w:rPr>
          <w:sz w:val="24"/>
          <w:szCs w:val="24"/>
        </w:rPr>
        <w:t xml:space="preserve"> are the consequence for educational staff</w:t>
      </w:r>
      <w:r w:rsidR="008D5545">
        <w:rPr>
          <w:sz w:val="24"/>
          <w:szCs w:val="24"/>
        </w:rPr>
        <w:t xml:space="preserve"> working in school </w:t>
      </w:r>
      <w:r w:rsidR="000C1383">
        <w:rPr>
          <w:sz w:val="24"/>
          <w:szCs w:val="24"/>
        </w:rPr>
        <w:t>environments</w:t>
      </w:r>
      <w:r>
        <w:rPr>
          <w:sz w:val="24"/>
          <w:szCs w:val="24"/>
        </w:rPr>
        <w:t>.</w:t>
      </w:r>
      <w:r w:rsidRPr="000A6BEE">
        <w:rPr>
          <w:sz w:val="24"/>
          <w:szCs w:val="24"/>
        </w:rPr>
        <w:t xml:space="preserve"> </w:t>
      </w:r>
      <w:r w:rsidR="00C01F96">
        <w:rPr>
          <w:sz w:val="24"/>
          <w:szCs w:val="24"/>
        </w:rPr>
        <w:t xml:space="preserve">It was noted that </w:t>
      </w:r>
      <w:r w:rsidR="00C01F96">
        <w:rPr>
          <w:sz w:val="24"/>
          <w:szCs w:val="24"/>
        </w:rPr>
        <w:lastRenderedPageBreak/>
        <w:t>s</w:t>
      </w:r>
      <w:r>
        <w:rPr>
          <w:sz w:val="24"/>
          <w:szCs w:val="24"/>
        </w:rPr>
        <w:t xml:space="preserve">choolteachers are in a unique position </w:t>
      </w:r>
      <w:r w:rsidRPr="000A6BEE">
        <w:rPr>
          <w:sz w:val="24"/>
          <w:szCs w:val="24"/>
        </w:rPr>
        <w:t>to provide positive educational, social and therapeutic relationships to children who have experienced trauma and adversity</w:t>
      </w:r>
      <w:r>
        <w:rPr>
          <w:sz w:val="24"/>
          <w:szCs w:val="24"/>
        </w:rPr>
        <w:t xml:space="preserve"> (</w:t>
      </w:r>
      <w:r w:rsidR="00C134CB">
        <w:rPr>
          <w:sz w:val="24"/>
          <w:szCs w:val="24"/>
        </w:rPr>
        <w:t>Lawrence, 2019</w:t>
      </w:r>
      <w:r>
        <w:rPr>
          <w:sz w:val="24"/>
          <w:szCs w:val="24"/>
        </w:rPr>
        <w:t xml:space="preserve">). With this backdrop, the report recognised that an effective </w:t>
      </w:r>
      <w:r w:rsidRPr="000A6BEE">
        <w:rPr>
          <w:sz w:val="24"/>
          <w:szCs w:val="24"/>
        </w:rPr>
        <w:t>care infrastructure</w:t>
      </w:r>
      <w:r>
        <w:rPr>
          <w:sz w:val="24"/>
          <w:szCs w:val="24"/>
        </w:rPr>
        <w:t xml:space="preserve"> for teachers was </w:t>
      </w:r>
      <w:r w:rsidRPr="000A6BEE">
        <w:rPr>
          <w:sz w:val="24"/>
          <w:szCs w:val="24"/>
        </w:rPr>
        <w:t>nee</w:t>
      </w:r>
      <w:r>
        <w:rPr>
          <w:sz w:val="24"/>
          <w:szCs w:val="24"/>
        </w:rPr>
        <w:t>ded: “</w:t>
      </w:r>
      <w:r w:rsidRPr="00010EFB">
        <w:rPr>
          <w:sz w:val="24"/>
          <w:szCs w:val="24"/>
        </w:rPr>
        <w:t>We need to contain the container, care for the carer”</w:t>
      </w:r>
      <w:r>
        <w:rPr>
          <w:sz w:val="24"/>
          <w:szCs w:val="24"/>
        </w:rPr>
        <w:t xml:space="preserve"> (Treisman, in Lawrence, </w:t>
      </w:r>
      <w:r w:rsidR="00D941F3">
        <w:rPr>
          <w:sz w:val="24"/>
          <w:szCs w:val="24"/>
        </w:rPr>
        <w:t>ibid.</w:t>
      </w:r>
      <w:r>
        <w:rPr>
          <w:sz w:val="24"/>
          <w:szCs w:val="24"/>
        </w:rPr>
        <w:t>, p.15). The report recommended</w:t>
      </w:r>
      <w:r w:rsidRPr="00010EFB">
        <w:rPr>
          <w:sz w:val="24"/>
          <w:szCs w:val="24"/>
        </w:rPr>
        <w:t xml:space="preserve"> </w:t>
      </w:r>
      <w:r>
        <w:rPr>
          <w:sz w:val="24"/>
          <w:szCs w:val="24"/>
        </w:rPr>
        <w:t xml:space="preserve">supervision training and </w:t>
      </w:r>
      <w:r w:rsidRPr="00010EFB">
        <w:rPr>
          <w:sz w:val="24"/>
          <w:szCs w:val="24"/>
        </w:rPr>
        <w:t>professional supervision structure</w:t>
      </w:r>
      <w:r w:rsidR="002B7569">
        <w:rPr>
          <w:sz w:val="24"/>
          <w:szCs w:val="24"/>
        </w:rPr>
        <w:t>s</w:t>
      </w:r>
      <w:r>
        <w:rPr>
          <w:sz w:val="24"/>
          <w:szCs w:val="24"/>
        </w:rPr>
        <w:t xml:space="preserve"> </w:t>
      </w:r>
      <w:r w:rsidRPr="00010EFB">
        <w:rPr>
          <w:sz w:val="24"/>
          <w:szCs w:val="24"/>
        </w:rPr>
        <w:t xml:space="preserve">for </w:t>
      </w:r>
      <w:r>
        <w:rPr>
          <w:sz w:val="24"/>
          <w:szCs w:val="24"/>
        </w:rPr>
        <w:t xml:space="preserve">all </w:t>
      </w:r>
      <w:r w:rsidRPr="00010EFB">
        <w:rPr>
          <w:sz w:val="24"/>
          <w:szCs w:val="24"/>
        </w:rPr>
        <w:t>education staf</w:t>
      </w:r>
      <w:r>
        <w:rPr>
          <w:sz w:val="24"/>
          <w:szCs w:val="24"/>
        </w:rPr>
        <w:t>f</w:t>
      </w:r>
      <w:r w:rsidR="00CA046F">
        <w:rPr>
          <w:sz w:val="24"/>
          <w:szCs w:val="24"/>
        </w:rPr>
        <w:t>,</w:t>
      </w:r>
      <w:r>
        <w:rPr>
          <w:sz w:val="24"/>
          <w:szCs w:val="24"/>
        </w:rPr>
        <w:t xml:space="preserve"> and guidance </w:t>
      </w:r>
      <w:r w:rsidRPr="00010EFB">
        <w:rPr>
          <w:sz w:val="24"/>
          <w:szCs w:val="24"/>
        </w:rPr>
        <w:t>on how</w:t>
      </w:r>
      <w:r>
        <w:rPr>
          <w:sz w:val="24"/>
          <w:szCs w:val="24"/>
        </w:rPr>
        <w:t xml:space="preserve"> a whole-school approach informed by</w:t>
      </w:r>
      <w:r w:rsidRPr="00010EFB">
        <w:rPr>
          <w:sz w:val="24"/>
          <w:szCs w:val="24"/>
        </w:rPr>
        <w:t xml:space="preserve"> trauma-informed practices </w:t>
      </w:r>
      <w:r>
        <w:rPr>
          <w:sz w:val="24"/>
          <w:szCs w:val="24"/>
        </w:rPr>
        <w:t xml:space="preserve">might </w:t>
      </w:r>
      <w:r w:rsidRPr="00010EFB">
        <w:rPr>
          <w:sz w:val="24"/>
          <w:szCs w:val="24"/>
        </w:rPr>
        <w:t>support the mental healt</w:t>
      </w:r>
      <w:r>
        <w:rPr>
          <w:sz w:val="24"/>
          <w:szCs w:val="24"/>
        </w:rPr>
        <w:t xml:space="preserve">h </w:t>
      </w:r>
      <w:r w:rsidRPr="007F442D">
        <w:rPr>
          <w:sz w:val="24"/>
          <w:szCs w:val="24"/>
        </w:rPr>
        <w:t xml:space="preserve">and </w:t>
      </w:r>
      <w:r>
        <w:rPr>
          <w:sz w:val="24"/>
          <w:szCs w:val="24"/>
        </w:rPr>
        <w:t>well-being</w:t>
      </w:r>
      <w:r w:rsidRPr="007F442D">
        <w:rPr>
          <w:sz w:val="24"/>
          <w:szCs w:val="24"/>
        </w:rPr>
        <w:t xml:space="preserve"> of staff </w:t>
      </w:r>
      <w:r w:rsidRPr="00DA2BE9">
        <w:rPr>
          <w:i/>
          <w:iCs/>
          <w:sz w:val="24"/>
          <w:szCs w:val="24"/>
        </w:rPr>
        <w:t>and</w:t>
      </w:r>
      <w:r w:rsidRPr="007F442D">
        <w:rPr>
          <w:sz w:val="24"/>
          <w:szCs w:val="24"/>
        </w:rPr>
        <w:t xml:space="preserve"> pupils</w:t>
      </w:r>
      <w:r>
        <w:rPr>
          <w:sz w:val="24"/>
          <w:szCs w:val="24"/>
        </w:rPr>
        <w:t xml:space="preserve">. </w:t>
      </w:r>
    </w:p>
    <w:p w14:paraId="5C7725EB" w14:textId="2D168F79" w:rsidR="002E2ABD" w:rsidRPr="00DF6407" w:rsidRDefault="002E2ABD" w:rsidP="00DF6407">
      <w:pPr>
        <w:spacing w:line="360" w:lineRule="auto"/>
        <w:rPr>
          <w:sz w:val="24"/>
          <w:szCs w:val="24"/>
        </w:rPr>
      </w:pPr>
      <w:r>
        <w:rPr>
          <w:sz w:val="24"/>
          <w:szCs w:val="24"/>
        </w:rPr>
        <w:t>T</w:t>
      </w:r>
      <w:r w:rsidRPr="00C323C4">
        <w:rPr>
          <w:sz w:val="24"/>
          <w:szCs w:val="24"/>
        </w:rPr>
        <w:t xml:space="preserve">he Centre for Inclusive Education (CIE) at UCL Institute of Education together with the Chartered College of Teaching have developed guidance to implement and deliver supervision training </w:t>
      </w:r>
      <w:r>
        <w:rPr>
          <w:sz w:val="24"/>
          <w:szCs w:val="24"/>
        </w:rPr>
        <w:t xml:space="preserve">to </w:t>
      </w:r>
      <w:r w:rsidRPr="00610BBB">
        <w:rPr>
          <w:sz w:val="24"/>
          <w:szCs w:val="24"/>
        </w:rPr>
        <w:t>school leaders, SENCOs and training providers to establish effective and safe supervision practices</w:t>
      </w:r>
      <w:r w:rsidR="00E06066">
        <w:rPr>
          <w:sz w:val="24"/>
          <w:szCs w:val="24"/>
        </w:rPr>
        <w:t xml:space="preserve"> (</w:t>
      </w:r>
      <w:r w:rsidR="00E06066" w:rsidRPr="00E06066">
        <w:rPr>
          <w:sz w:val="24"/>
          <w:szCs w:val="24"/>
        </w:rPr>
        <w:t xml:space="preserve">Carroll </w:t>
      </w:r>
      <w:r w:rsidR="00FB3A6E" w:rsidRPr="00FB3A6E">
        <w:rPr>
          <w:i/>
          <w:sz w:val="24"/>
          <w:szCs w:val="24"/>
        </w:rPr>
        <w:t>et al.</w:t>
      </w:r>
      <w:r w:rsidR="00E06066" w:rsidRPr="00E06066">
        <w:rPr>
          <w:sz w:val="24"/>
          <w:szCs w:val="24"/>
        </w:rPr>
        <w:t>, 2020)</w:t>
      </w:r>
      <w:r w:rsidRPr="00610BBB">
        <w:rPr>
          <w:sz w:val="24"/>
          <w:szCs w:val="24"/>
        </w:rPr>
        <w:t>.</w:t>
      </w:r>
      <w:r w:rsidRPr="00C323C4">
        <w:rPr>
          <w:sz w:val="24"/>
          <w:szCs w:val="24"/>
        </w:rPr>
        <w:t xml:space="preserve"> The first of its kind, the guidance </w:t>
      </w:r>
      <w:r w:rsidRPr="008F09D5">
        <w:rPr>
          <w:sz w:val="24"/>
          <w:szCs w:val="24"/>
        </w:rPr>
        <w:t xml:space="preserve">follows recommendations from a working group who authored, delivered and evaluated a pilot </w:t>
      </w:r>
      <w:r w:rsidRPr="008F09D5">
        <w:rPr>
          <w:i/>
          <w:iCs/>
          <w:sz w:val="24"/>
          <w:szCs w:val="24"/>
        </w:rPr>
        <w:t>Supervision Skills for SENCOs</w:t>
      </w:r>
      <w:r w:rsidRPr="008F09D5">
        <w:rPr>
          <w:sz w:val="24"/>
          <w:szCs w:val="24"/>
        </w:rPr>
        <w:t xml:space="preserve"> training course</w:t>
      </w:r>
      <w:r w:rsidR="00FA5FB7">
        <w:rPr>
          <w:sz w:val="24"/>
          <w:szCs w:val="24"/>
        </w:rPr>
        <w:t xml:space="preserve"> (ibid.)</w:t>
      </w:r>
      <w:r>
        <w:rPr>
          <w:sz w:val="24"/>
          <w:szCs w:val="24"/>
        </w:rPr>
        <w:t>.</w:t>
      </w:r>
      <w:r w:rsidRPr="008F09D5">
        <w:rPr>
          <w:sz w:val="24"/>
          <w:szCs w:val="24"/>
        </w:rPr>
        <w:t xml:space="preserve"> </w:t>
      </w:r>
      <w:r>
        <w:rPr>
          <w:sz w:val="24"/>
          <w:szCs w:val="24"/>
        </w:rPr>
        <w:t>Subsequently a</w:t>
      </w:r>
      <w:r w:rsidRPr="00C323C4">
        <w:rPr>
          <w:sz w:val="24"/>
          <w:szCs w:val="24"/>
        </w:rPr>
        <w:t xml:space="preserve"> supervision skills competency framework </w:t>
      </w:r>
      <w:r>
        <w:rPr>
          <w:sz w:val="24"/>
          <w:szCs w:val="24"/>
        </w:rPr>
        <w:t xml:space="preserve">was developed </w:t>
      </w:r>
      <w:r w:rsidRPr="00C323C4">
        <w:rPr>
          <w:sz w:val="24"/>
          <w:szCs w:val="24"/>
        </w:rPr>
        <w:t xml:space="preserve">and recommendations </w:t>
      </w:r>
      <w:r>
        <w:rPr>
          <w:sz w:val="24"/>
          <w:szCs w:val="24"/>
        </w:rPr>
        <w:t xml:space="preserve">made </w:t>
      </w:r>
      <w:r w:rsidRPr="00C323C4">
        <w:rPr>
          <w:sz w:val="24"/>
          <w:szCs w:val="24"/>
        </w:rPr>
        <w:t>for SENCO entry qualifications and course quality assurance indicators (</w:t>
      </w:r>
      <w:r w:rsidR="00AB1ADC">
        <w:rPr>
          <w:sz w:val="24"/>
          <w:szCs w:val="24"/>
        </w:rPr>
        <w:t>ibid.</w:t>
      </w:r>
      <w:r w:rsidRPr="00C323C4">
        <w:rPr>
          <w:sz w:val="24"/>
          <w:szCs w:val="24"/>
        </w:rPr>
        <w:t xml:space="preserve">). </w:t>
      </w:r>
      <w:r>
        <w:rPr>
          <w:sz w:val="24"/>
          <w:szCs w:val="24"/>
        </w:rPr>
        <w:t xml:space="preserve">It is noteworthy that </w:t>
      </w:r>
      <w:r w:rsidR="00636014">
        <w:rPr>
          <w:sz w:val="24"/>
          <w:szCs w:val="24"/>
        </w:rPr>
        <w:t xml:space="preserve">some universities such </w:t>
      </w:r>
      <w:r w:rsidR="00EC40BA">
        <w:rPr>
          <w:sz w:val="24"/>
          <w:szCs w:val="24"/>
        </w:rPr>
        <w:t xml:space="preserve">as </w:t>
      </w:r>
      <w:r w:rsidRPr="00DF6407">
        <w:rPr>
          <w:sz w:val="24"/>
          <w:szCs w:val="24"/>
        </w:rPr>
        <w:t>Canterbury Christ Church, Leeds Beckett and University College London now offer supervision support service</w:t>
      </w:r>
      <w:r w:rsidR="00EC40BA">
        <w:rPr>
          <w:sz w:val="24"/>
          <w:szCs w:val="24"/>
        </w:rPr>
        <w:t>s</w:t>
      </w:r>
      <w:r w:rsidRPr="00DF6407">
        <w:rPr>
          <w:sz w:val="24"/>
          <w:szCs w:val="24"/>
        </w:rPr>
        <w:t xml:space="preserve"> and/or training for schools (Briggs, 2021).</w:t>
      </w:r>
    </w:p>
    <w:p w14:paraId="61F68668" w14:textId="07864BA2" w:rsidR="002E2ABD" w:rsidRDefault="002E2ABD" w:rsidP="00927EAA">
      <w:pPr>
        <w:spacing w:line="360" w:lineRule="auto"/>
        <w:rPr>
          <w:sz w:val="24"/>
          <w:szCs w:val="24"/>
        </w:rPr>
      </w:pPr>
      <w:r>
        <w:rPr>
          <w:sz w:val="24"/>
          <w:szCs w:val="24"/>
        </w:rPr>
        <w:t xml:space="preserve">Research into the importance and efficacy of supervision provision for teaching staff </w:t>
      </w:r>
      <w:r w:rsidR="0087590B">
        <w:rPr>
          <w:sz w:val="24"/>
          <w:szCs w:val="24"/>
        </w:rPr>
        <w:t xml:space="preserve">in schools </w:t>
      </w:r>
      <w:r>
        <w:rPr>
          <w:sz w:val="24"/>
          <w:szCs w:val="24"/>
        </w:rPr>
        <w:t>is a newly developing field</w:t>
      </w:r>
      <w:r w:rsidR="00CE6472">
        <w:rPr>
          <w:sz w:val="24"/>
          <w:szCs w:val="24"/>
        </w:rPr>
        <w:t>,</w:t>
      </w:r>
      <w:r>
        <w:rPr>
          <w:sz w:val="24"/>
          <w:szCs w:val="24"/>
        </w:rPr>
        <w:t xml:space="preserve"> </w:t>
      </w:r>
      <w:r w:rsidR="0087590B">
        <w:rPr>
          <w:sz w:val="24"/>
          <w:szCs w:val="24"/>
        </w:rPr>
        <w:t xml:space="preserve">and it is noteworthy that </w:t>
      </w:r>
      <w:r>
        <w:rPr>
          <w:sz w:val="24"/>
          <w:szCs w:val="24"/>
        </w:rPr>
        <w:t xml:space="preserve">research into supervision for HE teachers is non-existent. Supervision remains largely confined to healthcare and allied healthcare fields in university settings. Passionate about the importance of supervision as a restorative practice, Walker </w:t>
      </w:r>
      <w:r w:rsidR="00DA5BA4">
        <w:rPr>
          <w:sz w:val="24"/>
          <w:szCs w:val="24"/>
        </w:rPr>
        <w:t xml:space="preserve">at </w:t>
      </w:r>
      <w:r>
        <w:rPr>
          <w:sz w:val="24"/>
          <w:szCs w:val="24"/>
        </w:rPr>
        <w:t xml:space="preserve">the University of Hull conducted a pilot of restorative supervision to teaching staff in the health sectors in 2022/23 and recently reported it was being </w:t>
      </w:r>
      <w:r w:rsidRPr="00C15C8B">
        <w:rPr>
          <w:sz w:val="24"/>
          <w:szCs w:val="24"/>
        </w:rPr>
        <w:t>integrated into undergraduate nursing</w:t>
      </w:r>
      <w:r>
        <w:rPr>
          <w:sz w:val="24"/>
          <w:szCs w:val="24"/>
        </w:rPr>
        <w:t>,</w:t>
      </w:r>
      <w:r w:rsidRPr="00C15C8B">
        <w:rPr>
          <w:sz w:val="24"/>
          <w:szCs w:val="24"/>
        </w:rPr>
        <w:t xml:space="preserve"> midwifery </w:t>
      </w:r>
      <w:r>
        <w:rPr>
          <w:sz w:val="24"/>
          <w:szCs w:val="24"/>
        </w:rPr>
        <w:t xml:space="preserve">and </w:t>
      </w:r>
      <w:r w:rsidRPr="00C15C8B">
        <w:rPr>
          <w:sz w:val="24"/>
          <w:szCs w:val="24"/>
        </w:rPr>
        <w:t>paramedic programme</w:t>
      </w:r>
      <w:r>
        <w:rPr>
          <w:sz w:val="24"/>
          <w:szCs w:val="24"/>
        </w:rPr>
        <w:t>s (Schultz, 2024). D</w:t>
      </w:r>
      <w:r w:rsidRPr="00C15C8B">
        <w:rPr>
          <w:sz w:val="24"/>
          <w:szCs w:val="24"/>
        </w:rPr>
        <w:t xml:space="preserve">iscussions with the Faculty of Education about further </w:t>
      </w:r>
      <w:r>
        <w:rPr>
          <w:sz w:val="24"/>
          <w:szCs w:val="24"/>
        </w:rPr>
        <w:t xml:space="preserve">university-wide </w:t>
      </w:r>
      <w:r w:rsidRPr="00C15C8B">
        <w:rPr>
          <w:sz w:val="24"/>
          <w:szCs w:val="24"/>
        </w:rPr>
        <w:t>integration</w:t>
      </w:r>
      <w:r>
        <w:rPr>
          <w:sz w:val="24"/>
          <w:szCs w:val="24"/>
        </w:rPr>
        <w:t xml:space="preserve"> were ongoing and have not yet borne fruit (</w:t>
      </w:r>
      <w:r w:rsidR="00AB1ADC">
        <w:rPr>
          <w:sz w:val="24"/>
          <w:szCs w:val="24"/>
        </w:rPr>
        <w:t>ibid.</w:t>
      </w:r>
      <w:r>
        <w:rPr>
          <w:sz w:val="24"/>
          <w:szCs w:val="24"/>
        </w:rPr>
        <w:t>). Walker and her colleagues regularly promote the importance of safe practice for students and staff at conferences and in blogs (</w:t>
      </w:r>
      <w:r w:rsidRPr="00A56F07">
        <w:rPr>
          <w:sz w:val="24"/>
          <w:szCs w:val="24"/>
        </w:rPr>
        <w:t>Jennison</w:t>
      </w:r>
      <w:r>
        <w:rPr>
          <w:sz w:val="24"/>
          <w:szCs w:val="24"/>
        </w:rPr>
        <w:t xml:space="preserve"> and </w:t>
      </w:r>
      <w:r w:rsidRPr="00A56F07">
        <w:rPr>
          <w:sz w:val="24"/>
          <w:szCs w:val="24"/>
        </w:rPr>
        <w:t>Walker</w:t>
      </w:r>
      <w:r>
        <w:rPr>
          <w:sz w:val="24"/>
          <w:szCs w:val="24"/>
        </w:rPr>
        <w:t xml:space="preserve">, </w:t>
      </w:r>
      <w:r w:rsidRPr="00A56F07">
        <w:rPr>
          <w:sz w:val="24"/>
          <w:szCs w:val="24"/>
        </w:rPr>
        <w:t>2023</w:t>
      </w:r>
      <w:r>
        <w:rPr>
          <w:sz w:val="24"/>
          <w:szCs w:val="24"/>
        </w:rPr>
        <w:t xml:space="preserve">; </w:t>
      </w:r>
      <w:r w:rsidRPr="00BC6BB3">
        <w:rPr>
          <w:sz w:val="24"/>
          <w:szCs w:val="24"/>
        </w:rPr>
        <w:t>Jennison</w:t>
      </w:r>
      <w:r>
        <w:rPr>
          <w:sz w:val="24"/>
          <w:szCs w:val="24"/>
        </w:rPr>
        <w:t xml:space="preserve"> </w:t>
      </w:r>
      <w:r w:rsidR="00FB3A6E" w:rsidRPr="00FB3A6E">
        <w:rPr>
          <w:i/>
          <w:sz w:val="24"/>
          <w:szCs w:val="24"/>
        </w:rPr>
        <w:t>et al.</w:t>
      </w:r>
      <w:r>
        <w:rPr>
          <w:sz w:val="24"/>
          <w:szCs w:val="24"/>
        </w:rPr>
        <w:t xml:space="preserve">, </w:t>
      </w:r>
      <w:r w:rsidRPr="00BC6BB3">
        <w:rPr>
          <w:sz w:val="24"/>
          <w:szCs w:val="24"/>
        </w:rPr>
        <w:t>2024</w:t>
      </w:r>
      <w:r>
        <w:rPr>
          <w:sz w:val="24"/>
          <w:szCs w:val="24"/>
        </w:rPr>
        <w:t xml:space="preserve">; 2024a; Walker, </w:t>
      </w:r>
      <w:r w:rsidR="00FB3A6E" w:rsidRPr="00FB3A6E">
        <w:rPr>
          <w:i/>
          <w:sz w:val="24"/>
          <w:szCs w:val="24"/>
        </w:rPr>
        <w:t>et al.</w:t>
      </w:r>
      <w:r>
        <w:rPr>
          <w:sz w:val="24"/>
          <w:szCs w:val="24"/>
        </w:rPr>
        <w:t xml:space="preserve">, 2024). </w:t>
      </w:r>
    </w:p>
    <w:p w14:paraId="498F1C0C" w14:textId="32730F77" w:rsidR="002E2ABD" w:rsidRDefault="002E2ABD" w:rsidP="00927EAA">
      <w:pPr>
        <w:spacing w:line="360" w:lineRule="auto"/>
        <w:rPr>
          <w:sz w:val="24"/>
          <w:szCs w:val="24"/>
        </w:rPr>
      </w:pPr>
      <w:r>
        <w:rPr>
          <w:sz w:val="24"/>
          <w:szCs w:val="24"/>
        </w:rPr>
        <w:lastRenderedPageBreak/>
        <w:t>Notably the growth of supervision</w:t>
      </w:r>
      <w:r w:rsidR="00153782">
        <w:rPr>
          <w:sz w:val="24"/>
          <w:szCs w:val="24"/>
        </w:rPr>
        <w:t xml:space="preserve"> provision</w:t>
      </w:r>
      <w:r>
        <w:rPr>
          <w:sz w:val="24"/>
          <w:szCs w:val="24"/>
        </w:rPr>
        <w:t xml:space="preserve"> in schools reflects an acknowledgement of the higher emotional levels teachers are operating at when faced with increasing </w:t>
      </w:r>
      <w:r w:rsidR="001A469D">
        <w:rPr>
          <w:sz w:val="24"/>
          <w:szCs w:val="24"/>
        </w:rPr>
        <w:t>student</w:t>
      </w:r>
      <w:r w:rsidR="00F8698A">
        <w:rPr>
          <w:sz w:val="24"/>
          <w:szCs w:val="24"/>
        </w:rPr>
        <w:t xml:space="preserve"> </w:t>
      </w:r>
      <w:r>
        <w:rPr>
          <w:sz w:val="24"/>
          <w:szCs w:val="24"/>
        </w:rPr>
        <w:t xml:space="preserve">pastoral needs (Briggs, 2021; Lawrence, 2019). </w:t>
      </w:r>
      <w:r w:rsidR="00D763EB">
        <w:rPr>
          <w:sz w:val="24"/>
          <w:szCs w:val="24"/>
        </w:rPr>
        <w:t>Most</w:t>
      </w:r>
      <w:r>
        <w:rPr>
          <w:sz w:val="24"/>
          <w:szCs w:val="24"/>
        </w:rPr>
        <w:t xml:space="preserve"> of the studies citing the efficacy of supervision for school staff (Carroll </w:t>
      </w:r>
      <w:r w:rsidR="00FB3A6E" w:rsidRPr="00FB3A6E">
        <w:rPr>
          <w:i/>
          <w:sz w:val="24"/>
          <w:szCs w:val="24"/>
        </w:rPr>
        <w:t>et al.</w:t>
      </w:r>
      <w:r>
        <w:rPr>
          <w:sz w:val="24"/>
          <w:szCs w:val="24"/>
        </w:rPr>
        <w:t xml:space="preserve">, 2020; </w:t>
      </w:r>
      <w:r w:rsidRPr="00305D0E">
        <w:rPr>
          <w:sz w:val="24"/>
          <w:szCs w:val="24"/>
        </w:rPr>
        <w:t>Reid and Soan</w:t>
      </w:r>
      <w:r>
        <w:rPr>
          <w:sz w:val="24"/>
          <w:szCs w:val="24"/>
        </w:rPr>
        <w:t xml:space="preserve">, </w:t>
      </w:r>
      <w:r w:rsidRPr="00305D0E">
        <w:rPr>
          <w:sz w:val="24"/>
          <w:szCs w:val="24"/>
        </w:rPr>
        <w:t>2019</w:t>
      </w:r>
      <w:r>
        <w:rPr>
          <w:sz w:val="24"/>
          <w:szCs w:val="24"/>
        </w:rPr>
        <w:t xml:space="preserve">; Willis and Baines, 2017) are targeted towards SENCO staff in recognition of the </w:t>
      </w:r>
      <w:r w:rsidR="00322B02">
        <w:rPr>
          <w:sz w:val="24"/>
          <w:szCs w:val="24"/>
        </w:rPr>
        <w:t xml:space="preserve">difficulties </w:t>
      </w:r>
      <w:r>
        <w:rPr>
          <w:sz w:val="24"/>
          <w:szCs w:val="24"/>
        </w:rPr>
        <w:t>of working with children who are challenged and vulnerable</w:t>
      </w:r>
      <w:r w:rsidR="00A2081C">
        <w:rPr>
          <w:sz w:val="24"/>
          <w:szCs w:val="24"/>
        </w:rPr>
        <w:t>. This</w:t>
      </w:r>
      <w:r w:rsidR="00207BB8">
        <w:rPr>
          <w:sz w:val="24"/>
          <w:szCs w:val="24"/>
        </w:rPr>
        <w:t xml:space="preserve"> will likel</w:t>
      </w:r>
      <w:r w:rsidR="00C2084F">
        <w:rPr>
          <w:sz w:val="24"/>
          <w:szCs w:val="24"/>
        </w:rPr>
        <w:t xml:space="preserve">y </w:t>
      </w:r>
      <w:r w:rsidR="00A2081C">
        <w:rPr>
          <w:sz w:val="24"/>
          <w:szCs w:val="24"/>
        </w:rPr>
        <w:t>render</w:t>
      </w:r>
      <w:r w:rsidR="00C3790B">
        <w:rPr>
          <w:sz w:val="24"/>
          <w:szCs w:val="24"/>
        </w:rPr>
        <w:t xml:space="preserve"> the </w:t>
      </w:r>
      <w:r>
        <w:rPr>
          <w:sz w:val="24"/>
          <w:szCs w:val="24"/>
        </w:rPr>
        <w:t xml:space="preserve">inception of supervision as a well-being tool for university staff </w:t>
      </w:r>
      <w:r w:rsidR="00D13527">
        <w:rPr>
          <w:sz w:val="24"/>
          <w:szCs w:val="24"/>
        </w:rPr>
        <w:t>working with adult students meeting</w:t>
      </w:r>
      <w:r>
        <w:rPr>
          <w:sz w:val="24"/>
          <w:szCs w:val="24"/>
        </w:rPr>
        <w:t xml:space="preserve"> with resistance</w:t>
      </w:r>
      <w:r w:rsidR="00F029CC">
        <w:rPr>
          <w:sz w:val="24"/>
          <w:szCs w:val="24"/>
        </w:rPr>
        <w:t>.</w:t>
      </w:r>
      <w:r>
        <w:rPr>
          <w:sz w:val="24"/>
          <w:szCs w:val="24"/>
        </w:rPr>
        <w:t xml:space="preserve"> </w:t>
      </w:r>
      <w:r w:rsidR="007F521F">
        <w:rPr>
          <w:sz w:val="24"/>
          <w:szCs w:val="24"/>
        </w:rPr>
        <w:t xml:space="preserve">This </w:t>
      </w:r>
      <w:r>
        <w:rPr>
          <w:sz w:val="24"/>
          <w:szCs w:val="24"/>
        </w:rPr>
        <w:t xml:space="preserve">point </w:t>
      </w:r>
      <w:r w:rsidR="007F521F">
        <w:rPr>
          <w:sz w:val="24"/>
          <w:szCs w:val="24"/>
        </w:rPr>
        <w:t xml:space="preserve">was </w:t>
      </w:r>
      <w:r>
        <w:rPr>
          <w:sz w:val="24"/>
          <w:szCs w:val="24"/>
        </w:rPr>
        <w:t>raised by Mo</w:t>
      </w:r>
      <w:r w:rsidR="00F86DD7">
        <w:rPr>
          <w:sz w:val="24"/>
          <w:szCs w:val="24"/>
        </w:rPr>
        <w:t xml:space="preserve"> (</w:t>
      </w:r>
      <w:r w:rsidR="00397281">
        <w:rPr>
          <w:sz w:val="24"/>
          <w:szCs w:val="24"/>
        </w:rPr>
        <w:t>Appendix K)</w:t>
      </w:r>
      <w:r w:rsidR="007A0F84">
        <w:rPr>
          <w:sz w:val="24"/>
          <w:szCs w:val="24"/>
        </w:rPr>
        <w:t>,</w:t>
      </w:r>
      <w:r>
        <w:rPr>
          <w:sz w:val="24"/>
          <w:szCs w:val="24"/>
        </w:rPr>
        <w:t xml:space="preserve"> one of the participants in this study who teaches on teacher training programmes</w:t>
      </w:r>
      <w:r w:rsidR="008D3BEA">
        <w:rPr>
          <w:sz w:val="24"/>
          <w:szCs w:val="24"/>
        </w:rPr>
        <w:t xml:space="preserve"> in HE</w:t>
      </w:r>
      <w:r w:rsidR="00004ECA">
        <w:rPr>
          <w:sz w:val="24"/>
          <w:szCs w:val="24"/>
        </w:rPr>
        <w:t>.</w:t>
      </w:r>
      <w:r w:rsidR="007F521F">
        <w:rPr>
          <w:sz w:val="24"/>
          <w:szCs w:val="24"/>
        </w:rPr>
        <w:t xml:space="preserve"> </w:t>
      </w:r>
      <w:r w:rsidR="00004ECA">
        <w:rPr>
          <w:sz w:val="24"/>
          <w:szCs w:val="24"/>
        </w:rPr>
        <w:t xml:space="preserve">She </w:t>
      </w:r>
      <w:r w:rsidR="007F521F">
        <w:rPr>
          <w:sz w:val="24"/>
          <w:szCs w:val="24"/>
        </w:rPr>
        <w:t xml:space="preserve">noted that </w:t>
      </w:r>
      <w:r>
        <w:rPr>
          <w:sz w:val="24"/>
          <w:szCs w:val="24"/>
        </w:rPr>
        <w:t>universit</w:t>
      </w:r>
      <w:r w:rsidR="00AB517E">
        <w:rPr>
          <w:sz w:val="24"/>
          <w:szCs w:val="24"/>
        </w:rPr>
        <w:t xml:space="preserve">y teacher trainers </w:t>
      </w:r>
      <w:r>
        <w:rPr>
          <w:sz w:val="24"/>
          <w:szCs w:val="24"/>
        </w:rPr>
        <w:t xml:space="preserve">are receiving students as adults onto </w:t>
      </w:r>
      <w:r w:rsidR="00AB517E">
        <w:rPr>
          <w:sz w:val="24"/>
          <w:szCs w:val="24"/>
        </w:rPr>
        <w:t xml:space="preserve">HE </w:t>
      </w:r>
      <w:r>
        <w:rPr>
          <w:sz w:val="24"/>
          <w:szCs w:val="24"/>
        </w:rPr>
        <w:t xml:space="preserve">professional training </w:t>
      </w:r>
      <w:r w:rsidR="00313282">
        <w:rPr>
          <w:sz w:val="24"/>
          <w:szCs w:val="24"/>
        </w:rPr>
        <w:t>programmes and</w:t>
      </w:r>
      <w:r>
        <w:rPr>
          <w:sz w:val="24"/>
          <w:szCs w:val="24"/>
        </w:rPr>
        <w:t xml:space="preserve"> imposing or suggesting supervisory support may undermine their agency</w:t>
      </w:r>
      <w:r w:rsidR="00DD527E">
        <w:rPr>
          <w:sz w:val="24"/>
          <w:szCs w:val="24"/>
        </w:rPr>
        <w:t xml:space="preserve"> (ibid.)</w:t>
      </w:r>
      <w:r>
        <w:rPr>
          <w:sz w:val="24"/>
          <w:szCs w:val="24"/>
        </w:rPr>
        <w:t xml:space="preserve">, </w:t>
      </w:r>
      <w:r w:rsidR="00D763EB">
        <w:rPr>
          <w:sz w:val="24"/>
          <w:szCs w:val="24"/>
        </w:rPr>
        <w:t>and</w:t>
      </w:r>
      <w:r>
        <w:rPr>
          <w:sz w:val="24"/>
          <w:szCs w:val="24"/>
        </w:rPr>
        <w:t xml:space="preserve"> I </w:t>
      </w:r>
      <w:r w:rsidR="003879C8">
        <w:rPr>
          <w:sz w:val="24"/>
          <w:szCs w:val="24"/>
        </w:rPr>
        <w:t xml:space="preserve">contend </w:t>
      </w:r>
      <w:r w:rsidR="009315CF">
        <w:rPr>
          <w:sz w:val="24"/>
          <w:szCs w:val="24"/>
        </w:rPr>
        <w:t xml:space="preserve">their </w:t>
      </w:r>
      <w:r>
        <w:rPr>
          <w:sz w:val="24"/>
          <w:szCs w:val="24"/>
        </w:rPr>
        <w:t>professional pride</w:t>
      </w:r>
      <w:r w:rsidR="007F72E2">
        <w:rPr>
          <w:sz w:val="24"/>
          <w:szCs w:val="24"/>
        </w:rPr>
        <w:t xml:space="preserve"> and identity.</w:t>
      </w:r>
    </w:p>
    <w:p w14:paraId="1233D127" w14:textId="77777777" w:rsidR="002E2ABD" w:rsidRPr="00262F4C" w:rsidRDefault="002E2ABD" w:rsidP="00927EAA">
      <w:pPr>
        <w:spacing w:line="360" w:lineRule="auto"/>
        <w:rPr>
          <w:b/>
          <w:bCs/>
          <w:sz w:val="24"/>
          <w:szCs w:val="24"/>
        </w:rPr>
      </w:pPr>
      <w:r w:rsidRPr="00262F4C">
        <w:rPr>
          <w:b/>
          <w:bCs/>
          <w:sz w:val="24"/>
          <w:szCs w:val="24"/>
        </w:rPr>
        <w:t>Dangers of supervision</w:t>
      </w:r>
    </w:p>
    <w:p w14:paraId="68EB8202" w14:textId="1112F414" w:rsidR="002E2ABD" w:rsidRDefault="002E2ABD" w:rsidP="00927EAA">
      <w:pPr>
        <w:spacing w:line="360" w:lineRule="auto"/>
        <w:rPr>
          <w:sz w:val="24"/>
          <w:szCs w:val="24"/>
        </w:rPr>
      </w:pPr>
      <w:r>
        <w:rPr>
          <w:sz w:val="24"/>
          <w:szCs w:val="24"/>
        </w:rPr>
        <w:t xml:space="preserve">Supervision is not without its challenges. </w:t>
      </w:r>
      <w:r w:rsidRPr="00DA5223">
        <w:rPr>
          <w:sz w:val="24"/>
          <w:szCs w:val="24"/>
        </w:rPr>
        <w:t xml:space="preserve">The term </w:t>
      </w:r>
      <w:r w:rsidR="001D2FBD">
        <w:rPr>
          <w:sz w:val="24"/>
          <w:szCs w:val="24"/>
        </w:rPr>
        <w:t>“</w:t>
      </w:r>
      <w:r w:rsidRPr="00DA5223">
        <w:rPr>
          <w:sz w:val="24"/>
          <w:szCs w:val="24"/>
        </w:rPr>
        <w:t>clinical supervision</w:t>
      </w:r>
      <w:r w:rsidR="001D2FBD">
        <w:rPr>
          <w:sz w:val="24"/>
          <w:szCs w:val="24"/>
        </w:rPr>
        <w:t>”</w:t>
      </w:r>
      <w:r>
        <w:rPr>
          <w:sz w:val="24"/>
          <w:szCs w:val="24"/>
        </w:rPr>
        <w:t>, for example</w:t>
      </w:r>
      <w:r w:rsidR="006E11FA">
        <w:rPr>
          <w:sz w:val="24"/>
          <w:szCs w:val="24"/>
        </w:rPr>
        <w:t>,</w:t>
      </w:r>
      <w:r w:rsidRPr="00DA5223">
        <w:rPr>
          <w:sz w:val="24"/>
          <w:szCs w:val="24"/>
        </w:rPr>
        <w:t xml:space="preserve"> has been criticised for its lack of clarity of purpose and function (Berggren and Severinsson, 2013), and as an umbrella term suggests it is solely used by clinicians</w:t>
      </w:r>
      <w:r w:rsidR="00BA622C">
        <w:rPr>
          <w:sz w:val="24"/>
          <w:szCs w:val="24"/>
        </w:rPr>
        <w:t>,</w:t>
      </w:r>
      <w:r w:rsidRPr="00DA5223">
        <w:rPr>
          <w:sz w:val="24"/>
          <w:szCs w:val="24"/>
        </w:rPr>
        <w:t xml:space="preserve"> or </w:t>
      </w:r>
      <w:r w:rsidR="00BA622C">
        <w:rPr>
          <w:sz w:val="24"/>
          <w:szCs w:val="24"/>
        </w:rPr>
        <w:t xml:space="preserve">it </w:t>
      </w:r>
      <w:r w:rsidRPr="00DA5223">
        <w:rPr>
          <w:sz w:val="24"/>
          <w:szCs w:val="24"/>
        </w:rPr>
        <w:t xml:space="preserve">may be clinical in its methodology. </w:t>
      </w:r>
      <w:r w:rsidRPr="0005000B">
        <w:rPr>
          <w:sz w:val="24"/>
          <w:szCs w:val="24"/>
        </w:rPr>
        <w:t>Breaking the term supervision into its component parts</w:t>
      </w:r>
      <w:r>
        <w:rPr>
          <w:sz w:val="24"/>
          <w:szCs w:val="24"/>
        </w:rPr>
        <w:t xml:space="preserve"> </w:t>
      </w:r>
      <w:r w:rsidR="00860C00">
        <w:rPr>
          <w:sz w:val="24"/>
          <w:szCs w:val="24"/>
        </w:rPr>
        <w:t>-</w:t>
      </w:r>
      <w:r w:rsidR="00BC057A">
        <w:rPr>
          <w:sz w:val="24"/>
          <w:szCs w:val="24"/>
        </w:rPr>
        <w:t xml:space="preserve"> “</w:t>
      </w:r>
      <w:r w:rsidRPr="0005000B">
        <w:rPr>
          <w:sz w:val="24"/>
          <w:szCs w:val="24"/>
        </w:rPr>
        <w:t>super</w:t>
      </w:r>
      <w:r w:rsidR="00BC057A">
        <w:rPr>
          <w:sz w:val="24"/>
          <w:szCs w:val="24"/>
        </w:rPr>
        <w:t>”</w:t>
      </w:r>
      <w:r w:rsidRPr="0005000B">
        <w:rPr>
          <w:sz w:val="24"/>
          <w:szCs w:val="24"/>
        </w:rPr>
        <w:t xml:space="preserve"> and </w:t>
      </w:r>
      <w:r w:rsidR="00BC057A">
        <w:rPr>
          <w:sz w:val="24"/>
          <w:szCs w:val="24"/>
        </w:rPr>
        <w:t>“</w:t>
      </w:r>
      <w:r w:rsidRPr="0005000B">
        <w:rPr>
          <w:sz w:val="24"/>
          <w:szCs w:val="24"/>
        </w:rPr>
        <w:t>vision</w:t>
      </w:r>
      <w:r w:rsidR="00BC057A">
        <w:rPr>
          <w:sz w:val="24"/>
          <w:szCs w:val="24"/>
        </w:rPr>
        <w:t>” -</w:t>
      </w:r>
      <w:r w:rsidR="00860C00">
        <w:rPr>
          <w:sz w:val="24"/>
          <w:szCs w:val="24"/>
        </w:rPr>
        <w:t xml:space="preserve"> </w:t>
      </w:r>
      <w:r w:rsidRPr="0005000B">
        <w:rPr>
          <w:sz w:val="24"/>
          <w:szCs w:val="24"/>
        </w:rPr>
        <w:t xml:space="preserve">the very nature of these terms suggests the supervisor has superior abilities and knowledge (Gilbert and Evans, 2000). </w:t>
      </w:r>
      <w:r w:rsidRPr="001D6B7E">
        <w:rPr>
          <w:sz w:val="24"/>
          <w:szCs w:val="24"/>
        </w:rPr>
        <w:t>Modelled on the traditional apprenticeship relationship (</w:t>
      </w:r>
      <w:bookmarkStart w:id="45" w:name="_Hlk147719435"/>
      <w:r w:rsidRPr="001D6B7E">
        <w:rPr>
          <w:sz w:val="24"/>
          <w:szCs w:val="24"/>
        </w:rPr>
        <w:t>Sussman,</w:t>
      </w:r>
      <w:r>
        <w:rPr>
          <w:sz w:val="24"/>
          <w:szCs w:val="24"/>
        </w:rPr>
        <w:t xml:space="preserve"> </w:t>
      </w:r>
      <w:r w:rsidRPr="001D6B7E">
        <w:rPr>
          <w:sz w:val="24"/>
          <w:szCs w:val="24"/>
        </w:rPr>
        <w:t>2007)</w:t>
      </w:r>
      <w:bookmarkEnd w:id="45"/>
      <w:r w:rsidRPr="001D6B7E">
        <w:rPr>
          <w:sz w:val="24"/>
          <w:szCs w:val="24"/>
        </w:rPr>
        <w:t xml:space="preserve">, </w:t>
      </w:r>
      <w:r>
        <w:rPr>
          <w:sz w:val="24"/>
          <w:szCs w:val="24"/>
        </w:rPr>
        <w:t>this hierarchical relationship can negatively impact the supervisee particularly when the supervisor has a line management and leadership responsibility (Edwards, 2023)</w:t>
      </w:r>
      <w:r w:rsidRPr="00C438B7">
        <w:rPr>
          <w:sz w:val="24"/>
          <w:szCs w:val="24"/>
        </w:rPr>
        <w:t xml:space="preserve">. </w:t>
      </w:r>
      <w:r w:rsidR="009679E9">
        <w:rPr>
          <w:sz w:val="24"/>
          <w:szCs w:val="24"/>
        </w:rPr>
        <w:t xml:space="preserve">Furthermore, </w:t>
      </w:r>
      <w:r w:rsidR="004C4F6B">
        <w:rPr>
          <w:sz w:val="24"/>
          <w:szCs w:val="24"/>
        </w:rPr>
        <w:t>i</w:t>
      </w:r>
      <w:r w:rsidRPr="00C438B7">
        <w:rPr>
          <w:sz w:val="24"/>
          <w:szCs w:val="24"/>
        </w:rPr>
        <w:t xml:space="preserve">n education managers may argue it is not their role to offer </w:t>
      </w:r>
      <w:r w:rsidR="00C2084F" w:rsidRPr="00C438B7">
        <w:rPr>
          <w:sz w:val="24"/>
          <w:szCs w:val="24"/>
        </w:rPr>
        <w:t>supervision,</w:t>
      </w:r>
      <w:r w:rsidRPr="00C438B7">
        <w:rPr>
          <w:sz w:val="24"/>
          <w:szCs w:val="24"/>
        </w:rPr>
        <w:t xml:space="preserve"> and they lack the skills in implementing </w:t>
      </w:r>
      <w:r w:rsidR="004C4F6B">
        <w:rPr>
          <w:sz w:val="24"/>
          <w:szCs w:val="24"/>
        </w:rPr>
        <w:t>it</w:t>
      </w:r>
      <w:r w:rsidRPr="00C438B7">
        <w:rPr>
          <w:sz w:val="24"/>
          <w:szCs w:val="24"/>
        </w:rPr>
        <w:t>.</w:t>
      </w:r>
      <w:r w:rsidRPr="00B346B6">
        <w:rPr>
          <w:sz w:val="24"/>
          <w:szCs w:val="24"/>
        </w:rPr>
        <w:t xml:space="preserve"> </w:t>
      </w:r>
    </w:p>
    <w:p w14:paraId="2DE77373" w14:textId="509FD78A" w:rsidR="002E2ABD" w:rsidRDefault="002E2ABD" w:rsidP="00927EAA">
      <w:pPr>
        <w:spacing w:line="360" w:lineRule="auto"/>
        <w:rPr>
          <w:sz w:val="24"/>
          <w:szCs w:val="24"/>
        </w:rPr>
      </w:pPr>
      <w:r w:rsidRPr="00B346B6">
        <w:rPr>
          <w:sz w:val="24"/>
          <w:szCs w:val="24"/>
        </w:rPr>
        <w:t>Supervision guidelines lack appropriate and specific strategies (Howard, 2008) leaving those with supervisory duties lacking best practice guidelines</w:t>
      </w:r>
      <w:r>
        <w:rPr>
          <w:sz w:val="24"/>
          <w:szCs w:val="24"/>
        </w:rPr>
        <w:t xml:space="preserve">, although since 2008 the field has developed, and Carroll </w:t>
      </w:r>
      <w:r w:rsidR="00FB3A6E" w:rsidRPr="00FB3A6E">
        <w:rPr>
          <w:i/>
          <w:sz w:val="24"/>
          <w:szCs w:val="24"/>
        </w:rPr>
        <w:t>et al.</w:t>
      </w:r>
      <w:r>
        <w:rPr>
          <w:sz w:val="24"/>
          <w:szCs w:val="24"/>
        </w:rPr>
        <w:t xml:space="preserve"> (2020) have addressed some of these concerns</w:t>
      </w:r>
      <w:r w:rsidRPr="00B346B6">
        <w:rPr>
          <w:sz w:val="24"/>
          <w:szCs w:val="24"/>
        </w:rPr>
        <w:t xml:space="preserve">. </w:t>
      </w:r>
      <w:r w:rsidRPr="00C438B7">
        <w:rPr>
          <w:sz w:val="24"/>
          <w:szCs w:val="24"/>
        </w:rPr>
        <w:t xml:space="preserve"> If imposed, supervision can “infantilise the supervisee” (Reid and Soan, 2019, p.5) further emphasising the power inequity and cultural divide between the supervisee and management. Much like a baby must choose their transitional object (Winnicott, 1958) as it gives th</w:t>
      </w:r>
      <w:r w:rsidR="004D2C5A">
        <w:rPr>
          <w:sz w:val="24"/>
          <w:szCs w:val="24"/>
        </w:rPr>
        <w:t xml:space="preserve">e </w:t>
      </w:r>
      <w:r w:rsidR="00365116">
        <w:rPr>
          <w:sz w:val="24"/>
          <w:szCs w:val="24"/>
        </w:rPr>
        <w:t>baby</w:t>
      </w:r>
      <w:r w:rsidRPr="00C438B7">
        <w:rPr>
          <w:sz w:val="24"/>
          <w:szCs w:val="24"/>
        </w:rPr>
        <w:t xml:space="preserve"> agency </w:t>
      </w:r>
      <w:r w:rsidRPr="00C438B7">
        <w:rPr>
          <w:sz w:val="24"/>
          <w:szCs w:val="24"/>
        </w:rPr>
        <w:lastRenderedPageBreak/>
        <w:t xml:space="preserve">over who or what can be trusted to facilitate their growth, the agency to choose a supervisor is itself </w:t>
      </w:r>
      <w:r>
        <w:rPr>
          <w:sz w:val="24"/>
          <w:szCs w:val="24"/>
        </w:rPr>
        <w:t>both an empowering and</w:t>
      </w:r>
      <w:r w:rsidRPr="00C438B7">
        <w:rPr>
          <w:sz w:val="24"/>
          <w:szCs w:val="24"/>
        </w:rPr>
        <w:t xml:space="preserve"> safeguarding act.</w:t>
      </w:r>
    </w:p>
    <w:p w14:paraId="2344CBC2" w14:textId="178C5084" w:rsidR="002E2ABD" w:rsidRPr="00D82C56" w:rsidRDefault="002E2ABD" w:rsidP="00927EAA">
      <w:pPr>
        <w:spacing w:line="360" w:lineRule="auto"/>
        <w:rPr>
          <w:sz w:val="24"/>
          <w:szCs w:val="24"/>
        </w:rPr>
      </w:pPr>
      <w:r>
        <w:rPr>
          <w:sz w:val="24"/>
          <w:szCs w:val="24"/>
        </w:rPr>
        <w:t>Supervision</w:t>
      </w:r>
      <w:r w:rsidRPr="008F1C71">
        <w:rPr>
          <w:sz w:val="24"/>
          <w:szCs w:val="24"/>
        </w:rPr>
        <w:t xml:space="preserve"> is designed to be collaborative, non-judgemental, empowering and supportive</w:t>
      </w:r>
      <w:r>
        <w:rPr>
          <w:sz w:val="24"/>
          <w:szCs w:val="24"/>
        </w:rPr>
        <w:t xml:space="preserve"> </w:t>
      </w:r>
      <w:r w:rsidRPr="008F1C71">
        <w:rPr>
          <w:sz w:val="24"/>
          <w:szCs w:val="24"/>
        </w:rPr>
        <w:t xml:space="preserve">(Reid, 2007). </w:t>
      </w:r>
      <w:r w:rsidRPr="0084589A">
        <w:rPr>
          <w:sz w:val="24"/>
          <w:szCs w:val="24"/>
        </w:rPr>
        <w:t xml:space="preserve">In healthcare professions, the </w:t>
      </w:r>
      <w:r>
        <w:rPr>
          <w:sz w:val="24"/>
          <w:szCs w:val="24"/>
        </w:rPr>
        <w:t xml:space="preserve">assigned </w:t>
      </w:r>
      <w:r w:rsidRPr="0084589A">
        <w:rPr>
          <w:sz w:val="24"/>
          <w:szCs w:val="24"/>
        </w:rPr>
        <w:t>supervisor is often a senior colleague in the same department, a situation that poses boundary, power</w:t>
      </w:r>
      <w:r>
        <w:rPr>
          <w:sz w:val="24"/>
          <w:szCs w:val="24"/>
        </w:rPr>
        <w:t>, trust</w:t>
      </w:r>
      <w:r w:rsidRPr="0084589A">
        <w:rPr>
          <w:sz w:val="24"/>
          <w:szCs w:val="24"/>
        </w:rPr>
        <w:t xml:space="preserve"> and confidentiality concerns</w:t>
      </w:r>
      <w:r>
        <w:rPr>
          <w:sz w:val="24"/>
          <w:szCs w:val="24"/>
        </w:rPr>
        <w:t xml:space="preserve"> and could compromise its collaborat</w:t>
      </w:r>
      <w:r w:rsidR="00E15DCE">
        <w:rPr>
          <w:sz w:val="24"/>
          <w:szCs w:val="24"/>
        </w:rPr>
        <w:t xml:space="preserve">ive </w:t>
      </w:r>
      <w:r>
        <w:rPr>
          <w:sz w:val="24"/>
          <w:szCs w:val="24"/>
        </w:rPr>
        <w:t>and supportive functions (Reid, 2007).</w:t>
      </w:r>
      <w:r w:rsidRPr="005F4210">
        <w:rPr>
          <w:sz w:val="24"/>
          <w:szCs w:val="24"/>
        </w:rPr>
        <w:t xml:space="preserve"> </w:t>
      </w:r>
      <w:r w:rsidRPr="00DD4C57">
        <w:rPr>
          <w:sz w:val="24"/>
          <w:szCs w:val="24"/>
        </w:rPr>
        <w:t xml:space="preserve">Pines (1986) believes that the supervisor should be an invisible presence, one who is testing new horizons with their supervisees by being creatively curious about the work they are supervising. Such a benign standpoint might be difficult to operationalise if the supervisee fears </w:t>
      </w:r>
      <w:r w:rsidR="00913C2D">
        <w:rPr>
          <w:sz w:val="24"/>
          <w:szCs w:val="24"/>
        </w:rPr>
        <w:t xml:space="preserve">that </w:t>
      </w:r>
      <w:r w:rsidRPr="00DD4C57">
        <w:rPr>
          <w:sz w:val="24"/>
          <w:szCs w:val="24"/>
        </w:rPr>
        <w:t xml:space="preserve">the watchful eyes of the supervisor </w:t>
      </w:r>
      <w:r>
        <w:rPr>
          <w:sz w:val="24"/>
          <w:szCs w:val="24"/>
        </w:rPr>
        <w:t>colleague might</w:t>
      </w:r>
      <w:r w:rsidR="001A77D5">
        <w:rPr>
          <w:sz w:val="24"/>
          <w:szCs w:val="24"/>
        </w:rPr>
        <w:t xml:space="preserve"> constitute</w:t>
      </w:r>
      <w:r>
        <w:rPr>
          <w:sz w:val="24"/>
          <w:szCs w:val="24"/>
        </w:rPr>
        <w:t xml:space="preserve"> </w:t>
      </w:r>
      <w:r w:rsidRPr="00DD4C57">
        <w:rPr>
          <w:sz w:val="24"/>
          <w:szCs w:val="24"/>
        </w:rPr>
        <w:t xml:space="preserve">yet another feedback mechanism </w:t>
      </w:r>
      <w:r>
        <w:rPr>
          <w:sz w:val="24"/>
          <w:szCs w:val="24"/>
        </w:rPr>
        <w:t>for the employer</w:t>
      </w:r>
      <w:r w:rsidRPr="006B3804">
        <w:rPr>
          <w:sz w:val="24"/>
          <w:szCs w:val="24"/>
        </w:rPr>
        <w:t xml:space="preserve"> (Feltham, 2002; Reid, 2007)</w:t>
      </w:r>
      <w:r>
        <w:rPr>
          <w:sz w:val="24"/>
          <w:szCs w:val="24"/>
        </w:rPr>
        <w:t xml:space="preserve">. In education, the same principle may apply, and some believe supervision is </w:t>
      </w:r>
      <w:r w:rsidRPr="006C03FC">
        <w:rPr>
          <w:sz w:val="24"/>
          <w:szCs w:val="24"/>
        </w:rPr>
        <w:t>associated with surveillance and punishment for failure to rea</w:t>
      </w:r>
      <w:r>
        <w:rPr>
          <w:sz w:val="24"/>
          <w:szCs w:val="24"/>
        </w:rPr>
        <w:t>ch</w:t>
      </w:r>
      <w:r w:rsidRPr="006C03FC">
        <w:rPr>
          <w:sz w:val="24"/>
          <w:szCs w:val="24"/>
        </w:rPr>
        <w:t xml:space="preserve"> academic targets (Bainbridge </w:t>
      </w:r>
      <w:r w:rsidR="00FB3A6E" w:rsidRPr="00FB3A6E">
        <w:rPr>
          <w:i/>
          <w:sz w:val="24"/>
          <w:szCs w:val="24"/>
        </w:rPr>
        <w:t>et al.</w:t>
      </w:r>
      <w:r w:rsidRPr="006C03FC">
        <w:rPr>
          <w:sz w:val="24"/>
          <w:szCs w:val="24"/>
        </w:rPr>
        <w:t>, 2019; Lawrence, 2019)</w:t>
      </w:r>
      <w:r>
        <w:rPr>
          <w:sz w:val="24"/>
          <w:szCs w:val="24"/>
        </w:rPr>
        <w:t xml:space="preserve">. </w:t>
      </w:r>
    </w:p>
    <w:p w14:paraId="57E20964" w14:textId="08712CF0" w:rsidR="00A62D9C" w:rsidRDefault="002E2ABD" w:rsidP="00927EAA">
      <w:pPr>
        <w:spacing w:line="360" w:lineRule="auto"/>
        <w:rPr>
          <w:sz w:val="24"/>
          <w:szCs w:val="24"/>
        </w:rPr>
      </w:pPr>
      <w:bookmarkStart w:id="46" w:name="_Hlk147857494"/>
      <w:bookmarkStart w:id="47" w:name="_Hlk147678857"/>
      <w:r>
        <w:rPr>
          <w:sz w:val="24"/>
          <w:szCs w:val="24"/>
        </w:rPr>
        <w:t>To explore who might be best placed to provide supervision</w:t>
      </w:r>
      <w:r w:rsidR="0058647A">
        <w:rPr>
          <w:sz w:val="24"/>
          <w:szCs w:val="24"/>
        </w:rPr>
        <w:t>,</w:t>
      </w:r>
      <w:r>
        <w:rPr>
          <w:sz w:val="24"/>
          <w:szCs w:val="24"/>
        </w:rPr>
        <w:t xml:space="preserve"> I briefly return to examples from healthcare. In the NHS t</w:t>
      </w:r>
      <w:r w:rsidRPr="001D6B7E">
        <w:rPr>
          <w:sz w:val="24"/>
          <w:szCs w:val="24"/>
        </w:rPr>
        <w:t xml:space="preserve">he </w:t>
      </w:r>
      <w:bookmarkEnd w:id="46"/>
      <w:r w:rsidRPr="001D6B7E">
        <w:rPr>
          <w:sz w:val="24"/>
          <w:szCs w:val="24"/>
        </w:rPr>
        <w:t xml:space="preserve">A-EQUIP model was developed (NHS England, 2017) </w:t>
      </w:r>
      <w:r>
        <w:rPr>
          <w:sz w:val="24"/>
          <w:szCs w:val="24"/>
        </w:rPr>
        <w:t xml:space="preserve">to ensure some restorative support was provided </w:t>
      </w:r>
      <w:r w:rsidRPr="001D6B7E">
        <w:rPr>
          <w:sz w:val="24"/>
          <w:szCs w:val="24"/>
        </w:rPr>
        <w:t xml:space="preserve">following </w:t>
      </w:r>
      <w:r w:rsidR="00E958CB">
        <w:rPr>
          <w:sz w:val="24"/>
          <w:szCs w:val="24"/>
        </w:rPr>
        <w:t xml:space="preserve">the </w:t>
      </w:r>
      <w:r w:rsidRPr="001D6B7E">
        <w:rPr>
          <w:sz w:val="24"/>
          <w:szCs w:val="24"/>
        </w:rPr>
        <w:t>removal of statutory supervision for midwives</w:t>
      </w:r>
      <w:r>
        <w:rPr>
          <w:sz w:val="24"/>
          <w:szCs w:val="24"/>
        </w:rPr>
        <w:t xml:space="preserve"> </w:t>
      </w:r>
      <w:r w:rsidRPr="00B544BE">
        <w:rPr>
          <w:sz w:val="24"/>
          <w:szCs w:val="24"/>
        </w:rPr>
        <w:t xml:space="preserve">(Baird </w:t>
      </w:r>
      <w:r w:rsidR="00FB3A6E" w:rsidRPr="00FB3A6E">
        <w:rPr>
          <w:i/>
          <w:sz w:val="24"/>
          <w:szCs w:val="24"/>
        </w:rPr>
        <w:t>et al.</w:t>
      </w:r>
      <w:r w:rsidRPr="0054628B">
        <w:rPr>
          <w:sz w:val="24"/>
          <w:szCs w:val="24"/>
        </w:rPr>
        <w:t>,</w:t>
      </w:r>
      <w:r w:rsidRPr="00B544BE">
        <w:rPr>
          <w:i/>
          <w:iCs/>
          <w:sz w:val="24"/>
          <w:szCs w:val="24"/>
        </w:rPr>
        <w:t xml:space="preserve"> </w:t>
      </w:r>
      <w:r w:rsidRPr="00B544BE">
        <w:rPr>
          <w:sz w:val="24"/>
          <w:szCs w:val="24"/>
        </w:rPr>
        <w:t>2015; Rouse, 2019)</w:t>
      </w:r>
      <w:r w:rsidR="000801C0">
        <w:rPr>
          <w:sz w:val="24"/>
          <w:szCs w:val="24"/>
        </w:rPr>
        <w:t xml:space="preserve"> and a </w:t>
      </w:r>
      <w:r w:rsidRPr="001D6B7E">
        <w:rPr>
          <w:sz w:val="24"/>
          <w:szCs w:val="24"/>
        </w:rPr>
        <w:t xml:space="preserve">Professional Midwifery Advocate Role (PMAR) </w:t>
      </w:r>
      <w:bookmarkEnd w:id="47"/>
      <w:r>
        <w:rPr>
          <w:sz w:val="24"/>
          <w:szCs w:val="24"/>
        </w:rPr>
        <w:t>was implemented. A</w:t>
      </w:r>
      <w:r w:rsidRPr="001D6B7E">
        <w:rPr>
          <w:sz w:val="24"/>
          <w:szCs w:val="24"/>
        </w:rPr>
        <w:t>dapted for nursing</w:t>
      </w:r>
      <w:r>
        <w:rPr>
          <w:sz w:val="24"/>
          <w:szCs w:val="24"/>
        </w:rPr>
        <w:t xml:space="preserve">, </w:t>
      </w:r>
      <w:r w:rsidRPr="001D6B7E">
        <w:rPr>
          <w:sz w:val="24"/>
          <w:szCs w:val="24"/>
        </w:rPr>
        <w:t xml:space="preserve">the professional nurse advocate (PNA) role was established in 2021 to support nurses and improve patient care </w:t>
      </w:r>
      <w:bookmarkStart w:id="48" w:name="_Hlk147680226"/>
      <w:r w:rsidRPr="001D6B7E">
        <w:rPr>
          <w:sz w:val="24"/>
          <w:szCs w:val="24"/>
        </w:rPr>
        <w:t xml:space="preserve">(NHS England, </w:t>
      </w:r>
      <w:bookmarkEnd w:id="48"/>
      <w:r>
        <w:rPr>
          <w:sz w:val="24"/>
          <w:szCs w:val="24"/>
        </w:rPr>
        <w:t>2021</w:t>
      </w:r>
      <w:r w:rsidRPr="001D6B7E">
        <w:rPr>
          <w:sz w:val="24"/>
          <w:szCs w:val="24"/>
        </w:rPr>
        <w:t>). Promoting the use of reflection, the PNA offers clinical educational and well-being support to colleagues</w:t>
      </w:r>
      <w:r w:rsidR="00BB1EA9">
        <w:rPr>
          <w:sz w:val="24"/>
          <w:szCs w:val="24"/>
        </w:rPr>
        <w:t xml:space="preserve"> </w:t>
      </w:r>
      <w:r w:rsidR="00E519AA">
        <w:rPr>
          <w:sz w:val="24"/>
          <w:szCs w:val="24"/>
        </w:rPr>
        <w:t>and to</w:t>
      </w:r>
      <w:r w:rsidRPr="001D6B7E">
        <w:rPr>
          <w:sz w:val="24"/>
          <w:szCs w:val="24"/>
        </w:rPr>
        <w:t xml:space="preserve"> underpin quality improvement in service development (NHS England, 2021; RCN, 2023</w:t>
      </w:r>
      <w:r>
        <w:rPr>
          <w:sz w:val="24"/>
          <w:szCs w:val="24"/>
        </w:rPr>
        <w:t>; 2023a</w:t>
      </w:r>
      <w:r w:rsidRPr="001D6B7E">
        <w:rPr>
          <w:sz w:val="24"/>
          <w:szCs w:val="24"/>
        </w:rPr>
        <w:t xml:space="preserve">). The role implicitly encompasses a debriefing, supervisory and emotional safeguarding function, although the term </w:t>
      </w:r>
      <w:r w:rsidR="00A41F72">
        <w:rPr>
          <w:sz w:val="24"/>
          <w:szCs w:val="24"/>
        </w:rPr>
        <w:t>“</w:t>
      </w:r>
      <w:r w:rsidRPr="001D6B7E">
        <w:rPr>
          <w:sz w:val="24"/>
          <w:szCs w:val="24"/>
        </w:rPr>
        <w:t>supervision</w:t>
      </w:r>
      <w:r w:rsidR="00A41F72">
        <w:rPr>
          <w:sz w:val="24"/>
          <w:szCs w:val="24"/>
        </w:rPr>
        <w:t>”</w:t>
      </w:r>
      <w:r w:rsidRPr="001D6B7E">
        <w:rPr>
          <w:sz w:val="24"/>
          <w:szCs w:val="24"/>
        </w:rPr>
        <w:t xml:space="preserve"> is not </w:t>
      </w:r>
      <w:r>
        <w:rPr>
          <w:sz w:val="24"/>
          <w:szCs w:val="24"/>
        </w:rPr>
        <w:t xml:space="preserve">in </w:t>
      </w:r>
      <w:r w:rsidRPr="001D6B7E">
        <w:rPr>
          <w:sz w:val="24"/>
          <w:szCs w:val="24"/>
        </w:rPr>
        <w:t xml:space="preserve">the role description. In </w:t>
      </w:r>
      <w:bookmarkStart w:id="49" w:name="_Hlk147680496"/>
      <w:r>
        <w:rPr>
          <w:sz w:val="24"/>
          <w:szCs w:val="24"/>
        </w:rPr>
        <w:t xml:space="preserve">a </w:t>
      </w:r>
      <w:r w:rsidRPr="001D6B7E">
        <w:rPr>
          <w:sz w:val="24"/>
          <w:szCs w:val="24"/>
        </w:rPr>
        <w:t xml:space="preserve">work culture identified as being characterised by low staff morale, poor leadership and a lack of compassion </w:t>
      </w:r>
      <w:bookmarkEnd w:id="49"/>
      <w:r w:rsidRPr="001D6B7E">
        <w:rPr>
          <w:sz w:val="24"/>
          <w:szCs w:val="24"/>
        </w:rPr>
        <w:t>(</w:t>
      </w:r>
      <w:bookmarkStart w:id="50" w:name="_Hlk147680648"/>
      <w:r w:rsidRPr="001D6B7E">
        <w:rPr>
          <w:sz w:val="24"/>
          <w:szCs w:val="24"/>
        </w:rPr>
        <w:t xml:space="preserve">Dixon-Woods </w:t>
      </w:r>
      <w:r w:rsidR="00FB3A6E" w:rsidRPr="00FB3A6E">
        <w:rPr>
          <w:i/>
          <w:sz w:val="24"/>
          <w:szCs w:val="24"/>
        </w:rPr>
        <w:t>et al.</w:t>
      </w:r>
      <w:r w:rsidRPr="00FF13B7">
        <w:rPr>
          <w:sz w:val="24"/>
          <w:szCs w:val="24"/>
        </w:rPr>
        <w:t>,</w:t>
      </w:r>
      <w:r w:rsidRPr="001D6B7E">
        <w:rPr>
          <w:sz w:val="24"/>
          <w:szCs w:val="24"/>
        </w:rPr>
        <w:t xml:space="preserve"> 2014),</w:t>
      </w:r>
      <w:bookmarkStart w:id="51" w:name="_Hlk147680809"/>
      <w:bookmarkEnd w:id="50"/>
      <w:r w:rsidRPr="001D6B7E">
        <w:rPr>
          <w:sz w:val="24"/>
          <w:szCs w:val="24"/>
        </w:rPr>
        <w:t xml:space="preserve"> an army of PNA’s </w:t>
      </w:r>
      <w:r>
        <w:rPr>
          <w:sz w:val="24"/>
          <w:szCs w:val="24"/>
        </w:rPr>
        <w:t xml:space="preserve">might be perceived </w:t>
      </w:r>
      <w:r w:rsidR="004A5C5C">
        <w:rPr>
          <w:sz w:val="24"/>
          <w:szCs w:val="24"/>
        </w:rPr>
        <w:t xml:space="preserve">by </w:t>
      </w:r>
      <w:r w:rsidR="00237BA3">
        <w:rPr>
          <w:sz w:val="24"/>
          <w:szCs w:val="24"/>
        </w:rPr>
        <w:t xml:space="preserve">nurses </w:t>
      </w:r>
      <w:r>
        <w:rPr>
          <w:sz w:val="24"/>
          <w:szCs w:val="24"/>
        </w:rPr>
        <w:t xml:space="preserve">as a </w:t>
      </w:r>
      <w:r w:rsidRPr="001D6B7E">
        <w:rPr>
          <w:sz w:val="24"/>
          <w:szCs w:val="24"/>
        </w:rPr>
        <w:t xml:space="preserve">glossy </w:t>
      </w:r>
      <w:r>
        <w:rPr>
          <w:sz w:val="24"/>
          <w:szCs w:val="24"/>
        </w:rPr>
        <w:t>offering</w:t>
      </w:r>
      <w:r w:rsidRPr="001D6B7E">
        <w:rPr>
          <w:sz w:val="24"/>
          <w:szCs w:val="24"/>
        </w:rPr>
        <w:t xml:space="preserve"> to divert attention from </w:t>
      </w:r>
      <w:r>
        <w:rPr>
          <w:sz w:val="24"/>
          <w:szCs w:val="24"/>
        </w:rPr>
        <w:t xml:space="preserve">any </w:t>
      </w:r>
      <w:r w:rsidRPr="001D6B7E">
        <w:rPr>
          <w:sz w:val="24"/>
          <w:szCs w:val="24"/>
        </w:rPr>
        <w:t>systemic dysfunction</w:t>
      </w:r>
      <w:bookmarkStart w:id="52" w:name="_Hlk147683116"/>
      <w:bookmarkEnd w:id="51"/>
      <w:r w:rsidR="00F806E4">
        <w:rPr>
          <w:sz w:val="24"/>
          <w:szCs w:val="24"/>
        </w:rPr>
        <w:t xml:space="preserve">, and nurses </w:t>
      </w:r>
      <w:r w:rsidRPr="001D6B7E">
        <w:rPr>
          <w:sz w:val="24"/>
          <w:szCs w:val="24"/>
        </w:rPr>
        <w:t>may mistrust it</w:t>
      </w:r>
      <w:r>
        <w:rPr>
          <w:sz w:val="24"/>
          <w:szCs w:val="24"/>
        </w:rPr>
        <w:t>s purpose</w:t>
      </w:r>
      <w:r w:rsidRPr="001D6B7E">
        <w:rPr>
          <w:sz w:val="24"/>
          <w:szCs w:val="24"/>
        </w:rPr>
        <w:t xml:space="preserve"> </w:t>
      </w:r>
      <w:r>
        <w:rPr>
          <w:sz w:val="24"/>
          <w:szCs w:val="24"/>
        </w:rPr>
        <w:t>and application</w:t>
      </w:r>
      <w:r w:rsidRPr="001D6B7E">
        <w:rPr>
          <w:sz w:val="24"/>
          <w:szCs w:val="24"/>
        </w:rPr>
        <w:t>.</w:t>
      </w:r>
    </w:p>
    <w:p w14:paraId="78F8C753" w14:textId="56E5CA65" w:rsidR="000672E2" w:rsidRPr="004A7BF8" w:rsidRDefault="002E2ABD" w:rsidP="00927EAA">
      <w:pPr>
        <w:spacing w:line="360" w:lineRule="auto"/>
        <w:rPr>
          <w:sz w:val="24"/>
          <w:szCs w:val="24"/>
        </w:rPr>
      </w:pPr>
      <w:r w:rsidRPr="007C2EF7">
        <w:rPr>
          <w:sz w:val="24"/>
          <w:szCs w:val="24"/>
        </w:rPr>
        <w:t>By considering supervision as a support for the teacher faced with increasing pastoral</w:t>
      </w:r>
      <w:r>
        <w:rPr>
          <w:sz w:val="24"/>
          <w:szCs w:val="24"/>
        </w:rPr>
        <w:t xml:space="preserve"> and emotional-caretaking </w:t>
      </w:r>
      <w:r w:rsidRPr="007C2EF7">
        <w:rPr>
          <w:sz w:val="24"/>
          <w:szCs w:val="24"/>
        </w:rPr>
        <w:t xml:space="preserve">duties, </w:t>
      </w:r>
      <w:r>
        <w:rPr>
          <w:sz w:val="24"/>
          <w:szCs w:val="24"/>
        </w:rPr>
        <w:t xml:space="preserve">the psychological demands of these realms </w:t>
      </w:r>
      <w:r w:rsidR="00D31C18">
        <w:rPr>
          <w:sz w:val="24"/>
          <w:szCs w:val="24"/>
        </w:rPr>
        <w:t>are</w:t>
      </w:r>
      <w:r>
        <w:rPr>
          <w:sz w:val="24"/>
          <w:szCs w:val="24"/>
        </w:rPr>
        <w:t xml:space="preserve"> being </w:t>
      </w:r>
      <w:r>
        <w:rPr>
          <w:sz w:val="24"/>
          <w:szCs w:val="24"/>
        </w:rPr>
        <w:lastRenderedPageBreak/>
        <w:t>acknowledged</w:t>
      </w:r>
      <w:r w:rsidRPr="007C2EF7">
        <w:rPr>
          <w:sz w:val="24"/>
          <w:szCs w:val="24"/>
        </w:rPr>
        <w:t>.</w:t>
      </w:r>
      <w:r>
        <w:rPr>
          <w:sz w:val="24"/>
          <w:szCs w:val="24"/>
        </w:rPr>
        <w:t xml:space="preserve"> According to Goleman (1996): “</w:t>
      </w:r>
      <w:r w:rsidRPr="00923486">
        <w:rPr>
          <w:sz w:val="24"/>
          <w:szCs w:val="24"/>
          <w:lang w:val="en-US"/>
        </w:rPr>
        <w:t>There is little or nothing in the standard education of teachers that prepares them for this kind of teaching</w:t>
      </w:r>
      <w:r>
        <w:rPr>
          <w:sz w:val="24"/>
          <w:szCs w:val="24"/>
          <w:lang w:val="en-US"/>
        </w:rPr>
        <w:t>” (p 76) and Bettelheim (1972)</w:t>
      </w:r>
      <w:r>
        <w:rPr>
          <w:color w:val="EE0000"/>
        </w:rPr>
        <w:t xml:space="preserve"> </w:t>
      </w:r>
      <w:r w:rsidRPr="00DE2075">
        <w:rPr>
          <w:sz w:val="24"/>
          <w:szCs w:val="24"/>
        </w:rPr>
        <w:t xml:space="preserve">believes </w:t>
      </w:r>
      <w:r>
        <w:rPr>
          <w:sz w:val="24"/>
          <w:szCs w:val="24"/>
        </w:rPr>
        <w:t>the psychological realm of teaching “</w:t>
      </w:r>
      <w:r w:rsidRPr="00C028B0">
        <w:rPr>
          <w:sz w:val="24"/>
          <w:szCs w:val="24"/>
        </w:rPr>
        <w:t>is wholly overlooked throughout the entire scheme of modern education, from kindergarten to the highest levels of academic training</w:t>
      </w:r>
      <w:r>
        <w:rPr>
          <w:sz w:val="24"/>
          <w:szCs w:val="24"/>
        </w:rPr>
        <w:t>” (</w:t>
      </w:r>
      <w:r w:rsidRPr="00C028B0">
        <w:rPr>
          <w:sz w:val="24"/>
          <w:szCs w:val="24"/>
        </w:rPr>
        <w:t>pp. 44-</w:t>
      </w:r>
      <w:r w:rsidR="00742607">
        <w:rPr>
          <w:sz w:val="24"/>
          <w:szCs w:val="24"/>
        </w:rPr>
        <w:t>4</w:t>
      </w:r>
      <w:r w:rsidRPr="00C028B0">
        <w:rPr>
          <w:sz w:val="24"/>
          <w:szCs w:val="24"/>
        </w:rPr>
        <w:t>5).</w:t>
      </w:r>
      <w:r>
        <w:rPr>
          <w:sz w:val="24"/>
          <w:szCs w:val="24"/>
        </w:rPr>
        <w:t xml:space="preserve"> </w:t>
      </w:r>
      <w:r w:rsidRPr="001E6962">
        <w:rPr>
          <w:sz w:val="24"/>
          <w:szCs w:val="24"/>
        </w:rPr>
        <w:t xml:space="preserve">I shall now turn my attention to the conceptual framework applied to this study that incorporates </w:t>
      </w:r>
      <w:r>
        <w:rPr>
          <w:sz w:val="24"/>
          <w:szCs w:val="24"/>
        </w:rPr>
        <w:t xml:space="preserve">psychological, </w:t>
      </w:r>
      <w:r w:rsidRPr="001E6962">
        <w:rPr>
          <w:sz w:val="24"/>
          <w:szCs w:val="24"/>
        </w:rPr>
        <w:t>care</w:t>
      </w:r>
      <w:r>
        <w:rPr>
          <w:sz w:val="24"/>
          <w:szCs w:val="24"/>
        </w:rPr>
        <w:t xml:space="preserve">, </w:t>
      </w:r>
      <w:r w:rsidRPr="001E6962">
        <w:rPr>
          <w:sz w:val="24"/>
          <w:szCs w:val="24"/>
        </w:rPr>
        <w:t>education and well-being</w:t>
      </w:r>
      <w:r w:rsidR="00C13F79">
        <w:rPr>
          <w:sz w:val="24"/>
          <w:szCs w:val="24"/>
        </w:rPr>
        <w:t xml:space="preserve"> dimensions</w:t>
      </w:r>
      <w:r w:rsidRPr="001E6962">
        <w:rPr>
          <w:sz w:val="24"/>
          <w:szCs w:val="24"/>
        </w:rPr>
        <w:t>.</w:t>
      </w:r>
    </w:p>
    <w:p w14:paraId="57A7D5B5" w14:textId="57B238A6" w:rsidR="000672E2" w:rsidRDefault="007B5351" w:rsidP="00892255">
      <w:pPr>
        <w:spacing w:line="360" w:lineRule="auto"/>
        <w:rPr>
          <w:b/>
          <w:bCs/>
          <w:sz w:val="24"/>
          <w:szCs w:val="24"/>
          <w:lang w:val="en-US"/>
        </w:rPr>
      </w:pPr>
      <w:r>
        <w:rPr>
          <w:b/>
          <w:bCs/>
          <w:sz w:val="24"/>
          <w:szCs w:val="24"/>
          <w:lang w:val="en-US"/>
        </w:rPr>
        <w:t>Part Two</w:t>
      </w:r>
    </w:p>
    <w:p w14:paraId="2B087D11" w14:textId="7B03B0F0" w:rsidR="002E2ABD" w:rsidRPr="004B26B7" w:rsidRDefault="002E2ABD" w:rsidP="00927EAA">
      <w:pPr>
        <w:spacing w:line="360" w:lineRule="auto"/>
        <w:rPr>
          <w:b/>
          <w:bCs/>
          <w:sz w:val="24"/>
          <w:szCs w:val="24"/>
          <w:lang w:val="en-US"/>
        </w:rPr>
      </w:pPr>
      <w:r w:rsidRPr="005F60EC">
        <w:rPr>
          <w:b/>
          <w:bCs/>
          <w:sz w:val="24"/>
          <w:szCs w:val="24"/>
          <w:lang w:val="en-US"/>
        </w:rPr>
        <w:t>Conceptual framework</w:t>
      </w:r>
    </w:p>
    <w:p w14:paraId="4FB548AD" w14:textId="0D0A9F4D" w:rsidR="006C338D" w:rsidRDefault="002E2ABD" w:rsidP="00927EAA">
      <w:pPr>
        <w:spacing w:line="360" w:lineRule="auto"/>
        <w:rPr>
          <w:b/>
          <w:bCs/>
          <w:sz w:val="24"/>
          <w:szCs w:val="24"/>
          <w:lang w:val="en-US"/>
        </w:rPr>
      </w:pPr>
      <w:r w:rsidRPr="001D6B7E">
        <w:rPr>
          <w:sz w:val="24"/>
          <w:szCs w:val="24"/>
          <w:lang w:val="en-US"/>
        </w:rPr>
        <w:t xml:space="preserve">The literature review has brought to light </w:t>
      </w:r>
      <w:r>
        <w:rPr>
          <w:sz w:val="24"/>
          <w:szCs w:val="24"/>
          <w:lang w:val="en-US"/>
        </w:rPr>
        <w:t xml:space="preserve">cracks </w:t>
      </w:r>
      <w:r w:rsidR="000553F6">
        <w:rPr>
          <w:sz w:val="24"/>
          <w:szCs w:val="24"/>
          <w:lang w:val="en-US"/>
        </w:rPr>
        <w:t xml:space="preserve">or </w:t>
      </w:r>
      <w:r w:rsidRPr="001D6B7E">
        <w:rPr>
          <w:sz w:val="24"/>
          <w:szCs w:val="24"/>
          <w:lang w:val="en-US"/>
        </w:rPr>
        <w:t xml:space="preserve">gaps in awareness of </w:t>
      </w:r>
      <w:r>
        <w:rPr>
          <w:sz w:val="24"/>
          <w:szCs w:val="24"/>
          <w:lang w:val="en-US"/>
        </w:rPr>
        <w:t>well-being</w:t>
      </w:r>
      <w:r w:rsidRPr="001D6B7E">
        <w:rPr>
          <w:sz w:val="24"/>
          <w:szCs w:val="24"/>
          <w:lang w:val="en-US"/>
        </w:rPr>
        <w:t xml:space="preserve"> and emotional safeguarding </w:t>
      </w:r>
      <w:r w:rsidR="007179F9">
        <w:rPr>
          <w:sz w:val="24"/>
          <w:szCs w:val="24"/>
          <w:lang w:val="en-US"/>
        </w:rPr>
        <w:t xml:space="preserve">needs for </w:t>
      </w:r>
      <w:r>
        <w:rPr>
          <w:sz w:val="24"/>
          <w:szCs w:val="24"/>
          <w:lang w:val="en-US"/>
        </w:rPr>
        <w:t xml:space="preserve">HE </w:t>
      </w:r>
      <w:r w:rsidRPr="001D6B7E">
        <w:rPr>
          <w:sz w:val="24"/>
          <w:szCs w:val="24"/>
          <w:lang w:val="en-US"/>
        </w:rPr>
        <w:t xml:space="preserve">teachers. </w:t>
      </w:r>
      <w:r w:rsidRPr="007D2EC2">
        <w:rPr>
          <w:sz w:val="24"/>
          <w:szCs w:val="24"/>
          <w:lang w:val="en-US"/>
        </w:rPr>
        <w:t xml:space="preserve">Cracks often indicate damage, and yet I see a crack as creating potential space (Winnicott, 1971) for the light to come in (Cohen, 1992). </w:t>
      </w:r>
      <w:r w:rsidRPr="001D6B7E">
        <w:rPr>
          <w:sz w:val="24"/>
          <w:szCs w:val="24"/>
          <w:lang w:val="en-US"/>
        </w:rPr>
        <w:t xml:space="preserve">Inhabiting this </w:t>
      </w:r>
      <w:r>
        <w:rPr>
          <w:sz w:val="24"/>
          <w:szCs w:val="24"/>
          <w:lang w:val="en-US"/>
        </w:rPr>
        <w:t xml:space="preserve">crack </w:t>
      </w:r>
      <w:r w:rsidRPr="001D6B7E">
        <w:rPr>
          <w:sz w:val="24"/>
          <w:szCs w:val="24"/>
          <w:lang w:val="en-US"/>
        </w:rPr>
        <w:t>involves finding a reconciling tool</w:t>
      </w:r>
      <w:r>
        <w:rPr>
          <w:sz w:val="24"/>
          <w:szCs w:val="24"/>
          <w:lang w:val="en-US"/>
        </w:rPr>
        <w:t xml:space="preserve">, </w:t>
      </w:r>
      <w:r w:rsidRPr="001D6B7E">
        <w:rPr>
          <w:sz w:val="24"/>
          <w:szCs w:val="24"/>
          <w:lang w:val="en-US"/>
        </w:rPr>
        <w:t xml:space="preserve">the </w:t>
      </w:r>
      <w:r>
        <w:rPr>
          <w:sz w:val="24"/>
          <w:szCs w:val="24"/>
          <w:lang w:val="en-US"/>
        </w:rPr>
        <w:t>“</w:t>
      </w:r>
      <w:r w:rsidRPr="001D6B7E">
        <w:rPr>
          <w:sz w:val="24"/>
          <w:szCs w:val="24"/>
          <w:lang w:val="en-US"/>
        </w:rPr>
        <w:t>transcendent function” (</w:t>
      </w:r>
      <w:r>
        <w:rPr>
          <w:sz w:val="24"/>
          <w:szCs w:val="24"/>
          <w:lang w:val="en-US"/>
        </w:rPr>
        <w:t xml:space="preserve">Jung, 1953, </w:t>
      </w:r>
      <w:r w:rsidRPr="001D6B7E">
        <w:rPr>
          <w:sz w:val="24"/>
          <w:szCs w:val="24"/>
          <w:lang w:val="en-US"/>
        </w:rPr>
        <w:t>p.80)</w:t>
      </w:r>
      <w:r>
        <w:rPr>
          <w:sz w:val="24"/>
          <w:szCs w:val="24"/>
          <w:lang w:val="en-US"/>
        </w:rPr>
        <w:t xml:space="preserve"> that generates </w:t>
      </w:r>
      <w:r w:rsidRPr="001D6B7E">
        <w:rPr>
          <w:sz w:val="24"/>
          <w:szCs w:val="24"/>
          <w:lang w:val="en-US"/>
        </w:rPr>
        <w:t xml:space="preserve">a </w:t>
      </w:r>
      <w:r w:rsidR="00CB4130">
        <w:rPr>
          <w:sz w:val="24"/>
          <w:szCs w:val="24"/>
          <w:lang w:val="en-US"/>
        </w:rPr>
        <w:t xml:space="preserve">middle path </w:t>
      </w:r>
      <w:r w:rsidR="000553F6">
        <w:rPr>
          <w:sz w:val="24"/>
          <w:szCs w:val="24"/>
          <w:lang w:val="en-US"/>
        </w:rPr>
        <w:t>(Booker</w:t>
      </w:r>
      <w:r w:rsidR="00F23F24">
        <w:rPr>
          <w:sz w:val="24"/>
          <w:szCs w:val="24"/>
          <w:lang w:val="en-US"/>
        </w:rPr>
        <w:t xml:space="preserve">, </w:t>
      </w:r>
      <w:r w:rsidR="004834E9">
        <w:rPr>
          <w:sz w:val="24"/>
          <w:szCs w:val="24"/>
          <w:lang w:val="en-US"/>
        </w:rPr>
        <w:t xml:space="preserve">2004), a </w:t>
      </w:r>
      <w:r w:rsidR="001924C8">
        <w:rPr>
          <w:sz w:val="24"/>
          <w:szCs w:val="24"/>
          <w:lang w:val="en-US"/>
        </w:rPr>
        <w:t xml:space="preserve">space for </w:t>
      </w:r>
      <w:r w:rsidRPr="001D6B7E">
        <w:rPr>
          <w:sz w:val="24"/>
          <w:szCs w:val="24"/>
          <w:lang w:val="en-US"/>
        </w:rPr>
        <w:t>new ideas, thoughts and feelings</w:t>
      </w:r>
      <w:r>
        <w:rPr>
          <w:sz w:val="24"/>
          <w:szCs w:val="24"/>
          <w:lang w:val="en-US"/>
        </w:rPr>
        <w:t xml:space="preserve"> </w:t>
      </w:r>
      <w:r w:rsidRPr="001D6B7E">
        <w:rPr>
          <w:sz w:val="24"/>
          <w:szCs w:val="24"/>
          <w:lang w:val="en-US"/>
        </w:rPr>
        <w:t>to flourish</w:t>
      </w:r>
      <w:r w:rsidR="00175D44">
        <w:rPr>
          <w:sz w:val="24"/>
          <w:szCs w:val="24"/>
          <w:lang w:val="en-US"/>
        </w:rPr>
        <w:t>.</w:t>
      </w:r>
      <w:r w:rsidR="00DE36E8">
        <w:rPr>
          <w:sz w:val="24"/>
          <w:szCs w:val="24"/>
          <w:lang w:val="en-US"/>
        </w:rPr>
        <w:t xml:space="preserve"> </w:t>
      </w:r>
      <w:r w:rsidR="00AF483E">
        <w:rPr>
          <w:sz w:val="24"/>
          <w:szCs w:val="24"/>
          <w:lang w:val="en-US"/>
        </w:rPr>
        <w:t xml:space="preserve">The identified gap in </w:t>
      </w:r>
      <w:r w:rsidRPr="00D52283">
        <w:rPr>
          <w:sz w:val="24"/>
          <w:szCs w:val="24"/>
          <w:lang w:val="en-US"/>
        </w:rPr>
        <w:t>prepar</w:t>
      </w:r>
      <w:r>
        <w:rPr>
          <w:sz w:val="24"/>
          <w:szCs w:val="24"/>
          <w:lang w:val="en-US"/>
        </w:rPr>
        <w:t>ing</w:t>
      </w:r>
      <w:r w:rsidRPr="00D52283">
        <w:rPr>
          <w:sz w:val="24"/>
          <w:szCs w:val="24"/>
          <w:lang w:val="en-US"/>
        </w:rPr>
        <w:t xml:space="preserve"> teachers for the pastoral elements of their role </w:t>
      </w:r>
      <w:r>
        <w:rPr>
          <w:sz w:val="24"/>
          <w:szCs w:val="24"/>
          <w:lang w:val="en-US"/>
        </w:rPr>
        <w:t xml:space="preserve">is addressed through </w:t>
      </w:r>
      <w:r w:rsidRPr="00D52283">
        <w:rPr>
          <w:sz w:val="24"/>
          <w:szCs w:val="24"/>
          <w:lang w:val="en-US"/>
        </w:rPr>
        <w:t xml:space="preserve">the conceptual framework </w:t>
      </w:r>
      <w:r>
        <w:rPr>
          <w:sz w:val="24"/>
          <w:szCs w:val="24"/>
          <w:lang w:val="en-US"/>
        </w:rPr>
        <w:t xml:space="preserve">(Figure </w:t>
      </w:r>
      <w:r w:rsidR="008E2AA6">
        <w:rPr>
          <w:sz w:val="24"/>
          <w:szCs w:val="24"/>
          <w:lang w:val="en-US"/>
        </w:rPr>
        <w:t>3</w:t>
      </w:r>
      <w:r>
        <w:rPr>
          <w:sz w:val="24"/>
          <w:szCs w:val="24"/>
          <w:lang w:val="en-US"/>
        </w:rPr>
        <w:t>):</w:t>
      </w:r>
      <w:r>
        <w:rPr>
          <w:b/>
          <w:bCs/>
          <w:sz w:val="24"/>
          <w:szCs w:val="24"/>
          <w:lang w:val="en-US"/>
        </w:rPr>
        <w:t xml:space="preserve"> </w:t>
      </w:r>
    </w:p>
    <w:p w14:paraId="05A36D55" w14:textId="55C19673" w:rsidR="002E2ABD" w:rsidRPr="007B03D3" w:rsidRDefault="007A3DEF" w:rsidP="002A7BB6">
      <w:pPr>
        <w:spacing w:line="360" w:lineRule="auto"/>
        <w:rPr>
          <w:b/>
          <w:bCs/>
          <w:sz w:val="24"/>
          <w:szCs w:val="24"/>
          <w:lang w:val="en-US"/>
        </w:rPr>
      </w:pPr>
      <w:r w:rsidRPr="002561A9">
        <w:rPr>
          <w:noProof/>
          <w:color w:val="FF0000"/>
          <w:sz w:val="24"/>
          <w:szCs w:val="24"/>
        </w:rPr>
        <w:drawing>
          <wp:inline distT="0" distB="0" distL="0" distR="0" wp14:anchorId="67A9AF3A" wp14:editId="33883002">
            <wp:extent cx="6606540" cy="3192780"/>
            <wp:effectExtent l="0" t="0" r="0" b="26670"/>
            <wp:docPr id="1838856587" name="Diagram 18388565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9A610FF" w14:textId="34032B96" w:rsidR="002E2ABD" w:rsidRPr="008E2AA6" w:rsidRDefault="002E2ABD" w:rsidP="00A451EE">
      <w:pPr>
        <w:ind w:left="720" w:firstLine="720"/>
        <w:rPr>
          <w:i/>
          <w:iCs/>
          <w:sz w:val="24"/>
          <w:szCs w:val="24"/>
          <w:lang w:val="en-US"/>
        </w:rPr>
      </w:pPr>
      <w:r w:rsidRPr="008E2AA6">
        <w:rPr>
          <w:i/>
          <w:iCs/>
          <w:sz w:val="24"/>
          <w:szCs w:val="24"/>
          <w:lang w:val="en-US"/>
        </w:rPr>
        <w:t xml:space="preserve">Figure </w:t>
      </w:r>
      <w:r w:rsidR="005E3616">
        <w:rPr>
          <w:i/>
          <w:iCs/>
          <w:sz w:val="24"/>
          <w:szCs w:val="24"/>
          <w:lang w:val="en-US"/>
        </w:rPr>
        <w:t>3</w:t>
      </w:r>
      <w:r w:rsidRPr="008E2AA6">
        <w:rPr>
          <w:i/>
          <w:iCs/>
          <w:sz w:val="24"/>
          <w:szCs w:val="24"/>
          <w:lang w:val="en-US"/>
        </w:rPr>
        <w:t xml:space="preserve">: Depth pedagogy conceptual framework </w:t>
      </w:r>
    </w:p>
    <w:p w14:paraId="41B0252F" w14:textId="77777777" w:rsidR="00936A2A" w:rsidRDefault="00936A2A" w:rsidP="001D6B7E">
      <w:pPr>
        <w:rPr>
          <w:b/>
          <w:bCs/>
          <w:sz w:val="24"/>
          <w:szCs w:val="24"/>
          <w:lang w:val="en-US"/>
        </w:rPr>
      </w:pPr>
    </w:p>
    <w:p w14:paraId="100D452D" w14:textId="2D26B9BC" w:rsidR="002E2ABD" w:rsidRPr="00160B14" w:rsidRDefault="002E2ABD" w:rsidP="001D6B7E">
      <w:pPr>
        <w:rPr>
          <w:b/>
          <w:bCs/>
          <w:sz w:val="24"/>
          <w:szCs w:val="24"/>
          <w:lang w:val="en-US"/>
        </w:rPr>
      </w:pPr>
      <w:r w:rsidRPr="00160B14">
        <w:rPr>
          <w:b/>
          <w:bCs/>
          <w:sz w:val="24"/>
          <w:szCs w:val="24"/>
          <w:lang w:val="en-US"/>
        </w:rPr>
        <w:lastRenderedPageBreak/>
        <w:t>Depth pedagogy</w:t>
      </w:r>
    </w:p>
    <w:p w14:paraId="6823770F" w14:textId="7FC753CE" w:rsidR="002E2ABD" w:rsidRPr="00CF77DE" w:rsidRDefault="002E2ABD" w:rsidP="00927EAA">
      <w:pPr>
        <w:spacing w:line="360" w:lineRule="auto"/>
        <w:rPr>
          <w:sz w:val="24"/>
          <w:szCs w:val="24"/>
          <w:lang w:val="en-US"/>
        </w:rPr>
      </w:pPr>
      <w:r>
        <w:rPr>
          <w:sz w:val="24"/>
          <w:szCs w:val="24"/>
          <w:lang w:val="en-US"/>
        </w:rPr>
        <w:t>T</w:t>
      </w:r>
      <w:r w:rsidRPr="001D6B7E">
        <w:rPr>
          <w:sz w:val="24"/>
          <w:szCs w:val="24"/>
          <w:lang w:val="en-US"/>
        </w:rPr>
        <w:t xml:space="preserve">he </w:t>
      </w:r>
      <w:r>
        <w:rPr>
          <w:sz w:val="24"/>
          <w:szCs w:val="24"/>
          <w:lang w:val="en-US"/>
        </w:rPr>
        <w:t xml:space="preserve">overarching </w:t>
      </w:r>
      <w:r w:rsidRPr="001D6B7E">
        <w:rPr>
          <w:sz w:val="24"/>
          <w:szCs w:val="24"/>
          <w:lang w:val="en-US"/>
        </w:rPr>
        <w:t xml:space="preserve">conceptual framework is </w:t>
      </w:r>
      <w:r>
        <w:rPr>
          <w:sz w:val="24"/>
          <w:szCs w:val="24"/>
          <w:lang w:val="en-US"/>
        </w:rPr>
        <w:t xml:space="preserve">one of </w:t>
      </w:r>
      <w:r w:rsidRPr="001D6B7E">
        <w:rPr>
          <w:sz w:val="24"/>
          <w:szCs w:val="24"/>
          <w:lang w:val="en-US"/>
        </w:rPr>
        <w:t>“depth pedagogy” (Mayes, 2007, p.208) a philosophy that acknowledges the development</w:t>
      </w:r>
      <w:r>
        <w:rPr>
          <w:sz w:val="24"/>
          <w:szCs w:val="24"/>
          <w:lang w:val="en-US"/>
        </w:rPr>
        <w:t xml:space="preserve">al nature </w:t>
      </w:r>
      <w:r w:rsidRPr="001D6B7E">
        <w:rPr>
          <w:sz w:val="24"/>
          <w:szCs w:val="24"/>
          <w:lang w:val="en-US"/>
        </w:rPr>
        <w:t>of the human being and its variables (Smith</w:t>
      </w:r>
      <w:r>
        <w:rPr>
          <w:sz w:val="24"/>
          <w:szCs w:val="24"/>
          <w:lang w:val="en-US"/>
        </w:rPr>
        <w:t xml:space="preserve"> </w:t>
      </w:r>
      <w:r w:rsidR="00FB3A6E" w:rsidRPr="00FB3A6E">
        <w:rPr>
          <w:i/>
          <w:sz w:val="24"/>
          <w:szCs w:val="24"/>
          <w:lang w:val="en-US"/>
        </w:rPr>
        <w:t>et al.</w:t>
      </w:r>
      <w:r w:rsidRPr="001D6B7E">
        <w:rPr>
          <w:sz w:val="24"/>
          <w:szCs w:val="24"/>
          <w:lang w:val="en-US"/>
        </w:rPr>
        <w:t>, 2011)</w:t>
      </w:r>
      <w:r>
        <w:rPr>
          <w:sz w:val="24"/>
          <w:szCs w:val="24"/>
          <w:lang w:val="en-US"/>
        </w:rPr>
        <w:t xml:space="preserve">. A central tenet of depth pedagogy is that the </w:t>
      </w:r>
      <w:r w:rsidRPr="00124F50">
        <w:rPr>
          <w:sz w:val="24"/>
          <w:szCs w:val="24"/>
          <w:lang w:val="en-US"/>
        </w:rPr>
        <w:t xml:space="preserve">cultural environment gives rise to and influences the development of human beings throughout the lifespan and creates the conditions for functioning within it. </w:t>
      </w:r>
      <w:r w:rsidRPr="001D6B7E">
        <w:rPr>
          <w:sz w:val="24"/>
          <w:szCs w:val="24"/>
          <w:lang w:val="en-US"/>
        </w:rPr>
        <w:t>Depth pedagogy is informed by psychoanalysis and psychotherapy</w:t>
      </w:r>
      <w:r>
        <w:rPr>
          <w:sz w:val="24"/>
          <w:szCs w:val="24"/>
          <w:lang w:val="en-US"/>
        </w:rPr>
        <w:t>,</w:t>
      </w:r>
      <w:r w:rsidRPr="001D6B7E">
        <w:rPr>
          <w:sz w:val="24"/>
          <w:szCs w:val="24"/>
          <w:lang w:val="en-US"/>
        </w:rPr>
        <w:t xml:space="preserve"> incorporates deep reflexivity and reflective practice, </w:t>
      </w:r>
      <w:r>
        <w:rPr>
          <w:sz w:val="24"/>
          <w:szCs w:val="24"/>
          <w:lang w:val="en-US"/>
        </w:rPr>
        <w:t xml:space="preserve">and </w:t>
      </w:r>
      <w:r w:rsidRPr="001D6B7E">
        <w:rPr>
          <w:sz w:val="24"/>
          <w:szCs w:val="24"/>
          <w:lang w:val="en-US"/>
        </w:rPr>
        <w:t>balance</w:t>
      </w:r>
      <w:r>
        <w:rPr>
          <w:sz w:val="24"/>
          <w:szCs w:val="24"/>
          <w:lang w:val="en-US"/>
        </w:rPr>
        <w:t xml:space="preserve">s </w:t>
      </w:r>
      <w:r w:rsidRPr="001D6B7E">
        <w:rPr>
          <w:sz w:val="24"/>
          <w:szCs w:val="24"/>
          <w:lang w:val="en-US"/>
        </w:rPr>
        <w:t>cognition combined with affect</w:t>
      </w:r>
      <w:r>
        <w:rPr>
          <w:sz w:val="24"/>
          <w:szCs w:val="24"/>
          <w:lang w:val="en-US"/>
        </w:rPr>
        <w:t>.</w:t>
      </w:r>
      <w:r w:rsidRPr="001D6B7E">
        <w:rPr>
          <w:sz w:val="24"/>
          <w:szCs w:val="24"/>
          <w:lang w:val="en-US"/>
        </w:rPr>
        <w:t xml:space="preserve"> In utilizing a depth pedagogy lens, I see the journey of the teacher, education, Winnicott’s holding, reflective practice</w:t>
      </w:r>
      <w:r>
        <w:rPr>
          <w:sz w:val="24"/>
          <w:szCs w:val="24"/>
          <w:lang w:val="en-US"/>
        </w:rPr>
        <w:t xml:space="preserve">, </w:t>
      </w:r>
      <w:r w:rsidRPr="001D6B7E">
        <w:rPr>
          <w:sz w:val="24"/>
          <w:szCs w:val="24"/>
          <w:lang w:val="en-US"/>
        </w:rPr>
        <w:t xml:space="preserve">social </w:t>
      </w:r>
      <w:r>
        <w:rPr>
          <w:sz w:val="24"/>
          <w:szCs w:val="24"/>
          <w:lang w:val="en-US"/>
        </w:rPr>
        <w:t xml:space="preserve">and </w:t>
      </w:r>
      <w:r w:rsidRPr="001D6B7E">
        <w:rPr>
          <w:sz w:val="24"/>
          <w:szCs w:val="24"/>
          <w:lang w:val="en-US"/>
        </w:rPr>
        <w:t xml:space="preserve">emotional learning </w:t>
      </w:r>
      <w:r>
        <w:rPr>
          <w:sz w:val="24"/>
          <w:szCs w:val="24"/>
          <w:lang w:val="en-US"/>
        </w:rPr>
        <w:t xml:space="preserve">(SEL) and depth psychology </w:t>
      </w:r>
      <w:r w:rsidRPr="001D6B7E">
        <w:rPr>
          <w:sz w:val="24"/>
          <w:szCs w:val="24"/>
          <w:lang w:val="en-US"/>
        </w:rPr>
        <w:t>coming together</w:t>
      </w:r>
      <w:r>
        <w:rPr>
          <w:sz w:val="24"/>
          <w:szCs w:val="24"/>
          <w:lang w:val="en-US"/>
        </w:rPr>
        <w:t>.</w:t>
      </w:r>
      <w:r w:rsidRPr="001D6B7E">
        <w:rPr>
          <w:sz w:val="24"/>
          <w:szCs w:val="24"/>
          <w:lang w:val="en-US"/>
        </w:rPr>
        <w:t xml:space="preserve"> </w:t>
      </w:r>
    </w:p>
    <w:p w14:paraId="339B5EA1" w14:textId="146FE23F" w:rsidR="002E2ABD" w:rsidRDefault="002E2ABD" w:rsidP="00927EAA">
      <w:pPr>
        <w:spacing w:line="360" w:lineRule="auto"/>
        <w:rPr>
          <w:sz w:val="24"/>
          <w:szCs w:val="24"/>
          <w:lang w:val="en-US"/>
        </w:rPr>
      </w:pPr>
      <w:r>
        <w:rPr>
          <w:sz w:val="24"/>
          <w:szCs w:val="24"/>
          <w:lang w:val="en-US"/>
        </w:rPr>
        <w:t>D</w:t>
      </w:r>
      <w:r w:rsidRPr="001D6B7E">
        <w:rPr>
          <w:sz w:val="24"/>
          <w:szCs w:val="24"/>
          <w:lang w:val="en-US"/>
        </w:rPr>
        <w:t xml:space="preserve">epth psychology </w:t>
      </w:r>
      <w:r>
        <w:rPr>
          <w:sz w:val="24"/>
          <w:szCs w:val="24"/>
          <w:lang w:val="en-US"/>
        </w:rPr>
        <w:t xml:space="preserve">draws </w:t>
      </w:r>
      <w:r w:rsidRPr="001D6B7E">
        <w:rPr>
          <w:sz w:val="24"/>
          <w:szCs w:val="24"/>
          <w:lang w:val="en-US"/>
        </w:rPr>
        <w:t>on literature and stories, philosophy, the arts, mythology, critical studies</w:t>
      </w:r>
      <w:r w:rsidR="00BE1164">
        <w:rPr>
          <w:sz w:val="24"/>
          <w:szCs w:val="24"/>
          <w:lang w:val="en-US"/>
        </w:rPr>
        <w:t xml:space="preserve"> </w:t>
      </w:r>
      <w:r w:rsidRPr="001D6B7E">
        <w:rPr>
          <w:sz w:val="24"/>
          <w:szCs w:val="24"/>
          <w:lang w:val="en-US"/>
        </w:rPr>
        <w:t>and psychotherap</w:t>
      </w:r>
      <w:r>
        <w:rPr>
          <w:sz w:val="24"/>
          <w:szCs w:val="24"/>
          <w:lang w:val="en-US"/>
        </w:rPr>
        <w:t>y. It</w:t>
      </w:r>
      <w:r w:rsidRPr="001D6B7E">
        <w:rPr>
          <w:sz w:val="24"/>
          <w:szCs w:val="24"/>
          <w:lang w:val="en-US"/>
        </w:rPr>
        <w:t xml:space="preserve"> incorporates different approaches to human experience that explore how </w:t>
      </w:r>
      <w:r>
        <w:rPr>
          <w:sz w:val="24"/>
          <w:szCs w:val="24"/>
          <w:lang w:val="en-US"/>
        </w:rPr>
        <w:t xml:space="preserve">emotions </w:t>
      </w:r>
      <w:r w:rsidRPr="001D6B7E">
        <w:rPr>
          <w:sz w:val="24"/>
          <w:szCs w:val="24"/>
          <w:lang w:val="en-US"/>
        </w:rPr>
        <w:t xml:space="preserve">find expression in society and culture, including education. </w:t>
      </w:r>
      <w:r>
        <w:rPr>
          <w:sz w:val="24"/>
          <w:szCs w:val="24"/>
          <w:lang w:val="en-US"/>
        </w:rPr>
        <w:t>It</w:t>
      </w:r>
      <w:r w:rsidRPr="00CC246D">
        <w:rPr>
          <w:sz w:val="24"/>
          <w:szCs w:val="24"/>
          <w:lang w:val="en-US"/>
        </w:rPr>
        <w:t xml:space="preserve"> aims to understand people, their feelings, stories and the process of their journey</w:t>
      </w:r>
      <w:r>
        <w:rPr>
          <w:sz w:val="24"/>
          <w:szCs w:val="24"/>
          <w:lang w:val="en-US"/>
        </w:rPr>
        <w:t>s</w:t>
      </w:r>
      <w:r w:rsidR="00BE1164">
        <w:rPr>
          <w:sz w:val="24"/>
          <w:szCs w:val="24"/>
          <w:lang w:val="en-US"/>
        </w:rPr>
        <w:t>,</w:t>
      </w:r>
      <w:r>
        <w:rPr>
          <w:sz w:val="24"/>
          <w:szCs w:val="24"/>
          <w:lang w:val="en-US"/>
        </w:rPr>
        <w:t xml:space="preserve"> and </w:t>
      </w:r>
      <w:r w:rsidRPr="00CC246D">
        <w:rPr>
          <w:sz w:val="24"/>
          <w:szCs w:val="24"/>
          <w:lang w:val="en-US"/>
        </w:rPr>
        <w:t>recognizes the importance of integrating the emotional aspects of teaching and learning more widely through a process of “self-reflexivity” (Bulkeley and Weldon, 2011, p.2). Depth psychology is interested in the journey</w:t>
      </w:r>
      <w:r>
        <w:rPr>
          <w:sz w:val="24"/>
          <w:szCs w:val="24"/>
          <w:lang w:val="en-US"/>
        </w:rPr>
        <w:t>,</w:t>
      </w:r>
      <w:r w:rsidRPr="00CC246D">
        <w:rPr>
          <w:sz w:val="24"/>
          <w:szCs w:val="24"/>
          <w:lang w:val="en-US"/>
        </w:rPr>
        <w:t xml:space="preserve"> process and a theory of psychological development (van Eenwyk, 1997) that “constitutes the ultimate goal of human life” (Eliade, 1975, p.135) accomplished through a series of initiatory ordeals and trials.</w:t>
      </w:r>
      <w:r w:rsidRPr="001D6B7E">
        <w:rPr>
          <w:sz w:val="24"/>
          <w:szCs w:val="24"/>
          <w:lang w:val="en-US"/>
        </w:rPr>
        <w:t xml:space="preserve"> I </w:t>
      </w:r>
      <w:r>
        <w:rPr>
          <w:sz w:val="24"/>
          <w:szCs w:val="24"/>
          <w:lang w:val="en-US"/>
        </w:rPr>
        <w:t xml:space="preserve">refer </w:t>
      </w:r>
      <w:r w:rsidRPr="001D6B7E">
        <w:rPr>
          <w:sz w:val="24"/>
          <w:szCs w:val="24"/>
          <w:lang w:val="en-US"/>
        </w:rPr>
        <w:t xml:space="preserve">to the concepts of individuation, archetypes, the shadow, and </w:t>
      </w:r>
      <w:r w:rsidRPr="001D6B7E">
        <w:rPr>
          <w:i/>
          <w:iCs/>
          <w:sz w:val="24"/>
          <w:szCs w:val="24"/>
          <w:lang w:val="en-US"/>
        </w:rPr>
        <w:t>anima</w:t>
      </w:r>
      <w:r>
        <w:rPr>
          <w:sz w:val="24"/>
          <w:szCs w:val="24"/>
          <w:lang w:val="en-US"/>
        </w:rPr>
        <w:t xml:space="preserve"> </w:t>
      </w:r>
      <w:r w:rsidRPr="005651E0">
        <w:rPr>
          <w:sz w:val="24"/>
          <w:szCs w:val="24"/>
          <w:lang w:val="en-US"/>
        </w:rPr>
        <w:t>(Jung, 1959)</w:t>
      </w:r>
      <w:r w:rsidR="00DB4B97">
        <w:rPr>
          <w:sz w:val="24"/>
          <w:szCs w:val="24"/>
          <w:lang w:val="en-US"/>
        </w:rPr>
        <w:t>,</w:t>
      </w:r>
      <w:r w:rsidRPr="005651E0">
        <w:rPr>
          <w:sz w:val="24"/>
          <w:szCs w:val="24"/>
          <w:lang w:val="en-US"/>
        </w:rPr>
        <w:t xml:space="preserve"> </w:t>
      </w:r>
      <w:r>
        <w:rPr>
          <w:sz w:val="24"/>
          <w:szCs w:val="24"/>
          <w:lang w:val="en-US"/>
        </w:rPr>
        <w:t xml:space="preserve">the female principle, </w:t>
      </w:r>
      <w:r w:rsidRPr="001D6B7E">
        <w:rPr>
          <w:sz w:val="24"/>
          <w:szCs w:val="24"/>
          <w:lang w:val="en-US"/>
        </w:rPr>
        <w:t>to track and analyze the journey of the research participants</w:t>
      </w:r>
      <w:r>
        <w:rPr>
          <w:sz w:val="24"/>
          <w:szCs w:val="24"/>
          <w:lang w:val="en-US"/>
        </w:rPr>
        <w:t>. A</w:t>
      </w:r>
      <w:r w:rsidRPr="005A6628">
        <w:rPr>
          <w:sz w:val="24"/>
          <w:szCs w:val="24"/>
          <w:lang w:val="en-US"/>
        </w:rPr>
        <w:t xml:space="preserve">n inclusion of </w:t>
      </w:r>
      <w:r>
        <w:rPr>
          <w:sz w:val="24"/>
          <w:szCs w:val="24"/>
          <w:lang w:val="en-US"/>
        </w:rPr>
        <w:t>Jung’s wider</w:t>
      </w:r>
      <w:r w:rsidRPr="005A6628">
        <w:rPr>
          <w:sz w:val="24"/>
          <w:szCs w:val="24"/>
          <w:lang w:val="en-US"/>
        </w:rPr>
        <w:t xml:space="preserve"> theories </w:t>
      </w:r>
      <w:r>
        <w:rPr>
          <w:sz w:val="24"/>
          <w:szCs w:val="24"/>
          <w:lang w:val="en-US"/>
        </w:rPr>
        <w:t xml:space="preserve">is </w:t>
      </w:r>
      <w:r w:rsidRPr="005A6628">
        <w:rPr>
          <w:sz w:val="24"/>
          <w:szCs w:val="24"/>
          <w:lang w:val="en-US"/>
        </w:rPr>
        <w:t>difficult to operationalize, hence the decision to adopt some of the concepts that can be applied to the individuat</w:t>
      </w:r>
      <w:r>
        <w:rPr>
          <w:sz w:val="24"/>
          <w:szCs w:val="24"/>
          <w:lang w:val="en-US"/>
        </w:rPr>
        <w:t>ion</w:t>
      </w:r>
      <w:r w:rsidRPr="005A6628">
        <w:rPr>
          <w:sz w:val="24"/>
          <w:szCs w:val="24"/>
          <w:lang w:val="en-US"/>
        </w:rPr>
        <w:t xml:space="preserve"> journey of the teacher. </w:t>
      </w:r>
    </w:p>
    <w:p w14:paraId="6A8A1AB5" w14:textId="5A0F96A9" w:rsidR="002E2ABD" w:rsidRDefault="002E2ABD" w:rsidP="00927EAA">
      <w:pPr>
        <w:spacing w:line="360" w:lineRule="auto"/>
        <w:rPr>
          <w:sz w:val="24"/>
          <w:szCs w:val="24"/>
          <w:lang w:val="en-US"/>
        </w:rPr>
      </w:pPr>
      <w:r w:rsidRPr="001D6B7E">
        <w:rPr>
          <w:sz w:val="24"/>
          <w:szCs w:val="24"/>
          <w:lang w:val="en-US"/>
        </w:rPr>
        <w:t>Individuation (</w:t>
      </w:r>
      <w:r>
        <w:rPr>
          <w:sz w:val="24"/>
          <w:szCs w:val="24"/>
          <w:lang w:val="en-US"/>
        </w:rPr>
        <w:t xml:space="preserve">Jung, </w:t>
      </w:r>
      <w:r w:rsidRPr="001D6B7E">
        <w:rPr>
          <w:sz w:val="24"/>
          <w:szCs w:val="24"/>
          <w:lang w:val="en-US"/>
        </w:rPr>
        <w:t>1959</w:t>
      </w:r>
      <w:r>
        <w:rPr>
          <w:sz w:val="24"/>
          <w:szCs w:val="24"/>
          <w:lang w:val="en-US"/>
        </w:rPr>
        <w:t>; van Eenwyk, 1997</w:t>
      </w:r>
      <w:r w:rsidRPr="001D6B7E">
        <w:rPr>
          <w:sz w:val="24"/>
          <w:szCs w:val="24"/>
          <w:lang w:val="en-US"/>
        </w:rPr>
        <w:t xml:space="preserve">) is the process of </w:t>
      </w:r>
      <w:r w:rsidR="00553FAB" w:rsidRPr="00553FAB">
        <w:rPr>
          <w:sz w:val="24"/>
          <w:szCs w:val="24"/>
          <w:lang w:val="en-US"/>
        </w:rPr>
        <w:t>self-actualization (Maslow, 1943</w:t>
      </w:r>
      <w:r w:rsidR="00B469D4" w:rsidRPr="00553FAB">
        <w:rPr>
          <w:sz w:val="24"/>
          <w:szCs w:val="24"/>
          <w:lang w:val="en-US"/>
        </w:rPr>
        <w:t>)</w:t>
      </w:r>
      <w:r w:rsidR="00B469D4">
        <w:rPr>
          <w:sz w:val="24"/>
          <w:szCs w:val="24"/>
          <w:lang w:val="en-US"/>
        </w:rPr>
        <w:t xml:space="preserve"> and</w:t>
      </w:r>
      <w:r>
        <w:rPr>
          <w:sz w:val="24"/>
          <w:szCs w:val="24"/>
          <w:lang w:val="en-US"/>
        </w:rPr>
        <w:t xml:space="preserve"> is</w:t>
      </w:r>
      <w:r w:rsidRPr="001D6B7E">
        <w:rPr>
          <w:sz w:val="24"/>
          <w:szCs w:val="24"/>
          <w:lang w:val="en-US"/>
        </w:rPr>
        <w:t xml:space="preserve"> both a descent and an ascent to go beyond the current known script of one’s </w:t>
      </w:r>
      <w:r>
        <w:rPr>
          <w:sz w:val="24"/>
          <w:szCs w:val="24"/>
          <w:lang w:val="en-US"/>
        </w:rPr>
        <w:t>positionality.</w:t>
      </w:r>
      <w:r w:rsidRPr="001D6B7E">
        <w:rPr>
          <w:sz w:val="24"/>
          <w:szCs w:val="24"/>
          <w:lang w:val="en-US"/>
        </w:rPr>
        <w:t xml:space="preserve"> </w:t>
      </w:r>
      <w:r>
        <w:rPr>
          <w:sz w:val="24"/>
          <w:szCs w:val="24"/>
          <w:lang w:val="en-US"/>
        </w:rPr>
        <w:t>A</w:t>
      </w:r>
      <w:r w:rsidRPr="001D6B7E">
        <w:rPr>
          <w:sz w:val="24"/>
          <w:szCs w:val="24"/>
          <w:lang w:val="en-US"/>
        </w:rPr>
        <w:t>s defined by Franciscan monk Richard Rohr (2012)</w:t>
      </w:r>
      <w:r>
        <w:rPr>
          <w:sz w:val="24"/>
          <w:szCs w:val="24"/>
          <w:lang w:val="en-US"/>
        </w:rPr>
        <w:t xml:space="preserve"> going beyond involves </w:t>
      </w:r>
      <w:r w:rsidRPr="001D6B7E">
        <w:rPr>
          <w:sz w:val="24"/>
          <w:szCs w:val="24"/>
          <w:lang w:val="en-US"/>
        </w:rPr>
        <w:t xml:space="preserve">writing </w:t>
      </w:r>
      <w:r>
        <w:rPr>
          <w:sz w:val="24"/>
          <w:szCs w:val="24"/>
          <w:lang w:val="en-US"/>
        </w:rPr>
        <w:t xml:space="preserve">the script and </w:t>
      </w:r>
      <w:r w:rsidRPr="001D6B7E">
        <w:rPr>
          <w:sz w:val="24"/>
          <w:szCs w:val="24"/>
          <w:lang w:val="en-US"/>
        </w:rPr>
        <w:t xml:space="preserve">embodying what we have learnt on our journeys. </w:t>
      </w:r>
      <w:r>
        <w:rPr>
          <w:sz w:val="24"/>
          <w:szCs w:val="24"/>
          <w:lang w:val="en-US"/>
        </w:rPr>
        <w:t xml:space="preserve"> I</w:t>
      </w:r>
      <w:r w:rsidRPr="006B0FEB">
        <w:rPr>
          <w:sz w:val="24"/>
          <w:szCs w:val="24"/>
          <w:lang w:val="en-US"/>
        </w:rPr>
        <w:t>ndividuation is the process by which any living organism claims its destiny and can gro</w:t>
      </w:r>
      <w:r>
        <w:rPr>
          <w:sz w:val="24"/>
          <w:szCs w:val="24"/>
          <w:lang w:val="en-US"/>
        </w:rPr>
        <w:t xml:space="preserve">w </w:t>
      </w:r>
      <w:r w:rsidRPr="0011095C">
        <w:rPr>
          <w:i/>
          <w:iCs/>
          <w:sz w:val="24"/>
          <w:szCs w:val="24"/>
          <w:lang w:val="en-US"/>
        </w:rPr>
        <w:t>because</w:t>
      </w:r>
      <w:r w:rsidRPr="006B0FEB">
        <w:rPr>
          <w:sz w:val="24"/>
          <w:szCs w:val="24"/>
          <w:lang w:val="en-US"/>
        </w:rPr>
        <w:t xml:space="preserve"> of a journey</w:t>
      </w:r>
      <w:r>
        <w:rPr>
          <w:sz w:val="24"/>
          <w:szCs w:val="24"/>
          <w:lang w:val="en-US"/>
        </w:rPr>
        <w:t xml:space="preserve"> (Stevens, 1997)</w:t>
      </w:r>
      <w:r w:rsidRPr="006B0FEB">
        <w:rPr>
          <w:sz w:val="24"/>
          <w:szCs w:val="24"/>
          <w:lang w:val="en-US"/>
        </w:rPr>
        <w:t>, which I read as both an inner and an outer journey.</w:t>
      </w:r>
      <w:r>
        <w:rPr>
          <w:sz w:val="24"/>
          <w:szCs w:val="24"/>
          <w:lang w:val="en-US"/>
        </w:rPr>
        <w:t xml:space="preserve"> The i</w:t>
      </w:r>
      <w:r w:rsidRPr="001D6B7E">
        <w:rPr>
          <w:sz w:val="24"/>
          <w:szCs w:val="24"/>
          <w:lang w:val="en-US"/>
        </w:rPr>
        <w:t xml:space="preserve">ndividuation </w:t>
      </w:r>
      <w:r>
        <w:rPr>
          <w:sz w:val="24"/>
          <w:szCs w:val="24"/>
          <w:lang w:val="en-US"/>
        </w:rPr>
        <w:t xml:space="preserve">journey </w:t>
      </w:r>
      <w:r w:rsidRPr="001D6B7E">
        <w:rPr>
          <w:sz w:val="24"/>
          <w:szCs w:val="24"/>
          <w:lang w:val="en-US"/>
        </w:rPr>
        <w:t>is transitional,</w:t>
      </w:r>
      <w:r>
        <w:rPr>
          <w:sz w:val="24"/>
          <w:szCs w:val="24"/>
          <w:lang w:val="en-US"/>
        </w:rPr>
        <w:t xml:space="preserve"> and it is a hero who undertakes this journey.</w:t>
      </w:r>
      <w:r w:rsidRPr="001D6B7E">
        <w:rPr>
          <w:sz w:val="24"/>
          <w:szCs w:val="24"/>
          <w:lang w:val="en-US"/>
        </w:rPr>
        <w:t xml:space="preserve"> </w:t>
      </w:r>
    </w:p>
    <w:p w14:paraId="4F2F71E3" w14:textId="56ECF730" w:rsidR="002E2ABD" w:rsidRDefault="002E2ABD" w:rsidP="00927EAA">
      <w:pPr>
        <w:spacing w:line="360" w:lineRule="auto"/>
        <w:rPr>
          <w:sz w:val="24"/>
          <w:szCs w:val="24"/>
          <w:lang w:val="en-US"/>
        </w:rPr>
      </w:pPr>
      <w:r w:rsidRPr="001D6B7E">
        <w:rPr>
          <w:sz w:val="24"/>
          <w:szCs w:val="24"/>
          <w:lang w:val="en-US"/>
        </w:rPr>
        <w:lastRenderedPageBreak/>
        <w:t xml:space="preserve">The hero’s journey was popularized </w:t>
      </w:r>
      <w:r w:rsidR="00240D06">
        <w:rPr>
          <w:sz w:val="24"/>
          <w:szCs w:val="24"/>
          <w:lang w:val="en-US"/>
        </w:rPr>
        <w:t>by</w:t>
      </w:r>
      <w:r w:rsidR="00A72EB8">
        <w:rPr>
          <w:sz w:val="24"/>
          <w:szCs w:val="24"/>
          <w:lang w:val="en-US"/>
        </w:rPr>
        <w:t xml:space="preserve"> Joyce </w:t>
      </w:r>
      <w:r w:rsidRPr="001D6B7E">
        <w:rPr>
          <w:sz w:val="24"/>
          <w:szCs w:val="24"/>
          <w:lang w:val="en-US"/>
        </w:rPr>
        <w:t>in modern times as a monomyth (Joyce, 1934</w:t>
      </w:r>
      <w:r>
        <w:rPr>
          <w:sz w:val="24"/>
          <w:szCs w:val="24"/>
          <w:lang w:val="en-US"/>
        </w:rPr>
        <w:t>;</w:t>
      </w:r>
      <w:r w:rsidRPr="001D6B7E">
        <w:rPr>
          <w:sz w:val="24"/>
          <w:szCs w:val="24"/>
          <w:lang w:val="en-US"/>
        </w:rPr>
        <w:t xml:space="preserve"> 1939)</w:t>
      </w:r>
      <w:r>
        <w:rPr>
          <w:sz w:val="24"/>
          <w:szCs w:val="24"/>
          <w:lang w:val="en-US"/>
        </w:rPr>
        <w:t xml:space="preserve"> upon which Campbell (1949) based</w:t>
      </w:r>
      <w:r w:rsidRPr="001D6B7E">
        <w:rPr>
          <w:sz w:val="24"/>
          <w:szCs w:val="24"/>
          <w:lang w:val="en-US"/>
        </w:rPr>
        <w:t xml:space="preserve"> his own version. </w:t>
      </w:r>
      <w:r>
        <w:rPr>
          <w:sz w:val="24"/>
          <w:szCs w:val="24"/>
          <w:lang w:val="en-US"/>
        </w:rPr>
        <w:t>Comprising 17 steps, there are</w:t>
      </w:r>
      <w:r w:rsidRPr="001D6B7E">
        <w:rPr>
          <w:sz w:val="24"/>
          <w:szCs w:val="24"/>
          <w:lang w:val="en-US"/>
        </w:rPr>
        <w:t xml:space="preserve"> three </w:t>
      </w:r>
      <w:r>
        <w:rPr>
          <w:sz w:val="24"/>
          <w:szCs w:val="24"/>
          <w:lang w:val="en-US"/>
        </w:rPr>
        <w:t xml:space="preserve">main </w:t>
      </w:r>
      <w:r w:rsidRPr="001D6B7E">
        <w:rPr>
          <w:sz w:val="24"/>
          <w:szCs w:val="24"/>
          <w:lang w:val="en-US"/>
        </w:rPr>
        <w:t>stages</w:t>
      </w:r>
      <w:r>
        <w:rPr>
          <w:sz w:val="24"/>
          <w:szCs w:val="24"/>
          <w:lang w:val="en-US"/>
        </w:rPr>
        <w:t>:</w:t>
      </w:r>
      <w:r w:rsidRPr="001D6B7E">
        <w:rPr>
          <w:sz w:val="24"/>
          <w:szCs w:val="24"/>
          <w:lang w:val="en-US"/>
        </w:rPr>
        <w:t xml:space="preserve"> separation, initiation, return (</w:t>
      </w:r>
      <w:r w:rsidR="00D941F3">
        <w:rPr>
          <w:sz w:val="24"/>
          <w:szCs w:val="24"/>
          <w:lang w:val="en-US"/>
        </w:rPr>
        <w:t>ibid.</w:t>
      </w:r>
      <w:r w:rsidRPr="001D6B7E">
        <w:rPr>
          <w:sz w:val="24"/>
          <w:szCs w:val="24"/>
          <w:lang w:val="en-US"/>
        </w:rPr>
        <w:t xml:space="preserve">). Soviet folklorist Propp (1958) devised a </w:t>
      </w:r>
      <w:r>
        <w:rPr>
          <w:sz w:val="24"/>
          <w:szCs w:val="24"/>
          <w:lang w:val="en-US"/>
        </w:rPr>
        <w:t xml:space="preserve">31-stage </w:t>
      </w:r>
      <w:r w:rsidRPr="001D6B7E">
        <w:rPr>
          <w:sz w:val="24"/>
          <w:szCs w:val="24"/>
          <w:lang w:val="en-US"/>
        </w:rPr>
        <w:t xml:space="preserve">hero’s journey </w:t>
      </w:r>
      <w:r>
        <w:rPr>
          <w:sz w:val="24"/>
          <w:szCs w:val="24"/>
          <w:lang w:val="en-US"/>
        </w:rPr>
        <w:t xml:space="preserve">model </w:t>
      </w:r>
      <w:r w:rsidRPr="001D6B7E">
        <w:rPr>
          <w:sz w:val="24"/>
          <w:szCs w:val="24"/>
          <w:lang w:val="en-US"/>
        </w:rPr>
        <w:t xml:space="preserve">where the plot functions and characters follow a trajectory towards self-actualization (Maslow, 1943). </w:t>
      </w:r>
      <w:r>
        <w:rPr>
          <w:sz w:val="24"/>
          <w:szCs w:val="24"/>
          <w:lang w:val="en-US"/>
        </w:rPr>
        <w:t xml:space="preserve">More recently </w:t>
      </w:r>
      <w:r w:rsidRPr="001D6B7E">
        <w:rPr>
          <w:sz w:val="24"/>
          <w:szCs w:val="24"/>
          <w:lang w:val="en-US"/>
        </w:rPr>
        <w:t xml:space="preserve">Vogler </w:t>
      </w:r>
      <w:r>
        <w:rPr>
          <w:sz w:val="24"/>
          <w:szCs w:val="24"/>
          <w:lang w:val="en-US"/>
        </w:rPr>
        <w:t xml:space="preserve">(1998) </w:t>
      </w:r>
      <w:r w:rsidRPr="001D6B7E">
        <w:rPr>
          <w:sz w:val="24"/>
          <w:szCs w:val="24"/>
          <w:lang w:val="en-US"/>
        </w:rPr>
        <w:t>adapted the hero’s journey</w:t>
      </w:r>
      <w:r>
        <w:rPr>
          <w:sz w:val="24"/>
          <w:szCs w:val="24"/>
          <w:lang w:val="en-US"/>
        </w:rPr>
        <w:t xml:space="preserve"> </w:t>
      </w:r>
      <w:r w:rsidRPr="001D6B7E">
        <w:rPr>
          <w:sz w:val="24"/>
          <w:szCs w:val="24"/>
          <w:lang w:val="en-US"/>
        </w:rPr>
        <w:t>to fit the writer’s journey</w:t>
      </w:r>
      <w:r>
        <w:rPr>
          <w:sz w:val="24"/>
          <w:szCs w:val="24"/>
          <w:lang w:val="en-US"/>
        </w:rPr>
        <w:t xml:space="preserve"> </w:t>
      </w:r>
      <w:r w:rsidRPr="001D6B7E">
        <w:rPr>
          <w:sz w:val="24"/>
          <w:szCs w:val="24"/>
          <w:lang w:val="en-US"/>
        </w:rPr>
        <w:t xml:space="preserve">as a 12-step formula for the writing of stories.  </w:t>
      </w:r>
      <w:r>
        <w:rPr>
          <w:sz w:val="24"/>
          <w:szCs w:val="24"/>
          <w:lang w:val="en-US"/>
        </w:rPr>
        <w:t>M</w:t>
      </w:r>
      <w:r w:rsidRPr="001D6B7E">
        <w:rPr>
          <w:sz w:val="24"/>
          <w:szCs w:val="24"/>
          <w:lang w:val="en-US"/>
        </w:rPr>
        <w:t xml:space="preserve">y own quest </w:t>
      </w:r>
      <w:r>
        <w:rPr>
          <w:sz w:val="24"/>
          <w:szCs w:val="24"/>
          <w:lang w:val="en-US"/>
        </w:rPr>
        <w:t xml:space="preserve">is for </w:t>
      </w:r>
      <w:r w:rsidRPr="001D6B7E">
        <w:rPr>
          <w:sz w:val="24"/>
          <w:szCs w:val="24"/>
          <w:lang w:val="en-US"/>
        </w:rPr>
        <w:t>a</w:t>
      </w:r>
      <w:r w:rsidR="00175686">
        <w:rPr>
          <w:sz w:val="24"/>
          <w:szCs w:val="24"/>
          <w:lang w:val="en-US"/>
        </w:rPr>
        <w:t xml:space="preserve"> simple </w:t>
      </w:r>
      <w:r w:rsidRPr="001D6B7E">
        <w:rPr>
          <w:sz w:val="24"/>
          <w:szCs w:val="24"/>
          <w:lang w:val="en-US"/>
        </w:rPr>
        <w:t xml:space="preserve">model that </w:t>
      </w:r>
      <w:r>
        <w:rPr>
          <w:sz w:val="24"/>
          <w:szCs w:val="24"/>
          <w:lang w:val="en-US"/>
        </w:rPr>
        <w:t xml:space="preserve">might </w:t>
      </w:r>
      <w:r w:rsidRPr="001D6B7E">
        <w:rPr>
          <w:sz w:val="24"/>
          <w:szCs w:val="24"/>
          <w:lang w:val="en-US"/>
        </w:rPr>
        <w:t xml:space="preserve">be </w:t>
      </w:r>
      <w:r w:rsidR="005E676B">
        <w:rPr>
          <w:sz w:val="24"/>
          <w:szCs w:val="24"/>
          <w:lang w:val="en-US"/>
        </w:rPr>
        <w:t>adapted</w:t>
      </w:r>
      <w:r>
        <w:rPr>
          <w:sz w:val="24"/>
          <w:szCs w:val="24"/>
          <w:lang w:val="en-US"/>
        </w:rPr>
        <w:t xml:space="preserve"> </w:t>
      </w:r>
      <w:r w:rsidR="00175686">
        <w:rPr>
          <w:sz w:val="24"/>
          <w:szCs w:val="24"/>
          <w:lang w:val="en-US"/>
        </w:rPr>
        <w:t xml:space="preserve">to </w:t>
      </w:r>
      <w:r w:rsidR="005E676B">
        <w:rPr>
          <w:sz w:val="24"/>
          <w:szCs w:val="24"/>
          <w:lang w:val="en-US"/>
        </w:rPr>
        <w:t xml:space="preserve">the </w:t>
      </w:r>
      <w:r w:rsidR="00175686">
        <w:rPr>
          <w:sz w:val="24"/>
          <w:szCs w:val="24"/>
          <w:lang w:val="en-US"/>
        </w:rPr>
        <w:t xml:space="preserve">education </w:t>
      </w:r>
      <w:r w:rsidR="005E676B">
        <w:rPr>
          <w:sz w:val="24"/>
          <w:szCs w:val="24"/>
          <w:lang w:val="en-US"/>
        </w:rPr>
        <w:t xml:space="preserve">field </w:t>
      </w:r>
      <w:r>
        <w:rPr>
          <w:sz w:val="24"/>
          <w:szCs w:val="24"/>
          <w:lang w:val="en-US"/>
        </w:rPr>
        <w:t>therefore the hero’s journey of individuation as a concept is applied to the conceptual framework.</w:t>
      </w:r>
      <w:r w:rsidRPr="001D6B7E">
        <w:rPr>
          <w:sz w:val="24"/>
          <w:szCs w:val="24"/>
          <w:lang w:val="en-US"/>
        </w:rPr>
        <w:t xml:space="preserve"> </w:t>
      </w:r>
    </w:p>
    <w:p w14:paraId="6A30ED06" w14:textId="05885D96" w:rsidR="002E2ABD" w:rsidRDefault="002E2ABD" w:rsidP="00927EAA">
      <w:pPr>
        <w:spacing w:line="360" w:lineRule="auto"/>
        <w:rPr>
          <w:sz w:val="24"/>
          <w:szCs w:val="24"/>
          <w:lang w:val="en-US"/>
        </w:rPr>
      </w:pPr>
      <w:r w:rsidRPr="00475095">
        <w:rPr>
          <w:sz w:val="24"/>
          <w:szCs w:val="24"/>
          <w:lang w:val="en-US"/>
        </w:rPr>
        <w:t>Modern day folklorists describe the archetypal hero as one who leaves home, undergoes a series of trials</w:t>
      </w:r>
      <w:r w:rsidR="009B4ACC">
        <w:rPr>
          <w:sz w:val="24"/>
          <w:szCs w:val="24"/>
          <w:lang w:val="en-US"/>
        </w:rPr>
        <w:t>,</w:t>
      </w:r>
      <w:r w:rsidR="005E676B">
        <w:rPr>
          <w:sz w:val="24"/>
          <w:szCs w:val="24"/>
          <w:lang w:val="en-US"/>
        </w:rPr>
        <w:t xml:space="preserve"> </w:t>
      </w:r>
      <w:r w:rsidRPr="00475095">
        <w:rPr>
          <w:sz w:val="24"/>
          <w:szCs w:val="24"/>
          <w:lang w:val="en-US"/>
        </w:rPr>
        <w:t>and returns changed by their experiences and ordeals endured (Cashdan, 1999; Propp, 1958; Vogler, 1998). My definition of a hero is not an archetypal hero</w:t>
      </w:r>
      <w:r>
        <w:rPr>
          <w:sz w:val="24"/>
          <w:szCs w:val="24"/>
          <w:lang w:val="en-US"/>
        </w:rPr>
        <w:t xml:space="preserve"> </w:t>
      </w:r>
      <w:r w:rsidRPr="00475095">
        <w:rPr>
          <w:sz w:val="24"/>
          <w:szCs w:val="24"/>
          <w:lang w:val="en-US"/>
        </w:rPr>
        <w:t xml:space="preserve">myopically focused on his own growth </w:t>
      </w:r>
      <w:r w:rsidR="00B469D4">
        <w:rPr>
          <w:sz w:val="24"/>
          <w:szCs w:val="24"/>
          <w:lang w:val="en-US"/>
        </w:rPr>
        <w:t xml:space="preserve">and achievements </w:t>
      </w:r>
      <w:r w:rsidRPr="00475095">
        <w:rPr>
          <w:sz w:val="24"/>
          <w:szCs w:val="24"/>
          <w:lang w:val="en-US"/>
        </w:rPr>
        <w:t>but a classic hero who leaves home, embarks on a journey and returns with “boons” (Campbell, 1949) that can be shared with others. This aligns with Rohr’s (2012) notion that true heroism serves the common good. Th</w:t>
      </w:r>
      <w:r>
        <w:rPr>
          <w:sz w:val="24"/>
          <w:szCs w:val="24"/>
          <w:lang w:val="en-US"/>
        </w:rPr>
        <w:t>e</w:t>
      </w:r>
      <w:r w:rsidRPr="00475095">
        <w:rPr>
          <w:sz w:val="24"/>
          <w:szCs w:val="24"/>
          <w:lang w:val="en-US"/>
        </w:rPr>
        <w:t xml:space="preserve"> </w:t>
      </w:r>
      <w:r>
        <w:rPr>
          <w:sz w:val="24"/>
          <w:szCs w:val="24"/>
          <w:lang w:val="en-US"/>
        </w:rPr>
        <w:t xml:space="preserve">hero’s journey </w:t>
      </w:r>
      <w:r w:rsidRPr="001D6B7E">
        <w:rPr>
          <w:sz w:val="24"/>
          <w:szCs w:val="24"/>
          <w:lang w:val="en-US"/>
        </w:rPr>
        <w:t>does not shy away from the darker sides of human interactions</w:t>
      </w:r>
      <w:r>
        <w:rPr>
          <w:sz w:val="24"/>
          <w:szCs w:val="24"/>
          <w:lang w:val="en-US"/>
        </w:rPr>
        <w:t xml:space="preserve"> </w:t>
      </w:r>
      <w:r w:rsidRPr="001D6B7E">
        <w:rPr>
          <w:sz w:val="24"/>
          <w:szCs w:val="24"/>
          <w:lang w:val="en-US"/>
        </w:rPr>
        <w:t>and trials, and faces the shadow side of humans, and their institutions</w:t>
      </w:r>
      <w:r w:rsidR="009B4ACC">
        <w:rPr>
          <w:sz w:val="24"/>
          <w:szCs w:val="24"/>
          <w:lang w:val="en-US"/>
        </w:rPr>
        <w:t>,</w:t>
      </w:r>
      <w:r w:rsidRPr="001D6B7E">
        <w:rPr>
          <w:sz w:val="24"/>
          <w:szCs w:val="24"/>
          <w:lang w:val="en-US"/>
        </w:rPr>
        <w:t xml:space="preserve"> head on. </w:t>
      </w:r>
    </w:p>
    <w:p w14:paraId="7201FE08" w14:textId="4FA38FC9" w:rsidR="002E2ABD" w:rsidRPr="001D6B7E" w:rsidRDefault="002E2ABD" w:rsidP="00927EAA">
      <w:pPr>
        <w:spacing w:line="360" w:lineRule="auto"/>
        <w:rPr>
          <w:sz w:val="24"/>
          <w:szCs w:val="24"/>
          <w:lang w:val="en-US"/>
        </w:rPr>
      </w:pPr>
      <w:r>
        <w:rPr>
          <w:sz w:val="24"/>
          <w:szCs w:val="24"/>
          <w:lang w:val="en-US"/>
        </w:rPr>
        <w:t xml:space="preserve">The final ingredient is </w:t>
      </w:r>
      <w:r w:rsidRPr="00066537">
        <w:rPr>
          <w:sz w:val="24"/>
          <w:szCs w:val="24"/>
          <w:lang w:val="en-US"/>
        </w:rPr>
        <w:t>holding</w:t>
      </w:r>
      <w:r>
        <w:rPr>
          <w:sz w:val="24"/>
          <w:szCs w:val="24"/>
          <w:lang w:val="en-US"/>
        </w:rPr>
        <w:t xml:space="preserve"> (Winnicott, 1965</w:t>
      </w:r>
      <w:r w:rsidR="008F4F1A">
        <w:rPr>
          <w:sz w:val="24"/>
          <w:szCs w:val="24"/>
          <w:lang w:val="en-US"/>
        </w:rPr>
        <w:t>)</w:t>
      </w:r>
      <w:r>
        <w:rPr>
          <w:sz w:val="24"/>
          <w:szCs w:val="24"/>
          <w:lang w:val="en-US"/>
        </w:rPr>
        <w:t xml:space="preserve">, </w:t>
      </w:r>
      <w:r w:rsidRPr="00066537">
        <w:rPr>
          <w:sz w:val="24"/>
          <w:szCs w:val="24"/>
          <w:lang w:val="en-US"/>
        </w:rPr>
        <w:t xml:space="preserve">a physical and emotional concept </w:t>
      </w:r>
      <w:r>
        <w:rPr>
          <w:sz w:val="24"/>
          <w:szCs w:val="24"/>
          <w:lang w:val="en-US"/>
        </w:rPr>
        <w:t>and</w:t>
      </w:r>
      <w:r w:rsidRPr="00066537">
        <w:rPr>
          <w:sz w:val="24"/>
          <w:szCs w:val="24"/>
          <w:lang w:val="en-US"/>
        </w:rPr>
        <w:t xml:space="preserve"> support mechanism </w:t>
      </w:r>
      <w:r>
        <w:rPr>
          <w:sz w:val="24"/>
          <w:szCs w:val="24"/>
          <w:lang w:val="en-US"/>
        </w:rPr>
        <w:t xml:space="preserve">replete with </w:t>
      </w:r>
      <w:r w:rsidRPr="00066537">
        <w:rPr>
          <w:sz w:val="24"/>
          <w:szCs w:val="24"/>
          <w:lang w:val="en-US"/>
        </w:rPr>
        <w:t>an ethic of care</w:t>
      </w:r>
      <w:r w:rsidR="00C135CA">
        <w:rPr>
          <w:sz w:val="24"/>
          <w:szCs w:val="24"/>
          <w:lang w:val="en-US"/>
        </w:rPr>
        <w:t xml:space="preserve"> (Noddings, 2002)</w:t>
      </w:r>
      <w:r w:rsidRPr="00066537">
        <w:rPr>
          <w:sz w:val="24"/>
          <w:szCs w:val="24"/>
          <w:lang w:val="en-US"/>
        </w:rPr>
        <w:t xml:space="preserve">. Critiques of Winnicottian theories abound aplenty, particularly his singular focus of the mother being the most appropriate adult to hold, and care for the baby. However, I apply some concepts drawn from Winnicott </w:t>
      </w:r>
      <w:r>
        <w:rPr>
          <w:sz w:val="24"/>
          <w:szCs w:val="24"/>
          <w:lang w:val="en-US"/>
        </w:rPr>
        <w:t xml:space="preserve">from his perspective as a </w:t>
      </w:r>
      <w:r w:rsidRPr="00066537">
        <w:rPr>
          <w:sz w:val="24"/>
          <w:szCs w:val="24"/>
          <w:lang w:val="en-US"/>
        </w:rPr>
        <w:t>depth psychotherapist/psychologist (Lewis, 1993)</w:t>
      </w:r>
      <w:r>
        <w:rPr>
          <w:sz w:val="24"/>
          <w:szCs w:val="24"/>
          <w:lang w:val="en-US"/>
        </w:rPr>
        <w:t xml:space="preserve"> that </w:t>
      </w:r>
      <w:r w:rsidRPr="002F4C78">
        <w:rPr>
          <w:sz w:val="24"/>
          <w:szCs w:val="24"/>
          <w:lang w:val="en-US"/>
        </w:rPr>
        <w:t>foreground the well-being and care of mothers</w:t>
      </w:r>
      <w:r w:rsidR="008F4F1A">
        <w:rPr>
          <w:sz w:val="24"/>
          <w:szCs w:val="24"/>
          <w:lang w:val="en-US"/>
        </w:rPr>
        <w:t xml:space="preserve"> </w:t>
      </w:r>
      <w:r w:rsidRPr="002F4C78">
        <w:rPr>
          <w:sz w:val="24"/>
          <w:szCs w:val="24"/>
          <w:lang w:val="en-US"/>
        </w:rPr>
        <w:t xml:space="preserve">and their babies </w:t>
      </w:r>
      <w:r>
        <w:rPr>
          <w:sz w:val="24"/>
          <w:szCs w:val="24"/>
          <w:lang w:val="en-US"/>
        </w:rPr>
        <w:t>that can</w:t>
      </w:r>
      <w:r w:rsidRPr="002F4C78">
        <w:rPr>
          <w:sz w:val="24"/>
          <w:szCs w:val="24"/>
          <w:lang w:val="en-US"/>
        </w:rPr>
        <w:t xml:space="preserve"> be adapted for supporting teachers.  </w:t>
      </w:r>
    </w:p>
    <w:p w14:paraId="517B669A" w14:textId="0AF6D2F7" w:rsidR="002E2ABD" w:rsidRPr="00F84969" w:rsidRDefault="002E2ABD" w:rsidP="00927EAA">
      <w:pPr>
        <w:spacing w:line="360" w:lineRule="auto"/>
        <w:rPr>
          <w:b/>
          <w:bCs/>
          <w:sz w:val="24"/>
          <w:szCs w:val="24"/>
          <w:lang w:val="en-US"/>
        </w:rPr>
      </w:pPr>
      <w:r w:rsidRPr="00F84969">
        <w:rPr>
          <w:b/>
          <w:bCs/>
          <w:sz w:val="24"/>
          <w:szCs w:val="24"/>
          <w:lang w:val="en-US"/>
        </w:rPr>
        <w:t>Winnicott</w:t>
      </w:r>
      <w:r>
        <w:rPr>
          <w:b/>
          <w:bCs/>
          <w:sz w:val="24"/>
          <w:szCs w:val="24"/>
          <w:lang w:val="en-US"/>
        </w:rPr>
        <w:t>, Jung and depth psychopedagogy</w:t>
      </w:r>
    </w:p>
    <w:p w14:paraId="329E8438" w14:textId="7A9C77BD" w:rsidR="001118C7" w:rsidRPr="00582162" w:rsidRDefault="002E2ABD" w:rsidP="00927EAA">
      <w:pPr>
        <w:spacing w:line="360" w:lineRule="auto"/>
        <w:rPr>
          <w:sz w:val="24"/>
          <w:szCs w:val="24"/>
          <w:lang w:val="en-US"/>
        </w:rPr>
      </w:pPr>
      <w:r w:rsidRPr="001D6B7E">
        <w:rPr>
          <w:sz w:val="24"/>
          <w:szCs w:val="24"/>
          <w:lang w:val="en-US"/>
        </w:rPr>
        <w:t>At first pass, Winnicott and Jung</w:t>
      </w:r>
      <w:r>
        <w:rPr>
          <w:sz w:val="24"/>
          <w:szCs w:val="24"/>
          <w:lang w:val="en-US"/>
        </w:rPr>
        <w:t xml:space="preserve"> </w:t>
      </w:r>
      <w:r w:rsidRPr="001D6B7E">
        <w:rPr>
          <w:sz w:val="24"/>
          <w:szCs w:val="24"/>
          <w:lang w:val="en-US"/>
        </w:rPr>
        <w:t>seem strange bedfellows</w:t>
      </w:r>
      <w:r>
        <w:rPr>
          <w:sz w:val="24"/>
          <w:szCs w:val="24"/>
          <w:lang w:val="en-US"/>
        </w:rPr>
        <w:t xml:space="preserve">. </w:t>
      </w:r>
      <w:r w:rsidRPr="001D6B7E">
        <w:rPr>
          <w:sz w:val="24"/>
          <w:szCs w:val="24"/>
          <w:lang w:val="en-US"/>
        </w:rPr>
        <w:t xml:space="preserve">Winnicottian theories focused primarily on the mother-baby dyadic relationship, and Jung </w:t>
      </w:r>
      <w:r>
        <w:rPr>
          <w:sz w:val="24"/>
          <w:szCs w:val="24"/>
          <w:lang w:val="en-US"/>
        </w:rPr>
        <w:t xml:space="preserve">was professionally anchored </w:t>
      </w:r>
      <w:r w:rsidRPr="001D6B7E">
        <w:rPr>
          <w:sz w:val="24"/>
          <w:szCs w:val="24"/>
          <w:lang w:val="en-US"/>
        </w:rPr>
        <w:t xml:space="preserve">the esoteric. </w:t>
      </w:r>
      <w:r>
        <w:rPr>
          <w:sz w:val="24"/>
          <w:szCs w:val="24"/>
          <w:lang w:val="en-US"/>
        </w:rPr>
        <w:t xml:space="preserve">Their ideas </w:t>
      </w:r>
      <w:r w:rsidRPr="001D6B7E">
        <w:rPr>
          <w:sz w:val="24"/>
          <w:szCs w:val="24"/>
          <w:lang w:val="en-US"/>
        </w:rPr>
        <w:t>coalesce on the notion of emotional developmental journey</w:t>
      </w:r>
      <w:r>
        <w:rPr>
          <w:sz w:val="24"/>
          <w:szCs w:val="24"/>
          <w:lang w:val="en-US"/>
        </w:rPr>
        <w:t>s</w:t>
      </w:r>
      <w:r w:rsidRPr="001D6B7E">
        <w:rPr>
          <w:sz w:val="24"/>
          <w:szCs w:val="24"/>
          <w:lang w:val="en-US"/>
        </w:rPr>
        <w:t>. Winnicott (1965) regards developmental transitions as an innate process begun in childhood. For Jung</w:t>
      </w:r>
      <w:r>
        <w:rPr>
          <w:sz w:val="24"/>
          <w:szCs w:val="24"/>
          <w:lang w:val="en-US"/>
        </w:rPr>
        <w:t xml:space="preserve"> (1959) </w:t>
      </w:r>
      <w:r w:rsidRPr="001D6B7E">
        <w:rPr>
          <w:sz w:val="24"/>
          <w:szCs w:val="24"/>
          <w:lang w:val="en-US"/>
        </w:rPr>
        <w:t xml:space="preserve">personal development, growth and learning </w:t>
      </w:r>
      <w:r>
        <w:rPr>
          <w:sz w:val="24"/>
          <w:szCs w:val="24"/>
          <w:lang w:val="en-US"/>
        </w:rPr>
        <w:t xml:space="preserve">are </w:t>
      </w:r>
      <w:r w:rsidRPr="001D6B7E">
        <w:rPr>
          <w:sz w:val="24"/>
          <w:szCs w:val="24"/>
          <w:lang w:val="en-US"/>
        </w:rPr>
        <w:t xml:space="preserve">a </w:t>
      </w:r>
      <w:r>
        <w:rPr>
          <w:sz w:val="24"/>
          <w:szCs w:val="24"/>
          <w:lang w:val="en-US"/>
        </w:rPr>
        <w:t xml:space="preserve">life-long individuation process </w:t>
      </w:r>
      <w:r w:rsidRPr="001D6B7E">
        <w:rPr>
          <w:sz w:val="24"/>
          <w:szCs w:val="24"/>
          <w:lang w:val="en-US"/>
        </w:rPr>
        <w:t xml:space="preserve">towards wholeness and integration. Indeed, depth pedagogy as an </w:t>
      </w:r>
      <w:r w:rsidRPr="001D6B7E">
        <w:rPr>
          <w:sz w:val="24"/>
          <w:szCs w:val="24"/>
          <w:lang w:val="en-US"/>
        </w:rPr>
        <w:lastRenderedPageBreak/>
        <w:t xml:space="preserve">overarching philosophy is anchored in an ontological position that education </w:t>
      </w:r>
      <w:r w:rsidRPr="001D6B7E">
        <w:rPr>
          <w:i/>
          <w:iCs/>
          <w:sz w:val="24"/>
          <w:szCs w:val="24"/>
          <w:lang w:val="en-US"/>
        </w:rPr>
        <w:t>is</w:t>
      </w:r>
      <w:r w:rsidRPr="001D6B7E">
        <w:rPr>
          <w:sz w:val="24"/>
          <w:szCs w:val="24"/>
          <w:lang w:val="en-US"/>
        </w:rPr>
        <w:t xml:space="preserve"> individuation (Mayes, 2007), a</w:t>
      </w:r>
      <w:r>
        <w:rPr>
          <w:sz w:val="24"/>
          <w:szCs w:val="24"/>
          <w:lang w:val="en-US"/>
        </w:rPr>
        <w:t xml:space="preserve"> hero’s </w:t>
      </w:r>
      <w:r w:rsidRPr="001D6B7E">
        <w:rPr>
          <w:sz w:val="24"/>
          <w:szCs w:val="24"/>
          <w:lang w:val="en-US"/>
        </w:rPr>
        <w:t>journey of development</w:t>
      </w:r>
      <w:r>
        <w:rPr>
          <w:sz w:val="24"/>
          <w:szCs w:val="24"/>
          <w:lang w:val="en-US"/>
        </w:rPr>
        <w:t xml:space="preserve"> </w:t>
      </w:r>
      <w:r w:rsidRPr="001D6B7E">
        <w:rPr>
          <w:sz w:val="24"/>
          <w:szCs w:val="24"/>
          <w:lang w:val="en-US"/>
        </w:rPr>
        <w:t>in</w:t>
      </w:r>
      <w:r>
        <w:rPr>
          <w:sz w:val="24"/>
          <w:szCs w:val="24"/>
          <w:lang w:val="en-US"/>
        </w:rPr>
        <w:t xml:space="preserve"> </w:t>
      </w:r>
      <w:r w:rsidRPr="001D6B7E">
        <w:rPr>
          <w:sz w:val="24"/>
          <w:szCs w:val="24"/>
          <w:lang w:val="en-US"/>
        </w:rPr>
        <w:t>service of the self</w:t>
      </w:r>
      <w:r>
        <w:rPr>
          <w:sz w:val="24"/>
          <w:szCs w:val="24"/>
          <w:lang w:val="en-US"/>
        </w:rPr>
        <w:t xml:space="preserve"> and the wider community</w:t>
      </w:r>
      <w:r w:rsidRPr="001D6B7E">
        <w:rPr>
          <w:sz w:val="24"/>
          <w:szCs w:val="24"/>
          <w:lang w:val="en-US"/>
        </w:rPr>
        <w:t>.</w:t>
      </w:r>
      <w:r w:rsidRPr="00A236DE">
        <w:rPr>
          <w:color w:val="FF0000"/>
          <w:sz w:val="24"/>
          <w:szCs w:val="24"/>
          <w:lang w:val="en-US"/>
        </w:rPr>
        <w:t xml:space="preserve">  </w:t>
      </w:r>
      <w:r w:rsidRPr="009A607C">
        <w:rPr>
          <w:sz w:val="24"/>
          <w:szCs w:val="24"/>
          <w:lang w:val="en-US"/>
        </w:rPr>
        <w:t xml:space="preserve">With a focus on the emotional and personal development aspects of teaching, </w:t>
      </w:r>
      <w:r>
        <w:rPr>
          <w:sz w:val="24"/>
          <w:szCs w:val="24"/>
          <w:lang w:val="en-US"/>
        </w:rPr>
        <w:t xml:space="preserve">depth psychopedagogues </w:t>
      </w:r>
      <w:r w:rsidRPr="009A607C">
        <w:rPr>
          <w:sz w:val="24"/>
          <w:szCs w:val="24"/>
          <w:lang w:val="en-US"/>
        </w:rPr>
        <w:t xml:space="preserve">Winnicott and Jung </w:t>
      </w:r>
      <w:r>
        <w:rPr>
          <w:sz w:val="24"/>
          <w:szCs w:val="24"/>
          <w:lang w:val="en-US"/>
        </w:rPr>
        <w:t xml:space="preserve">might </w:t>
      </w:r>
      <w:r w:rsidRPr="009A607C">
        <w:rPr>
          <w:sz w:val="24"/>
          <w:szCs w:val="24"/>
          <w:lang w:val="en-US"/>
        </w:rPr>
        <w:t xml:space="preserve">provide effective solutions to the challenges posed by a deficit of care for </w:t>
      </w:r>
      <w:r>
        <w:rPr>
          <w:sz w:val="24"/>
          <w:szCs w:val="24"/>
          <w:lang w:val="en-US"/>
        </w:rPr>
        <w:t xml:space="preserve">HE </w:t>
      </w:r>
      <w:r w:rsidRPr="009A607C">
        <w:rPr>
          <w:sz w:val="24"/>
          <w:szCs w:val="24"/>
          <w:lang w:val="en-US"/>
        </w:rPr>
        <w:t>teachers identified in the wider literature</w:t>
      </w:r>
      <w:r>
        <w:rPr>
          <w:sz w:val="24"/>
          <w:szCs w:val="24"/>
          <w:lang w:val="en-US"/>
        </w:rPr>
        <w:t xml:space="preserve"> (Chapter </w:t>
      </w:r>
      <w:r w:rsidR="00856CDB">
        <w:rPr>
          <w:sz w:val="24"/>
          <w:szCs w:val="24"/>
          <w:lang w:val="en-US"/>
        </w:rPr>
        <w:t>Three</w:t>
      </w:r>
      <w:r>
        <w:rPr>
          <w:sz w:val="24"/>
          <w:szCs w:val="24"/>
          <w:lang w:val="en-US"/>
        </w:rPr>
        <w:t>)</w:t>
      </w:r>
      <w:r w:rsidRPr="009A607C">
        <w:rPr>
          <w:sz w:val="24"/>
          <w:szCs w:val="24"/>
          <w:lang w:val="en-US"/>
        </w:rPr>
        <w:t xml:space="preserve">. </w:t>
      </w:r>
      <w:r w:rsidR="000260E9" w:rsidRPr="000260E9">
        <w:rPr>
          <w:sz w:val="24"/>
          <w:szCs w:val="24"/>
        </w:rPr>
        <w:t>There follows a brief overview of the research philosophy underpinning this study more details of which appear in Chapter Four (Methodology).</w:t>
      </w:r>
    </w:p>
    <w:p w14:paraId="7A2424DC" w14:textId="31EB801C" w:rsidR="002E2ABD" w:rsidRPr="0053193F" w:rsidRDefault="002E2ABD" w:rsidP="00927EAA">
      <w:pPr>
        <w:spacing w:line="360" w:lineRule="auto"/>
        <w:rPr>
          <w:b/>
          <w:bCs/>
          <w:sz w:val="24"/>
          <w:szCs w:val="24"/>
        </w:rPr>
      </w:pPr>
      <w:r>
        <w:rPr>
          <w:b/>
          <w:bCs/>
          <w:sz w:val="24"/>
          <w:szCs w:val="24"/>
        </w:rPr>
        <w:t xml:space="preserve">Research </w:t>
      </w:r>
      <w:r w:rsidRPr="0053193F">
        <w:rPr>
          <w:b/>
          <w:bCs/>
          <w:sz w:val="24"/>
          <w:szCs w:val="24"/>
        </w:rPr>
        <w:t xml:space="preserve">philosophy </w:t>
      </w:r>
      <w:r>
        <w:rPr>
          <w:b/>
          <w:bCs/>
          <w:sz w:val="24"/>
          <w:szCs w:val="24"/>
        </w:rPr>
        <w:t>in brief</w:t>
      </w:r>
      <w:r w:rsidRPr="0053193F">
        <w:rPr>
          <w:b/>
          <w:bCs/>
          <w:sz w:val="24"/>
          <w:szCs w:val="24"/>
        </w:rPr>
        <w:t xml:space="preserve"> </w:t>
      </w:r>
    </w:p>
    <w:p w14:paraId="57A71710" w14:textId="62A31AEC" w:rsidR="002E2ABD" w:rsidRDefault="002E2ABD" w:rsidP="00927EAA">
      <w:pPr>
        <w:spacing w:line="360" w:lineRule="auto"/>
        <w:rPr>
          <w:sz w:val="24"/>
          <w:szCs w:val="24"/>
        </w:rPr>
      </w:pPr>
      <w:r w:rsidRPr="001D6B7E">
        <w:rPr>
          <w:sz w:val="24"/>
          <w:szCs w:val="24"/>
        </w:rPr>
        <w:t>My ontological perspective is one of valu</w:t>
      </w:r>
      <w:r>
        <w:rPr>
          <w:sz w:val="24"/>
          <w:szCs w:val="24"/>
        </w:rPr>
        <w:t>ing</w:t>
      </w:r>
      <w:r w:rsidRPr="001D6B7E">
        <w:rPr>
          <w:sz w:val="24"/>
          <w:szCs w:val="24"/>
        </w:rPr>
        <w:t xml:space="preserve"> fluid perspectives relative to the self, the environ and culture. </w:t>
      </w:r>
      <w:r>
        <w:rPr>
          <w:sz w:val="24"/>
          <w:szCs w:val="24"/>
        </w:rPr>
        <w:t>As</w:t>
      </w:r>
      <w:r w:rsidRPr="001D6B7E">
        <w:rPr>
          <w:sz w:val="24"/>
          <w:szCs w:val="24"/>
        </w:rPr>
        <w:t xml:space="preserve"> a depth pedagogue</w:t>
      </w:r>
      <w:r>
        <w:rPr>
          <w:sz w:val="24"/>
          <w:szCs w:val="24"/>
        </w:rPr>
        <w:t xml:space="preserve">, </w:t>
      </w:r>
      <w:r w:rsidRPr="001D6B7E">
        <w:rPr>
          <w:sz w:val="24"/>
          <w:szCs w:val="24"/>
        </w:rPr>
        <w:t xml:space="preserve">I am </w:t>
      </w:r>
      <w:r>
        <w:rPr>
          <w:sz w:val="24"/>
          <w:szCs w:val="24"/>
        </w:rPr>
        <w:t>predominantly process-oriented</w:t>
      </w:r>
      <w:r w:rsidR="00F45BE7">
        <w:rPr>
          <w:sz w:val="24"/>
          <w:szCs w:val="24"/>
        </w:rPr>
        <w:t xml:space="preserve">, </w:t>
      </w:r>
      <w:r>
        <w:rPr>
          <w:sz w:val="24"/>
          <w:szCs w:val="24"/>
        </w:rPr>
        <w:t xml:space="preserve">value </w:t>
      </w:r>
      <w:r w:rsidRPr="00950B9A">
        <w:rPr>
          <w:sz w:val="24"/>
          <w:szCs w:val="24"/>
        </w:rPr>
        <w:t>creative engag</w:t>
      </w:r>
      <w:r>
        <w:rPr>
          <w:sz w:val="24"/>
          <w:szCs w:val="24"/>
        </w:rPr>
        <w:t>ement</w:t>
      </w:r>
      <w:r w:rsidRPr="00950B9A">
        <w:rPr>
          <w:sz w:val="24"/>
          <w:szCs w:val="24"/>
        </w:rPr>
        <w:t xml:space="preserve"> </w:t>
      </w:r>
      <w:r w:rsidR="00A302F8">
        <w:rPr>
          <w:sz w:val="24"/>
          <w:szCs w:val="24"/>
        </w:rPr>
        <w:t xml:space="preserve">in </w:t>
      </w:r>
      <w:r w:rsidRPr="00950B9A">
        <w:rPr>
          <w:sz w:val="24"/>
          <w:szCs w:val="24"/>
        </w:rPr>
        <w:t>human interactions, stories and emotions</w:t>
      </w:r>
      <w:r w:rsidR="00F45BE7">
        <w:rPr>
          <w:sz w:val="24"/>
          <w:szCs w:val="24"/>
        </w:rPr>
        <w:t xml:space="preserve"> and am</w:t>
      </w:r>
      <w:r>
        <w:rPr>
          <w:sz w:val="24"/>
          <w:szCs w:val="24"/>
        </w:rPr>
        <w:t xml:space="preserve"> </w:t>
      </w:r>
      <w:r w:rsidRPr="001D6B7E">
        <w:rPr>
          <w:sz w:val="24"/>
          <w:szCs w:val="24"/>
        </w:rPr>
        <w:t xml:space="preserve">subjectively engaged in my research (Cohen </w:t>
      </w:r>
      <w:r w:rsidR="00FB3A6E" w:rsidRPr="00FB3A6E">
        <w:rPr>
          <w:i/>
          <w:sz w:val="24"/>
          <w:szCs w:val="24"/>
        </w:rPr>
        <w:t>et al.</w:t>
      </w:r>
      <w:r w:rsidRPr="0043324B">
        <w:rPr>
          <w:sz w:val="24"/>
          <w:szCs w:val="24"/>
        </w:rPr>
        <w:t>,</w:t>
      </w:r>
      <w:r w:rsidRPr="001D6B7E">
        <w:rPr>
          <w:sz w:val="24"/>
          <w:szCs w:val="24"/>
        </w:rPr>
        <w:t xml:space="preserve"> 201</w:t>
      </w:r>
      <w:r>
        <w:rPr>
          <w:sz w:val="24"/>
          <w:szCs w:val="24"/>
        </w:rPr>
        <w:t>9</w:t>
      </w:r>
      <w:r w:rsidRPr="001D6B7E">
        <w:rPr>
          <w:sz w:val="24"/>
          <w:szCs w:val="24"/>
        </w:rPr>
        <w:t>)</w:t>
      </w:r>
      <w:r>
        <w:rPr>
          <w:sz w:val="24"/>
          <w:szCs w:val="24"/>
        </w:rPr>
        <w:t xml:space="preserve">. </w:t>
      </w:r>
      <w:r w:rsidRPr="001D6B7E">
        <w:rPr>
          <w:sz w:val="24"/>
          <w:szCs w:val="24"/>
        </w:rPr>
        <w:t>Epistemologically I identify as an interpretivist with a co-constructivist position, believing that knowledge is fluid</w:t>
      </w:r>
      <w:r>
        <w:rPr>
          <w:sz w:val="24"/>
          <w:szCs w:val="24"/>
        </w:rPr>
        <w:t xml:space="preserve"> and </w:t>
      </w:r>
      <w:r w:rsidRPr="001D6B7E">
        <w:rPr>
          <w:sz w:val="24"/>
          <w:szCs w:val="24"/>
        </w:rPr>
        <w:t>unique to every individual</w:t>
      </w:r>
      <w:r>
        <w:rPr>
          <w:sz w:val="24"/>
          <w:szCs w:val="24"/>
        </w:rPr>
        <w:t xml:space="preserve"> which </w:t>
      </w:r>
      <w:r w:rsidRPr="001D6B7E">
        <w:rPr>
          <w:sz w:val="24"/>
          <w:szCs w:val="24"/>
        </w:rPr>
        <w:t>aligns with an overarching philosophy of social constructivism</w:t>
      </w:r>
      <w:r>
        <w:rPr>
          <w:sz w:val="24"/>
          <w:szCs w:val="24"/>
        </w:rPr>
        <w:t xml:space="preserve">. Social constructivists believe </w:t>
      </w:r>
      <w:r w:rsidRPr="001D6B7E">
        <w:rPr>
          <w:sz w:val="24"/>
          <w:szCs w:val="24"/>
        </w:rPr>
        <w:t xml:space="preserve">that </w:t>
      </w:r>
      <w:r>
        <w:rPr>
          <w:sz w:val="24"/>
          <w:szCs w:val="24"/>
        </w:rPr>
        <w:t xml:space="preserve">knowledge </w:t>
      </w:r>
      <w:r w:rsidRPr="001D6B7E">
        <w:rPr>
          <w:sz w:val="24"/>
          <w:szCs w:val="24"/>
        </w:rPr>
        <w:t>acquisition does not occur in a linear or isolated fashion</w:t>
      </w:r>
      <w:r>
        <w:rPr>
          <w:sz w:val="24"/>
          <w:szCs w:val="24"/>
        </w:rPr>
        <w:t xml:space="preserve"> but </w:t>
      </w:r>
      <w:r w:rsidRPr="001D6B7E">
        <w:rPr>
          <w:sz w:val="24"/>
          <w:szCs w:val="24"/>
        </w:rPr>
        <w:t>is embedded in cultural</w:t>
      </w:r>
      <w:r>
        <w:rPr>
          <w:sz w:val="24"/>
          <w:szCs w:val="24"/>
        </w:rPr>
        <w:t xml:space="preserve"> and </w:t>
      </w:r>
      <w:r w:rsidRPr="001D6B7E">
        <w:rPr>
          <w:sz w:val="24"/>
          <w:szCs w:val="24"/>
        </w:rPr>
        <w:t>psychosocial</w:t>
      </w:r>
      <w:r>
        <w:rPr>
          <w:sz w:val="24"/>
          <w:szCs w:val="24"/>
        </w:rPr>
        <w:t xml:space="preserve"> </w:t>
      </w:r>
      <w:r w:rsidRPr="001D6B7E">
        <w:rPr>
          <w:sz w:val="24"/>
          <w:szCs w:val="24"/>
        </w:rPr>
        <w:t>beliefs</w:t>
      </w:r>
      <w:r>
        <w:rPr>
          <w:sz w:val="24"/>
          <w:szCs w:val="24"/>
        </w:rPr>
        <w:t xml:space="preserve"> </w:t>
      </w:r>
      <w:r w:rsidRPr="001D6B7E">
        <w:rPr>
          <w:sz w:val="24"/>
          <w:szCs w:val="24"/>
        </w:rPr>
        <w:t>and practices (Gergen, 1985</w:t>
      </w:r>
      <w:r>
        <w:rPr>
          <w:sz w:val="24"/>
          <w:szCs w:val="24"/>
        </w:rPr>
        <w:t xml:space="preserve">). As such </w:t>
      </w:r>
      <w:r w:rsidR="009A3D49">
        <w:rPr>
          <w:sz w:val="24"/>
          <w:szCs w:val="24"/>
        </w:rPr>
        <w:t>social constructivism</w:t>
      </w:r>
      <w:r>
        <w:rPr>
          <w:sz w:val="24"/>
          <w:szCs w:val="24"/>
        </w:rPr>
        <w:t xml:space="preserve"> </w:t>
      </w:r>
      <w:r w:rsidRPr="001D6B7E">
        <w:rPr>
          <w:sz w:val="24"/>
          <w:szCs w:val="24"/>
        </w:rPr>
        <w:t xml:space="preserve">is </w:t>
      </w:r>
      <w:r>
        <w:rPr>
          <w:sz w:val="24"/>
          <w:szCs w:val="24"/>
        </w:rPr>
        <w:t xml:space="preserve">a form of narrative psychology </w:t>
      </w:r>
      <w:r w:rsidRPr="00B1038D">
        <w:rPr>
          <w:sz w:val="24"/>
          <w:szCs w:val="24"/>
        </w:rPr>
        <w:t>(Crossley, 2000)</w:t>
      </w:r>
      <w:r>
        <w:rPr>
          <w:sz w:val="24"/>
          <w:szCs w:val="24"/>
        </w:rPr>
        <w:t xml:space="preserve"> </w:t>
      </w:r>
      <w:r w:rsidRPr="001D6B7E">
        <w:rPr>
          <w:sz w:val="24"/>
          <w:szCs w:val="24"/>
        </w:rPr>
        <w:t xml:space="preserve">concerned </w:t>
      </w:r>
      <w:r>
        <w:rPr>
          <w:sz w:val="24"/>
          <w:szCs w:val="24"/>
        </w:rPr>
        <w:t xml:space="preserve">with stories about </w:t>
      </w:r>
      <w:r w:rsidRPr="001D6B7E">
        <w:rPr>
          <w:sz w:val="24"/>
          <w:szCs w:val="24"/>
        </w:rPr>
        <w:t xml:space="preserve">relationships between people. </w:t>
      </w:r>
    </w:p>
    <w:p w14:paraId="2D887B9F" w14:textId="30972410" w:rsidR="00904C7B" w:rsidRPr="00904C7B" w:rsidRDefault="00904C7B" w:rsidP="00927EAA">
      <w:pPr>
        <w:spacing w:line="360" w:lineRule="auto"/>
        <w:rPr>
          <w:b/>
          <w:bCs/>
          <w:sz w:val="24"/>
          <w:szCs w:val="24"/>
        </w:rPr>
      </w:pPr>
      <w:r w:rsidRPr="00904C7B">
        <w:rPr>
          <w:b/>
          <w:bCs/>
          <w:sz w:val="24"/>
          <w:szCs w:val="24"/>
        </w:rPr>
        <w:t>Gathering the threads</w:t>
      </w:r>
    </w:p>
    <w:p w14:paraId="188091D5" w14:textId="454661F4" w:rsidR="00BF5F7D" w:rsidRPr="00841FB8" w:rsidRDefault="002E2ABD" w:rsidP="00841FB8">
      <w:pPr>
        <w:spacing w:line="360" w:lineRule="auto"/>
        <w:rPr>
          <w:sz w:val="24"/>
          <w:szCs w:val="24"/>
        </w:rPr>
      </w:pPr>
      <w:r w:rsidRPr="001D6B7E">
        <w:rPr>
          <w:sz w:val="24"/>
          <w:szCs w:val="24"/>
        </w:rPr>
        <w:t xml:space="preserve">The research </w:t>
      </w:r>
      <w:r>
        <w:rPr>
          <w:sz w:val="24"/>
          <w:szCs w:val="24"/>
        </w:rPr>
        <w:t xml:space="preserve">philosophy </w:t>
      </w:r>
      <w:r w:rsidRPr="001D6B7E">
        <w:rPr>
          <w:sz w:val="24"/>
          <w:szCs w:val="24"/>
        </w:rPr>
        <w:t>reflect</w:t>
      </w:r>
      <w:r>
        <w:rPr>
          <w:sz w:val="24"/>
          <w:szCs w:val="24"/>
        </w:rPr>
        <w:t xml:space="preserve">s </w:t>
      </w:r>
      <w:r w:rsidRPr="001D6B7E">
        <w:rPr>
          <w:sz w:val="24"/>
          <w:szCs w:val="24"/>
        </w:rPr>
        <w:t xml:space="preserve">my beliefs on the socially interactive </w:t>
      </w:r>
      <w:r>
        <w:rPr>
          <w:sz w:val="24"/>
          <w:szCs w:val="24"/>
        </w:rPr>
        <w:t xml:space="preserve">and relational </w:t>
      </w:r>
      <w:r w:rsidRPr="001D6B7E">
        <w:rPr>
          <w:sz w:val="24"/>
          <w:szCs w:val="24"/>
        </w:rPr>
        <w:t>nature of knowledge acquisition</w:t>
      </w:r>
      <w:r>
        <w:rPr>
          <w:sz w:val="24"/>
          <w:szCs w:val="24"/>
        </w:rPr>
        <w:t xml:space="preserve"> and </w:t>
      </w:r>
      <w:r w:rsidRPr="001D6B7E">
        <w:rPr>
          <w:sz w:val="24"/>
          <w:szCs w:val="24"/>
        </w:rPr>
        <w:t>creatio</w:t>
      </w:r>
      <w:r>
        <w:rPr>
          <w:sz w:val="24"/>
          <w:szCs w:val="24"/>
        </w:rPr>
        <w:t xml:space="preserve">n </w:t>
      </w:r>
      <w:r w:rsidRPr="001D6B7E">
        <w:rPr>
          <w:sz w:val="24"/>
          <w:szCs w:val="24"/>
        </w:rPr>
        <w:t xml:space="preserve">within wider </w:t>
      </w:r>
      <w:r w:rsidR="00BE536A">
        <w:rPr>
          <w:sz w:val="24"/>
          <w:szCs w:val="24"/>
        </w:rPr>
        <w:t>psychosocial</w:t>
      </w:r>
      <w:r w:rsidRPr="001D6B7E">
        <w:rPr>
          <w:sz w:val="24"/>
          <w:szCs w:val="24"/>
        </w:rPr>
        <w:t xml:space="preserve"> </w:t>
      </w:r>
      <w:r>
        <w:rPr>
          <w:sz w:val="24"/>
          <w:szCs w:val="24"/>
        </w:rPr>
        <w:t xml:space="preserve">and cultural </w:t>
      </w:r>
      <w:r w:rsidRPr="001D6B7E">
        <w:rPr>
          <w:sz w:val="24"/>
          <w:szCs w:val="24"/>
        </w:rPr>
        <w:t>c</w:t>
      </w:r>
      <w:r>
        <w:rPr>
          <w:sz w:val="24"/>
          <w:szCs w:val="24"/>
        </w:rPr>
        <w:t>ontexts.</w:t>
      </w:r>
      <w:r w:rsidRPr="001D6B7E">
        <w:rPr>
          <w:sz w:val="24"/>
          <w:szCs w:val="24"/>
        </w:rPr>
        <w:t xml:space="preserve"> </w:t>
      </w:r>
      <w:r>
        <w:rPr>
          <w:sz w:val="24"/>
          <w:szCs w:val="24"/>
        </w:rPr>
        <w:t xml:space="preserve">I believe that </w:t>
      </w:r>
      <w:r w:rsidRPr="001D6B7E">
        <w:rPr>
          <w:sz w:val="24"/>
          <w:szCs w:val="24"/>
        </w:rPr>
        <w:t xml:space="preserve">reflecting upon knowledge </w:t>
      </w:r>
      <w:r>
        <w:rPr>
          <w:sz w:val="24"/>
          <w:szCs w:val="24"/>
        </w:rPr>
        <w:t xml:space="preserve">and stories </w:t>
      </w:r>
      <w:r w:rsidRPr="001D6B7E">
        <w:rPr>
          <w:sz w:val="24"/>
          <w:szCs w:val="24"/>
        </w:rPr>
        <w:t xml:space="preserve">can </w:t>
      </w:r>
      <w:r>
        <w:rPr>
          <w:sz w:val="24"/>
          <w:szCs w:val="24"/>
        </w:rPr>
        <w:t xml:space="preserve">change </w:t>
      </w:r>
      <w:r w:rsidRPr="001D6B7E">
        <w:rPr>
          <w:sz w:val="24"/>
          <w:szCs w:val="24"/>
        </w:rPr>
        <w:t xml:space="preserve">how people think, feel and react. </w:t>
      </w:r>
      <w:r w:rsidRPr="002F6AA5">
        <w:rPr>
          <w:sz w:val="24"/>
          <w:szCs w:val="24"/>
        </w:rPr>
        <w:t xml:space="preserve">A </w:t>
      </w:r>
      <w:r>
        <w:rPr>
          <w:sz w:val="24"/>
          <w:szCs w:val="24"/>
        </w:rPr>
        <w:t xml:space="preserve">depth pedagogy framework </w:t>
      </w:r>
      <w:r w:rsidRPr="002F6AA5">
        <w:rPr>
          <w:sz w:val="24"/>
          <w:szCs w:val="24"/>
        </w:rPr>
        <w:t>is in keeping with my philosophical stance that teaching, learning and research are relational</w:t>
      </w:r>
      <w:r>
        <w:rPr>
          <w:sz w:val="24"/>
          <w:szCs w:val="24"/>
        </w:rPr>
        <w:t xml:space="preserve">, storied and </w:t>
      </w:r>
      <w:r w:rsidRPr="002F6AA5">
        <w:rPr>
          <w:sz w:val="24"/>
          <w:szCs w:val="24"/>
        </w:rPr>
        <w:t>emotional processes</w:t>
      </w:r>
      <w:r w:rsidR="00122FA8">
        <w:rPr>
          <w:sz w:val="24"/>
          <w:szCs w:val="24"/>
        </w:rPr>
        <w:t>,</w:t>
      </w:r>
      <w:r w:rsidR="00A235A2">
        <w:rPr>
          <w:sz w:val="24"/>
          <w:szCs w:val="24"/>
        </w:rPr>
        <w:t xml:space="preserve"> my professional/personal philosophy of </w:t>
      </w:r>
      <w:r w:rsidR="00DC13DC">
        <w:rPr>
          <w:sz w:val="24"/>
          <w:szCs w:val="24"/>
        </w:rPr>
        <w:t xml:space="preserve">individuation </w:t>
      </w:r>
      <w:r w:rsidR="00B719EA">
        <w:rPr>
          <w:sz w:val="24"/>
          <w:szCs w:val="24"/>
        </w:rPr>
        <w:t xml:space="preserve">(Jung, 1959) </w:t>
      </w:r>
      <w:r w:rsidR="008033F6">
        <w:rPr>
          <w:sz w:val="24"/>
          <w:szCs w:val="24"/>
        </w:rPr>
        <w:t xml:space="preserve">being a </w:t>
      </w:r>
      <w:r w:rsidR="00990856">
        <w:rPr>
          <w:sz w:val="24"/>
          <w:szCs w:val="24"/>
        </w:rPr>
        <w:t xml:space="preserve">ubiquitous </w:t>
      </w:r>
      <w:r w:rsidR="008033F6">
        <w:rPr>
          <w:sz w:val="24"/>
          <w:szCs w:val="24"/>
        </w:rPr>
        <w:t xml:space="preserve">key component of </w:t>
      </w:r>
      <w:r w:rsidR="00990856">
        <w:rPr>
          <w:sz w:val="24"/>
          <w:szCs w:val="24"/>
        </w:rPr>
        <w:t xml:space="preserve">any </w:t>
      </w:r>
      <w:r w:rsidR="008033F6">
        <w:rPr>
          <w:sz w:val="24"/>
          <w:szCs w:val="24"/>
        </w:rPr>
        <w:t>personal development</w:t>
      </w:r>
      <w:r w:rsidR="00B47A05">
        <w:rPr>
          <w:sz w:val="24"/>
          <w:szCs w:val="24"/>
        </w:rPr>
        <w:t>,</w:t>
      </w:r>
      <w:r w:rsidR="00990856">
        <w:rPr>
          <w:sz w:val="24"/>
          <w:szCs w:val="24"/>
        </w:rPr>
        <w:t xml:space="preserve"> </w:t>
      </w:r>
      <w:r w:rsidR="00E40D77">
        <w:rPr>
          <w:sz w:val="24"/>
          <w:szCs w:val="24"/>
        </w:rPr>
        <w:t>and holding</w:t>
      </w:r>
      <w:r w:rsidR="00B719EA">
        <w:rPr>
          <w:sz w:val="24"/>
          <w:szCs w:val="24"/>
        </w:rPr>
        <w:t xml:space="preserve"> (Winnicott, 1965)</w:t>
      </w:r>
      <w:r w:rsidR="00E40D77">
        <w:rPr>
          <w:sz w:val="24"/>
          <w:szCs w:val="24"/>
        </w:rPr>
        <w:t xml:space="preserve"> being essential for any process. </w:t>
      </w:r>
      <w:r>
        <w:rPr>
          <w:sz w:val="24"/>
          <w:szCs w:val="24"/>
        </w:rPr>
        <w:t xml:space="preserve">Furthermore, it </w:t>
      </w:r>
      <w:r w:rsidRPr="002F6AA5">
        <w:rPr>
          <w:sz w:val="24"/>
          <w:szCs w:val="24"/>
        </w:rPr>
        <w:t>affords potential space for the research whilst holding the researcher amidst the messy processes of capturing, analysing and finding gold within the participants’ stories. The hope is to find fertile lands</w:t>
      </w:r>
      <w:r w:rsidR="008C7537">
        <w:rPr>
          <w:sz w:val="24"/>
          <w:szCs w:val="24"/>
        </w:rPr>
        <w:t xml:space="preserve"> </w:t>
      </w:r>
      <w:r>
        <w:rPr>
          <w:sz w:val="24"/>
          <w:szCs w:val="24"/>
        </w:rPr>
        <w:t xml:space="preserve">amid and </w:t>
      </w:r>
      <w:r w:rsidRPr="002F6AA5">
        <w:rPr>
          <w:sz w:val="24"/>
          <w:szCs w:val="24"/>
        </w:rPr>
        <w:t>beyond the mess.</w:t>
      </w:r>
      <w:r w:rsidR="000260E9">
        <w:rPr>
          <w:sz w:val="24"/>
          <w:szCs w:val="24"/>
        </w:rPr>
        <w:t xml:space="preserve"> </w:t>
      </w:r>
      <w:r>
        <w:rPr>
          <w:sz w:val="24"/>
          <w:szCs w:val="24"/>
        </w:rPr>
        <w:t xml:space="preserve">A reflective piece </w:t>
      </w:r>
      <w:bookmarkEnd w:id="52"/>
      <w:r>
        <w:rPr>
          <w:sz w:val="24"/>
          <w:szCs w:val="24"/>
        </w:rPr>
        <w:t xml:space="preserve">follows which acts as a bridge to Chapter </w:t>
      </w:r>
      <w:r w:rsidR="006A186B">
        <w:rPr>
          <w:sz w:val="24"/>
          <w:szCs w:val="24"/>
        </w:rPr>
        <w:t>Four</w:t>
      </w:r>
      <w:r w:rsidR="00B47A05">
        <w:rPr>
          <w:sz w:val="24"/>
          <w:szCs w:val="24"/>
        </w:rPr>
        <w:t>.</w:t>
      </w:r>
    </w:p>
    <w:p w14:paraId="7944DC56" w14:textId="243DE00A" w:rsidR="00A6358C" w:rsidRPr="00333EBC" w:rsidRDefault="00A6358C" w:rsidP="000171E2">
      <w:pPr>
        <w:ind w:left="2880" w:firstLine="720"/>
        <w:rPr>
          <w:rFonts w:ascii="Calibri" w:eastAsia="Aptos" w:hAnsi="Calibri" w:cs="Calibri"/>
          <w:b/>
          <w:bCs/>
          <w:sz w:val="28"/>
          <w:szCs w:val="28"/>
        </w:rPr>
      </w:pPr>
      <w:r w:rsidRPr="00333EBC">
        <w:rPr>
          <w:rFonts w:ascii="Calibri" w:eastAsia="Aptos" w:hAnsi="Calibri" w:cs="Calibri"/>
          <w:b/>
          <w:bCs/>
          <w:sz w:val="28"/>
          <w:szCs w:val="28"/>
        </w:rPr>
        <w:lastRenderedPageBreak/>
        <w:t>Reflections</w:t>
      </w:r>
    </w:p>
    <w:p w14:paraId="682E3F05" w14:textId="77777777" w:rsidR="00333EBC" w:rsidRDefault="00333EBC" w:rsidP="003E3CDE">
      <w:pPr>
        <w:spacing w:line="360" w:lineRule="auto"/>
        <w:rPr>
          <w:rFonts w:ascii="Calibri" w:eastAsia="Aptos" w:hAnsi="Calibri" w:cs="Calibri"/>
          <w:sz w:val="24"/>
          <w:szCs w:val="24"/>
        </w:rPr>
      </w:pPr>
    </w:p>
    <w:p w14:paraId="61C5BFA2" w14:textId="04987788" w:rsidR="00A6358C" w:rsidRDefault="00A6358C" w:rsidP="003E3CDE">
      <w:pPr>
        <w:spacing w:line="360" w:lineRule="auto"/>
        <w:rPr>
          <w:rFonts w:ascii="Calibri" w:eastAsia="Aptos" w:hAnsi="Calibri" w:cs="Calibri"/>
          <w:sz w:val="24"/>
          <w:szCs w:val="24"/>
        </w:rPr>
      </w:pPr>
      <w:r w:rsidRPr="00061087">
        <w:rPr>
          <w:rFonts w:ascii="Calibri" w:eastAsia="Aptos" w:hAnsi="Calibri" w:cs="Calibri"/>
          <w:sz w:val="24"/>
          <w:szCs w:val="24"/>
        </w:rPr>
        <w:t xml:space="preserve">Many years ago, whilst </w:t>
      </w:r>
      <w:r>
        <w:rPr>
          <w:rFonts w:ascii="Calibri" w:eastAsia="Aptos" w:hAnsi="Calibri" w:cs="Calibri"/>
          <w:sz w:val="24"/>
          <w:szCs w:val="24"/>
        </w:rPr>
        <w:t>out walking</w:t>
      </w:r>
      <w:r w:rsidRPr="00061087">
        <w:rPr>
          <w:rFonts w:ascii="Calibri" w:eastAsia="Aptos" w:hAnsi="Calibri" w:cs="Calibri"/>
          <w:sz w:val="24"/>
          <w:szCs w:val="24"/>
        </w:rPr>
        <w:t xml:space="preserve"> I encountered a retired engineer, who, upon picking up a</w:t>
      </w:r>
      <w:r>
        <w:rPr>
          <w:rFonts w:ascii="Calibri" w:eastAsia="Aptos" w:hAnsi="Calibri" w:cs="Calibri"/>
          <w:sz w:val="24"/>
          <w:szCs w:val="24"/>
        </w:rPr>
        <w:t xml:space="preserve">n </w:t>
      </w:r>
      <w:r w:rsidRPr="00061087">
        <w:rPr>
          <w:rFonts w:ascii="Calibri" w:eastAsia="Aptos" w:hAnsi="Calibri" w:cs="Calibri"/>
          <w:sz w:val="24"/>
          <w:szCs w:val="24"/>
        </w:rPr>
        <w:t xml:space="preserve">abandoned golf ball in the grass, decided to probe me about my knowledge of </w:t>
      </w:r>
      <w:r>
        <w:rPr>
          <w:rFonts w:ascii="Calibri" w:eastAsia="Aptos" w:hAnsi="Calibri" w:cs="Calibri"/>
          <w:sz w:val="24"/>
          <w:szCs w:val="24"/>
        </w:rPr>
        <w:t>physics</w:t>
      </w:r>
      <w:r w:rsidRPr="00061087">
        <w:rPr>
          <w:rFonts w:ascii="Calibri" w:eastAsia="Aptos" w:hAnsi="Calibri" w:cs="Calibri"/>
          <w:sz w:val="24"/>
          <w:szCs w:val="24"/>
        </w:rPr>
        <w:t xml:space="preserve">. </w:t>
      </w:r>
      <w:r>
        <w:rPr>
          <w:rFonts w:ascii="Calibri" w:eastAsia="Aptos" w:hAnsi="Calibri" w:cs="Calibri"/>
          <w:sz w:val="24"/>
          <w:szCs w:val="24"/>
        </w:rPr>
        <w:t xml:space="preserve">Pointing to </w:t>
      </w:r>
      <w:r w:rsidRPr="00061087">
        <w:rPr>
          <w:rFonts w:ascii="Calibri" w:eastAsia="Aptos" w:hAnsi="Calibri" w:cs="Calibri"/>
          <w:sz w:val="24"/>
          <w:szCs w:val="24"/>
        </w:rPr>
        <w:t>the rubber bands spewing forth from the crack in the golf ball</w:t>
      </w:r>
      <w:r>
        <w:rPr>
          <w:rFonts w:ascii="Calibri" w:eastAsia="Aptos" w:hAnsi="Calibri" w:cs="Calibri"/>
          <w:sz w:val="24"/>
          <w:szCs w:val="24"/>
        </w:rPr>
        <w:t>,</w:t>
      </w:r>
      <w:r w:rsidRPr="00061087">
        <w:rPr>
          <w:rFonts w:ascii="Calibri" w:eastAsia="Aptos" w:hAnsi="Calibri" w:cs="Calibri"/>
          <w:sz w:val="24"/>
          <w:szCs w:val="24"/>
        </w:rPr>
        <w:t xml:space="preserve"> </w:t>
      </w:r>
      <w:r>
        <w:rPr>
          <w:rFonts w:ascii="Calibri" w:eastAsia="Aptos" w:hAnsi="Calibri" w:cs="Calibri"/>
          <w:sz w:val="24"/>
          <w:szCs w:val="24"/>
        </w:rPr>
        <w:t>he</w:t>
      </w:r>
      <w:r w:rsidRPr="00061087">
        <w:rPr>
          <w:rFonts w:ascii="Calibri" w:eastAsia="Aptos" w:hAnsi="Calibri" w:cs="Calibri"/>
          <w:sz w:val="24"/>
          <w:szCs w:val="24"/>
        </w:rPr>
        <w:t xml:space="preserve"> explained the principle of hysteresis. The term hysteresis </w:t>
      </w:r>
      <w:r>
        <w:rPr>
          <w:rFonts w:ascii="Calibri" w:eastAsia="Aptos" w:hAnsi="Calibri" w:cs="Calibri"/>
          <w:sz w:val="24"/>
          <w:szCs w:val="24"/>
        </w:rPr>
        <w:t xml:space="preserve">derives </w:t>
      </w:r>
      <w:r w:rsidRPr="00061087">
        <w:rPr>
          <w:rFonts w:ascii="Calibri" w:eastAsia="Aptos" w:hAnsi="Calibri" w:cs="Calibri"/>
          <w:sz w:val="24"/>
          <w:szCs w:val="24"/>
        </w:rPr>
        <w:t>from</w:t>
      </w:r>
      <w:r>
        <w:rPr>
          <w:rFonts w:ascii="Calibri" w:eastAsia="Aptos" w:hAnsi="Calibri" w:cs="Calibri"/>
          <w:sz w:val="24"/>
          <w:szCs w:val="24"/>
        </w:rPr>
        <w:t xml:space="preserve"> the Ancient Greek word </w:t>
      </w:r>
      <w:r w:rsidRPr="00061087">
        <w:rPr>
          <w:rFonts w:ascii="Calibri" w:eastAsia="Aptos" w:hAnsi="Calibri" w:cs="Calibri"/>
          <w:sz w:val="24"/>
          <w:szCs w:val="24"/>
        </w:rPr>
        <w:t> </w:t>
      </w:r>
      <w:hyperlink r:id="rId38" w:anchor="Ancient_Greek" w:tooltip="wikt:ὑστέρησις" w:history="1">
        <w:r w:rsidRPr="00227A4C">
          <w:rPr>
            <w:rStyle w:val="Hyperlink"/>
            <w:rFonts w:ascii="Calibri" w:eastAsia="Aptos" w:hAnsi="Calibri" w:cs="Calibri"/>
            <w:color w:val="auto"/>
            <w:sz w:val="24"/>
            <w:szCs w:val="24"/>
            <w:u w:val="none"/>
          </w:rPr>
          <w:t>ὑστέρησις</w:t>
        </w:r>
      </w:hyperlink>
      <w:r w:rsidRPr="00227A4C">
        <w:rPr>
          <w:rFonts w:ascii="Calibri" w:eastAsia="Aptos" w:hAnsi="Calibri" w:cs="Calibri"/>
          <w:sz w:val="24"/>
          <w:szCs w:val="24"/>
        </w:rPr>
        <w:t xml:space="preserve"> </w:t>
      </w:r>
      <w:r w:rsidRPr="00061087">
        <w:rPr>
          <w:rFonts w:ascii="Calibri" w:eastAsia="Aptos" w:hAnsi="Calibri" w:cs="Calibri"/>
          <w:sz w:val="24"/>
          <w:szCs w:val="24"/>
        </w:rPr>
        <w:t xml:space="preserve">meaning deficiency or lagging behind, and was </w:t>
      </w:r>
      <w:r>
        <w:rPr>
          <w:rFonts w:ascii="Calibri" w:eastAsia="Aptos" w:hAnsi="Calibri" w:cs="Calibri"/>
          <w:sz w:val="24"/>
          <w:szCs w:val="24"/>
        </w:rPr>
        <w:t>popularised</w:t>
      </w:r>
      <w:r w:rsidRPr="00061087">
        <w:rPr>
          <w:rFonts w:ascii="Calibri" w:eastAsia="Aptos" w:hAnsi="Calibri" w:cs="Calibri"/>
          <w:sz w:val="24"/>
          <w:szCs w:val="24"/>
        </w:rPr>
        <w:t xml:space="preserve"> by </w:t>
      </w:r>
      <w:hyperlink r:id="rId39" w:tooltip="James Alfred Ewing" w:history="1">
        <w:r w:rsidRPr="00D85D54">
          <w:rPr>
            <w:rStyle w:val="Hyperlink"/>
            <w:rFonts w:ascii="Calibri" w:eastAsia="Aptos" w:hAnsi="Calibri" w:cs="Calibri"/>
            <w:color w:val="auto"/>
            <w:sz w:val="24"/>
            <w:szCs w:val="24"/>
            <w:u w:val="none"/>
          </w:rPr>
          <w:t>James Alfred Ewing</w:t>
        </w:r>
      </w:hyperlink>
      <w:r w:rsidR="00227A4C">
        <w:t xml:space="preserve"> </w:t>
      </w:r>
      <w:r w:rsidR="00227A4C" w:rsidRPr="00227A4C">
        <w:rPr>
          <w:sz w:val="24"/>
          <w:szCs w:val="24"/>
        </w:rPr>
        <w:t>(1882)</w:t>
      </w:r>
      <w:r w:rsidRPr="00061087">
        <w:rPr>
          <w:rFonts w:ascii="Calibri" w:eastAsia="Aptos" w:hAnsi="Calibri" w:cs="Calibri"/>
          <w:sz w:val="24"/>
          <w:szCs w:val="24"/>
        </w:rPr>
        <w:t> to describe the behaviour and memory of magnetic materials.</w:t>
      </w:r>
      <w:r w:rsidRPr="00061087">
        <w:rPr>
          <w:rFonts w:ascii="Calibri" w:eastAsia="Aptos" w:hAnsi="Calibri" w:cs="Calibri"/>
          <w:b/>
          <w:bCs/>
          <w:sz w:val="24"/>
          <w:szCs w:val="24"/>
        </w:rPr>
        <w:t xml:space="preserve"> </w:t>
      </w:r>
      <w:r w:rsidRPr="00061087">
        <w:rPr>
          <w:rFonts w:ascii="Calibri" w:eastAsia="Aptos" w:hAnsi="Calibri" w:cs="Calibri"/>
          <w:sz w:val="24"/>
          <w:szCs w:val="24"/>
        </w:rPr>
        <w:t xml:space="preserve">The </w:t>
      </w:r>
      <w:r>
        <w:rPr>
          <w:rFonts w:ascii="Calibri" w:eastAsia="Aptos" w:hAnsi="Calibri" w:cs="Calibri"/>
          <w:sz w:val="24"/>
          <w:szCs w:val="24"/>
        </w:rPr>
        <w:t xml:space="preserve">gentleman </w:t>
      </w:r>
      <w:r w:rsidRPr="00061087">
        <w:rPr>
          <w:rFonts w:ascii="Calibri" w:eastAsia="Aptos" w:hAnsi="Calibri" w:cs="Calibri"/>
          <w:sz w:val="24"/>
          <w:szCs w:val="24"/>
        </w:rPr>
        <w:t>explained that good quality rubber bands retain their original shape and elasticity, sculpt themselves by memory to the shape of their environment and are not bent out of shape by use</w:t>
      </w:r>
      <w:r>
        <w:rPr>
          <w:rFonts w:ascii="Calibri" w:eastAsia="Aptos" w:hAnsi="Calibri" w:cs="Calibri"/>
          <w:sz w:val="24"/>
          <w:szCs w:val="24"/>
        </w:rPr>
        <w:t xml:space="preserve">. </w:t>
      </w:r>
      <w:r w:rsidRPr="00061087">
        <w:rPr>
          <w:rFonts w:ascii="Calibri" w:eastAsia="Aptos" w:hAnsi="Calibri" w:cs="Calibri"/>
          <w:sz w:val="24"/>
          <w:szCs w:val="24"/>
        </w:rPr>
        <w:t>By contrast poor quality rubber bands lose elasticity</w:t>
      </w:r>
      <w:r>
        <w:rPr>
          <w:rFonts w:ascii="Calibri" w:eastAsia="Aptos" w:hAnsi="Calibri" w:cs="Calibri"/>
          <w:sz w:val="24"/>
          <w:szCs w:val="24"/>
        </w:rPr>
        <w:t xml:space="preserve">, </w:t>
      </w:r>
      <w:r w:rsidRPr="00061087">
        <w:rPr>
          <w:rFonts w:ascii="Calibri" w:eastAsia="Aptos" w:hAnsi="Calibri" w:cs="Calibri"/>
          <w:sz w:val="24"/>
          <w:szCs w:val="24"/>
        </w:rPr>
        <w:t>become stretched beyond their original form</w:t>
      </w:r>
      <w:r>
        <w:rPr>
          <w:rFonts w:ascii="Calibri" w:eastAsia="Aptos" w:hAnsi="Calibri" w:cs="Calibri"/>
          <w:sz w:val="24"/>
          <w:szCs w:val="24"/>
        </w:rPr>
        <w:t xml:space="preserve"> and </w:t>
      </w:r>
      <w:r w:rsidRPr="00061087">
        <w:rPr>
          <w:rFonts w:ascii="Calibri" w:eastAsia="Aptos" w:hAnsi="Calibri" w:cs="Calibri"/>
          <w:sz w:val="24"/>
          <w:szCs w:val="24"/>
        </w:rPr>
        <w:t xml:space="preserve">fail to return to their original state. </w:t>
      </w:r>
      <w:r>
        <w:rPr>
          <w:rFonts w:ascii="Calibri" w:eastAsia="Aptos" w:hAnsi="Calibri" w:cs="Calibri"/>
          <w:sz w:val="24"/>
          <w:szCs w:val="24"/>
        </w:rPr>
        <w:t>Seemingly</w:t>
      </w:r>
      <w:r w:rsidRPr="00061087">
        <w:rPr>
          <w:rFonts w:ascii="Calibri" w:eastAsia="Aptos" w:hAnsi="Calibri" w:cs="Calibri"/>
          <w:sz w:val="24"/>
          <w:szCs w:val="24"/>
        </w:rPr>
        <w:t xml:space="preserve">, the </w:t>
      </w:r>
      <w:r>
        <w:rPr>
          <w:rFonts w:ascii="Calibri" w:eastAsia="Aptos" w:hAnsi="Calibri" w:cs="Calibri"/>
          <w:sz w:val="24"/>
          <w:szCs w:val="24"/>
        </w:rPr>
        <w:t xml:space="preserve">material </w:t>
      </w:r>
      <w:r w:rsidRPr="00061087">
        <w:rPr>
          <w:rFonts w:ascii="Calibri" w:eastAsia="Aptos" w:hAnsi="Calibri" w:cs="Calibri"/>
          <w:sz w:val="24"/>
          <w:szCs w:val="24"/>
        </w:rPr>
        <w:t xml:space="preserve">quality of the rubber bands allows them to </w:t>
      </w:r>
      <w:r>
        <w:rPr>
          <w:rFonts w:ascii="Calibri" w:eastAsia="Aptos" w:hAnsi="Calibri" w:cs="Calibri"/>
          <w:sz w:val="24"/>
          <w:szCs w:val="24"/>
        </w:rPr>
        <w:t xml:space="preserve">remember and </w:t>
      </w:r>
      <w:r w:rsidRPr="00061087">
        <w:rPr>
          <w:rFonts w:ascii="Calibri" w:eastAsia="Aptos" w:hAnsi="Calibri" w:cs="Calibri"/>
          <w:sz w:val="24"/>
          <w:szCs w:val="24"/>
        </w:rPr>
        <w:t>retain their original shape</w:t>
      </w:r>
      <w:r>
        <w:rPr>
          <w:rFonts w:ascii="Calibri" w:eastAsia="Aptos" w:hAnsi="Calibri" w:cs="Calibri"/>
          <w:sz w:val="24"/>
          <w:szCs w:val="24"/>
        </w:rPr>
        <w:t xml:space="preserve">. I reflected that the hysteresis process is a delicate dance between the environmental mother and the object mother to create strong object constancy that aids in weathering forces. </w:t>
      </w:r>
    </w:p>
    <w:p w14:paraId="7A55955F" w14:textId="692E0EB8" w:rsidR="00A6358C" w:rsidRDefault="00A6358C" w:rsidP="003E3CDE">
      <w:pPr>
        <w:spacing w:line="360" w:lineRule="auto"/>
        <w:rPr>
          <w:rFonts w:ascii="Calibri" w:eastAsia="Aptos" w:hAnsi="Calibri" w:cs="Calibri"/>
          <w:sz w:val="24"/>
          <w:szCs w:val="24"/>
        </w:rPr>
      </w:pPr>
      <w:r w:rsidRPr="008D3767">
        <w:rPr>
          <w:rFonts w:ascii="Calibri" w:eastAsia="Aptos" w:hAnsi="Calibri" w:cs="Calibri"/>
          <w:sz w:val="24"/>
          <w:szCs w:val="24"/>
        </w:rPr>
        <w:t>In a Rhodes Scholar talk, Professor John Edgar Wideman</w:t>
      </w:r>
      <w:r>
        <w:rPr>
          <w:rFonts w:ascii="Calibri" w:eastAsia="Aptos" w:hAnsi="Calibri" w:cs="Calibri"/>
          <w:sz w:val="24"/>
          <w:szCs w:val="24"/>
        </w:rPr>
        <w:t xml:space="preserve"> </w:t>
      </w:r>
      <w:r w:rsidRPr="008D3767">
        <w:rPr>
          <w:rFonts w:ascii="Calibri" w:eastAsia="Aptos" w:hAnsi="Calibri" w:cs="Calibri"/>
          <w:sz w:val="24"/>
          <w:szCs w:val="24"/>
        </w:rPr>
        <w:t>described his personal experience of</w:t>
      </w:r>
      <w:r>
        <w:rPr>
          <w:rFonts w:ascii="Calibri" w:eastAsia="Aptos" w:hAnsi="Calibri" w:cs="Calibri"/>
          <w:sz w:val="24"/>
          <w:szCs w:val="24"/>
        </w:rPr>
        <w:t xml:space="preserve"> </w:t>
      </w:r>
      <w:r w:rsidRPr="008D3767">
        <w:rPr>
          <w:rFonts w:ascii="Calibri" w:eastAsia="Aptos" w:hAnsi="Calibri" w:cs="Calibri"/>
          <w:sz w:val="24"/>
          <w:szCs w:val="24"/>
        </w:rPr>
        <w:t xml:space="preserve">education (Wideman, 2020). Born into a family in </w:t>
      </w:r>
      <w:r w:rsidR="00BF5F7D">
        <w:rPr>
          <w:rFonts w:ascii="Calibri" w:eastAsia="Aptos" w:hAnsi="Calibri" w:cs="Calibri"/>
          <w:sz w:val="24"/>
          <w:szCs w:val="24"/>
        </w:rPr>
        <w:t>a</w:t>
      </w:r>
      <w:r w:rsidRPr="008D3767">
        <w:rPr>
          <w:rFonts w:ascii="Calibri" w:eastAsia="Aptos" w:hAnsi="Calibri" w:cs="Calibri"/>
          <w:sz w:val="24"/>
          <w:szCs w:val="24"/>
        </w:rPr>
        <w:t xml:space="preserve"> </w:t>
      </w:r>
      <w:r>
        <w:rPr>
          <w:rFonts w:ascii="Calibri" w:eastAsia="Aptos" w:hAnsi="Calibri" w:cs="Calibri"/>
          <w:sz w:val="24"/>
          <w:szCs w:val="24"/>
        </w:rPr>
        <w:t xml:space="preserve">poor, </w:t>
      </w:r>
      <w:r w:rsidRPr="008D3767">
        <w:rPr>
          <w:rFonts w:ascii="Calibri" w:eastAsia="Aptos" w:hAnsi="Calibri" w:cs="Calibri"/>
          <w:sz w:val="24"/>
          <w:szCs w:val="24"/>
        </w:rPr>
        <w:t xml:space="preserve">black neighbourhood of Pittsburgh, he was the first person in his family, and the </w:t>
      </w:r>
      <w:r w:rsidR="00F35276">
        <w:rPr>
          <w:rFonts w:ascii="Calibri" w:eastAsia="Aptos" w:hAnsi="Calibri" w:cs="Calibri"/>
          <w:sz w:val="24"/>
          <w:szCs w:val="24"/>
        </w:rPr>
        <w:t xml:space="preserve">community </w:t>
      </w:r>
      <w:r w:rsidRPr="008D3767">
        <w:rPr>
          <w:rFonts w:ascii="Calibri" w:eastAsia="Aptos" w:hAnsi="Calibri" w:cs="Calibri"/>
          <w:sz w:val="24"/>
          <w:szCs w:val="24"/>
        </w:rPr>
        <w:t>to attend university. Wideman described education as having expanded his internal spaces, whilst simultaneously opening external spaces (Wideman, 2020)</w:t>
      </w:r>
      <w:r>
        <w:rPr>
          <w:rFonts w:ascii="Calibri" w:eastAsia="Aptos" w:hAnsi="Calibri" w:cs="Calibri"/>
          <w:sz w:val="24"/>
          <w:szCs w:val="24"/>
        </w:rPr>
        <w:t xml:space="preserve"> and it was a quiet place inside himself that</w:t>
      </w:r>
      <w:r w:rsidR="00AD285E">
        <w:rPr>
          <w:rFonts w:ascii="Calibri" w:eastAsia="Aptos" w:hAnsi="Calibri" w:cs="Calibri"/>
          <w:sz w:val="24"/>
          <w:szCs w:val="24"/>
        </w:rPr>
        <w:t xml:space="preserve"> </w:t>
      </w:r>
      <w:r>
        <w:rPr>
          <w:rFonts w:ascii="Calibri" w:eastAsia="Aptos" w:hAnsi="Calibri" w:cs="Calibri"/>
          <w:sz w:val="24"/>
          <w:szCs w:val="24"/>
        </w:rPr>
        <w:t>helped him navigate this process. He describes this quiet place as an internal home created by the love of his mother (</w:t>
      </w:r>
      <w:r w:rsidR="00D941F3">
        <w:rPr>
          <w:rFonts w:ascii="Calibri" w:eastAsia="Aptos" w:hAnsi="Calibri" w:cs="Calibri"/>
          <w:sz w:val="24"/>
          <w:szCs w:val="24"/>
        </w:rPr>
        <w:t>ibid.</w:t>
      </w:r>
      <w:r>
        <w:rPr>
          <w:rFonts w:ascii="Calibri" w:eastAsia="Aptos" w:hAnsi="Calibri" w:cs="Calibri"/>
          <w:sz w:val="24"/>
          <w:szCs w:val="24"/>
        </w:rPr>
        <w:t>) which I read as the holding she provided. This helped him weather the storms inherent in his pervasive journey.</w:t>
      </w:r>
      <w:r w:rsidRPr="00056E27">
        <w:rPr>
          <w:rFonts w:ascii="Calibri" w:eastAsia="Aptos" w:hAnsi="Calibri" w:cs="Calibri"/>
          <w:sz w:val="24"/>
          <w:szCs w:val="24"/>
        </w:rPr>
        <w:t xml:space="preserve"> In </w:t>
      </w:r>
      <w:r w:rsidRPr="00056E27">
        <w:rPr>
          <w:rFonts w:ascii="Calibri" w:eastAsia="Aptos" w:hAnsi="Calibri" w:cs="Calibri"/>
          <w:i/>
          <w:iCs/>
          <w:sz w:val="24"/>
          <w:szCs w:val="24"/>
        </w:rPr>
        <w:t>Whose Story Is This?</w:t>
      </w:r>
      <w:r w:rsidRPr="00056E27">
        <w:rPr>
          <w:rFonts w:ascii="Calibri" w:eastAsia="Aptos" w:hAnsi="Calibri" w:cs="Calibri"/>
          <w:sz w:val="24"/>
          <w:szCs w:val="24"/>
        </w:rPr>
        <w:t xml:space="preserve">  Rebecca Solnit (2019) believes it is the pervasiveness of the person seeking change that is important, not their departure or arrival points. </w:t>
      </w:r>
      <w:r>
        <w:rPr>
          <w:rFonts w:ascii="Calibri" w:eastAsia="Aptos" w:hAnsi="Calibri" w:cs="Calibri"/>
          <w:sz w:val="24"/>
          <w:szCs w:val="24"/>
        </w:rPr>
        <w:t xml:space="preserve">I contend it </w:t>
      </w:r>
      <w:r w:rsidRPr="005F6E4B">
        <w:rPr>
          <w:rFonts w:ascii="Calibri" w:eastAsia="Aptos" w:hAnsi="Calibri" w:cs="Calibri"/>
          <w:sz w:val="24"/>
          <w:szCs w:val="24"/>
        </w:rPr>
        <w:t xml:space="preserve">is the strength of </w:t>
      </w:r>
      <w:r>
        <w:rPr>
          <w:rFonts w:ascii="Calibri" w:eastAsia="Aptos" w:hAnsi="Calibri" w:cs="Calibri"/>
          <w:sz w:val="24"/>
          <w:szCs w:val="24"/>
        </w:rPr>
        <w:t xml:space="preserve">the external holding and inner </w:t>
      </w:r>
      <w:r w:rsidRPr="005F6E4B">
        <w:rPr>
          <w:rFonts w:ascii="Calibri" w:eastAsia="Aptos" w:hAnsi="Calibri" w:cs="Calibri"/>
          <w:sz w:val="24"/>
          <w:szCs w:val="24"/>
        </w:rPr>
        <w:t>pervasiveness that prevents the</w:t>
      </w:r>
      <w:r>
        <w:rPr>
          <w:rFonts w:ascii="Calibri" w:eastAsia="Aptos" w:hAnsi="Calibri" w:cs="Calibri"/>
          <w:sz w:val="24"/>
          <w:szCs w:val="24"/>
        </w:rPr>
        <w:t xml:space="preserve"> change-seeker’s</w:t>
      </w:r>
      <w:r w:rsidRPr="005F6E4B">
        <w:rPr>
          <w:rFonts w:ascii="Calibri" w:eastAsia="Aptos" w:hAnsi="Calibri" w:cs="Calibri"/>
          <w:sz w:val="24"/>
          <w:szCs w:val="24"/>
        </w:rPr>
        <w:t xml:space="preserve"> vibrating rubber bands from snapping.</w:t>
      </w:r>
    </w:p>
    <w:p w14:paraId="40505074" w14:textId="284D0EC6" w:rsidR="00A6358C" w:rsidRDefault="00A6358C" w:rsidP="003E3CDE">
      <w:pPr>
        <w:spacing w:line="360" w:lineRule="auto"/>
        <w:rPr>
          <w:rFonts w:ascii="Calibri" w:eastAsia="Aptos" w:hAnsi="Calibri" w:cs="Calibri"/>
          <w:sz w:val="24"/>
          <w:szCs w:val="24"/>
        </w:rPr>
      </w:pPr>
      <w:r w:rsidRPr="00D961A2">
        <w:rPr>
          <w:rFonts w:ascii="Calibri" w:eastAsia="Aptos" w:hAnsi="Calibri" w:cs="Calibri"/>
          <w:sz w:val="24"/>
          <w:szCs w:val="24"/>
        </w:rPr>
        <w:t>Placing th</w:t>
      </w:r>
      <w:r>
        <w:rPr>
          <w:rFonts w:ascii="Calibri" w:eastAsia="Aptos" w:hAnsi="Calibri" w:cs="Calibri"/>
          <w:sz w:val="24"/>
          <w:szCs w:val="24"/>
        </w:rPr>
        <w:t>ese</w:t>
      </w:r>
      <w:r w:rsidRPr="00D961A2">
        <w:rPr>
          <w:rFonts w:ascii="Calibri" w:eastAsia="Aptos" w:hAnsi="Calibri" w:cs="Calibri"/>
          <w:sz w:val="24"/>
          <w:szCs w:val="24"/>
        </w:rPr>
        <w:t xml:space="preserve"> stor</w:t>
      </w:r>
      <w:r>
        <w:rPr>
          <w:rFonts w:ascii="Calibri" w:eastAsia="Aptos" w:hAnsi="Calibri" w:cs="Calibri"/>
          <w:sz w:val="24"/>
          <w:szCs w:val="24"/>
        </w:rPr>
        <w:t>ies</w:t>
      </w:r>
      <w:r w:rsidRPr="00D961A2">
        <w:rPr>
          <w:rFonts w:ascii="Calibri" w:eastAsia="Aptos" w:hAnsi="Calibri" w:cs="Calibri"/>
          <w:sz w:val="24"/>
          <w:szCs w:val="24"/>
        </w:rPr>
        <w:t xml:space="preserve"> like a piece of tracing paper over my research story</w:t>
      </w:r>
      <w:r>
        <w:rPr>
          <w:rFonts w:ascii="Calibri" w:eastAsia="Aptos" w:hAnsi="Calibri" w:cs="Calibri"/>
          <w:sz w:val="24"/>
          <w:szCs w:val="24"/>
        </w:rPr>
        <w:t xml:space="preserve"> about teachers lives</w:t>
      </w:r>
      <w:r w:rsidRPr="00D961A2">
        <w:rPr>
          <w:rFonts w:ascii="Calibri" w:eastAsia="Aptos" w:hAnsi="Calibri" w:cs="Calibri"/>
          <w:sz w:val="24"/>
          <w:szCs w:val="24"/>
        </w:rPr>
        <w:t xml:space="preserve">, cracks may appear when the teacher is having to weather the force of demands </w:t>
      </w:r>
      <w:r>
        <w:rPr>
          <w:rFonts w:ascii="Calibri" w:eastAsia="Aptos" w:hAnsi="Calibri" w:cs="Calibri"/>
          <w:sz w:val="24"/>
          <w:szCs w:val="24"/>
        </w:rPr>
        <w:t xml:space="preserve">born of changes in the culture, practice and politics in the shape-shifting context. The strength </w:t>
      </w:r>
      <w:r>
        <w:rPr>
          <w:rFonts w:ascii="Calibri" w:eastAsia="Aptos" w:hAnsi="Calibri" w:cs="Calibri"/>
          <w:sz w:val="24"/>
          <w:szCs w:val="24"/>
        </w:rPr>
        <w:lastRenderedPageBreak/>
        <w:t xml:space="preserve">and pervasiveness of these forces may prevent the teacher’s </w:t>
      </w:r>
      <w:r w:rsidRPr="00D961A2">
        <w:rPr>
          <w:rFonts w:ascii="Calibri" w:eastAsia="Aptos" w:hAnsi="Calibri" w:cs="Calibri"/>
          <w:sz w:val="24"/>
          <w:szCs w:val="24"/>
        </w:rPr>
        <w:t xml:space="preserve">internal rubber bands </w:t>
      </w:r>
      <w:r>
        <w:rPr>
          <w:rFonts w:ascii="Calibri" w:eastAsia="Aptos" w:hAnsi="Calibri" w:cs="Calibri"/>
          <w:sz w:val="24"/>
          <w:szCs w:val="24"/>
        </w:rPr>
        <w:t>from</w:t>
      </w:r>
      <w:r w:rsidRPr="00D961A2">
        <w:rPr>
          <w:rFonts w:ascii="Calibri" w:eastAsia="Aptos" w:hAnsi="Calibri" w:cs="Calibri"/>
          <w:sz w:val="24"/>
          <w:szCs w:val="24"/>
        </w:rPr>
        <w:t xml:space="preserve"> return</w:t>
      </w:r>
      <w:r>
        <w:rPr>
          <w:rFonts w:ascii="Calibri" w:eastAsia="Aptos" w:hAnsi="Calibri" w:cs="Calibri"/>
          <w:sz w:val="24"/>
          <w:szCs w:val="24"/>
        </w:rPr>
        <w:t xml:space="preserve">ing </w:t>
      </w:r>
      <w:r w:rsidRPr="00D961A2">
        <w:rPr>
          <w:rFonts w:ascii="Calibri" w:eastAsia="Aptos" w:hAnsi="Calibri" w:cs="Calibri"/>
          <w:sz w:val="24"/>
          <w:szCs w:val="24"/>
        </w:rPr>
        <w:t>to their original s</w:t>
      </w:r>
      <w:r>
        <w:rPr>
          <w:rFonts w:ascii="Calibri" w:eastAsia="Aptos" w:hAnsi="Calibri" w:cs="Calibri"/>
          <w:sz w:val="24"/>
          <w:szCs w:val="24"/>
        </w:rPr>
        <w:t>hapes</w:t>
      </w:r>
      <w:r w:rsidRPr="00D961A2">
        <w:rPr>
          <w:rFonts w:ascii="Calibri" w:eastAsia="Aptos" w:hAnsi="Calibri" w:cs="Calibri"/>
          <w:sz w:val="24"/>
          <w:szCs w:val="24"/>
        </w:rPr>
        <w:t xml:space="preserve">.  In a poem entitled </w:t>
      </w:r>
      <w:r w:rsidRPr="00D961A2">
        <w:rPr>
          <w:rFonts w:ascii="Calibri" w:eastAsia="Aptos" w:hAnsi="Calibri" w:cs="Calibri"/>
          <w:i/>
          <w:iCs/>
          <w:sz w:val="24"/>
          <w:szCs w:val="24"/>
        </w:rPr>
        <w:t>The Crack</w:t>
      </w:r>
      <w:r w:rsidRPr="00D961A2">
        <w:rPr>
          <w:rFonts w:ascii="Calibri" w:eastAsia="Aptos" w:hAnsi="Calibri" w:cs="Calibri"/>
          <w:sz w:val="24"/>
          <w:szCs w:val="24"/>
        </w:rPr>
        <w:t xml:space="preserve">, Galloway (1993) describes the experience of a jagged, bleeding crack and wonders how it might restore itself to its proper fit, in the right relationship. If not carefully tended to, and held, the outer casing and the inner rubber bands of the teacher </w:t>
      </w:r>
      <w:r>
        <w:rPr>
          <w:rFonts w:ascii="Calibri" w:eastAsia="Aptos" w:hAnsi="Calibri" w:cs="Calibri"/>
          <w:sz w:val="24"/>
          <w:szCs w:val="24"/>
        </w:rPr>
        <w:t>might</w:t>
      </w:r>
      <w:r w:rsidRPr="00D961A2">
        <w:rPr>
          <w:rFonts w:ascii="Calibri" w:eastAsia="Aptos" w:hAnsi="Calibri" w:cs="Calibri"/>
          <w:sz w:val="24"/>
          <w:szCs w:val="24"/>
        </w:rPr>
        <w:t xml:space="preserve"> weather, crack and bleed. </w:t>
      </w:r>
      <w:r>
        <w:rPr>
          <w:rFonts w:ascii="Calibri" w:eastAsia="Aptos" w:hAnsi="Calibri" w:cs="Calibri"/>
          <w:sz w:val="24"/>
          <w:szCs w:val="24"/>
        </w:rPr>
        <w:t>Hysteresis needs holding, difficult journeys need holding, the curious and pervasive journeyperson needs holding, and the practice of teaching needs holding. Holding</w:t>
      </w:r>
      <w:r w:rsidR="00F26F65">
        <w:rPr>
          <w:rFonts w:ascii="Calibri" w:eastAsia="Aptos" w:hAnsi="Calibri" w:cs="Calibri"/>
          <w:sz w:val="24"/>
          <w:szCs w:val="24"/>
        </w:rPr>
        <w:t xml:space="preserve"> (Winnicott, 1965) </w:t>
      </w:r>
      <w:r>
        <w:rPr>
          <w:rFonts w:ascii="Calibri" w:eastAsia="Aptos" w:hAnsi="Calibri" w:cs="Calibri"/>
          <w:sz w:val="24"/>
          <w:szCs w:val="24"/>
        </w:rPr>
        <w:t xml:space="preserve"> is not simply a concept, it is ethics, and ethical mindfulness (Bond, 2000) in action</w:t>
      </w:r>
      <w:r w:rsidR="00B20EE6">
        <w:rPr>
          <w:rFonts w:ascii="Calibri" w:eastAsia="Aptos" w:hAnsi="Calibri" w:cs="Calibri"/>
          <w:sz w:val="24"/>
          <w:szCs w:val="24"/>
        </w:rPr>
        <w:t>:</w:t>
      </w:r>
      <w:r>
        <w:rPr>
          <w:rFonts w:ascii="Calibri" w:eastAsia="Aptos" w:hAnsi="Calibri" w:cs="Calibri"/>
          <w:sz w:val="24"/>
          <w:szCs w:val="24"/>
        </w:rPr>
        <w:t xml:space="preserve"> it is heroic.</w:t>
      </w:r>
    </w:p>
    <w:p w14:paraId="58124099" w14:textId="77777777" w:rsidR="000171E2" w:rsidRDefault="000171E2" w:rsidP="003E3CDE">
      <w:pPr>
        <w:spacing w:line="360" w:lineRule="auto"/>
        <w:rPr>
          <w:rFonts w:ascii="Calibri" w:eastAsia="Aptos" w:hAnsi="Calibri" w:cs="Calibri"/>
          <w:sz w:val="24"/>
          <w:szCs w:val="24"/>
        </w:rPr>
      </w:pPr>
    </w:p>
    <w:p w14:paraId="294B489A" w14:textId="77777777" w:rsidR="000171E2" w:rsidRDefault="000171E2" w:rsidP="003E3CDE">
      <w:pPr>
        <w:spacing w:line="360" w:lineRule="auto"/>
        <w:rPr>
          <w:rFonts w:ascii="Calibri" w:eastAsia="Aptos" w:hAnsi="Calibri" w:cs="Calibri"/>
          <w:sz w:val="24"/>
          <w:szCs w:val="24"/>
        </w:rPr>
      </w:pPr>
    </w:p>
    <w:p w14:paraId="02B84812" w14:textId="77777777" w:rsidR="000171E2" w:rsidRDefault="000171E2" w:rsidP="003E3CDE">
      <w:pPr>
        <w:spacing w:line="360" w:lineRule="auto"/>
        <w:rPr>
          <w:rFonts w:ascii="Calibri" w:eastAsia="Aptos" w:hAnsi="Calibri" w:cs="Calibri"/>
          <w:sz w:val="24"/>
          <w:szCs w:val="24"/>
        </w:rPr>
      </w:pPr>
    </w:p>
    <w:p w14:paraId="1E2C7D74" w14:textId="77777777" w:rsidR="000171E2" w:rsidRDefault="000171E2" w:rsidP="003E3CDE">
      <w:pPr>
        <w:spacing w:line="360" w:lineRule="auto"/>
        <w:rPr>
          <w:rFonts w:ascii="Calibri" w:eastAsia="Aptos" w:hAnsi="Calibri" w:cs="Calibri"/>
          <w:sz w:val="24"/>
          <w:szCs w:val="24"/>
        </w:rPr>
      </w:pPr>
    </w:p>
    <w:p w14:paraId="390DFD92" w14:textId="77777777" w:rsidR="000171E2" w:rsidRDefault="000171E2" w:rsidP="003E3CDE">
      <w:pPr>
        <w:spacing w:line="360" w:lineRule="auto"/>
        <w:rPr>
          <w:rFonts w:ascii="Calibri" w:eastAsia="Aptos" w:hAnsi="Calibri" w:cs="Calibri"/>
          <w:sz w:val="24"/>
          <w:szCs w:val="24"/>
        </w:rPr>
      </w:pPr>
    </w:p>
    <w:p w14:paraId="7FC85071" w14:textId="77777777" w:rsidR="000171E2" w:rsidRDefault="000171E2" w:rsidP="003E3CDE">
      <w:pPr>
        <w:spacing w:line="360" w:lineRule="auto"/>
        <w:rPr>
          <w:rFonts w:ascii="Calibri" w:eastAsia="Aptos" w:hAnsi="Calibri" w:cs="Calibri"/>
          <w:sz w:val="24"/>
          <w:szCs w:val="24"/>
        </w:rPr>
      </w:pPr>
    </w:p>
    <w:p w14:paraId="4F8D5DED" w14:textId="77777777" w:rsidR="000171E2" w:rsidRDefault="000171E2" w:rsidP="003E3CDE">
      <w:pPr>
        <w:spacing w:line="360" w:lineRule="auto"/>
        <w:rPr>
          <w:rFonts w:ascii="Calibri" w:eastAsia="Aptos" w:hAnsi="Calibri" w:cs="Calibri"/>
          <w:sz w:val="24"/>
          <w:szCs w:val="24"/>
        </w:rPr>
      </w:pPr>
    </w:p>
    <w:p w14:paraId="7BA1C3E4" w14:textId="77777777" w:rsidR="00D205EE" w:rsidRDefault="00D205EE" w:rsidP="003E3CDE">
      <w:pPr>
        <w:spacing w:line="360" w:lineRule="auto"/>
        <w:rPr>
          <w:rFonts w:ascii="Calibri" w:eastAsia="Aptos" w:hAnsi="Calibri" w:cs="Calibri"/>
          <w:sz w:val="24"/>
          <w:szCs w:val="24"/>
        </w:rPr>
      </w:pPr>
    </w:p>
    <w:p w14:paraId="75249A53" w14:textId="77777777" w:rsidR="00D205EE" w:rsidRDefault="00D205EE" w:rsidP="003E3CDE">
      <w:pPr>
        <w:spacing w:line="360" w:lineRule="auto"/>
        <w:rPr>
          <w:rFonts w:ascii="Calibri" w:eastAsia="Aptos" w:hAnsi="Calibri" w:cs="Calibri"/>
          <w:sz w:val="24"/>
          <w:szCs w:val="24"/>
        </w:rPr>
      </w:pPr>
    </w:p>
    <w:p w14:paraId="204FE442" w14:textId="77777777" w:rsidR="00D205EE" w:rsidRDefault="00D205EE" w:rsidP="003E3CDE">
      <w:pPr>
        <w:spacing w:line="360" w:lineRule="auto"/>
        <w:rPr>
          <w:rFonts w:ascii="Calibri" w:eastAsia="Aptos" w:hAnsi="Calibri" w:cs="Calibri"/>
          <w:sz w:val="24"/>
          <w:szCs w:val="24"/>
        </w:rPr>
      </w:pPr>
    </w:p>
    <w:p w14:paraId="44719FCD" w14:textId="77777777" w:rsidR="00D205EE" w:rsidRDefault="00D205EE" w:rsidP="003E3CDE">
      <w:pPr>
        <w:spacing w:line="360" w:lineRule="auto"/>
        <w:rPr>
          <w:rFonts w:ascii="Calibri" w:eastAsia="Aptos" w:hAnsi="Calibri" w:cs="Calibri"/>
          <w:sz w:val="24"/>
          <w:szCs w:val="24"/>
        </w:rPr>
      </w:pPr>
    </w:p>
    <w:p w14:paraId="335402AC" w14:textId="77777777" w:rsidR="00D205EE" w:rsidRDefault="00D205EE" w:rsidP="003E3CDE">
      <w:pPr>
        <w:spacing w:line="360" w:lineRule="auto"/>
        <w:rPr>
          <w:rFonts w:ascii="Calibri" w:eastAsia="Aptos" w:hAnsi="Calibri" w:cs="Calibri"/>
          <w:sz w:val="24"/>
          <w:szCs w:val="24"/>
        </w:rPr>
      </w:pPr>
    </w:p>
    <w:p w14:paraId="051D0AA5" w14:textId="77777777" w:rsidR="00D205EE" w:rsidRDefault="00D205EE" w:rsidP="003E3CDE">
      <w:pPr>
        <w:spacing w:line="360" w:lineRule="auto"/>
        <w:rPr>
          <w:rFonts w:ascii="Calibri" w:eastAsia="Aptos" w:hAnsi="Calibri" w:cs="Calibri"/>
          <w:sz w:val="24"/>
          <w:szCs w:val="24"/>
        </w:rPr>
      </w:pPr>
    </w:p>
    <w:p w14:paraId="7226159D" w14:textId="77777777" w:rsidR="00D205EE" w:rsidRDefault="00D205EE" w:rsidP="003E3CDE">
      <w:pPr>
        <w:spacing w:line="360" w:lineRule="auto"/>
        <w:rPr>
          <w:rFonts w:ascii="Calibri" w:eastAsia="Aptos" w:hAnsi="Calibri" w:cs="Calibri"/>
          <w:sz w:val="24"/>
          <w:szCs w:val="24"/>
        </w:rPr>
      </w:pPr>
    </w:p>
    <w:p w14:paraId="4C76165A" w14:textId="77777777" w:rsidR="00D205EE" w:rsidRDefault="00D205EE" w:rsidP="003E3CDE">
      <w:pPr>
        <w:spacing w:line="360" w:lineRule="auto"/>
        <w:rPr>
          <w:rFonts w:ascii="Calibri" w:eastAsia="Aptos" w:hAnsi="Calibri" w:cs="Calibri"/>
          <w:sz w:val="24"/>
          <w:szCs w:val="24"/>
        </w:rPr>
      </w:pPr>
    </w:p>
    <w:p w14:paraId="7D7FFC88" w14:textId="77777777" w:rsidR="00D205EE" w:rsidRDefault="00D205EE" w:rsidP="003E3CDE">
      <w:pPr>
        <w:spacing w:line="360" w:lineRule="auto"/>
        <w:rPr>
          <w:rFonts w:ascii="Calibri" w:eastAsia="Aptos" w:hAnsi="Calibri" w:cs="Calibri"/>
          <w:sz w:val="24"/>
          <w:szCs w:val="24"/>
        </w:rPr>
      </w:pPr>
    </w:p>
    <w:p w14:paraId="5F674DFF" w14:textId="77777777" w:rsidR="00B944B1" w:rsidRDefault="00B944B1" w:rsidP="00333EBC">
      <w:pPr>
        <w:rPr>
          <w:rFonts w:ascii="Calibri" w:eastAsia="Aptos" w:hAnsi="Calibri" w:cs="Calibri"/>
          <w:sz w:val="56"/>
          <w:szCs w:val="56"/>
        </w:rPr>
      </w:pPr>
    </w:p>
    <w:p w14:paraId="30CC75D0" w14:textId="77777777" w:rsidR="00B944B1" w:rsidRDefault="00B944B1" w:rsidP="00333EBC">
      <w:pPr>
        <w:rPr>
          <w:rFonts w:ascii="Calibri" w:eastAsia="Aptos" w:hAnsi="Calibri" w:cs="Calibri"/>
          <w:sz w:val="56"/>
          <w:szCs w:val="56"/>
        </w:rPr>
      </w:pPr>
    </w:p>
    <w:p w14:paraId="0D14F962" w14:textId="77777777" w:rsidR="00B944B1" w:rsidRDefault="00B944B1" w:rsidP="00333EBC">
      <w:pPr>
        <w:rPr>
          <w:rFonts w:ascii="Calibri" w:eastAsia="Aptos" w:hAnsi="Calibri" w:cs="Calibri"/>
          <w:sz w:val="56"/>
          <w:szCs w:val="56"/>
        </w:rPr>
      </w:pPr>
    </w:p>
    <w:p w14:paraId="0DAAE150" w14:textId="77777777" w:rsidR="00B944B1" w:rsidRDefault="00B944B1" w:rsidP="00333EBC">
      <w:pPr>
        <w:rPr>
          <w:rFonts w:ascii="Calibri" w:eastAsia="Aptos" w:hAnsi="Calibri" w:cs="Calibri"/>
          <w:sz w:val="56"/>
          <w:szCs w:val="56"/>
        </w:rPr>
      </w:pPr>
    </w:p>
    <w:p w14:paraId="5F4B6B34" w14:textId="77777777" w:rsidR="00B944B1" w:rsidRDefault="00B944B1" w:rsidP="00333EBC">
      <w:pPr>
        <w:rPr>
          <w:rFonts w:ascii="Calibri" w:eastAsia="Aptos" w:hAnsi="Calibri" w:cs="Calibri"/>
          <w:sz w:val="56"/>
          <w:szCs w:val="56"/>
        </w:rPr>
      </w:pPr>
    </w:p>
    <w:p w14:paraId="570E306A" w14:textId="77777777" w:rsidR="00B944B1" w:rsidRDefault="00B944B1" w:rsidP="00333EBC">
      <w:pPr>
        <w:rPr>
          <w:rFonts w:ascii="Calibri" w:eastAsia="Aptos" w:hAnsi="Calibri" w:cs="Calibri"/>
          <w:sz w:val="56"/>
          <w:szCs w:val="56"/>
        </w:rPr>
      </w:pPr>
    </w:p>
    <w:p w14:paraId="795DB561" w14:textId="5EDA836A" w:rsidR="000171E2" w:rsidRPr="008D22C0" w:rsidRDefault="00B944B1" w:rsidP="00B944B1">
      <w:pPr>
        <w:ind w:firstLine="720"/>
        <w:rPr>
          <w:rFonts w:cstheme="minorHAnsi"/>
          <w:sz w:val="56"/>
          <w:szCs w:val="56"/>
        </w:rPr>
      </w:pPr>
      <w:r>
        <w:rPr>
          <w:rFonts w:ascii="Calibri" w:eastAsia="Aptos" w:hAnsi="Calibri" w:cs="Calibri"/>
          <w:sz w:val="56"/>
          <w:szCs w:val="56"/>
        </w:rPr>
        <w:t xml:space="preserve">  </w:t>
      </w:r>
      <w:r w:rsidR="00D035F8">
        <w:rPr>
          <w:rFonts w:cstheme="minorHAnsi"/>
          <w:sz w:val="56"/>
          <w:szCs w:val="56"/>
        </w:rPr>
        <w:t xml:space="preserve">Chapter Four: </w:t>
      </w:r>
      <w:r w:rsidR="000171E2" w:rsidRPr="008D22C0">
        <w:rPr>
          <w:rFonts w:cstheme="minorHAnsi"/>
          <w:sz w:val="56"/>
          <w:szCs w:val="56"/>
        </w:rPr>
        <w:t>The Magical Tool</w:t>
      </w:r>
    </w:p>
    <w:p w14:paraId="1B043A42" w14:textId="77777777" w:rsidR="000171E2" w:rsidRDefault="000171E2" w:rsidP="00B325DA">
      <w:pPr>
        <w:rPr>
          <w:b/>
          <w:bCs/>
          <w:sz w:val="24"/>
          <w:szCs w:val="24"/>
        </w:rPr>
      </w:pPr>
    </w:p>
    <w:p w14:paraId="0C3BBEBC" w14:textId="77777777" w:rsidR="000171E2" w:rsidRDefault="000171E2" w:rsidP="00B325DA">
      <w:pPr>
        <w:rPr>
          <w:b/>
          <w:bCs/>
          <w:sz w:val="24"/>
          <w:szCs w:val="24"/>
        </w:rPr>
      </w:pPr>
    </w:p>
    <w:p w14:paraId="6B10F415" w14:textId="77777777" w:rsidR="000171E2" w:rsidRDefault="000171E2" w:rsidP="00B325DA">
      <w:pPr>
        <w:rPr>
          <w:b/>
          <w:bCs/>
          <w:sz w:val="24"/>
          <w:szCs w:val="24"/>
        </w:rPr>
      </w:pPr>
    </w:p>
    <w:p w14:paraId="0470B5E7" w14:textId="77777777" w:rsidR="000171E2" w:rsidRDefault="000171E2" w:rsidP="00B325DA">
      <w:pPr>
        <w:rPr>
          <w:b/>
          <w:bCs/>
          <w:sz w:val="24"/>
          <w:szCs w:val="24"/>
        </w:rPr>
      </w:pPr>
    </w:p>
    <w:p w14:paraId="72FF2486" w14:textId="77777777" w:rsidR="000171E2" w:rsidRDefault="000171E2" w:rsidP="00B325DA">
      <w:pPr>
        <w:rPr>
          <w:b/>
          <w:bCs/>
          <w:sz w:val="24"/>
          <w:szCs w:val="24"/>
        </w:rPr>
      </w:pPr>
    </w:p>
    <w:p w14:paraId="41291F11" w14:textId="77777777" w:rsidR="000171E2" w:rsidRDefault="000171E2" w:rsidP="00B325DA">
      <w:pPr>
        <w:rPr>
          <w:b/>
          <w:bCs/>
          <w:sz w:val="24"/>
          <w:szCs w:val="24"/>
        </w:rPr>
      </w:pPr>
    </w:p>
    <w:p w14:paraId="6199A8B7" w14:textId="77777777" w:rsidR="000171E2" w:rsidRDefault="000171E2" w:rsidP="00B325DA">
      <w:pPr>
        <w:rPr>
          <w:b/>
          <w:bCs/>
          <w:sz w:val="24"/>
          <w:szCs w:val="24"/>
        </w:rPr>
      </w:pPr>
    </w:p>
    <w:p w14:paraId="5EEA50A4" w14:textId="77777777" w:rsidR="000171E2" w:rsidRDefault="000171E2" w:rsidP="00B325DA">
      <w:pPr>
        <w:rPr>
          <w:b/>
          <w:bCs/>
          <w:sz w:val="24"/>
          <w:szCs w:val="24"/>
        </w:rPr>
      </w:pPr>
    </w:p>
    <w:p w14:paraId="5E248D73" w14:textId="77777777" w:rsidR="000171E2" w:rsidRDefault="000171E2" w:rsidP="00B325DA">
      <w:pPr>
        <w:rPr>
          <w:b/>
          <w:bCs/>
          <w:sz w:val="24"/>
          <w:szCs w:val="24"/>
        </w:rPr>
      </w:pPr>
    </w:p>
    <w:p w14:paraId="2230AC9F" w14:textId="77777777" w:rsidR="00D205EE" w:rsidRDefault="00D205EE" w:rsidP="00B325DA">
      <w:pPr>
        <w:rPr>
          <w:b/>
          <w:bCs/>
          <w:sz w:val="24"/>
          <w:szCs w:val="24"/>
        </w:rPr>
      </w:pPr>
    </w:p>
    <w:p w14:paraId="00C5B3BF" w14:textId="77777777" w:rsidR="00D205EE" w:rsidRDefault="00D205EE" w:rsidP="00B325DA">
      <w:pPr>
        <w:rPr>
          <w:b/>
          <w:bCs/>
          <w:sz w:val="24"/>
          <w:szCs w:val="24"/>
        </w:rPr>
      </w:pPr>
    </w:p>
    <w:p w14:paraId="3997BB21" w14:textId="77777777" w:rsidR="00D205EE" w:rsidRDefault="00D205EE" w:rsidP="00B325DA">
      <w:pPr>
        <w:rPr>
          <w:b/>
          <w:bCs/>
          <w:sz w:val="24"/>
          <w:szCs w:val="24"/>
        </w:rPr>
      </w:pPr>
    </w:p>
    <w:p w14:paraId="150A2DA1" w14:textId="77777777" w:rsidR="00DB74B5" w:rsidRDefault="00DB74B5" w:rsidP="00B325DA">
      <w:pPr>
        <w:rPr>
          <w:b/>
          <w:bCs/>
          <w:sz w:val="24"/>
          <w:szCs w:val="24"/>
        </w:rPr>
      </w:pPr>
    </w:p>
    <w:p w14:paraId="0D3CCD53" w14:textId="77777777" w:rsidR="00DB74B5" w:rsidRDefault="00DB74B5" w:rsidP="00B325DA">
      <w:pPr>
        <w:rPr>
          <w:b/>
          <w:bCs/>
          <w:sz w:val="24"/>
          <w:szCs w:val="24"/>
        </w:rPr>
      </w:pPr>
    </w:p>
    <w:p w14:paraId="75643E83" w14:textId="77777777" w:rsidR="00D205EE" w:rsidRDefault="00D205EE" w:rsidP="00B325DA">
      <w:pPr>
        <w:rPr>
          <w:b/>
          <w:bCs/>
          <w:sz w:val="24"/>
          <w:szCs w:val="24"/>
        </w:rPr>
      </w:pPr>
    </w:p>
    <w:p w14:paraId="5925A96B" w14:textId="4862734E" w:rsidR="00DC02CB" w:rsidRDefault="000171E2" w:rsidP="00B325DA">
      <w:pPr>
        <w:rPr>
          <w:b/>
          <w:bCs/>
          <w:sz w:val="24"/>
          <w:szCs w:val="24"/>
        </w:rPr>
      </w:pPr>
      <w:r w:rsidRPr="00EC6584">
        <w:rPr>
          <w:b/>
          <w:bCs/>
          <w:sz w:val="24"/>
          <w:szCs w:val="24"/>
        </w:rPr>
        <w:t xml:space="preserve">                        </w:t>
      </w:r>
      <w:r>
        <w:rPr>
          <w:b/>
          <w:bCs/>
          <w:sz w:val="24"/>
          <w:szCs w:val="24"/>
        </w:rPr>
        <w:t xml:space="preserve">                    </w:t>
      </w:r>
    </w:p>
    <w:p w14:paraId="1FE8C905" w14:textId="5546F1BA" w:rsidR="000171E2" w:rsidRPr="00B944B1" w:rsidRDefault="000171E2" w:rsidP="00576839">
      <w:pPr>
        <w:ind w:left="2160" w:firstLine="720"/>
        <w:rPr>
          <w:sz w:val="28"/>
          <w:szCs w:val="28"/>
        </w:rPr>
      </w:pPr>
      <w:r w:rsidRPr="00B944B1">
        <w:rPr>
          <w:b/>
          <w:bCs/>
          <w:sz w:val="28"/>
          <w:szCs w:val="28"/>
        </w:rPr>
        <w:lastRenderedPageBreak/>
        <w:t xml:space="preserve">Chapter </w:t>
      </w:r>
      <w:r w:rsidR="006A186B" w:rsidRPr="00B944B1">
        <w:rPr>
          <w:b/>
          <w:bCs/>
          <w:sz w:val="28"/>
          <w:szCs w:val="28"/>
        </w:rPr>
        <w:t>Four</w:t>
      </w:r>
      <w:r w:rsidRPr="00B944B1">
        <w:rPr>
          <w:b/>
          <w:bCs/>
          <w:sz w:val="28"/>
          <w:szCs w:val="28"/>
        </w:rPr>
        <w:t>: Methodology</w:t>
      </w:r>
    </w:p>
    <w:p w14:paraId="07137DA2" w14:textId="77777777" w:rsidR="00B944B1" w:rsidRDefault="00B944B1" w:rsidP="0073063C">
      <w:pPr>
        <w:rPr>
          <w:b/>
          <w:bCs/>
          <w:sz w:val="24"/>
          <w:szCs w:val="24"/>
        </w:rPr>
      </w:pPr>
    </w:p>
    <w:p w14:paraId="4074930B" w14:textId="48552FB1" w:rsidR="000171E2" w:rsidRPr="00742772" w:rsidRDefault="000171E2" w:rsidP="0073063C">
      <w:pPr>
        <w:rPr>
          <w:b/>
          <w:bCs/>
          <w:sz w:val="24"/>
          <w:szCs w:val="24"/>
        </w:rPr>
      </w:pPr>
      <w:r w:rsidRPr="00742772">
        <w:rPr>
          <w:b/>
          <w:bCs/>
          <w:sz w:val="24"/>
          <w:szCs w:val="24"/>
        </w:rPr>
        <w:t xml:space="preserve">Introduction </w:t>
      </w:r>
    </w:p>
    <w:p w14:paraId="5339D8BF" w14:textId="60D240DC" w:rsidR="000171E2" w:rsidRPr="000543F8" w:rsidRDefault="000171E2" w:rsidP="0083607F">
      <w:pPr>
        <w:spacing w:line="360" w:lineRule="auto"/>
        <w:rPr>
          <w:b/>
          <w:bCs/>
          <w:color w:val="FF0000"/>
          <w:sz w:val="24"/>
          <w:szCs w:val="24"/>
        </w:rPr>
      </w:pPr>
      <w:r>
        <w:rPr>
          <w:sz w:val="24"/>
          <w:szCs w:val="24"/>
        </w:rPr>
        <w:t xml:space="preserve">This chapter </w:t>
      </w:r>
      <w:bookmarkStart w:id="53" w:name="_Hlk196160399"/>
      <w:r>
        <w:rPr>
          <w:sz w:val="24"/>
          <w:szCs w:val="24"/>
        </w:rPr>
        <w:t xml:space="preserve">delineates the </w:t>
      </w:r>
      <w:r w:rsidRPr="00A918CC">
        <w:rPr>
          <w:sz w:val="24"/>
          <w:szCs w:val="24"/>
        </w:rPr>
        <w:t xml:space="preserve">research </w:t>
      </w:r>
      <w:r>
        <w:rPr>
          <w:sz w:val="24"/>
          <w:szCs w:val="24"/>
        </w:rPr>
        <w:t xml:space="preserve">methodology, </w:t>
      </w:r>
      <w:r w:rsidRPr="00A918CC">
        <w:rPr>
          <w:sz w:val="24"/>
          <w:szCs w:val="24"/>
        </w:rPr>
        <w:t xml:space="preserve">design and strategy </w:t>
      </w:r>
      <w:r>
        <w:rPr>
          <w:sz w:val="24"/>
          <w:szCs w:val="24"/>
        </w:rPr>
        <w:t>prior to data collection. To anchor the chapter, the reader is reminded of the research questions and aims (</w:t>
      </w:r>
      <w:r w:rsidR="0086159D">
        <w:rPr>
          <w:sz w:val="24"/>
          <w:szCs w:val="24"/>
        </w:rPr>
        <w:t xml:space="preserve">see </w:t>
      </w:r>
      <w:r>
        <w:rPr>
          <w:sz w:val="24"/>
          <w:szCs w:val="24"/>
        </w:rPr>
        <w:t xml:space="preserve">Table </w:t>
      </w:r>
      <w:r w:rsidR="0086159D">
        <w:rPr>
          <w:sz w:val="24"/>
          <w:szCs w:val="24"/>
        </w:rPr>
        <w:t>5</w:t>
      </w:r>
      <w:r>
        <w:rPr>
          <w:sz w:val="24"/>
          <w:szCs w:val="24"/>
        </w:rPr>
        <w:t xml:space="preserve">). The research philosophy, theoretical research approach and methodological position of this study are then detailed followed by reasons for prioritising a qualitative approach. Justifications for the chosen methods will be offered followed by the process of sampling and participant recruitment. </w:t>
      </w:r>
      <w:r w:rsidRPr="00202B15">
        <w:rPr>
          <w:sz w:val="24"/>
          <w:szCs w:val="24"/>
        </w:rPr>
        <w:t xml:space="preserve"> </w:t>
      </w:r>
      <w:r>
        <w:rPr>
          <w:sz w:val="24"/>
          <w:szCs w:val="24"/>
        </w:rPr>
        <w:t>Reflections on ethics will appear as required</w:t>
      </w:r>
      <w:bookmarkEnd w:id="53"/>
      <w:r>
        <w:rPr>
          <w:sz w:val="24"/>
          <w:szCs w:val="24"/>
        </w:rPr>
        <w:t xml:space="preserve"> thus adhering to an ethos of ethical mindfulness (Bond, 2000). The chapter concludes with a review and summary.</w:t>
      </w:r>
    </w:p>
    <w:p w14:paraId="1169CF88" w14:textId="22552226" w:rsidR="004601D8" w:rsidRPr="0086159D" w:rsidRDefault="000171E2" w:rsidP="004D79D8">
      <w:pPr>
        <w:ind w:left="1440" w:firstLine="720"/>
        <w:rPr>
          <w:i/>
          <w:iCs/>
          <w:sz w:val="24"/>
          <w:szCs w:val="24"/>
        </w:rPr>
      </w:pPr>
      <w:r w:rsidRPr="0086159D">
        <w:rPr>
          <w:i/>
          <w:iCs/>
          <w:sz w:val="24"/>
          <w:szCs w:val="24"/>
        </w:rPr>
        <w:t xml:space="preserve">Table </w:t>
      </w:r>
      <w:r w:rsidR="00171AAD" w:rsidRPr="0086159D">
        <w:rPr>
          <w:i/>
          <w:iCs/>
          <w:sz w:val="24"/>
          <w:szCs w:val="24"/>
        </w:rPr>
        <w:t>5: Research</w:t>
      </w:r>
      <w:r w:rsidRPr="0086159D">
        <w:rPr>
          <w:i/>
          <w:iCs/>
          <w:sz w:val="24"/>
          <w:szCs w:val="24"/>
        </w:rPr>
        <w:t xml:space="preserve"> questions and aims </w:t>
      </w:r>
    </w:p>
    <w:tbl>
      <w:tblPr>
        <w:tblStyle w:val="TableGrid"/>
        <w:tblW w:w="0" w:type="auto"/>
        <w:tblInd w:w="-5" w:type="dxa"/>
        <w:tblLook w:val="04A0" w:firstRow="1" w:lastRow="0" w:firstColumn="1" w:lastColumn="0" w:noHBand="0" w:noVBand="1"/>
      </w:tblPr>
      <w:tblGrid>
        <w:gridCol w:w="4193"/>
        <w:gridCol w:w="4738"/>
      </w:tblGrid>
      <w:tr w:rsidR="004D79D8" w:rsidRPr="007F2CEF" w14:paraId="561E93E8" w14:textId="77777777" w:rsidTr="00B02410">
        <w:tc>
          <w:tcPr>
            <w:tcW w:w="8931" w:type="dxa"/>
            <w:gridSpan w:val="2"/>
          </w:tcPr>
          <w:p w14:paraId="10FD07BD" w14:textId="55061843" w:rsidR="004D79D8" w:rsidRPr="004D79D8" w:rsidRDefault="00AC4136" w:rsidP="007F2CEF">
            <w:pPr>
              <w:spacing w:after="160" w:line="259" w:lineRule="auto"/>
              <w:rPr>
                <w:b/>
                <w:bCs/>
                <w:sz w:val="24"/>
                <w:szCs w:val="24"/>
              </w:rPr>
            </w:pPr>
            <w:bookmarkStart w:id="54" w:name="_Hlk210134305"/>
            <w:r>
              <w:rPr>
                <w:b/>
                <w:bCs/>
                <w:sz w:val="24"/>
                <w:szCs w:val="24"/>
              </w:rPr>
              <w:t xml:space="preserve">    </w:t>
            </w:r>
            <w:r w:rsidR="004D79D8" w:rsidRPr="007F2CEF">
              <w:rPr>
                <w:b/>
                <w:bCs/>
                <w:sz w:val="24"/>
                <w:szCs w:val="24"/>
              </w:rPr>
              <w:t xml:space="preserve">Overarching research question: </w:t>
            </w:r>
            <w:r w:rsidR="004D79D8" w:rsidRPr="007F2CEF">
              <w:rPr>
                <w:b/>
                <w:bCs/>
                <w:sz w:val="24"/>
                <w:szCs w:val="24"/>
                <w:lang w:val="en-US"/>
              </w:rPr>
              <w:t xml:space="preserve">What are the lived experiences of HE teachers? </w:t>
            </w:r>
          </w:p>
        </w:tc>
      </w:tr>
      <w:tr w:rsidR="000171E2" w:rsidRPr="007F2CEF" w14:paraId="665F6598" w14:textId="77777777" w:rsidTr="00AC4136">
        <w:trPr>
          <w:trHeight w:val="397"/>
        </w:trPr>
        <w:tc>
          <w:tcPr>
            <w:tcW w:w="4193" w:type="dxa"/>
          </w:tcPr>
          <w:p w14:paraId="6D45A64E" w14:textId="65F16E64" w:rsidR="000171E2" w:rsidRPr="00AC4136" w:rsidRDefault="000171E2" w:rsidP="007F2CEF">
            <w:pPr>
              <w:spacing w:after="160" w:line="259" w:lineRule="auto"/>
              <w:rPr>
                <w:b/>
                <w:bCs/>
                <w:sz w:val="24"/>
                <w:szCs w:val="24"/>
              </w:rPr>
            </w:pPr>
            <w:r w:rsidRPr="007F2CEF">
              <w:rPr>
                <w:b/>
                <w:bCs/>
                <w:sz w:val="24"/>
                <w:szCs w:val="24"/>
              </w:rPr>
              <w:t>Research questions</w:t>
            </w:r>
          </w:p>
        </w:tc>
        <w:tc>
          <w:tcPr>
            <w:tcW w:w="4738" w:type="dxa"/>
          </w:tcPr>
          <w:p w14:paraId="240A00F0" w14:textId="77777777" w:rsidR="000171E2" w:rsidRPr="007F2CEF" w:rsidRDefault="000171E2" w:rsidP="007F2CEF">
            <w:pPr>
              <w:spacing w:after="160" w:line="259" w:lineRule="auto"/>
              <w:rPr>
                <w:b/>
                <w:bCs/>
                <w:sz w:val="24"/>
                <w:szCs w:val="24"/>
                <w:lang w:val="en-US"/>
              </w:rPr>
            </w:pPr>
            <w:r w:rsidRPr="007F2CEF">
              <w:rPr>
                <w:b/>
                <w:bCs/>
                <w:sz w:val="24"/>
                <w:szCs w:val="24"/>
                <w:lang w:val="en-US"/>
              </w:rPr>
              <w:t xml:space="preserve">Resulting </w:t>
            </w:r>
            <w:r w:rsidRPr="007F2CEF">
              <w:rPr>
                <w:b/>
                <w:bCs/>
                <w:sz w:val="24"/>
                <w:szCs w:val="24"/>
              </w:rPr>
              <w:t>Research Aims:</w:t>
            </w:r>
          </w:p>
          <w:p w14:paraId="2ED2C1BE" w14:textId="77777777" w:rsidR="000171E2" w:rsidRPr="007F2CEF" w:rsidRDefault="000171E2" w:rsidP="007F2CEF">
            <w:pPr>
              <w:spacing w:after="160" w:line="259" w:lineRule="auto"/>
              <w:rPr>
                <w:sz w:val="24"/>
                <w:szCs w:val="24"/>
                <w:lang w:val="en-US"/>
              </w:rPr>
            </w:pPr>
          </w:p>
        </w:tc>
      </w:tr>
      <w:tr w:rsidR="000171E2" w:rsidRPr="007F2CEF" w14:paraId="205BE24B" w14:textId="77777777" w:rsidTr="001D560F">
        <w:tc>
          <w:tcPr>
            <w:tcW w:w="4193" w:type="dxa"/>
          </w:tcPr>
          <w:p w14:paraId="74C974AC" w14:textId="21CB87B3" w:rsidR="000171E2" w:rsidRPr="00212C0D" w:rsidRDefault="000171E2" w:rsidP="00212C0D">
            <w:pPr>
              <w:pStyle w:val="ListParagraph"/>
              <w:numPr>
                <w:ilvl w:val="0"/>
                <w:numId w:val="21"/>
              </w:numPr>
              <w:rPr>
                <w:lang w:val="en-US"/>
              </w:rPr>
            </w:pPr>
            <w:r w:rsidRPr="00212C0D">
              <w:rPr>
                <w:lang w:val="en-US"/>
              </w:rPr>
              <w:t>What are the experiences, perspectives, and reflections of HE teachers on their teaching, and teacher training journeys?</w:t>
            </w:r>
          </w:p>
          <w:p w14:paraId="6F8DDF5F" w14:textId="77777777" w:rsidR="000171E2" w:rsidRPr="007F2CEF" w:rsidRDefault="000171E2" w:rsidP="007F2CEF">
            <w:pPr>
              <w:spacing w:after="160" w:line="259" w:lineRule="auto"/>
              <w:rPr>
                <w:lang w:val="en-US"/>
              </w:rPr>
            </w:pPr>
          </w:p>
        </w:tc>
        <w:tc>
          <w:tcPr>
            <w:tcW w:w="4738" w:type="dxa"/>
          </w:tcPr>
          <w:p w14:paraId="30BF2724" w14:textId="30A7C3AE" w:rsidR="000171E2" w:rsidRPr="00212C0D" w:rsidRDefault="000171E2" w:rsidP="00212C0D">
            <w:pPr>
              <w:pStyle w:val="ListParagraph"/>
              <w:numPr>
                <w:ilvl w:val="0"/>
                <w:numId w:val="22"/>
              </w:numPr>
              <w:rPr>
                <w:lang w:val="en-US"/>
              </w:rPr>
            </w:pPr>
            <w:r w:rsidRPr="00212C0D">
              <w:rPr>
                <w:lang w:val="en-US"/>
              </w:rPr>
              <w:t xml:space="preserve">To identify HE teachers’ perspectives of their emotional wellbeing and support mechanisms during their teacher training, teaching praxis and in their teaching environments </w:t>
            </w:r>
          </w:p>
          <w:p w14:paraId="304D4BA6" w14:textId="77777777" w:rsidR="000171E2" w:rsidRPr="007F2CEF" w:rsidRDefault="000171E2" w:rsidP="007F2CEF">
            <w:pPr>
              <w:spacing w:after="160" w:line="259" w:lineRule="auto"/>
              <w:rPr>
                <w:lang w:val="en-US"/>
              </w:rPr>
            </w:pPr>
          </w:p>
        </w:tc>
      </w:tr>
      <w:tr w:rsidR="000171E2" w:rsidRPr="007F2CEF" w14:paraId="59DCD9F1" w14:textId="77777777" w:rsidTr="001D560F">
        <w:tc>
          <w:tcPr>
            <w:tcW w:w="4193" w:type="dxa"/>
          </w:tcPr>
          <w:p w14:paraId="00051990" w14:textId="71C28153" w:rsidR="000171E2" w:rsidRPr="00212C0D" w:rsidRDefault="000171E2" w:rsidP="00212C0D">
            <w:pPr>
              <w:pStyle w:val="ListParagraph"/>
              <w:numPr>
                <w:ilvl w:val="0"/>
                <w:numId w:val="22"/>
              </w:numPr>
              <w:rPr>
                <w:lang w:val="en-US"/>
              </w:rPr>
            </w:pPr>
            <w:r w:rsidRPr="00212C0D">
              <w:rPr>
                <w:lang w:val="en-US"/>
              </w:rPr>
              <w:t>What role does reflective practice play in the teaching practices of HE teachers?</w:t>
            </w:r>
          </w:p>
          <w:p w14:paraId="5EB25345" w14:textId="77777777" w:rsidR="000171E2" w:rsidRPr="007F2CEF" w:rsidRDefault="000171E2" w:rsidP="007F2CEF">
            <w:pPr>
              <w:spacing w:after="160" w:line="259" w:lineRule="auto"/>
              <w:rPr>
                <w:lang w:val="en-US"/>
              </w:rPr>
            </w:pPr>
          </w:p>
        </w:tc>
        <w:tc>
          <w:tcPr>
            <w:tcW w:w="4738" w:type="dxa"/>
          </w:tcPr>
          <w:p w14:paraId="7A31737A" w14:textId="209B64EE" w:rsidR="000171E2" w:rsidRPr="00212C0D" w:rsidRDefault="000171E2" w:rsidP="00212C0D">
            <w:pPr>
              <w:pStyle w:val="ListParagraph"/>
              <w:numPr>
                <w:ilvl w:val="0"/>
                <w:numId w:val="21"/>
              </w:numPr>
              <w:rPr>
                <w:lang w:val="en-US"/>
              </w:rPr>
            </w:pPr>
            <w:r w:rsidRPr="00212C0D">
              <w:rPr>
                <w:lang w:val="en-US"/>
              </w:rPr>
              <w:t>To understand how and if HE teachers utilise reflective practice to manage and process their emotions</w:t>
            </w:r>
          </w:p>
          <w:p w14:paraId="56280F39" w14:textId="77777777" w:rsidR="000171E2" w:rsidRPr="007F2CEF" w:rsidRDefault="000171E2" w:rsidP="007F2CEF">
            <w:pPr>
              <w:spacing w:after="160" w:line="259" w:lineRule="auto"/>
              <w:rPr>
                <w:lang w:val="en-US"/>
              </w:rPr>
            </w:pPr>
          </w:p>
        </w:tc>
      </w:tr>
      <w:tr w:rsidR="000171E2" w:rsidRPr="007F2CEF" w14:paraId="570AAE9E" w14:textId="77777777" w:rsidTr="00DB4C52">
        <w:trPr>
          <w:trHeight w:val="2082"/>
        </w:trPr>
        <w:tc>
          <w:tcPr>
            <w:tcW w:w="4193" w:type="dxa"/>
          </w:tcPr>
          <w:p w14:paraId="08A1E366" w14:textId="4EF30F05" w:rsidR="000171E2" w:rsidRPr="007F2CEF" w:rsidRDefault="00FA16EB" w:rsidP="00212C0D">
            <w:pPr>
              <w:numPr>
                <w:ilvl w:val="0"/>
                <w:numId w:val="21"/>
              </w:numPr>
              <w:spacing w:after="160" w:line="259" w:lineRule="auto"/>
              <w:rPr>
                <w:lang w:val="en-US"/>
              </w:rPr>
            </w:pPr>
            <w:r>
              <w:rPr>
                <w:lang w:val="en-US"/>
              </w:rPr>
              <w:t>How can HE teachers make use of Winnicott’s concept of holding?</w:t>
            </w:r>
          </w:p>
          <w:p w14:paraId="459D624C" w14:textId="77777777" w:rsidR="000171E2" w:rsidRPr="007F2CEF" w:rsidRDefault="000171E2" w:rsidP="007F2CEF">
            <w:pPr>
              <w:spacing w:after="160" w:line="259" w:lineRule="auto"/>
              <w:rPr>
                <w:lang w:val="en-US"/>
              </w:rPr>
            </w:pPr>
          </w:p>
        </w:tc>
        <w:tc>
          <w:tcPr>
            <w:tcW w:w="4738" w:type="dxa"/>
          </w:tcPr>
          <w:p w14:paraId="41D0D7D3" w14:textId="2F0AC34D" w:rsidR="000171E2" w:rsidRPr="00212C0D" w:rsidRDefault="000171E2" w:rsidP="00212C0D">
            <w:pPr>
              <w:pStyle w:val="ListParagraph"/>
              <w:numPr>
                <w:ilvl w:val="0"/>
                <w:numId w:val="22"/>
              </w:numPr>
              <w:rPr>
                <w:lang w:val="en-US"/>
              </w:rPr>
            </w:pPr>
            <w:r w:rsidRPr="00212C0D">
              <w:rPr>
                <w:lang w:val="en-US"/>
              </w:rPr>
              <w:t xml:space="preserve">To explore whether the concept of holding drawn from Winnicottian theory provides enhanced awareness of support and reflective practice for HE teachers </w:t>
            </w:r>
          </w:p>
          <w:p w14:paraId="03F487CE" w14:textId="77777777" w:rsidR="000171E2" w:rsidRPr="007F2CEF" w:rsidRDefault="000171E2" w:rsidP="007F2CEF">
            <w:pPr>
              <w:spacing w:after="160" w:line="259" w:lineRule="auto"/>
              <w:rPr>
                <w:lang w:val="en-US"/>
              </w:rPr>
            </w:pPr>
          </w:p>
        </w:tc>
      </w:tr>
      <w:bookmarkEnd w:id="54"/>
    </w:tbl>
    <w:p w14:paraId="4FD9D9DC" w14:textId="77777777" w:rsidR="000171E2" w:rsidRDefault="000171E2" w:rsidP="00EF2BC0">
      <w:pPr>
        <w:rPr>
          <w:b/>
          <w:bCs/>
          <w:sz w:val="24"/>
          <w:szCs w:val="24"/>
        </w:rPr>
      </w:pPr>
    </w:p>
    <w:p w14:paraId="25C376AD" w14:textId="77777777" w:rsidR="00DB4C52" w:rsidRDefault="00DB4C52" w:rsidP="00EF2BC0">
      <w:pPr>
        <w:rPr>
          <w:b/>
          <w:bCs/>
          <w:sz w:val="24"/>
          <w:szCs w:val="24"/>
        </w:rPr>
      </w:pPr>
    </w:p>
    <w:p w14:paraId="4E5F9753" w14:textId="205631DC" w:rsidR="000171E2" w:rsidRDefault="000171E2" w:rsidP="00EF2BC0">
      <w:pPr>
        <w:rPr>
          <w:b/>
          <w:bCs/>
          <w:sz w:val="24"/>
          <w:szCs w:val="24"/>
        </w:rPr>
      </w:pPr>
      <w:r w:rsidRPr="0020133C">
        <w:rPr>
          <w:b/>
          <w:bCs/>
          <w:sz w:val="24"/>
          <w:szCs w:val="24"/>
        </w:rPr>
        <w:lastRenderedPageBreak/>
        <w:t xml:space="preserve">Research </w:t>
      </w:r>
      <w:r>
        <w:rPr>
          <w:b/>
          <w:bCs/>
          <w:sz w:val="24"/>
          <w:szCs w:val="24"/>
        </w:rPr>
        <w:t>Philosophy</w:t>
      </w:r>
    </w:p>
    <w:p w14:paraId="443D32A1" w14:textId="3D71CA9C" w:rsidR="000171E2" w:rsidRPr="00EF2BC0" w:rsidRDefault="0071473A" w:rsidP="00E65B40">
      <w:pPr>
        <w:spacing w:line="360" w:lineRule="auto"/>
        <w:rPr>
          <w:b/>
          <w:bCs/>
          <w:sz w:val="24"/>
          <w:szCs w:val="24"/>
        </w:rPr>
      </w:pPr>
      <w:r>
        <w:rPr>
          <w:sz w:val="24"/>
          <w:szCs w:val="24"/>
        </w:rPr>
        <w:t xml:space="preserve">Whilst </w:t>
      </w:r>
      <w:r w:rsidR="000171E2">
        <w:rPr>
          <w:sz w:val="24"/>
          <w:szCs w:val="24"/>
        </w:rPr>
        <w:t xml:space="preserve">specifying the </w:t>
      </w:r>
      <w:r w:rsidR="000171E2" w:rsidRPr="00EF2BC0">
        <w:rPr>
          <w:sz w:val="24"/>
          <w:szCs w:val="24"/>
        </w:rPr>
        <w:t>ontological and epistemological stances of the researcher</w:t>
      </w:r>
      <w:r w:rsidR="000171E2">
        <w:rPr>
          <w:sz w:val="24"/>
          <w:szCs w:val="24"/>
        </w:rPr>
        <w:t xml:space="preserve">, I shall reflect upon personal bias which </w:t>
      </w:r>
      <w:r w:rsidR="000171E2" w:rsidRPr="0020133C">
        <w:rPr>
          <w:sz w:val="24"/>
          <w:szCs w:val="24"/>
        </w:rPr>
        <w:t>act</w:t>
      </w:r>
      <w:r w:rsidR="000171E2">
        <w:rPr>
          <w:sz w:val="24"/>
          <w:szCs w:val="24"/>
        </w:rPr>
        <w:t xml:space="preserve">s </w:t>
      </w:r>
      <w:r w:rsidR="000171E2" w:rsidRPr="0020133C">
        <w:rPr>
          <w:sz w:val="24"/>
          <w:szCs w:val="24"/>
        </w:rPr>
        <w:t xml:space="preserve">to safeguard the research and </w:t>
      </w:r>
      <w:r w:rsidR="001609D0">
        <w:rPr>
          <w:sz w:val="24"/>
          <w:szCs w:val="24"/>
        </w:rPr>
        <w:t>is in keeping with</w:t>
      </w:r>
      <w:r w:rsidR="004728AC">
        <w:rPr>
          <w:sz w:val="24"/>
          <w:szCs w:val="24"/>
        </w:rPr>
        <w:t xml:space="preserve"> the </w:t>
      </w:r>
      <w:r w:rsidR="001609D0">
        <w:rPr>
          <w:sz w:val="24"/>
          <w:szCs w:val="24"/>
        </w:rPr>
        <w:t xml:space="preserve">reflective nature of the </w:t>
      </w:r>
      <w:r w:rsidR="004728AC">
        <w:rPr>
          <w:sz w:val="24"/>
          <w:szCs w:val="24"/>
        </w:rPr>
        <w:t>research philosophy.</w:t>
      </w:r>
    </w:p>
    <w:p w14:paraId="7ACC1E68" w14:textId="77777777" w:rsidR="000171E2" w:rsidRPr="0020133C" w:rsidRDefault="000171E2" w:rsidP="0020133C">
      <w:pPr>
        <w:rPr>
          <w:b/>
          <w:bCs/>
          <w:sz w:val="24"/>
          <w:szCs w:val="24"/>
        </w:rPr>
      </w:pPr>
      <w:r w:rsidRPr="0020133C">
        <w:rPr>
          <w:b/>
          <w:bCs/>
          <w:sz w:val="24"/>
          <w:szCs w:val="24"/>
        </w:rPr>
        <w:t>Ontology</w:t>
      </w:r>
    </w:p>
    <w:p w14:paraId="4B70E104" w14:textId="15F19056" w:rsidR="001609D0" w:rsidRDefault="000171E2" w:rsidP="00BB6396">
      <w:pPr>
        <w:spacing w:line="360" w:lineRule="auto"/>
        <w:rPr>
          <w:sz w:val="24"/>
          <w:szCs w:val="24"/>
        </w:rPr>
      </w:pPr>
      <w:r w:rsidRPr="00B47E58">
        <w:rPr>
          <w:sz w:val="24"/>
          <w:szCs w:val="24"/>
        </w:rPr>
        <w:t xml:space="preserve">Ontology refers to an individual’s view of reality and what they believe to be true (Mack, 2010) and includes assumptions that are made about others, and reality (Wellington, 2015). </w:t>
      </w:r>
      <w:r w:rsidRPr="00693594">
        <w:rPr>
          <w:sz w:val="24"/>
          <w:szCs w:val="24"/>
        </w:rPr>
        <w:t xml:space="preserve">Research involves “the act of searching closely or carefully for, or after a specified thing” (Frayling, 1993, p.4) and </w:t>
      </w:r>
      <w:r w:rsidR="009B58C2">
        <w:rPr>
          <w:sz w:val="24"/>
          <w:szCs w:val="24"/>
        </w:rPr>
        <w:t xml:space="preserve">therein </w:t>
      </w:r>
      <w:r w:rsidRPr="00693594">
        <w:rPr>
          <w:sz w:val="24"/>
          <w:szCs w:val="24"/>
        </w:rPr>
        <w:t xml:space="preserve">assumptions and biases of the researcher are impossible to ignore (Sikes and Potts, 2008). </w:t>
      </w:r>
      <w:r>
        <w:rPr>
          <w:sz w:val="24"/>
          <w:szCs w:val="24"/>
        </w:rPr>
        <w:t>I</w:t>
      </w:r>
      <w:r w:rsidRPr="00693594">
        <w:rPr>
          <w:sz w:val="24"/>
          <w:szCs w:val="24"/>
        </w:rPr>
        <w:t xml:space="preserve">nitially I feared my myopic focus on well-being provision for teachers was based purely on my own experiences. Having now gained a wider perspective from the scholarship, I realise that reflecting on my assumptions has informed the research and not diminished it into a personal mission. </w:t>
      </w:r>
    </w:p>
    <w:p w14:paraId="03B76669" w14:textId="6B24CB91" w:rsidR="000171E2" w:rsidRPr="0020133C" w:rsidRDefault="000171E2" w:rsidP="00BB6396">
      <w:pPr>
        <w:spacing w:line="360" w:lineRule="auto"/>
        <w:rPr>
          <w:sz w:val="24"/>
          <w:szCs w:val="24"/>
        </w:rPr>
      </w:pPr>
      <w:r>
        <w:rPr>
          <w:sz w:val="24"/>
          <w:szCs w:val="24"/>
        </w:rPr>
        <w:t xml:space="preserve">Ontologically, </w:t>
      </w:r>
      <w:r w:rsidRPr="0020133C">
        <w:rPr>
          <w:sz w:val="24"/>
          <w:szCs w:val="24"/>
        </w:rPr>
        <w:t>I hold a relativist position and consider that a positivist and rationalistic acquisition of knowledge is insufficient a lens through which to view the holistic experiences of teachers</w:t>
      </w:r>
      <w:r>
        <w:rPr>
          <w:sz w:val="24"/>
          <w:szCs w:val="24"/>
        </w:rPr>
        <w:t>, which includes their feelings</w:t>
      </w:r>
      <w:r w:rsidRPr="0020133C">
        <w:rPr>
          <w:sz w:val="24"/>
          <w:szCs w:val="24"/>
        </w:rPr>
        <w:t xml:space="preserve">. </w:t>
      </w:r>
      <w:r>
        <w:rPr>
          <w:sz w:val="24"/>
          <w:szCs w:val="24"/>
        </w:rPr>
        <w:t>P</w:t>
      </w:r>
      <w:r w:rsidRPr="0020133C">
        <w:rPr>
          <w:sz w:val="24"/>
          <w:szCs w:val="24"/>
        </w:rPr>
        <w:t xml:space="preserve">olitical theorist Connolly (2002) </w:t>
      </w:r>
      <w:r>
        <w:rPr>
          <w:sz w:val="24"/>
          <w:szCs w:val="24"/>
        </w:rPr>
        <w:t xml:space="preserve">is of the same view: </w:t>
      </w:r>
      <w:r w:rsidRPr="0020133C">
        <w:rPr>
          <w:sz w:val="24"/>
          <w:szCs w:val="24"/>
        </w:rPr>
        <w:t>“</w:t>
      </w:r>
      <w:r>
        <w:rPr>
          <w:sz w:val="24"/>
          <w:szCs w:val="24"/>
        </w:rPr>
        <w:t>C</w:t>
      </w:r>
      <w:r w:rsidRPr="0020133C">
        <w:rPr>
          <w:sz w:val="24"/>
          <w:szCs w:val="24"/>
        </w:rPr>
        <w:t>ulture involves practices in which the porosity of argument is inhabited by more noise, understated habit, and differential intensities of affect then adamant rationalists acknowledge” (p.10). In</w:t>
      </w:r>
      <w:r>
        <w:rPr>
          <w:sz w:val="24"/>
          <w:szCs w:val="24"/>
        </w:rPr>
        <w:t xml:space="preserve"> this </w:t>
      </w:r>
      <w:r w:rsidRPr="0020133C">
        <w:rPr>
          <w:sz w:val="24"/>
          <w:szCs w:val="24"/>
        </w:rPr>
        <w:t xml:space="preserve">study I am intentionally inviting in the noise and intensity of practices, feelings, and the teacher’s whole-being-in-his/her-world (Laing, in Skott-Myhre </w:t>
      </w:r>
      <w:r w:rsidR="00FB3A6E" w:rsidRPr="00FB3A6E">
        <w:rPr>
          <w:i/>
          <w:sz w:val="24"/>
          <w:szCs w:val="24"/>
        </w:rPr>
        <w:t>et al.</w:t>
      </w:r>
      <w:r w:rsidRPr="0020133C">
        <w:rPr>
          <w:sz w:val="24"/>
          <w:szCs w:val="24"/>
        </w:rPr>
        <w:t>, 2012)</w:t>
      </w:r>
      <w:r w:rsidR="00B14BAA">
        <w:rPr>
          <w:sz w:val="24"/>
          <w:szCs w:val="24"/>
        </w:rPr>
        <w:t>,</w:t>
      </w:r>
      <w:r>
        <w:rPr>
          <w:sz w:val="24"/>
          <w:szCs w:val="24"/>
        </w:rPr>
        <w:t xml:space="preserve"> and</w:t>
      </w:r>
      <w:r w:rsidRPr="0020133C">
        <w:rPr>
          <w:sz w:val="24"/>
          <w:szCs w:val="24"/>
        </w:rPr>
        <w:t xml:space="preserve"> </w:t>
      </w:r>
      <w:r w:rsidR="00255450">
        <w:rPr>
          <w:sz w:val="24"/>
          <w:szCs w:val="24"/>
        </w:rPr>
        <w:t xml:space="preserve">the noise </w:t>
      </w:r>
      <w:r w:rsidRPr="0020133C">
        <w:rPr>
          <w:sz w:val="24"/>
          <w:szCs w:val="24"/>
        </w:rPr>
        <w:t>includes some of the shadow (Jung, 1959) sides of the wider culture of teaching</w:t>
      </w:r>
      <w:r>
        <w:rPr>
          <w:sz w:val="24"/>
          <w:szCs w:val="24"/>
        </w:rPr>
        <w:t>.</w:t>
      </w:r>
    </w:p>
    <w:p w14:paraId="2DE0698A" w14:textId="77777777" w:rsidR="000171E2" w:rsidRPr="0020133C" w:rsidRDefault="000171E2" w:rsidP="0020133C">
      <w:pPr>
        <w:rPr>
          <w:b/>
          <w:bCs/>
          <w:sz w:val="24"/>
          <w:szCs w:val="24"/>
        </w:rPr>
      </w:pPr>
      <w:r w:rsidRPr="0020133C">
        <w:rPr>
          <w:b/>
          <w:bCs/>
          <w:sz w:val="24"/>
          <w:szCs w:val="24"/>
        </w:rPr>
        <w:t xml:space="preserve">Epistemology </w:t>
      </w:r>
    </w:p>
    <w:p w14:paraId="153DB119" w14:textId="02270EAD" w:rsidR="000171E2" w:rsidRPr="0020133C" w:rsidRDefault="000171E2" w:rsidP="007B5DA0">
      <w:pPr>
        <w:spacing w:line="360" w:lineRule="auto"/>
        <w:rPr>
          <w:sz w:val="24"/>
          <w:szCs w:val="24"/>
        </w:rPr>
      </w:pPr>
      <w:r w:rsidRPr="0020133C">
        <w:rPr>
          <w:sz w:val="24"/>
          <w:szCs w:val="24"/>
        </w:rPr>
        <w:t>Deriving from the Greek</w:t>
      </w:r>
      <w:r>
        <w:rPr>
          <w:sz w:val="24"/>
          <w:szCs w:val="24"/>
        </w:rPr>
        <w:t>,</w:t>
      </w:r>
      <w:r w:rsidRPr="0020133C">
        <w:rPr>
          <w:sz w:val="24"/>
          <w:szCs w:val="24"/>
        </w:rPr>
        <w:t xml:space="preserve"> </w:t>
      </w:r>
      <w:r w:rsidRPr="0020133C">
        <w:rPr>
          <w:i/>
          <w:iCs/>
          <w:sz w:val="24"/>
          <w:szCs w:val="24"/>
        </w:rPr>
        <w:t>episteme</w:t>
      </w:r>
      <w:r w:rsidRPr="0020133C">
        <w:rPr>
          <w:sz w:val="24"/>
          <w:szCs w:val="24"/>
        </w:rPr>
        <w:t xml:space="preserve"> and </w:t>
      </w:r>
      <w:r w:rsidRPr="0020133C">
        <w:rPr>
          <w:i/>
          <w:iCs/>
          <w:sz w:val="24"/>
          <w:szCs w:val="24"/>
        </w:rPr>
        <w:t>logos</w:t>
      </w:r>
      <w:r w:rsidRPr="0020133C">
        <w:rPr>
          <w:sz w:val="24"/>
          <w:szCs w:val="24"/>
        </w:rPr>
        <w:t>, epistemology is how knowledge can be acquired and has been ubiquitously used by philosophers (Mack, 2010). My epistemology is rooted in an interpretivist co-constructivist position</w:t>
      </w:r>
      <w:r>
        <w:rPr>
          <w:sz w:val="24"/>
          <w:szCs w:val="24"/>
        </w:rPr>
        <w:t xml:space="preserve"> that posits that t</w:t>
      </w:r>
      <w:r w:rsidRPr="0020133C">
        <w:rPr>
          <w:sz w:val="24"/>
          <w:szCs w:val="24"/>
        </w:rPr>
        <w:t>eachers are not only curators of knowledge and its delivery, but also creators of the “facilitating environment” (Winnicott, 1965, p. 223)</w:t>
      </w:r>
      <w:r>
        <w:rPr>
          <w:sz w:val="24"/>
          <w:szCs w:val="24"/>
        </w:rPr>
        <w:t xml:space="preserve">. I believe </w:t>
      </w:r>
      <w:r w:rsidRPr="0020133C">
        <w:rPr>
          <w:sz w:val="24"/>
          <w:szCs w:val="24"/>
        </w:rPr>
        <w:t>learning experiences occur in the “potential space where we are experiencing life” (Winnicott, 1990, p.104</w:t>
      </w:r>
      <w:r w:rsidR="00BB41B0" w:rsidRPr="0020133C">
        <w:rPr>
          <w:sz w:val="24"/>
          <w:szCs w:val="24"/>
        </w:rPr>
        <w:t>)</w:t>
      </w:r>
      <w:r w:rsidR="00BB41B0">
        <w:rPr>
          <w:sz w:val="24"/>
          <w:szCs w:val="24"/>
        </w:rPr>
        <w:t xml:space="preserve"> and</w:t>
      </w:r>
      <w:r w:rsidRPr="0020133C">
        <w:rPr>
          <w:sz w:val="24"/>
          <w:szCs w:val="24"/>
        </w:rPr>
        <w:t xml:space="preserve"> are facilitated by the teacher. </w:t>
      </w:r>
      <w:r>
        <w:rPr>
          <w:sz w:val="24"/>
          <w:szCs w:val="24"/>
        </w:rPr>
        <w:t xml:space="preserve">As referred to in </w:t>
      </w:r>
      <w:r w:rsidR="00EC663A">
        <w:rPr>
          <w:sz w:val="24"/>
          <w:szCs w:val="24"/>
        </w:rPr>
        <w:t>“</w:t>
      </w:r>
      <w:r w:rsidR="009F3E57">
        <w:rPr>
          <w:sz w:val="24"/>
          <w:szCs w:val="24"/>
        </w:rPr>
        <w:t>Reflections</w:t>
      </w:r>
      <w:r w:rsidR="00EC663A">
        <w:rPr>
          <w:sz w:val="24"/>
          <w:szCs w:val="24"/>
        </w:rPr>
        <w:t>”</w:t>
      </w:r>
      <w:r w:rsidR="009F3E57">
        <w:rPr>
          <w:sz w:val="24"/>
          <w:szCs w:val="24"/>
        </w:rPr>
        <w:t xml:space="preserve"> (p.</w:t>
      </w:r>
      <w:r w:rsidR="00FE0148">
        <w:rPr>
          <w:sz w:val="24"/>
          <w:szCs w:val="24"/>
        </w:rPr>
        <w:t>9</w:t>
      </w:r>
      <w:r w:rsidR="00AB1796">
        <w:rPr>
          <w:sz w:val="24"/>
          <w:szCs w:val="24"/>
        </w:rPr>
        <w:t>8</w:t>
      </w:r>
      <w:r w:rsidR="00FE0148">
        <w:rPr>
          <w:sz w:val="24"/>
          <w:szCs w:val="24"/>
        </w:rPr>
        <w:t>),</w:t>
      </w:r>
      <w:r>
        <w:rPr>
          <w:sz w:val="24"/>
          <w:szCs w:val="24"/>
        </w:rPr>
        <w:t xml:space="preserve"> </w:t>
      </w:r>
      <w:r w:rsidRPr="0020133C">
        <w:rPr>
          <w:sz w:val="24"/>
          <w:szCs w:val="24"/>
        </w:rPr>
        <w:t>Wideman (2020)</w:t>
      </w:r>
      <w:r>
        <w:rPr>
          <w:sz w:val="24"/>
          <w:szCs w:val="24"/>
        </w:rPr>
        <w:t xml:space="preserve"> </w:t>
      </w:r>
      <w:r w:rsidRPr="0020133C">
        <w:rPr>
          <w:sz w:val="24"/>
          <w:szCs w:val="24"/>
        </w:rPr>
        <w:t xml:space="preserve">describes how education opened a door </w:t>
      </w:r>
      <w:r>
        <w:rPr>
          <w:sz w:val="24"/>
          <w:szCs w:val="24"/>
        </w:rPr>
        <w:lastRenderedPageBreak/>
        <w:t>to a</w:t>
      </w:r>
      <w:r w:rsidRPr="0020133C">
        <w:rPr>
          <w:sz w:val="24"/>
          <w:szCs w:val="24"/>
        </w:rPr>
        <w:t xml:space="preserve"> world of hitherto unknown possibilities which I read as potential space. </w:t>
      </w:r>
      <w:r>
        <w:rPr>
          <w:sz w:val="24"/>
          <w:szCs w:val="24"/>
        </w:rPr>
        <w:t xml:space="preserve">I believe the teacher </w:t>
      </w:r>
      <w:r w:rsidRPr="0020133C">
        <w:rPr>
          <w:sz w:val="24"/>
          <w:szCs w:val="24"/>
        </w:rPr>
        <w:t>curate</w:t>
      </w:r>
      <w:r>
        <w:rPr>
          <w:sz w:val="24"/>
          <w:szCs w:val="24"/>
        </w:rPr>
        <w:t>s</w:t>
      </w:r>
      <w:r w:rsidRPr="0020133C">
        <w:rPr>
          <w:sz w:val="24"/>
          <w:szCs w:val="24"/>
        </w:rPr>
        <w:t xml:space="preserve"> this space</w:t>
      </w:r>
      <w:r>
        <w:rPr>
          <w:sz w:val="24"/>
          <w:szCs w:val="24"/>
        </w:rPr>
        <w:t xml:space="preserve"> and the potential within this space by mediating the </w:t>
      </w:r>
      <w:r w:rsidRPr="0020133C">
        <w:rPr>
          <w:sz w:val="24"/>
          <w:szCs w:val="24"/>
        </w:rPr>
        <w:t>relationship between the scholarship</w:t>
      </w:r>
      <w:r>
        <w:rPr>
          <w:sz w:val="24"/>
          <w:szCs w:val="24"/>
        </w:rPr>
        <w:t xml:space="preserve"> </w:t>
      </w:r>
      <w:r w:rsidRPr="0020133C">
        <w:rPr>
          <w:sz w:val="24"/>
          <w:szCs w:val="24"/>
        </w:rPr>
        <w:t xml:space="preserve">and students’ experiences </w:t>
      </w:r>
      <w:r w:rsidRPr="0020133C">
        <w:rPr>
          <w:i/>
          <w:iCs/>
          <w:sz w:val="24"/>
          <w:szCs w:val="24"/>
        </w:rPr>
        <w:t>with</w:t>
      </w:r>
      <w:r w:rsidRPr="0020133C">
        <w:rPr>
          <w:sz w:val="24"/>
          <w:szCs w:val="24"/>
        </w:rPr>
        <w:t xml:space="preserve"> the </w:t>
      </w:r>
      <w:r>
        <w:rPr>
          <w:sz w:val="24"/>
          <w:szCs w:val="24"/>
        </w:rPr>
        <w:t>scholarship</w:t>
      </w:r>
      <w:r w:rsidRPr="0020133C">
        <w:rPr>
          <w:sz w:val="24"/>
          <w:szCs w:val="24"/>
        </w:rPr>
        <w:t xml:space="preserve">. This requires </w:t>
      </w:r>
      <w:r>
        <w:rPr>
          <w:sz w:val="24"/>
          <w:szCs w:val="24"/>
        </w:rPr>
        <w:t>the teacher</w:t>
      </w:r>
      <w:r w:rsidRPr="0020133C">
        <w:rPr>
          <w:sz w:val="24"/>
          <w:szCs w:val="24"/>
        </w:rPr>
        <w:t xml:space="preserve"> to understand </w:t>
      </w:r>
      <w:r>
        <w:rPr>
          <w:sz w:val="24"/>
          <w:szCs w:val="24"/>
        </w:rPr>
        <w:t>the</w:t>
      </w:r>
      <w:r w:rsidRPr="0020133C">
        <w:rPr>
          <w:sz w:val="24"/>
          <w:szCs w:val="24"/>
        </w:rPr>
        <w:t xml:space="preserve"> process of being with, or </w:t>
      </w:r>
      <w:r w:rsidRPr="0020133C">
        <w:rPr>
          <w:i/>
          <w:iCs/>
          <w:sz w:val="24"/>
          <w:szCs w:val="24"/>
        </w:rPr>
        <w:t>withness</w:t>
      </w:r>
      <w:r w:rsidRPr="0020133C">
        <w:rPr>
          <w:sz w:val="24"/>
          <w:szCs w:val="24"/>
        </w:rPr>
        <w:t xml:space="preserve"> (Anderson, 200</w:t>
      </w:r>
      <w:r>
        <w:rPr>
          <w:sz w:val="24"/>
          <w:szCs w:val="24"/>
        </w:rPr>
        <w:t>7</w:t>
      </w:r>
      <w:r w:rsidRPr="0020133C">
        <w:rPr>
          <w:sz w:val="24"/>
          <w:szCs w:val="24"/>
        </w:rPr>
        <w:t xml:space="preserve">) of all possibilities in the potential space where knowledge is being constructed.  </w:t>
      </w:r>
    </w:p>
    <w:p w14:paraId="7ABFB703" w14:textId="77777777" w:rsidR="000171E2" w:rsidRPr="0020133C" w:rsidRDefault="000171E2" w:rsidP="007B5DA0">
      <w:pPr>
        <w:spacing w:line="360" w:lineRule="auto"/>
        <w:rPr>
          <w:sz w:val="24"/>
          <w:szCs w:val="24"/>
        </w:rPr>
      </w:pPr>
      <w:r w:rsidRPr="0020133C">
        <w:rPr>
          <w:sz w:val="24"/>
          <w:szCs w:val="24"/>
        </w:rPr>
        <w:t>The interpretivist views knowledge as individual, relationally constructed, fluid and not fixed (Hall</w:t>
      </w:r>
      <w:r>
        <w:rPr>
          <w:sz w:val="24"/>
          <w:szCs w:val="24"/>
        </w:rPr>
        <w:t xml:space="preserve"> and Wall,</w:t>
      </w:r>
      <w:r w:rsidRPr="0020133C">
        <w:rPr>
          <w:sz w:val="24"/>
          <w:szCs w:val="24"/>
        </w:rPr>
        <w:t xml:space="preserve"> 201</w:t>
      </w:r>
      <w:r>
        <w:rPr>
          <w:sz w:val="24"/>
          <w:szCs w:val="24"/>
        </w:rPr>
        <w:t>9</w:t>
      </w:r>
      <w:r w:rsidRPr="0020133C">
        <w:rPr>
          <w:sz w:val="24"/>
          <w:szCs w:val="24"/>
        </w:rPr>
        <w:t xml:space="preserve">). </w:t>
      </w:r>
      <w:r>
        <w:rPr>
          <w:sz w:val="24"/>
          <w:szCs w:val="24"/>
        </w:rPr>
        <w:t>As knowledge acquisition is constantly moving, in research the</w:t>
      </w:r>
      <w:r w:rsidRPr="0020133C">
        <w:rPr>
          <w:sz w:val="24"/>
          <w:szCs w:val="24"/>
        </w:rPr>
        <w:t xml:space="preserve"> interpretivist can only have a partial insight, although I </w:t>
      </w:r>
      <w:r>
        <w:rPr>
          <w:sz w:val="24"/>
          <w:szCs w:val="24"/>
        </w:rPr>
        <w:t xml:space="preserve">posit </w:t>
      </w:r>
      <w:r w:rsidRPr="0020133C">
        <w:rPr>
          <w:sz w:val="24"/>
          <w:szCs w:val="24"/>
        </w:rPr>
        <w:t xml:space="preserve">that the partial is expanded due to my positionality as a humanistic psychotherapist. </w:t>
      </w:r>
      <w:r>
        <w:rPr>
          <w:sz w:val="24"/>
          <w:szCs w:val="24"/>
        </w:rPr>
        <w:t xml:space="preserve">Knowledge and </w:t>
      </w:r>
      <w:r w:rsidRPr="0020133C">
        <w:rPr>
          <w:sz w:val="24"/>
          <w:szCs w:val="24"/>
        </w:rPr>
        <w:t xml:space="preserve">insight afforded by my </w:t>
      </w:r>
      <w:r>
        <w:rPr>
          <w:sz w:val="24"/>
          <w:szCs w:val="24"/>
        </w:rPr>
        <w:t>ability to reflect deeply</w:t>
      </w:r>
      <w:r w:rsidRPr="0020133C">
        <w:rPr>
          <w:sz w:val="24"/>
          <w:szCs w:val="24"/>
        </w:rPr>
        <w:t xml:space="preserve">, together with an interpretive research focus </w:t>
      </w:r>
      <w:r>
        <w:rPr>
          <w:sz w:val="24"/>
          <w:szCs w:val="24"/>
        </w:rPr>
        <w:t>are</w:t>
      </w:r>
      <w:r w:rsidRPr="0020133C">
        <w:rPr>
          <w:sz w:val="24"/>
          <w:szCs w:val="24"/>
        </w:rPr>
        <w:t xml:space="preserve"> in concert with the aims of the research</w:t>
      </w:r>
      <w:r>
        <w:rPr>
          <w:sz w:val="24"/>
          <w:szCs w:val="24"/>
        </w:rPr>
        <w:t>.</w:t>
      </w:r>
      <w:r w:rsidRPr="0020133C">
        <w:rPr>
          <w:sz w:val="24"/>
          <w:szCs w:val="24"/>
        </w:rPr>
        <w:t xml:space="preserve"> I believe that being deeply reflective about reality expands my knowledge base beyond the rigidity of a fixed reality and informs </w:t>
      </w:r>
      <w:r>
        <w:rPr>
          <w:sz w:val="24"/>
          <w:szCs w:val="24"/>
        </w:rPr>
        <w:t>the</w:t>
      </w:r>
      <w:r w:rsidRPr="0020133C">
        <w:rPr>
          <w:sz w:val="24"/>
          <w:szCs w:val="24"/>
        </w:rPr>
        <w:t xml:space="preserve"> research </w:t>
      </w:r>
      <w:r>
        <w:rPr>
          <w:sz w:val="24"/>
          <w:szCs w:val="24"/>
        </w:rPr>
        <w:t>process</w:t>
      </w:r>
      <w:r w:rsidRPr="0020133C">
        <w:rPr>
          <w:sz w:val="24"/>
          <w:szCs w:val="24"/>
        </w:rPr>
        <w:t>.</w:t>
      </w:r>
    </w:p>
    <w:p w14:paraId="27DCF15E" w14:textId="77777777" w:rsidR="000171E2" w:rsidRPr="0020133C" w:rsidRDefault="000171E2" w:rsidP="0020133C">
      <w:pPr>
        <w:rPr>
          <w:b/>
          <w:bCs/>
          <w:sz w:val="24"/>
          <w:szCs w:val="24"/>
        </w:rPr>
      </w:pPr>
      <w:r w:rsidRPr="0020133C">
        <w:rPr>
          <w:b/>
          <w:bCs/>
          <w:sz w:val="24"/>
          <w:szCs w:val="24"/>
        </w:rPr>
        <w:t>Constructivism</w:t>
      </w:r>
    </w:p>
    <w:p w14:paraId="62245F9D" w14:textId="15F4E33D" w:rsidR="000171E2" w:rsidRPr="0020133C" w:rsidRDefault="000171E2" w:rsidP="002A4800">
      <w:pPr>
        <w:spacing w:line="360" w:lineRule="auto"/>
        <w:rPr>
          <w:sz w:val="24"/>
          <w:szCs w:val="24"/>
        </w:rPr>
      </w:pPr>
      <w:r>
        <w:rPr>
          <w:sz w:val="24"/>
          <w:szCs w:val="24"/>
        </w:rPr>
        <w:t>C</w:t>
      </w:r>
      <w:r w:rsidRPr="0020133C">
        <w:rPr>
          <w:sz w:val="24"/>
          <w:szCs w:val="24"/>
        </w:rPr>
        <w:t xml:space="preserve">onstructivism is a relational methodology which attempts to understand experiences, meanings, and perceptions. </w:t>
      </w:r>
      <w:r>
        <w:rPr>
          <w:sz w:val="24"/>
          <w:szCs w:val="24"/>
        </w:rPr>
        <w:t xml:space="preserve">Generative and active, it </w:t>
      </w:r>
      <w:r w:rsidRPr="0020133C">
        <w:rPr>
          <w:sz w:val="24"/>
          <w:szCs w:val="24"/>
        </w:rPr>
        <w:t>incorporates feelings, attitudes, assumptions, creativity, understanding, beliefs, culture and the psychosocial</w:t>
      </w:r>
      <w:r w:rsidR="00356C30">
        <w:rPr>
          <w:sz w:val="24"/>
          <w:szCs w:val="24"/>
        </w:rPr>
        <w:t>,</w:t>
      </w:r>
      <w:r w:rsidRPr="0020133C">
        <w:rPr>
          <w:sz w:val="24"/>
          <w:szCs w:val="24"/>
        </w:rPr>
        <w:t xml:space="preserve"> and aims to construct meaning within these interactions</w:t>
      </w:r>
      <w:r>
        <w:rPr>
          <w:sz w:val="24"/>
          <w:szCs w:val="24"/>
        </w:rPr>
        <w:t xml:space="preserve"> (Cohen </w:t>
      </w:r>
      <w:r w:rsidR="00FB3A6E" w:rsidRPr="00FB3A6E">
        <w:rPr>
          <w:i/>
          <w:sz w:val="24"/>
          <w:szCs w:val="24"/>
        </w:rPr>
        <w:t>et al.</w:t>
      </w:r>
      <w:r>
        <w:rPr>
          <w:sz w:val="24"/>
          <w:szCs w:val="24"/>
        </w:rPr>
        <w:t>, 2019). In short, it aligns to psychosocial factors that considers the relational interplay between and within psychological and social factor</w:t>
      </w:r>
      <w:r w:rsidR="003D4D4C">
        <w:rPr>
          <w:sz w:val="24"/>
          <w:szCs w:val="24"/>
        </w:rPr>
        <w:t xml:space="preserve">s. </w:t>
      </w:r>
      <w:r>
        <w:rPr>
          <w:sz w:val="24"/>
          <w:szCs w:val="24"/>
        </w:rPr>
        <w:t>Social c</w:t>
      </w:r>
      <w:r w:rsidRPr="006549D1">
        <w:rPr>
          <w:sz w:val="24"/>
          <w:szCs w:val="24"/>
        </w:rPr>
        <w:t xml:space="preserve">onstructivism was adopted for this study </w:t>
      </w:r>
      <w:r w:rsidR="003D4D4C">
        <w:rPr>
          <w:sz w:val="24"/>
          <w:szCs w:val="24"/>
        </w:rPr>
        <w:t>to incorporate these factors</w:t>
      </w:r>
      <w:r w:rsidR="00DC03FC">
        <w:rPr>
          <w:sz w:val="24"/>
          <w:szCs w:val="24"/>
        </w:rPr>
        <w:t xml:space="preserve">. It also </w:t>
      </w:r>
      <w:r w:rsidRPr="006549D1">
        <w:rPr>
          <w:sz w:val="24"/>
          <w:szCs w:val="24"/>
        </w:rPr>
        <w:t>incorporate</w:t>
      </w:r>
      <w:r w:rsidR="00DC03FC">
        <w:rPr>
          <w:sz w:val="24"/>
          <w:szCs w:val="24"/>
        </w:rPr>
        <w:t>s</w:t>
      </w:r>
      <w:r w:rsidRPr="006549D1">
        <w:rPr>
          <w:sz w:val="24"/>
          <w:szCs w:val="24"/>
        </w:rPr>
        <w:t xml:space="preserve"> a </w:t>
      </w:r>
      <w:r>
        <w:rPr>
          <w:sz w:val="24"/>
          <w:szCs w:val="24"/>
        </w:rPr>
        <w:t xml:space="preserve">subjective </w:t>
      </w:r>
      <w:r w:rsidRPr="006549D1">
        <w:rPr>
          <w:sz w:val="24"/>
          <w:szCs w:val="24"/>
        </w:rPr>
        <w:t xml:space="preserve">perspective </w:t>
      </w:r>
      <w:r>
        <w:rPr>
          <w:sz w:val="24"/>
          <w:szCs w:val="24"/>
        </w:rPr>
        <w:t xml:space="preserve">of </w:t>
      </w:r>
      <w:r w:rsidRPr="006549D1">
        <w:rPr>
          <w:sz w:val="24"/>
          <w:szCs w:val="24"/>
        </w:rPr>
        <w:t>the researcher</w:t>
      </w:r>
      <w:r w:rsidR="00DC03FC">
        <w:rPr>
          <w:sz w:val="24"/>
          <w:szCs w:val="24"/>
        </w:rPr>
        <w:t xml:space="preserve"> and</w:t>
      </w:r>
      <w:r w:rsidRPr="006549D1">
        <w:rPr>
          <w:sz w:val="24"/>
          <w:szCs w:val="24"/>
        </w:rPr>
        <w:t xml:space="preserve"> includes the capacity to be creative </w:t>
      </w:r>
      <w:r w:rsidR="00DC03FC">
        <w:rPr>
          <w:sz w:val="24"/>
          <w:szCs w:val="24"/>
        </w:rPr>
        <w:t xml:space="preserve">which I believe </w:t>
      </w:r>
      <w:r w:rsidR="00DC03FC" w:rsidRPr="006549D1">
        <w:rPr>
          <w:sz w:val="24"/>
          <w:szCs w:val="24"/>
        </w:rPr>
        <w:t>is</w:t>
      </w:r>
      <w:r w:rsidRPr="006549D1">
        <w:rPr>
          <w:sz w:val="24"/>
          <w:szCs w:val="24"/>
        </w:rPr>
        <w:t xml:space="preserve"> enhanced by my unique position as a humanistic practitioner. </w:t>
      </w:r>
      <w:r>
        <w:rPr>
          <w:sz w:val="24"/>
          <w:szCs w:val="24"/>
        </w:rPr>
        <w:t xml:space="preserve">As Cohen </w:t>
      </w:r>
      <w:r w:rsidR="00FB3A6E" w:rsidRPr="00FB3A6E">
        <w:rPr>
          <w:i/>
          <w:sz w:val="24"/>
          <w:szCs w:val="24"/>
        </w:rPr>
        <w:t>et al.</w:t>
      </w:r>
      <w:r>
        <w:rPr>
          <w:sz w:val="24"/>
          <w:szCs w:val="24"/>
        </w:rPr>
        <w:t xml:space="preserve"> (2019) attest</w:t>
      </w:r>
      <w:r w:rsidR="00DC03FC">
        <w:rPr>
          <w:sz w:val="24"/>
          <w:szCs w:val="24"/>
        </w:rPr>
        <w:t>s</w:t>
      </w:r>
      <w:r>
        <w:rPr>
          <w:sz w:val="24"/>
          <w:szCs w:val="24"/>
        </w:rPr>
        <w:t xml:space="preserve"> h</w:t>
      </w:r>
      <w:r w:rsidRPr="006549D1">
        <w:rPr>
          <w:sz w:val="24"/>
          <w:szCs w:val="24"/>
        </w:rPr>
        <w:t>umanistic psychologists are subjectively involved in their research and direct their interest at “creational aspects of the human being” (p. 18).</w:t>
      </w:r>
    </w:p>
    <w:p w14:paraId="2874FA48" w14:textId="35581805" w:rsidR="000171E2" w:rsidRPr="005B2326" w:rsidRDefault="000171E2" w:rsidP="00762FD9">
      <w:pPr>
        <w:spacing w:line="360" w:lineRule="auto"/>
        <w:rPr>
          <w:sz w:val="24"/>
          <w:szCs w:val="24"/>
        </w:rPr>
      </w:pPr>
      <w:r>
        <w:rPr>
          <w:sz w:val="24"/>
          <w:szCs w:val="24"/>
        </w:rPr>
        <w:t>A social constructivism philosophy posits that h</w:t>
      </w:r>
      <w:r w:rsidRPr="0020133C">
        <w:rPr>
          <w:sz w:val="24"/>
          <w:szCs w:val="24"/>
        </w:rPr>
        <w:t>ow individuals understand their world is a result of interaction, negotiation and reflexivity between people</w:t>
      </w:r>
      <w:r>
        <w:rPr>
          <w:sz w:val="24"/>
          <w:szCs w:val="24"/>
        </w:rPr>
        <w:t>.</w:t>
      </w:r>
      <w:r w:rsidRPr="0020133C">
        <w:rPr>
          <w:sz w:val="24"/>
          <w:szCs w:val="24"/>
        </w:rPr>
        <w:t xml:space="preserve"> </w:t>
      </w:r>
      <w:r>
        <w:rPr>
          <w:sz w:val="24"/>
          <w:szCs w:val="24"/>
        </w:rPr>
        <w:t>T</w:t>
      </w:r>
      <w:r w:rsidRPr="0020133C">
        <w:rPr>
          <w:sz w:val="24"/>
          <w:szCs w:val="24"/>
        </w:rPr>
        <w:t>he goal of constructivism is to open the space to what is possible, rather than a production of knowledge that is fixed, universally valid and applicable. This re</w:t>
      </w:r>
      <w:r>
        <w:rPr>
          <w:sz w:val="24"/>
          <w:szCs w:val="24"/>
        </w:rPr>
        <w:t>frames</w:t>
      </w:r>
      <w:r w:rsidRPr="0020133C">
        <w:rPr>
          <w:sz w:val="24"/>
          <w:szCs w:val="24"/>
        </w:rPr>
        <w:t xml:space="preserve"> notions of the self and emotion as socially constructed processes (Gergen, 1985). Replete with relational depth (Cooper, 2012</w:t>
      </w:r>
      <w:r>
        <w:rPr>
          <w:sz w:val="24"/>
          <w:szCs w:val="24"/>
        </w:rPr>
        <w:t>; Rogers, 1957</w:t>
      </w:r>
      <w:r w:rsidRPr="0020133C">
        <w:rPr>
          <w:sz w:val="24"/>
          <w:szCs w:val="24"/>
        </w:rPr>
        <w:t xml:space="preserve">), constructivism honours the intersectionality of my two professional homes, teaching </w:t>
      </w:r>
      <w:r w:rsidRPr="0020133C">
        <w:rPr>
          <w:sz w:val="24"/>
          <w:szCs w:val="24"/>
        </w:rPr>
        <w:lastRenderedPageBreak/>
        <w:t xml:space="preserve">and psychotherapy, and the intersectionality of the researcher and participant relationship. </w:t>
      </w:r>
      <w:r w:rsidR="00CC2825">
        <w:rPr>
          <w:sz w:val="24"/>
          <w:szCs w:val="24"/>
        </w:rPr>
        <w:t>This honouring of the relational</w:t>
      </w:r>
      <w:r w:rsidR="00F10A3C">
        <w:rPr>
          <w:sz w:val="24"/>
          <w:szCs w:val="24"/>
        </w:rPr>
        <w:t xml:space="preserve"> within this study requires a</w:t>
      </w:r>
      <w:r w:rsidR="004C0FA1">
        <w:rPr>
          <w:sz w:val="24"/>
          <w:szCs w:val="24"/>
        </w:rPr>
        <w:t xml:space="preserve"> </w:t>
      </w:r>
      <w:r w:rsidR="00F4697F">
        <w:rPr>
          <w:sz w:val="24"/>
          <w:szCs w:val="24"/>
        </w:rPr>
        <w:t xml:space="preserve">further </w:t>
      </w:r>
      <w:r w:rsidR="004C0FA1">
        <w:rPr>
          <w:sz w:val="24"/>
          <w:szCs w:val="24"/>
        </w:rPr>
        <w:t xml:space="preserve">nod to the </w:t>
      </w:r>
      <w:r w:rsidR="0052393B">
        <w:rPr>
          <w:sz w:val="24"/>
          <w:szCs w:val="24"/>
        </w:rPr>
        <w:t>psychosocial</w:t>
      </w:r>
      <w:r w:rsidR="004C0FA1">
        <w:rPr>
          <w:sz w:val="24"/>
          <w:szCs w:val="24"/>
        </w:rPr>
        <w:t xml:space="preserve"> framing of this research project</w:t>
      </w:r>
      <w:r w:rsidR="00DC2844">
        <w:rPr>
          <w:sz w:val="24"/>
          <w:szCs w:val="24"/>
        </w:rPr>
        <w:t>.</w:t>
      </w:r>
      <w:r w:rsidR="00F10A3C">
        <w:rPr>
          <w:sz w:val="24"/>
          <w:szCs w:val="24"/>
        </w:rPr>
        <w:t xml:space="preserve"> </w:t>
      </w:r>
      <w:r w:rsidR="004C0FA1">
        <w:rPr>
          <w:sz w:val="24"/>
          <w:szCs w:val="24"/>
        </w:rPr>
        <w:t>Erikson (1963)</w:t>
      </w:r>
      <w:r w:rsidR="0052393B">
        <w:rPr>
          <w:sz w:val="24"/>
          <w:szCs w:val="24"/>
        </w:rPr>
        <w:t xml:space="preserve"> believed </w:t>
      </w:r>
      <w:r w:rsidR="00E4006F">
        <w:rPr>
          <w:sz w:val="24"/>
          <w:szCs w:val="24"/>
        </w:rPr>
        <w:t>that people are consciously motivated b</w:t>
      </w:r>
      <w:r w:rsidR="00BE4AB8">
        <w:rPr>
          <w:sz w:val="24"/>
          <w:szCs w:val="24"/>
        </w:rPr>
        <w:t>y social belonging and a recognition of their identit</w:t>
      </w:r>
      <w:r w:rsidR="00774B59">
        <w:rPr>
          <w:sz w:val="24"/>
          <w:szCs w:val="24"/>
        </w:rPr>
        <w:t>y</w:t>
      </w:r>
      <w:r w:rsidR="00DC2844">
        <w:rPr>
          <w:sz w:val="24"/>
          <w:szCs w:val="24"/>
        </w:rPr>
        <w:t>,</w:t>
      </w:r>
      <w:r w:rsidR="00CF1204">
        <w:rPr>
          <w:sz w:val="24"/>
          <w:szCs w:val="24"/>
        </w:rPr>
        <w:t xml:space="preserve"> and in </w:t>
      </w:r>
      <w:r w:rsidR="00CD3D2A">
        <w:rPr>
          <w:sz w:val="24"/>
          <w:szCs w:val="24"/>
        </w:rPr>
        <w:t xml:space="preserve">the constructivism </w:t>
      </w:r>
      <w:r w:rsidR="006257CF">
        <w:rPr>
          <w:sz w:val="24"/>
          <w:szCs w:val="24"/>
        </w:rPr>
        <w:t>methodology and philosophy adopted in this study</w:t>
      </w:r>
      <w:r w:rsidR="000B5AC3">
        <w:rPr>
          <w:sz w:val="24"/>
          <w:szCs w:val="24"/>
        </w:rPr>
        <w:t xml:space="preserve"> the psychosocial </w:t>
      </w:r>
      <w:r w:rsidR="000B5A1A">
        <w:rPr>
          <w:sz w:val="24"/>
          <w:szCs w:val="24"/>
        </w:rPr>
        <w:t>frames and names</w:t>
      </w:r>
      <w:r w:rsidR="00F31A14">
        <w:rPr>
          <w:sz w:val="24"/>
          <w:szCs w:val="24"/>
        </w:rPr>
        <w:t xml:space="preserve"> </w:t>
      </w:r>
      <w:r w:rsidR="00B2084C">
        <w:rPr>
          <w:sz w:val="24"/>
          <w:szCs w:val="24"/>
        </w:rPr>
        <w:t>the importance of relational</w:t>
      </w:r>
      <w:r w:rsidR="00453276">
        <w:rPr>
          <w:sz w:val="24"/>
          <w:szCs w:val="24"/>
        </w:rPr>
        <w:t xml:space="preserve">, psychological and </w:t>
      </w:r>
      <w:r w:rsidR="00DC585A">
        <w:rPr>
          <w:sz w:val="24"/>
          <w:szCs w:val="24"/>
        </w:rPr>
        <w:t>social</w:t>
      </w:r>
      <w:r w:rsidR="00B2084C">
        <w:rPr>
          <w:sz w:val="24"/>
          <w:szCs w:val="24"/>
        </w:rPr>
        <w:t xml:space="preserve"> intersectionality</w:t>
      </w:r>
      <w:r w:rsidR="00396D0E">
        <w:rPr>
          <w:sz w:val="24"/>
          <w:szCs w:val="24"/>
        </w:rPr>
        <w:t xml:space="preserve"> </w:t>
      </w:r>
      <w:r w:rsidR="00396D0E" w:rsidRPr="000C7B9D">
        <w:rPr>
          <w:i/>
          <w:iCs/>
          <w:sz w:val="24"/>
          <w:szCs w:val="24"/>
        </w:rPr>
        <w:t>between people</w:t>
      </w:r>
      <w:r w:rsidR="00B2084C" w:rsidRPr="000C7B9D">
        <w:rPr>
          <w:i/>
          <w:iCs/>
          <w:sz w:val="24"/>
          <w:szCs w:val="24"/>
        </w:rPr>
        <w:t>.</w:t>
      </w:r>
      <w:r w:rsidR="004C0FA1">
        <w:rPr>
          <w:sz w:val="24"/>
          <w:szCs w:val="24"/>
        </w:rPr>
        <w:t xml:space="preserve"> </w:t>
      </w:r>
      <w:r w:rsidRPr="0020133C">
        <w:rPr>
          <w:sz w:val="24"/>
          <w:szCs w:val="24"/>
        </w:rPr>
        <w:t xml:space="preserve">In addition, </w:t>
      </w:r>
      <w:r w:rsidR="00084472">
        <w:rPr>
          <w:sz w:val="24"/>
          <w:szCs w:val="24"/>
        </w:rPr>
        <w:t>constructivism</w:t>
      </w:r>
      <w:r>
        <w:rPr>
          <w:sz w:val="24"/>
          <w:szCs w:val="24"/>
        </w:rPr>
        <w:t xml:space="preserve"> </w:t>
      </w:r>
      <w:r w:rsidRPr="0020133C">
        <w:rPr>
          <w:sz w:val="24"/>
          <w:szCs w:val="24"/>
        </w:rPr>
        <w:t xml:space="preserve">adopts a critical stance which involves reflexivity which the more traditional positivist approach lacks (Gergen, 1985). </w:t>
      </w:r>
      <w:r w:rsidRPr="005B2326">
        <w:rPr>
          <w:sz w:val="24"/>
          <w:szCs w:val="24"/>
        </w:rPr>
        <w:t xml:space="preserve">Aware that any research philosophy predetermines an imposed truth to the reading of the thesis and data, </w:t>
      </w:r>
      <w:r>
        <w:rPr>
          <w:sz w:val="24"/>
          <w:szCs w:val="24"/>
        </w:rPr>
        <w:t xml:space="preserve">the </w:t>
      </w:r>
      <w:r w:rsidRPr="005B2326">
        <w:rPr>
          <w:sz w:val="24"/>
          <w:szCs w:val="24"/>
        </w:rPr>
        <w:t xml:space="preserve">“epistemic values” (Risjord, 2014, </w:t>
      </w:r>
      <w:r w:rsidRPr="005B2326">
        <w:rPr>
          <w:sz w:val="24"/>
          <w:szCs w:val="24"/>
          <w:lang w:val="en-US"/>
        </w:rPr>
        <w:t>p.18</w:t>
      </w:r>
      <w:r w:rsidRPr="005B2326">
        <w:rPr>
          <w:sz w:val="24"/>
          <w:szCs w:val="24"/>
        </w:rPr>
        <w:t>) of an objective stance provided by research supervisors helped to ensure that “non-epistemic values” (</w:t>
      </w:r>
      <w:r w:rsidR="00AB1ADC">
        <w:rPr>
          <w:sz w:val="24"/>
          <w:szCs w:val="24"/>
        </w:rPr>
        <w:t>ibid.</w:t>
      </w:r>
      <w:r w:rsidRPr="005B2326">
        <w:rPr>
          <w:sz w:val="24"/>
          <w:szCs w:val="24"/>
        </w:rPr>
        <w:t>) of researcher bias and positionality did not dominate.</w:t>
      </w:r>
    </w:p>
    <w:p w14:paraId="2AB25361" w14:textId="77777777" w:rsidR="000171E2" w:rsidRPr="00DF07AA" w:rsidRDefault="000171E2" w:rsidP="005D0B5A">
      <w:pPr>
        <w:spacing w:line="360" w:lineRule="auto"/>
        <w:rPr>
          <w:sz w:val="24"/>
          <w:szCs w:val="24"/>
        </w:rPr>
      </w:pPr>
      <w:r w:rsidRPr="0020133C">
        <w:rPr>
          <w:sz w:val="24"/>
          <w:szCs w:val="24"/>
        </w:rPr>
        <w:t>Entering a relationship with the research, the scholarship and participants is a journey replete with relational dynamics and will likely involve feeling something. Social constructivism is appropriate to this study as it honours components of relationality such as growth, expansion, movement, thinking, feeling and reflecting. Furthermore, a social constructivism approach in a qualitative research study enables an exploration of the complex layers of meanings, values and attitudes in an educational context</w:t>
      </w:r>
      <w:r w:rsidRPr="009C02B3">
        <w:rPr>
          <w:sz w:val="24"/>
          <w:szCs w:val="24"/>
        </w:rPr>
        <w:t xml:space="preserve"> (Hitchcock and Hughes, 1995)</w:t>
      </w:r>
      <w:r>
        <w:rPr>
          <w:sz w:val="24"/>
          <w:szCs w:val="24"/>
        </w:rPr>
        <w:t>.</w:t>
      </w:r>
    </w:p>
    <w:p w14:paraId="1635850F" w14:textId="77777777" w:rsidR="000171E2" w:rsidRPr="00BC4232" w:rsidRDefault="000171E2" w:rsidP="00391FB8">
      <w:pPr>
        <w:rPr>
          <w:b/>
          <w:bCs/>
          <w:sz w:val="24"/>
          <w:szCs w:val="24"/>
        </w:rPr>
      </w:pPr>
      <w:r>
        <w:rPr>
          <w:b/>
          <w:bCs/>
          <w:sz w:val="24"/>
          <w:szCs w:val="24"/>
        </w:rPr>
        <w:t>Reflection and ethics</w:t>
      </w:r>
    </w:p>
    <w:p w14:paraId="1E3E5B9B" w14:textId="73BEBBD4" w:rsidR="000171E2" w:rsidRPr="00ED00D2" w:rsidRDefault="000171E2" w:rsidP="004954EE">
      <w:pPr>
        <w:spacing w:line="360" w:lineRule="auto"/>
        <w:rPr>
          <w:color w:val="FFC000"/>
          <w:sz w:val="24"/>
          <w:szCs w:val="24"/>
        </w:rPr>
      </w:pPr>
      <w:r w:rsidRPr="00483D9F">
        <w:rPr>
          <w:sz w:val="24"/>
          <w:szCs w:val="24"/>
        </w:rPr>
        <w:t xml:space="preserve">This research </w:t>
      </w:r>
      <w:r>
        <w:rPr>
          <w:sz w:val="24"/>
          <w:szCs w:val="24"/>
        </w:rPr>
        <w:t xml:space="preserve">uses reflections </w:t>
      </w:r>
      <w:r w:rsidRPr="00483D9F">
        <w:rPr>
          <w:sz w:val="24"/>
          <w:szCs w:val="24"/>
        </w:rPr>
        <w:t>to offer qualitative insight</w:t>
      </w:r>
      <w:r>
        <w:rPr>
          <w:sz w:val="24"/>
          <w:szCs w:val="24"/>
        </w:rPr>
        <w:t>s and</w:t>
      </w:r>
      <w:r w:rsidRPr="00483D9F">
        <w:rPr>
          <w:sz w:val="24"/>
          <w:szCs w:val="24"/>
        </w:rPr>
        <w:t xml:space="preserve"> psycho-emotional exploration</w:t>
      </w:r>
      <w:r>
        <w:rPr>
          <w:sz w:val="24"/>
          <w:szCs w:val="24"/>
        </w:rPr>
        <w:t>s</w:t>
      </w:r>
      <w:r w:rsidRPr="00483D9F">
        <w:rPr>
          <w:sz w:val="24"/>
          <w:szCs w:val="24"/>
        </w:rPr>
        <w:t xml:space="preserve"> to examine, and make sense of (Holloway and Freshwater, 2007) teachers’ emotional lived experience</w:t>
      </w:r>
      <w:r w:rsidR="009233B2">
        <w:rPr>
          <w:sz w:val="24"/>
          <w:szCs w:val="24"/>
        </w:rPr>
        <w:t>s</w:t>
      </w:r>
      <w:r w:rsidRPr="00483D9F">
        <w:rPr>
          <w:sz w:val="24"/>
          <w:szCs w:val="24"/>
        </w:rPr>
        <w:t xml:space="preserve"> (Kumar, 2019). </w:t>
      </w:r>
      <w:r>
        <w:rPr>
          <w:sz w:val="24"/>
          <w:szCs w:val="24"/>
        </w:rPr>
        <w:t>A</w:t>
      </w:r>
      <w:r w:rsidRPr="005F6C54">
        <w:rPr>
          <w:sz w:val="24"/>
          <w:szCs w:val="24"/>
        </w:rPr>
        <w:t xml:space="preserve"> reflective approach </w:t>
      </w:r>
      <w:r>
        <w:rPr>
          <w:sz w:val="24"/>
          <w:szCs w:val="24"/>
        </w:rPr>
        <w:t xml:space="preserve">was adopted </w:t>
      </w:r>
      <w:r w:rsidRPr="005F6C54">
        <w:rPr>
          <w:sz w:val="24"/>
          <w:szCs w:val="24"/>
        </w:rPr>
        <w:t xml:space="preserve">with a view to </w:t>
      </w:r>
      <w:r>
        <w:rPr>
          <w:sz w:val="24"/>
          <w:szCs w:val="24"/>
        </w:rPr>
        <w:t>finding</w:t>
      </w:r>
      <w:r w:rsidRPr="005F6C54">
        <w:rPr>
          <w:sz w:val="24"/>
          <w:szCs w:val="24"/>
        </w:rPr>
        <w:t xml:space="preserve"> a new story</w:t>
      </w:r>
      <w:r>
        <w:rPr>
          <w:sz w:val="24"/>
          <w:szCs w:val="24"/>
        </w:rPr>
        <w:t xml:space="preserve"> that is born of exploration and creativity with participants collaboratively, and a story that is “ours”, </w:t>
      </w:r>
      <w:r w:rsidR="008206A2">
        <w:rPr>
          <w:sz w:val="24"/>
          <w:szCs w:val="24"/>
        </w:rPr>
        <w:t>neither</w:t>
      </w:r>
      <w:r>
        <w:rPr>
          <w:sz w:val="24"/>
          <w:szCs w:val="24"/>
        </w:rPr>
        <w:t xml:space="preserve"> “mine” </w:t>
      </w:r>
      <w:r w:rsidR="008206A2">
        <w:rPr>
          <w:sz w:val="24"/>
          <w:szCs w:val="24"/>
        </w:rPr>
        <w:t>n</w:t>
      </w:r>
      <w:r>
        <w:rPr>
          <w:sz w:val="24"/>
          <w:szCs w:val="24"/>
        </w:rPr>
        <w:t>or “theirs” (</w:t>
      </w:r>
      <w:r w:rsidRPr="00AD2150">
        <w:rPr>
          <w:sz w:val="24"/>
          <w:szCs w:val="24"/>
        </w:rPr>
        <w:t>Brűn,</w:t>
      </w:r>
      <w:r>
        <w:rPr>
          <w:sz w:val="24"/>
          <w:szCs w:val="24"/>
        </w:rPr>
        <w:t xml:space="preserve"> 1986). Reflections facilitate a change in thinking, and </w:t>
      </w:r>
      <w:r w:rsidRPr="008A57CD">
        <w:rPr>
          <w:sz w:val="24"/>
          <w:szCs w:val="24"/>
        </w:rPr>
        <w:t>challeng</w:t>
      </w:r>
      <w:r>
        <w:rPr>
          <w:sz w:val="24"/>
          <w:szCs w:val="24"/>
        </w:rPr>
        <w:t xml:space="preserve">e a </w:t>
      </w:r>
      <w:r w:rsidRPr="008A57CD">
        <w:rPr>
          <w:sz w:val="24"/>
          <w:szCs w:val="24"/>
        </w:rPr>
        <w:t>fixed</w:t>
      </w:r>
      <w:r>
        <w:rPr>
          <w:sz w:val="24"/>
          <w:szCs w:val="24"/>
        </w:rPr>
        <w:t>, static</w:t>
      </w:r>
      <w:r w:rsidRPr="008A57CD">
        <w:rPr>
          <w:sz w:val="24"/>
          <w:szCs w:val="24"/>
        </w:rPr>
        <w:t xml:space="preserve"> notion of research</w:t>
      </w:r>
      <w:r>
        <w:rPr>
          <w:sz w:val="24"/>
          <w:szCs w:val="24"/>
        </w:rPr>
        <w:t xml:space="preserve"> and understanding (Gergen and Gergen, in Steier, 1991) and are in alignment with a qualitative approach and the methods of semi-structured interviews with a narrative focus. </w:t>
      </w:r>
    </w:p>
    <w:p w14:paraId="594D03E7" w14:textId="206465EF" w:rsidR="000171E2" w:rsidRPr="00C040EC" w:rsidRDefault="000171E2" w:rsidP="00FA65BA">
      <w:pPr>
        <w:spacing w:line="360" w:lineRule="auto"/>
        <w:rPr>
          <w:sz w:val="24"/>
          <w:szCs w:val="24"/>
        </w:rPr>
      </w:pPr>
      <w:r>
        <w:rPr>
          <w:sz w:val="24"/>
          <w:szCs w:val="24"/>
        </w:rPr>
        <w:t>B</w:t>
      </w:r>
      <w:r w:rsidRPr="001A2E02">
        <w:rPr>
          <w:sz w:val="24"/>
          <w:szCs w:val="24"/>
        </w:rPr>
        <w:t>y making publi</w:t>
      </w:r>
      <w:r>
        <w:rPr>
          <w:sz w:val="24"/>
          <w:szCs w:val="24"/>
        </w:rPr>
        <w:t>c</w:t>
      </w:r>
      <w:r w:rsidRPr="001A2E02">
        <w:rPr>
          <w:sz w:val="24"/>
          <w:szCs w:val="24"/>
        </w:rPr>
        <w:t xml:space="preserve"> reflections I provide</w:t>
      </w:r>
      <w:r>
        <w:rPr>
          <w:sz w:val="24"/>
          <w:szCs w:val="24"/>
        </w:rPr>
        <w:t xml:space="preserve"> </w:t>
      </w:r>
      <w:r w:rsidRPr="001A2E02">
        <w:rPr>
          <w:sz w:val="24"/>
          <w:szCs w:val="24"/>
        </w:rPr>
        <w:t>insights into ethical components of the research work, the nature of the research process and changes that arise during the</w:t>
      </w:r>
      <w:r>
        <w:rPr>
          <w:sz w:val="24"/>
          <w:szCs w:val="24"/>
        </w:rPr>
        <w:t xml:space="preserve"> research </w:t>
      </w:r>
      <w:r w:rsidRPr="001A2E02">
        <w:rPr>
          <w:sz w:val="24"/>
          <w:szCs w:val="24"/>
        </w:rPr>
        <w:t xml:space="preserve">journey. The </w:t>
      </w:r>
      <w:r>
        <w:rPr>
          <w:sz w:val="24"/>
          <w:szCs w:val="24"/>
        </w:rPr>
        <w:lastRenderedPageBreak/>
        <w:t xml:space="preserve">researcher’s </w:t>
      </w:r>
      <w:r w:rsidRPr="001A2E02">
        <w:rPr>
          <w:sz w:val="24"/>
          <w:szCs w:val="24"/>
        </w:rPr>
        <w:t>journey is viewed as an important part of the research (Reinharz, 1992)</w:t>
      </w:r>
      <w:r>
        <w:rPr>
          <w:sz w:val="24"/>
          <w:szCs w:val="24"/>
        </w:rPr>
        <w:t xml:space="preserve"> </w:t>
      </w:r>
      <w:r w:rsidRPr="001A2E02">
        <w:rPr>
          <w:sz w:val="24"/>
          <w:szCs w:val="24"/>
        </w:rPr>
        <w:t xml:space="preserve">because it can establish connections between the </w:t>
      </w:r>
      <w:r>
        <w:rPr>
          <w:sz w:val="24"/>
          <w:szCs w:val="24"/>
        </w:rPr>
        <w:t xml:space="preserve">research </w:t>
      </w:r>
      <w:r w:rsidRPr="001A2E02">
        <w:rPr>
          <w:sz w:val="24"/>
          <w:szCs w:val="24"/>
        </w:rPr>
        <w:t>journey</w:t>
      </w:r>
      <w:r>
        <w:rPr>
          <w:sz w:val="24"/>
          <w:szCs w:val="24"/>
        </w:rPr>
        <w:t xml:space="preserve"> </w:t>
      </w:r>
      <w:r w:rsidRPr="001A2E02">
        <w:rPr>
          <w:sz w:val="24"/>
          <w:szCs w:val="24"/>
        </w:rPr>
        <w:t>and its purpose</w:t>
      </w:r>
      <w:r>
        <w:rPr>
          <w:sz w:val="24"/>
          <w:szCs w:val="24"/>
        </w:rPr>
        <w:t xml:space="preserve">, </w:t>
      </w:r>
      <w:r w:rsidRPr="001A2E02">
        <w:rPr>
          <w:sz w:val="24"/>
          <w:szCs w:val="24"/>
        </w:rPr>
        <w:t>the participant’s stories</w:t>
      </w:r>
      <w:r>
        <w:rPr>
          <w:sz w:val="24"/>
          <w:szCs w:val="24"/>
        </w:rPr>
        <w:t xml:space="preserve"> and those of the researcher</w:t>
      </w:r>
      <w:r w:rsidRPr="001A2E02">
        <w:rPr>
          <w:sz w:val="24"/>
          <w:szCs w:val="24"/>
        </w:rPr>
        <w:t xml:space="preserve">. </w:t>
      </w:r>
      <w:r>
        <w:rPr>
          <w:sz w:val="24"/>
          <w:szCs w:val="24"/>
        </w:rPr>
        <w:t>Furthermore, r</w:t>
      </w:r>
      <w:r w:rsidRPr="001A2E02">
        <w:rPr>
          <w:sz w:val="24"/>
          <w:szCs w:val="24"/>
        </w:rPr>
        <w:t>eflexivity</w:t>
      </w:r>
      <w:r>
        <w:rPr>
          <w:sz w:val="24"/>
          <w:szCs w:val="24"/>
        </w:rPr>
        <w:t xml:space="preserve"> </w:t>
      </w:r>
      <w:r w:rsidRPr="001A2E02">
        <w:rPr>
          <w:sz w:val="24"/>
          <w:szCs w:val="24"/>
        </w:rPr>
        <w:t>enhances the integrity of th</w:t>
      </w:r>
      <w:r>
        <w:rPr>
          <w:sz w:val="24"/>
          <w:szCs w:val="24"/>
        </w:rPr>
        <w:t>is</w:t>
      </w:r>
      <w:r w:rsidRPr="001A2E02">
        <w:rPr>
          <w:sz w:val="24"/>
          <w:szCs w:val="24"/>
        </w:rPr>
        <w:t xml:space="preserve"> research as it will enable consideration of power</w:t>
      </w:r>
      <w:r>
        <w:rPr>
          <w:sz w:val="24"/>
          <w:szCs w:val="24"/>
        </w:rPr>
        <w:t xml:space="preserve"> and ethics within the journey and emerging story</w:t>
      </w:r>
      <w:r w:rsidRPr="001A2E02">
        <w:rPr>
          <w:sz w:val="24"/>
          <w:szCs w:val="24"/>
        </w:rPr>
        <w:t xml:space="preserve">. </w:t>
      </w:r>
      <w:r w:rsidR="00296337">
        <w:rPr>
          <w:sz w:val="24"/>
          <w:szCs w:val="24"/>
        </w:rPr>
        <w:t>If t</w:t>
      </w:r>
      <w:r w:rsidRPr="001A2E02">
        <w:rPr>
          <w:sz w:val="24"/>
          <w:szCs w:val="24"/>
        </w:rPr>
        <w:t>eaching is replete with obstacles and struggles of scholarly, political, psychosocial and relational nature</w:t>
      </w:r>
      <w:r>
        <w:rPr>
          <w:sz w:val="24"/>
          <w:szCs w:val="24"/>
        </w:rPr>
        <w:t>s (Brookfield, 1995</w:t>
      </w:r>
      <w:r w:rsidR="00296337">
        <w:rPr>
          <w:sz w:val="24"/>
          <w:szCs w:val="24"/>
        </w:rPr>
        <w:t>),</w:t>
      </w:r>
      <w:r w:rsidR="002E160A">
        <w:rPr>
          <w:sz w:val="24"/>
          <w:szCs w:val="24"/>
        </w:rPr>
        <w:t xml:space="preserve"> </w:t>
      </w:r>
      <w:r w:rsidR="00691886">
        <w:rPr>
          <w:sz w:val="24"/>
          <w:szCs w:val="24"/>
        </w:rPr>
        <w:t>r</w:t>
      </w:r>
      <w:r w:rsidRPr="001A2E02">
        <w:rPr>
          <w:sz w:val="24"/>
          <w:szCs w:val="24"/>
        </w:rPr>
        <w:t>esearch of teaching mirrors the same struggles. Sikes (</w:t>
      </w:r>
      <w:r>
        <w:rPr>
          <w:sz w:val="24"/>
          <w:szCs w:val="24"/>
        </w:rPr>
        <w:t xml:space="preserve">in Opie, </w:t>
      </w:r>
      <w:r w:rsidRPr="001A2E02">
        <w:rPr>
          <w:sz w:val="24"/>
          <w:szCs w:val="24"/>
        </w:rPr>
        <w:t>200</w:t>
      </w:r>
      <w:r>
        <w:rPr>
          <w:sz w:val="24"/>
          <w:szCs w:val="24"/>
        </w:rPr>
        <w:t>4</w:t>
      </w:r>
      <w:r w:rsidRPr="001A2E02">
        <w:rPr>
          <w:sz w:val="24"/>
          <w:szCs w:val="24"/>
        </w:rPr>
        <w:t>) affirms that: “</w:t>
      </w:r>
      <w:r w:rsidR="00691886">
        <w:rPr>
          <w:sz w:val="24"/>
          <w:szCs w:val="24"/>
        </w:rPr>
        <w:t>R</w:t>
      </w:r>
      <w:r w:rsidRPr="001A2E02">
        <w:rPr>
          <w:sz w:val="24"/>
          <w:szCs w:val="24"/>
        </w:rPr>
        <w:t xml:space="preserve">esearch is neither neutral nor innocent practice” (p. 105) highlighting that </w:t>
      </w:r>
      <w:r w:rsidR="00296337">
        <w:rPr>
          <w:sz w:val="24"/>
          <w:szCs w:val="24"/>
        </w:rPr>
        <w:t>research</w:t>
      </w:r>
      <w:r>
        <w:rPr>
          <w:sz w:val="24"/>
          <w:szCs w:val="24"/>
        </w:rPr>
        <w:t xml:space="preserve"> </w:t>
      </w:r>
      <w:r w:rsidRPr="001A2E02">
        <w:rPr>
          <w:sz w:val="24"/>
          <w:szCs w:val="24"/>
        </w:rPr>
        <w:t>has implications for</w:t>
      </w:r>
      <w:r>
        <w:rPr>
          <w:sz w:val="24"/>
          <w:szCs w:val="24"/>
        </w:rPr>
        <w:t xml:space="preserve"> the </w:t>
      </w:r>
      <w:r w:rsidRPr="001A2E02">
        <w:rPr>
          <w:sz w:val="24"/>
          <w:szCs w:val="24"/>
        </w:rPr>
        <w:t>values and ethics</w:t>
      </w:r>
      <w:r>
        <w:rPr>
          <w:sz w:val="24"/>
          <w:szCs w:val="24"/>
        </w:rPr>
        <w:t xml:space="preserve"> of </w:t>
      </w:r>
      <w:r w:rsidRPr="0096256B">
        <w:rPr>
          <w:i/>
          <w:iCs/>
          <w:sz w:val="24"/>
          <w:szCs w:val="24"/>
        </w:rPr>
        <w:t>all</w:t>
      </w:r>
      <w:r>
        <w:rPr>
          <w:sz w:val="24"/>
          <w:szCs w:val="24"/>
        </w:rPr>
        <w:t xml:space="preserve"> stakeholders. Sikes (2004; 2006) </w:t>
      </w:r>
      <w:r w:rsidRPr="001A2E02">
        <w:rPr>
          <w:sz w:val="24"/>
          <w:szCs w:val="24"/>
        </w:rPr>
        <w:t xml:space="preserve">recommends the researcher reflect upon the same. </w:t>
      </w:r>
      <w:r>
        <w:rPr>
          <w:sz w:val="24"/>
          <w:szCs w:val="24"/>
        </w:rPr>
        <w:t xml:space="preserve">I believe reflections </w:t>
      </w:r>
      <w:r w:rsidRPr="001A2E02">
        <w:rPr>
          <w:sz w:val="24"/>
          <w:szCs w:val="24"/>
        </w:rPr>
        <w:t>ethically hold the researcher, the participants, and the stories</w:t>
      </w:r>
      <w:r>
        <w:rPr>
          <w:sz w:val="24"/>
          <w:szCs w:val="24"/>
        </w:rPr>
        <w:t xml:space="preserve"> yet to be told. Furthermore, reflections are in alignment with the cultural, relational and </w:t>
      </w:r>
      <w:r w:rsidR="00CC5C26">
        <w:rPr>
          <w:sz w:val="24"/>
          <w:szCs w:val="24"/>
        </w:rPr>
        <w:t>creative</w:t>
      </w:r>
      <w:r>
        <w:rPr>
          <w:sz w:val="24"/>
          <w:szCs w:val="24"/>
        </w:rPr>
        <w:t xml:space="preserve"> approach</w:t>
      </w:r>
      <w:r w:rsidR="00CC5C26">
        <w:rPr>
          <w:sz w:val="24"/>
          <w:szCs w:val="24"/>
        </w:rPr>
        <w:t>es</w:t>
      </w:r>
      <w:r>
        <w:rPr>
          <w:sz w:val="24"/>
          <w:szCs w:val="24"/>
        </w:rPr>
        <w:t xml:space="preserve"> adopted in this study. </w:t>
      </w:r>
    </w:p>
    <w:p w14:paraId="7A9B9067" w14:textId="19A8DEF6" w:rsidR="000171E2" w:rsidRPr="00200886" w:rsidRDefault="000171E2" w:rsidP="00200886">
      <w:pPr>
        <w:spacing w:line="360" w:lineRule="auto"/>
        <w:rPr>
          <w:sz w:val="24"/>
          <w:szCs w:val="24"/>
        </w:rPr>
      </w:pPr>
      <w:r>
        <w:rPr>
          <w:sz w:val="24"/>
          <w:szCs w:val="24"/>
        </w:rPr>
        <w:t xml:space="preserve">Having knowledge and experience as an educator and psychotherapist means </w:t>
      </w:r>
      <w:r w:rsidRPr="00095A76">
        <w:rPr>
          <w:sz w:val="24"/>
          <w:szCs w:val="24"/>
        </w:rPr>
        <w:t xml:space="preserve">I occupy a strange position as </w:t>
      </w:r>
      <w:r>
        <w:rPr>
          <w:sz w:val="24"/>
          <w:szCs w:val="24"/>
        </w:rPr>
        <w:t xml:space="preserve">an insider </w:t>
      </w:r>
      <w:r w:rsidRPr="000C144C">
        <w:rPr>
          <w:i/>
          <w:iCs/>
          <w:sz w:val="24"/>
          <w:szCs w:val="24"/>
        </w:rPr>
        <w:t xml:space="preserve">and </w:t>
      </w:r>
      <w:r>
        <w:rPr>
          <w:sz w:val="24"/>
          <w:szCs w:val="24"/>
        </w:rPr>
        <w:t>an outsider</w:t>
      </w:r>
      <w:r w:rsidRPr="00095A76">
        <w:rPr>
          <w:sz w:val="24"/>
          <w:szCs w:val="24"/>
        </w:rPr>
        <w:t xml:space="preserve">.  Outsider research originates from anthropology whereby researchers </w:t>
      </w:r>
      <w:r>
        <w:rPr>
          <w:sz w:val="24"/>
          <w:szCs w:val="24"/>
        </w:rPr>
        <w:t xml:space="preserve">with </w:t>
      </w:r>
      <w:r w:rsidRPr="00095A76">
        <w:rPr>
          <w:sz w:val="24"/>
          <w:szCs w:val="24"/>
        </w:rPr>
        <w:t xml:space="preserve">no prior knowledge conduct their research </w:t>
      </w:r>
      <w:r w:rsidRPr="00095A76">
        <w:rPr>
          <w:i/>
          <w:iCs/>
          <w:sz w:val="24"/>
          <w:szCs w:val="24"/>
        </w:rPr>
        <w:t>in situ</w:t>
      </w:r>
      <w:r w:rsidRPr="00095A76">
        <w:rPr>
          <w:sz w:val="24"/>
          <w:szCs w:val="24"/>
        </w:rPr>
        <w:t xml:space="preserve"> in field communities (Mercer, 200</w:t>
      </w:r>
      <w:r>
        <w:rPr>
          <w:sz w:val="24"/>
          <w:szCs w:val="24"/>
        </w:rPr>
        <w:t>6;</w:t>
      </w:r>
      <w:r w:rsidRPr="00EA00D6">
        <w:rPr>
          <w:sz w:val="24"/>
          <w:szCs w:val="24"/>
        </w:rPr>
        <w:t xml:space="preserve"> Sikes and Potts, 2008</w:t>
      </w:r>
      <w:r w:rsidRPr="00095A76">
        <w:rPr>
          <w:sz w:val="24"/>
          <w:szCs w:val="24"/>
        </w:rPr>
        <w:t xml:space="preserve">). A neutral outsider is seemingly better positioned to achieve the appropriate amount of interaction with the collected material (Simmel, 1950). By contrast </w:t>
      </w:r>
      <w:r>
        <w:rPr>
          <w:sz w:val="24"/>
          <w:szCs w:val="24"/>
        </w:rPr>
        <w:t xml:space="preserve">the </w:t>
      </w:r>
      <w:r w:rsidRPr="00095A76">
        <w:rPr>
          <w:sz w:val="24"/>
          <w:szCs w:val="24"/>
        </w:rPr>
        <w:t>insider research</w:t>
      </w:r>
      <w:r>
        <w:rPr>
          <w:sz w:val="24"/>
          <w:szCs w:val="24"/>
        </w:rPr>
        <w:t>er</w:t>
      </w:r>
      <w:r w:rsidRPr="00095A76">
        <w:rPr>
          <w:sz w:val="24"/>
          <w:szCs w:val="24"/>
        </w:rPr>
        <w:t xml:space="preserve"> </w:t>
      </w:r>
      <w:r>
        <w:rPr>
          <w:sz w:val="24"/>
          <w:szCs w:val="24"/>
        </w:rPr>
        <w:t xml:space="preserve">has </w:t>
      </w:r>
      <w:r w:rsidRPr="00095A76">
        <w:rPr>
          <w:sz w:val="24"/>
          <w:szCs w:val="24"/>
        </w:rPr>
        <w:t>some understanding of the topic</w:t>
      </w:r>
      <w:r>
        <w:rPr>
          <w:sz w:val="24"/>
          <w:szCs w:val="24"/>
        </w:rPr>
        <w:t xml:space="preserve"> and background, </w:t>
      </w:r>
      <w:r w:rsidRPr="00095A76">
        <w:rPr>
          <w:sz w:val="24"/>
          <w:szCs w:val="24"/>
        </w:rPr>
        <w:t xml:space="preserve">can make suggestions from an informed perspective (Costley, </w:t>
      </w:r>
      <w:r w:rsidR="00FB3A6E" w:rsidRPr="00FB3A6E">
        <w:rPr>
          <w:i/>
          <w:sz w:val="24"/>
          <w:szCs w:val="24"/>
        </w:rPr>
        <w:t>et al.</w:t>
      </w:r>
      <w:r w:rsidRPr="00095A76">
        <w:rPr>
          <w:sz w:val="24"/>
          <w:szCs w:val="24"/>
        </w:rPr>
        <w:t>, 2010)</w:t>
      </w:r>
      <w:r>
        <w:rPr>
          <w:sz w:val="24"/>
          <w:szCs w:val="24"/>
        </w:rPr>
        <w:t xml:space="preserve"> and </w:t>
      </w:r>
      <w:r w:rsidRPr="00095A76">
        <w:rPr>
          <w:sz w:val="24"/>
          <w:szCs w:val="24"/>
        </w:rPr>
        <w:t xml:space="preserve">relate to the groups </w:t>
      </w:r>
      <w:r>
        <w:rPr>
          <w:sz w:val="24"/>
          <w:szCs w:val="24"/>
        </w:rPr>
        <w:t xml:space="preserve">and topics </w:t>
      </w:r>
      <w:r w:rsidRPr="00095A76">
        <w:rPr>
          <w:sz w:val="24"/>
          <w:szCs w:val="24"/>
        </w:rPr>
        <w:t>they research</w:t>
      </w:r>
      <w:r>
        <w:rPr>
          <w:sz w:val="24"/>
          <w:szCs w:val="24"/>
        </w:rPr>
        <w:t>.</w:t>
      </w:r>
      <w:r w:rsidRPr="00095A76">
        <w:rPr>
          <w:sz w:val="24"/>
          <w:szCs w:val="24"/>
        </w:rPr>
        <w:t xml:space="preserve"> </w:t>
      </w:r>
      <w:r>
        <w:rPr>
          <w:sz w:val="24"/>
          <w:szCs w:val="24"/>
        </w:rPr>
        <w:t xml:space="preserve">This knowledge and understanding facilitates </w:t>
      </w:r>
      <w:r w:rsidRPr="001D08E1">
        <w:rPr>
          <w:sz w:val="24"/>
          <w:szCs w:val="24"/>
        </w:rPr>
        <w:t xml:space="preserve">researcher humility (Ou, </w:t>
      </w:r>
      <w:r w:rsidR="00FB3A6E" w:rsidRPr="00FB3A6E">
        <w:rPr>
          <w:i/>
          <w:sz w:val="24"/>
          <w:szCs w:val="24"/>
        </w:rPr>
        <w:t>et al.</w:t>
      </w:r>
      <w:r w:rsidRPr="001D08E1">
        <w:rPr>
          <w:sz w:val="24"/>
          <w:szCs w:val="24"/>
        </w:rPr>
        <w:t>, 2014)</w:t>
      </w:r>
      <w:r>
        <w:rPr>
          <w:sz w:val="24"/>
          <w:szCs w:val="24"/>
        </w:rPr>
        <w:t xml:space="preserve"> and </w:t>
      </w:r>
      <w:r w:rsidRPr="00095A76">
        <w:rPr>
          <w:sz w:val="24"/>
          <w:szCs w:val="24"/>
        </w:rPr>
        <w:t xml:space="preserve">a more empathic analysis of information </w:t>
      </w:r>
      <w:r>
        <w:rPr>
          <w:sz w:val="24"/>
          <w:szCs w:val="24"/>
        </w:rPr>
        <w:t xml:space="preserve">only possible if </w:t>
      </w:r>
      <w:r w:rsidRPr="00095A76">
        <w:rPr>
          <w:sz w:val="24"/>
          <w:szCs w:val="24"/>
        </w:rPr>
        <w:t>there is background information (</w:t>
      </w:r>
      <w:r>
        <w:rPr>
          <w:sz w:val="24"/>
          <w:szCs w:val="24"/>
        </w:rPr>
        <w:t xml:space="preserve">Conant, 1968; </w:t>
      </w:r>
      <w:r w:rsidRPr="00095A76">
        <w:rPr>
          <w:sz w:val="24"/>
          <w:szCs w:val="24"/>
        </w:rPr>
        <w:t xml:space="preserve">Merton, 1972). </w:t>
      </w:r>
      <w:r w:rsidRPr="00200886">
        <w:rPr>
          <w:sz w:val="24"/>
          <w:szCs w:val="24"/>
        </w:rPr>
        <w:t xml:space="preserve">Insider research will be undertaken as I do have some prior knowledge </w:t>
      </w:r>
      <w:r>
        <w:rPr>
          <w:sz w:val="24"/>
          <w:szCs w:val="24"/>
        </w:rPr>
        <w:t xml:space="preserve">as a HE teacher </w:t>
      </w:r>
      <w:r w:rsidRPr="00200886">
        <w:rPr>
          <w:sz w:val="24"/>
          <w:szCs w:val="24"/>
        </w:rPr>
        <w:t xml:space="preserve">of the potential emotional positionality of teachers, </w:t>
      </w:r>
      <w:r>
        <w:rPr>
          <w:sz w:val="24"/>
          <w:szCs w:val="24"/>
        </w:rPr>
        <w:t xml:space="preserve">and I </w:t>
      </w:r>
      <w:r w:rsidRPr="00200886">
        <w:rPr>
          <w:sz w:val="24"/>
          <w:szCs w:val="24"/>
        </w:rPr>
        <w:t>can demonstrate empathy and care</w:t>
      </w:r>
      <w:r>
        <w:rPr>
          <w:sz w:val="24"/>
          <w:szCs w:val="24"/>
        </w:rPr>
        <w:t xml:space="preserve"> </w:t>
      </w:r>
      <w:r w:rsidRPr="00200886">
        <w:rPr>
          <w:sz w:val="24"/>
          <w:szCs w:val="24"/>
        </w:rPr>
        <w:t>draw</w:t>
      </w:r>
      <w:r w:rsidR="00A914FD">
        <w:rPr>
          <w:sz w:val="24"/>
          <w:szCs w:val="24"/>
        </w:rPr>
        <w:t>n</w:t>
      </w:r>
      <w:r w:rsidRPr="00200886">
        <w:rPr>
          <w:sz w:val="24"/>
          <w:szCs w:val="24"/>
        </w:rPr>
        <w:t xml:space="preserve"> </w:t>
      </w:r>
      <w:r>
        <w:rPr>
          <w:sz w:val="24"/>
          <w:szCs w:val="24"/>
        </w:rPr>
        <w:t xml:space="preserve">from a </w:t>
      </w:r>
      <w:r w:rsidRPr="00200886">
        <w:rPr>
          <w:sz w:val="24"/>
          <w:szCs w:val="24"/>
        </w:rPr>
        <w:t>knowledge base of ethical practice</w:t>
      </w:r>
      <w:r>
        <w:rPr>
          <w:sz w:val="24"/>
          <w:szCs w:val="24"/>
        </w:rPr>
        <w:t xml:space="preserve"> as a psychotherapist</w:t>
      </w:r>
      <w:r w:rsidRPr="00200886">
        <w:rPr>
          <w:sz w:val="24"/>
          <w:szCs w:val="24"/>
        </w:rPr>
        <w:t xml:space="preserve">. </w:t>
      </w:r>
      <w:r>
        <w:rPr>
          <w:sz w:val="24"/>
          <w:szCs w:val="24"/>
        </w:rPr>
        <w:t>There are, however, some drawbacks I can personally identify.</w:t>
      </w:r>
    </w:p>
    <w:p w14:paraId="3CFFB74E" w14:textId="641E9B26" w:rsidR="000171E2" w:rsidRPr="00575B45" w:rsidRDefault="000171E2" w:rsidP="00944635">
      <w:pPr>
        <w:spacing w:line="360" w:lineRule="auto"/>
        <w:rPr>
          <w:sz w:val="24"/>
          <w:szCs w:val="24"/>
        </w:rPr>
      </w:pPr>
      <w:r w:rsidRPr="00B068BB">
        <w:rPr>
          <w:sz w:val="24"/>
          <w:szCs w:val="24"/>
        </w:rPr>
        <w:t>There is a danger that ethical guidelines of my profession and</w:t>
      </w:r>
      <w:r w:rsidRPr="00B068BB">
        <w:rPr>
          <w:bCs/>
          <w:sz w:val="24"/>
          <w:szCs w:val="24"/>
        </w:rPr>
        <w:t xml:space="preserve"> research policies (GRIP, 2022) might directly contravene each other. For example, in alignment with protocols to emotionally safeguard practitioners </w:t>
      </w:r>
      <w:r w:rsidRPr="00B068BB">
        <w:rPr>
          <w:bCs/>
          <w:i/>
          <w:iCs/>
          <w:sz w:val="24"/>
          <w:szCs w:val="24"/>
        </w:rPr>
        <w:t>and</w:t>
      </w:r>
      <w:r w:rsidRPr="00B068BB">
        <w:rPr>
          <w:bCs/>
          <w:sz w:val="24"/>
          <w:szCs w:val="24"/>
        </w:rPr>
        <w:t xml:space="preserve"> their clients (UKCP, 2019)</w:t>
      </w:r>
      <w:r w:rsidR="00FD0EA2">
        <w:rPr>
          <w:bCs/>
          <w:sz w:val="24"/>
          <w:szCs w:val="24"/>
        </w:rPr>
        <w:t>,</w:t>
      </w:r>
      <w:r w:rsidRPr="00B068BB">
        <w:rPr>
          <w:bCs/>
          <w:sz w:val="24"/>
          <w:szCs w:val="24"/>
        </w:rPr>
        <w:t xml:space="preserve"> the mechanism of supervision in the psychotherapy profession is a professional imperative (Eraut, 1994). In my view support and emotional safeguarding for the researcher is not sufficiently robust </w:t>
      </w:r>
      <w:r>
        <w:rPr>
          <w:bCs/>
          <w:sz w:val="24"/>
          <w:szCs w:val="24"/>
        </w:rPr>
        <w:t xml:space="preserve">in </w:t>
      </w:r>
      <w:r>
        <w:rPr>
          <w:bCs/>
          <w:sz w:val="24"/>
          <w:szCs w:val="24"/>
        </w:rPr>
        <w:lastRenderedPageBreak/>
        <w:t xml:space="preserve">research policies </w:t>
      </w:r>
      <w:r w:rsidRPr="00B068BB">
        <w:rPr>
          <w:bCs/>
          <w:sz w:val="24"/>
          <w:szCs w:val="24"/>
        </w:rPr>
        <w:t xml:space="preserve">and there is a </w:t>
      </w:r>
      <w:r>
        <w:rPr>
          <w:bCs/>
          <w:sz w:val="24"/>
          <w:szCs w:val="24"/>
        </w:rPr>
        <w:t>possibility</w:t>
      </w:r>
      <w:r w:rsidRPr="00B068BB">
        <w:rPr>
          <w:bCs/>
          <w:sz w:val="24"/>
          <w:szCs w:val="24"/>
        </w:rPr>
        <w:t xml:space="preserve"> of deferring to UKCP (2019) protocols as a default. </w:t>
      </w:r>
      <w:r w:rsidRPr="00B068BB">
        <w:rPr>
          <w:sz w:val="24"/>
          <w:szCs w:val="24"/>
        </w:rPr>
        <w:t xml:space="preserve">Support from my supervisors was needed to ensure that the theory, boundaries and ethics of the research methodology </w:t>
      </w:r>
      <w:r>
        <w:rPr>
          <w:sz w:val="24"/>
          <w:szCs w:val="24"/>
        </w:rPr>
        <w:t xml:space="preserve">aligned to </w:t>
      </w:r>
      <w:r w:rsidRPr="00B068BB">
        <w:rPr>
          <w:sz w:val="24"/>
          <w:szCs w:val="24"/>
        </w:rPr>
        <w:t xml:space="preserve">the primacy of the GRIP (2022) policies for research.  </w:t>
      </w:r>
      <w:r w:rsidRPr="00B944DE">
        <w:rPr>
          <w:sz w:val="24"/>
          <w:szCs w:val="24"/>
        </w:rPr>
        <w:t>Gabriel and Casemore (2009) believe that researcher autonomy is a social construct best respected through mutual understanding</w:t>
      </w:r>
      <w:r w:rsidR="00D22826">
        <w:rPr>
          <w:sz w:val="24"/>
          <w:szCs w:val="24"/>
        </w:rPr>
        <w:t xml:space="preserve"> </w:t>
      </w:r>
      <w:r w:rsidRPr="00B944DE">
        <w:rPr>
          <w:sz w:val="24"/>
          <w:szCs w:val="24"/>
        </w:rPr>
        <w:t xml:space="preserve">and dialogue (Fischer, 2006). </w:t>
      </w:r>
      <w:r w:rsidRPr="00575B45">
        <w:rPr>
          <w:sz w:val="24"/>
          <w:szCs w:val="24"/>
        </w:rPr>
        <w:t>By engaging in dialogical support to develop my research skills, I am practising fidelity to the research process</w:t>
      </w:r>
      <w:r>
        <w:rPr>
          <w:sz w:val="24"/>
          <w:szCs w:val="24"/>
        </w:rPr>
        <w:t>, ethically</w:t>
      </w:r>
      <w:r w:rsidRPr="00575B45">
        <w:rPr>
          <w:sz w:val="24"/>
          <w:szCs w:val="24"/>
        </w:rPr>
        <w:t>. Furthermore, by being in a reflexive, relational and social process of dialogue I am therein mirroring the very nature of qualitative research as preparation “to enter the social world of participants” (Valentine, 2008, p.3).</w:t>
      </w:r>
    </w:p>
    <w:p w14:paraId="3927F6CA" w14:textId="77777777" w:rsidR="000171E2" w:rsidRPr="00FB7936" w:rsidRDefault="000171E2" w:rsidP="00A8162B">
      <w:pPr>
        <w:rPr>
          <w:b/>
          <w:bCs/>
          <w:sz w:val="24"/>
          <w:szCs w:val="24"/>
        </w:rPr>
      </w:pPr>
      <w:r w:rsidRPr="00FB7936">
        <w:rPr>
          <w:b/>
          <w:bCs/>
          <w:sz w:val="24"/>
          <w:szCs w:val="24"/>
        </w:rPr>
        <w:t>Research design</w:t>
      </w:r>
    </w:p>
    <w:p w14:paraId="4D3379D9" w14:textId="3B3DD809" w:rsidR="000171E2" w:rsidRPr="00F55BF6" w:rsidRDefault="000171E2" w:rsidP="0038147B">
      <w:pPr>
        <w:spacing w:line="360" w:lineRule="auto"/>
        <w:rPr>
          <w:sz w:val="24"/>
          <w:szCs w:val="24"/>
        </w:rPr>
      </w:pPr>
      <w:r w:rsidRPr="00FC5545">
        <w:rPr>
          <w:sz w:val="24"/>
          <w:szCs w:val="24"/>
        </w:rPr>
        <w:t xml:space="preserve">As a neophyte researcher my research skills and knowledge were lacking, and </w:t>
      </w:r>
      <w:r>
        <w:rPr>
          <w:sz w:val="24"/>
          <w:szCs w:val="24"/>
        </w:rPr>
        <w:t>d</w:t>
      </w:r>
      <w:r w:rsidRPr="00FC5545">
        <w:rPr>
          <w:sz w:val="24"/>
          <w:szCs w:val="24"/>
        </w:rPr>
        <w:t xml:space="preserve">ialogue with my research supervisors resulted in the choice of a qualitative design due to its in-depth and interactive nature. </w:t>
      </w:r>
      <w:r w:rsidRPr="00302398">
        <w:rPr>
          <w:sz w:val="24"/>
          <w:szCs w:val="24"/>
        </w:rPr>
        <w:t>Conducting research is a transition from the known, to the unknown and then to a new known</w:t>
      </w:r>
      <w:r w:rsidR="00FD304D">
        <w:rPr>
          <w:sz w:val="24"/>
          <w:szCs w:val="24"/>
        </w:rPr>
        <w:t>. It</w:t>
      </w:r>
      <w:r>
        <w:rPr>
          <w:sz w:val="24"/>
          <w:szCs w:val="24"/>
        </w:rPr>
        <w:t xml:space="preserve"> </w:t>
      </w:r>
      <w:r w:rsidRPr="00302398">
        <w:rPr>
          <w:sz w:val="24"/>
          <w:szCs w:val="24"/>
        </w:rPr>
        <w:t xml:space="preserve">is a messy process that requires holding </w:t>
      </w:r>
      <w:r w:rsidR="004603B4">
        <w:rPr>
          <w:sz w:val="24"/>
          <w:szCs w:val="24"/>
        </w:rPr>
        <w:t xml:space="preserve">(Winnicott, 1965) </w:t>
      </w:r>
      <w:r w:rsidRPr="00302398">
        <w:rPr>
          <w:sz w:val="24"/>
          <w:szCs w:val="24"/>
        </w:rPr>
        <w:t>by an appropriate</w:t>
      </w:r>
      <w:r>
        <w:rPr>
          <w:sz w:val="24"/>
          <w:szCs w:val="24"/>
        </w:rPr>
        <w:t xml:space="preserve"> design </w:t>
      </w:r>
      <w:r w:rsidRPr="00302398">
        <w:rPr>
          <w:sz w:val="24"/>
          <w:szCs w:val="24"/>
        </w:rPr>
        <w:t xml:space="preserve">with the right tone (Zuckerkandl, 1973). </w:t>
      </w:r>
      <w:r>
        <w:rPr>
          <w:sz w:val="24"/>
          <w:szCs w:val="24"/>
        </w:rPr>
        <w:t xml:space="preserve">I understand the </w:t>
      </w:r>
      <w:r w:rsidRPr="00302398">
        <w:rPr>
          <w:sz w:val="24"/>
          <w:szCs w:val="24"/>
        </w:rPr>
        <w:t xml:space="preserve">tone </w:t>
      </w:r>
      <w:r>
        <w:rPr>
          <w:sz w:val="24"/>
          <w:szCs w:val="24"/>
        </w:rPr>
        <w:t xml:space="preserve">to </w:t>
      </w:r>
      <w:r w:rsidRPr="00302398">
        <w:rPr>
          <w:sz w:val="24"/>
          <w:szCs w:val="24"/>
        </w:rPr>
        <w:t>mean conditions that facilitate the hearing of the participants’ voices, and their stories</w:t>
      </w:r>
      <w:r>
        <w:rPr>
          <w:sz w:val="24"/>
          <w:szCs w:val="24"/>
        </w:rPr>
        <w:t xml:space="preserve"> honourably and ethically</w:t>
      </w:r>
      <w:r w:rsidR="00813A21">
        <w:rPr>
          <w:sz w:val="24"/>
          <w:szCs w:val="24"/>
        </w:rPr>
        <w:t>.</w:t>
      </w:r>
      <w:r>
        <w:rPr>
          <w:sz w:val="24"/>
          <w:szCs w:val="24"/>
        </w:rPr>
        <w:t xml:space="preserve"> </w:t>
      </w:r>
      <w:r w:rsidR="00813A21">
        <w:rPr>
          <w:sz w:val="24"/>
          <w:szCs w:val="24"/>
        </w:rPr>
        <w:t>C</w:t>
      </w:r>
      <w:r>
        <w:rPr>
          <w:sz w:val="24"/>
          <w:szCs w:val="24"/>
        </w:rPr>
        <w:t>onditions are held by the frame (Milner, 1952) which</w:t>
      </w:r>
      <w:r w:rsidR="00813A21">
        <w:rPr>
          <w:sz w:val="24"/>
          <w:szCs w:val="24"/>
        </w:rPr>
        <w:t>,</w:t>
      </w:r>
      <w:r>
        <w:rPr>
          <w:sz w:val="24"/>
          <w:szCs w:val="24"/>
        </w:rPr>
        <w:t xml:space="preserve"> in the case of this research is a qualitative paradigm. </w:t>
      </w:r>
    </w:p>
    <w:p w14:paraId="4AD66B33" w14:textId="35DB255F" w:rsidR="000171E2" w:rsidRDefault="000171E2" w:rsidP="002B6EDB">
      <w:pPr>
        <w:spacing w:line="360" w:lineRule="auto"/>
        <w:rPr>
          <w:sz w:val="24"/>
          <w:szCs w:val="24"/>
        </w:rPr>
      </w:pPr>
      <w:r w:rsidRPr="000A2432">
        <w:rPr>
          <w:sz w:val="24"/>
          <w:szCs w:val="24"/>
        </w:rPr>
        <w:t xml:space="preserve">Quantitative and qualitative methods are frequently </w:t>
      </w:r>
      <w:r>
        <w:rPr>
          <w:sz w:val="24"/>
          <w:szCs w:val="24"/>
        </w:rPr>
        <w:t xml:space="preserve">used </w:t>
      </w:r>
      <w:r w:rsidRPr="000A2432">
        <w:rPr>
          <w:sz w:val="24"/>
          <w:szCs w:val="24"/>
        </w:rPr>
        <w:t>in literature</w:t>
      </w:r>
      <w:r>
        <w:rPr>
          <w:sz w:val="24"/>
          <w:szCs w:val="24"/>
        </w:rPr>
        <w:t xml:space="preserve"> on research methodology</w:t>
      </w:r>
      <w:r w:rsidRPr="000A2432">
        <w:rPr>
          <w:sz w:val="24"/>
          <w:szCs w:val="24"/>
        </w:rPr>
        <w:t xml:space="preserve"> (Ary </w:t>
      </w:r>
      <w:r w:rsidR="00FB3A6E" w:rsidRPr="00FB3A6E">
        <w:rPr>
          <w:i/>
          <w:sz w:val="24"/>
          <w:szCs w:val="24"/>
        </w:rPr>
        <w:t>et al.</w:t>
      </w:r>
      <w:r w:rsidRPr="000A2432">
        <w:rPr>
          <w:sz w:val="24"/>
          <w:szCs w:val="24"/>
        </w:rPr>
        <w:t>, 2018; Baumfield</w:t>
      </w:r>
      <w:r>
        <w:rPr>
          <w:sz w:val="24"/>
          <w:szCs w:val="24"/>
        </w:rPr>
        <w:t xml:space="preserve"> </w:t>
      </w:r>
      <w:r w:rsidR="00FB3A6E" w:rsidRPr="00FB3A6E">
        <w:rPr>
          <w:i/>
          <w:sz w:val="24"/>
          <w:szCs w:val="24"/>
        </w:rPr>
        <w:t>et al.</w:t>
      </w:r>
      <w:r w:rsidRPr="000A2432">
        <w:rPr>
          <w:sz w:val="24"/>
          <w:szCs w:val="24"/>
        </w:rPr>
        <w:t>, 2008; Palmberg</w:t>
      </w:r>
      <w:r>
        <w:rPr>
          <w:sz w:val="24"/>
          <w:szCs w:val="24"/>
        </w:rPr>
        <w:t xml:space="preserve"> and</w:t>
      </w:r>
      <w:r w:rsidRPr="000A2432">
        <w:rPr>
          <w:sz w:val="24"/>
          <w:szCs w:val="24"/>
        </w:rPr>
        <w:t xml:space="preserve"> Kuru, 2000; Wellington, 2015). Quantitative data </w:t>
      </w:r>
      <w:r>
        <w:rPr>
          <w:sz w:val="24"/>
          <w:szCs w:val="24"/>
        </w:rPr>
        <w:t xml:space="preserve">is evaluated, measured, verified and </w:t>
      </w:r>
      <w:r w:rsidRPr="000A2432">
        <w:rPr>
          <w:sz w:val="24"/>
          <w:szCs w:val="24"/>
        </w:rPr>
        <w:t>processed numerically</w:t>
      </w:r>
      <w:r>
        <w:rPr>
          <w:sz w:val="24"/>
          <w:szCs w:val="24"/>
        </w:rPr>
        <w:t>, and uses methods of investigation that are empirical (Oldroyd, 1986)</w:t>
      </w:r>
      <w:r w:rsidRPr="000A2432">
        <w:rPr>
          <w:sz w:val="24"/>
          <w:szCs w:val="24"/>
        </w:rPr>
        <w:t>.</w:t>
      </w:r>
      <w:r>
        <w:rPr>
          <w:sz w:val="24"/>
          <w:szCs w:val="24"/>
        </w:rPr>
        <w:t xml:space="preserve"> By comparison, q</w:t>
      </w:r>
      <w:r w:rsidRPr="000A2432">
        <w:rPr>
          <w:sz w:val="24"/>
          <w:szCs w:val="24"/>
        </w:rPr>
        <w:t>ualitative data</w:t>
      </w:r>
      <w:r>
        <w:rPr>
          <w:sz w:val="24"/>
          <w:szCs w:val="24"/>
        </w:rPr>
        <w:t xml:space="preserve"> uses creative means, </w:t>
      </w:r>
      <w:r w:rsidRPr="000A2432">
        <w:rPr>
          <w:sz w:val="24"/>
          <w:szCs w:val="24"/>
        </w:rPr>
        <w:t xml:space="preserve">is not processed numerically and can take the form of spoken and written words. </w:t>
      </w:r>
      <w:r>
        <w:rPr>
          <w:sz w:val="24"/>
          <w:szCs w:val="24"/>
        </w:rPr>
        <w:t>T</w:t>
      </w:r>
      <w:r w:rsidRPr="000A2432">
        <w:rPr>
          <w:sz w:val="24"/>
          <w:szCs w:val="24"/>
        </w:rPr>
        <w:t xml:space="preserve">he qualitative method provides a deeper understanding of the viewpoints of human participants and allows researchers to ask questions </w:t>
      </w:r>
      <w:r>
        <w:rPr>
          <w:sz w:val="24"/>
          <w:szCs w:val="24"/>
        </w:rPr>
        <w:t xml:space="preserve">that explore the </w:t>
      </w:r>
      <w:r w:rsidRPr="000A2432">
        <w:rPr>
          <w:sz w:val="24"/>
          <w:szCs w:val="24"/>
        </w:rPr>
        <w:t>participant</w:t>
      </w:r>
      <w:r>
        <w:rPr>
          <w:sz w:val="24"/>
          <w:szCs w:val="24"/>
        </w:rPr>
        <w:t>s’ positionality</w:t>
      </w:r>
      <w:r w:rsidRPr="000A2432">
        <w:rPr>
          <w:sz w:val="24"/>
          <w:szCs w:val="24"/>
        </w:rPr>
        <w:t xml:space="preserve"> </w:t>
      </w:r>
      <w:r>
        <w:rPr>
          <w:sz w:val="24"/>
          <w:szCs w:val="24"/>
        </w:rPr>
        <w:t>and</w:t>
      </w:r>
      <w:r w:rsidRPr="000A2432">
        <w:rPr>
          <w:sz w:val="24"/>
          <w:szCs w:val="24"/>
        </w:rPr>
        <w:t xml:space="preserve"> beliefs (</w:t>
      </w:r>
      <w:r>
        <w:rPr>
          <w:sz w:val="24"/>
          <w:szCs w:val="24"/>
        </w:rPr>
        <w:t>Darwin-Holmes, 2020). Q</w:t>
      </w:r>
      <w:r w:rsidRPr="000A2432">
        <w:rPr>
          <w:sz w:val="24"/>
          <w:szCs w:val="24"/>
        </w:rPr>
        <w:t xml:space="preserve">ualitative data </w:t>
      </w:r>
      <w:r>
        <w:rPr>
          <w:sz w:val="24"/>
          <w:szCs w:val="24"/>
        </w:rPr>
        <w:t xml:space="preserve">has the advantage of painting </w:t>
      </w:r>
      <w:r w:rsidRPr="000A2432">
        <w:rPr>
          <w:sz w:val="24"/>
          <w:szCs w:val="24"/>
        </w:rPr>
        <w:t xml:space="preserve">a picture of </w:t>
      </w:r>
      <w:r w:rsidR="00953229">
        <w:rPr>
          <w:sz w:val="24"/>
          <w:szCs w:val="24"/>
        </w:rPr>
        <w:t>participants</w:t>
      </w:r>
      <w:r>
        <w:rPr>
          <w:sz w:val="24"/>
          <w:szCs w:val="24"/>
        </w:rPr>
        <w:t xml:space="preserve">’ </w:t>
      </w:r>
      <w:r w:rsidRPr="000A2432">
        <w:rPr>
          <w:sz w:val="24"/>
          <w:szCs w:val="24"/>
        </w:rPr>
        <w:t>experiences and provide</w:t>
      </w:r>
      <w:r>
        <w:rPr>
          <w:sz w:val="24"/>
          <w:szCs w:val="24"/>
        </w:rPr>
        <w:t>s</w:t>
      </w:r>
      <w:r w:rsidRPr="000A2432">
        <w:rPr>
          <w:sz w:val="24"/>
          <w:szCs w:val="24"/>
        </w:rPr>
        <w:t xml:space="preserve"> </w:t>
      </w:r>
      <w:r>
        <w:rPr>
          <w:sz w:val="24"/>
          <w:szCs w:val="24"/>
        </w:rPr>
        <w:t xml:space="preserve">rich, experiential and personal </w:t>
      </w:r>
      <w:r w:rsidRPr="000A2432">
        <w:rPr>
          <w:sz w:val="24"/>
          <w:szCs w:val="24"/>
        </w:rPr>
        <w:t>information allow</w:t>
      </w:r>
      <w:r>
        <w:rPr>
          <w:sz w:val="24"/>
          <w:szCs w:val="24"/>
        </w:rPr>
        <w:t xml:space="preserve">ing for in-depth explorations. </w:t>
      </w:r>
      <w:r w:rsidRPr="000A2432">
        <w:rPr>
          <w:sz w:val="24"/>
          <w:szCs w:val="24"/>
        </w:rPr>
        <w:t>For example, if a participant can explain the</w:t>
      </w:r>
      <w:r>
        <w:rPr>
          <w:sz w:val="24"/>
          <w:szCs w:val="24"/>
        </w:rPr>
        <w:t>ir experien</w:t>
      </w:r>
      <w:r w:rsidR="009E11D8">
        <w:rPr>
          <w:sz w:val="24"/>
          <w:szCs w:val="24"/>
        </w:rPr>
        <w:t xml:space="preserve">tial </w:t>
      </w:r>
      <w:r>
        <w:rPr>
          <w:sz w:val="24"/>
          <w:szCs w:val="24"/>
        </w:rPr>
        <w:t xml:space="preserve">story </w:t>
      </w:r>
      <w:r w:rsidRPr="000A2432">
        <w:rPr>
          <w:sz w:val="24"/>
          <w:szCs w:val="24"/>
        </w:rPr>
        <w:t>in their own words, it add</w:t>
      </w:r>
      <w:r>
        <w:rPr>
          <w:sz w:val="24"/>
          <w:szCs w:val="24"/>
        </w:rPr>
        <w:t>s</w:t>
      </w:r>
      <w:r w:rsidRPr="000A2432">
        <w:rPr>
          <w:sz w:val="24"/>
          <w:szCs w:val="24"/>
        </w:rPr>
        <w:t xml:space="preserve"> </w:t>
      </w:r>
      <w:r>
        <w:rPr>
          <w:sz w:val="24"/>
          <w:szCs w:val="24"/>
        </w:rPr>
        <w:t xml:space="preserve">depth, and </w:t>
      </w:r>
      <w:r w:rsidRPr="000A2432">
        <w:rPr>
          <w:sz w:val="24"/>
          <w:szCs w:val="24"/>
        </w:rPr>
        <w:t xml:space="preserve">meaning </w:t>
      </w:r>
      <w:r>
        <w:rPr>
          <w:sz w:val="24"/>
          <w:szCs w:val="24"/>
        </w:rPr>
        <w:t xml:space="preserve">to the data </w:t>
      </w:r>
      <w:r w:rsidRPr="000A2432">
        <w:rPr>
          <w:sz w:val="24"/>
          <w:szCs w:val="24"/>
        </w:rPr>
        <w:t>(</w:t>
      </w:r>
      <w:r w:rsidRPr="00985D0F">
        <w:rPr>
          <w:sz w:val="24"/>
          <w:szCs w:val="24"/>
        </w:rPr>
        <w:t>McKenzie and Tuck</w:t>
      </w:r>
      <w:r>
        <w:rPr>
          <w:sz w:val="24"/>
          <w:szCs w:val="24"/>
        </w:rPr>
        <w:t xml:space="preserve">, </w:t>
      </w:r>
      <w:r w:rsidRPr="00985D0F">
        <w:rPr>
          <w:sz w:val="24"/>
          <w:szCs w:val="24"/>
        </w:rPr>
        <w:t>2015</w:t>
      </w:r>
      <w:r w:rsidRPr="000A2432">
        <w:rPr>
          <w:sz w:val="24"/>
          <w:szCs w:val="24"/>
        </w:rPr>
        <w:t>).</w:t>
      </w:r>
      <w:r>
        <w:rPr>
          <w:sz w:val="24"/>
          <w:szCs w:val="24"/>
        </w:rPr>
        <w:t xml:space="preserve"> Furthermore, the qualitative paradigm allows for subjective </w:t>
      </w:r>
      <w:r>
        <w:rPr>
          <w:sz w:val="24"/>
          <w:szCs w:val="24"/>
        </w:rPr>
        <w:lastRenderedPageBreak/>
        <w:t>knowledge that a quantitative researcher might not include or examine (</w:t>
      </w:r>
      <w:r w:rsidRPr="00E53F65">
        <w:rPr>
          <w:sz w:val="24"/>
          <w:szCs w:val="24"/>
        </w:rPr>
        <w:t>Jayaratne and Stewart</w:t>
      </w:r>
      <w:r>
        <w:rPr>
          <w:sz w:val="24"/>
          <w:szCs w:val="24"/>
        </w:rPr>
        <w:t xml:space="preserve">, </w:t>
      </w:r>
      <w:r w:rsidRPr="00E53F65">
        <w:rPr>
          <w:sz w:val="24"/>
          <w:szCs w:val="24"/>
        </w:rPr>
        <w:t>1991)</w:t>
      </w:r>
      <w:r>
        <w:rPr>
          <w:sz w:val="24"/>
          <w:szCs w:val="24"/>
        </w:rPr>
        <w:t>.</w:t>
      </w:r>
      <w:r w:rsidRPr="002C17BE">
        <w:rPr>
          <w:sz w:val="24"/>
          <w:szCs w:val="24"/>
        </w:rPr>
        <w:t xml:space="preserve"> </w:t>
      </w:r>
    </w:p>
    <w:p w14:paraId="1EDB568D" w14:textId="7829E999" w:rsidR="000171E2" w:rsidRPr="005F070A" w:rsidRDefault="000171E2" w:rsidP="008805FD">
      <w:pPr>
        <w:spacing w:line="360" w:lineRule="auto"/>
        <w:rPr>
          <w:sz w:val="24"/>
          <w:szCs w:val="24"/>
        </w:rPr>
      </w:pPr>
      <w:r>
        <w:rPr>
          <w:sz w:val="24"/>
          <w:szCs w:val="24"/>
        </w:rPr>
        <w:t xml:space="preserve">In this study I am seeking </w:t>
      </w:r>
      <w:r w:rsidRPr="005F070A">
        <w:rPr>
          <w:sz w:val="24"/>
          <w:szCs w:val="24"/>
        </w:rPr>
        <w:t>to understand</w:t>
      </w:r>
      <w:r>
        <w:rPr>
          <w:sz w:val="24"/>
          <w:szCs w:val="24"/>
        </w:rPr>
        <w:t xml:space="preserve"> and explore how </w:t>
      </w:r>
      <w:r w:rsidRPr="005F070A">
        <w:rPr>
          <w:sz w:val="24"/>
          <w:szCs w:val="24"/>
        </w:rPr>
        <w:t>participant</w:t>
      </w:r>
      <w:r>
        <w:rPr>
          <w:sz w:val="24"/>
          <w:szCs w:val="24"/>
        </w:rPr>
        <w:t xml:space="preserve">s negotiate and make meaning of their lived experiences </w:t>
      </w:r>
      <w:r w:rsidRPr="005F070A">
        <w:rPr>
          <w:sz w:val="24"/>
          <w:szCs w:val="24"/>
        </w:rPr>
        <w:t>of teaching</w:t>
      </w:r>
      <w:r>
        <w:rPr>
          <w:sz w:val="24"/>
          <w:szCs w:val="24"/>
        </w:rPr>
        <w:t xml:space="preserve"> which </w:t>
      </w:r>
      <w:r w:rsidRPr="005F070A">
        <w:rPr>
          <w:sz w:val="24"/>
          <w:szCs w:val="24"/>
        </w:rPr>
        <w:t>lends itself to a qualitative approach (Bogdan and Biklen, 1997)</w:t>
      </w:r>
      <w:r>
        <w:rPr>
          <w:sz w:val="24"/>
          <w:szCs w:val="24"/>
        </w:rPr>
        <w:t xml:space="preserve">. </w:t>
      </w:r>
      <w:r w:rsidRPr="005F070A">
        <w:rPr>
          <w:sz w:val="24"/>
          <w:szCs w:val="24"/>
        </w:rPr>
        <w:t xml:space="preserve">The purpose of this research </w:t>
      </w:r>
      <w:r>
        <w:rPr>
          <w:sz w:val="24"/>
          <w:szCs w:val="24"/>
        </w:rPr>
        <w:t>is</w:t>
      </w:r>
      <w:r w:rsidRPr="005F070A">
        <w:rPr>
          <w:sz w:val="24"/>
          <w:szCs w:val="24"/>
        </w:rPr>
        <w:t xml:space="preserve"> exploratory (Robson and McCartan, 2016)</w:t>
      </w:r>
      <w:r>
        <w:rPr>
          <w:sz w:val="24"/>
          <w:szCs w:val="24"/>
        </w:rPr>
        <w:t xml:space="preserve">, </w:t>
      </w:r>
      <w:r w:rsidRPr="005F070A">
        <w:rPr>
          <w:sz w:val="24"/>
          <w:szCs w:val="24"/>
        </w:rPr>
        <w:t xml:space="preserve">aiming to explore a phenomenon within </w:t>
      </w:r>
      <w:r>
        <w:rPr>
          <w:sz w:val="24"/>
          <w:szCs w:val="24"/>
        </w:rPr>
        <w:t>a</w:t>
      </w:r>
      <w:r w:rsidRPr="005F070A">
        <w:rPr>
          <w:sz w:val="24"/>
          <w:szCs w:val="24"/>
        </w:rPr>
        <w:t xml:space="preserve"> complex </w:t>
      </w:r>
      <w:r>
        <w:rPr>
          <w:sz w:val="24"/>
          <w:szCs w:val="24"/>
        </w:rPr>
        <w:t xml:space="preserve">situated </w:t>
      </w:r>
      <w:r w:rsidRPr="005F070A">
        <w:rPr>
          <w:sz w:val="24"/>
          <w:szCs w:val="24"/>
        </w:rPr>
        <w:t>system (Willig, 20</w:t>
      </w:r>
      <w:r>
        <w:rPr>
          <w:sz w:val="24"/>
          <w:szCs w:val="24"/>
        </w:rPr>
        <w:t>08</w:t>
      </w:r>
      <w:r w:rsidRPr="005F070A">
        <w:rPr>
          <w:sz w:val="24"/>
          <w:szCs w:val="24"/>
        </w:rPr>
        <w:t>; Yin, 2009)</w:t>
      </w:r>
      <w:r w:rsidR="00CE3D0F">
        <w:rPr>
          <w:sz w:val="24"/>
          <w:szCs w:val="24"/>
        </w:rPr>
        <w:t>,</w:t>
      </w:r>
      <w:r>
        <w:rPr>
          <w:sz w:val="24"/>
          <w:szCs w:val="24"/>
        </w:rPr>
        <w:t xml:space="preserve"> and a q</w:t>
      </w:r>
      <w:r w:rsidRPr="005F070A">
        <w:rPr>
          <w:sz w:val="24"/>
          <w:szCs w:val="24"/>
        </w:rPr>
        <w:t xml:space="preserve">ualitative research </w:t>
      </w:r>
      <w:r>
        <w:rPr>
          <w:sz w:val="24"/>
          <w:szCs w:val="24"/>
        </w:rPr>
        <w:t xml:space="preserve">methodology </w:t>
      </w:r>
      <w:r w:rsidRPr="005F070A">
        <w:rPr>
          <w:sz w:val="24"/>
          <w:szCs w:val="24"/>
        </w:rPr>
        <w:t>can complement an exploratory study</w:t>
      </w:r>
      <w:r>
        <w:rPr>
          <w:sz w:val="24"/>
          <w:szCs w:val="24"/>
        </w:rPr>
        <w:t xml:space="preserve"> (Cresswell, 2009)</w:t>
      </w:r>
      <w:r w:rsidRPr="005F070A">
        <w:rPr>
          <w:sz w:val="24"/>
          <w:szCs w:val="24"/>
        </w:rPr>
        <w:t xml:space="preserve">. </w:t>
      </w:r>
      <w:r>
        <w:rPr>
          <w:sz w:val="24"/>
          <w:szCs w:val="24"/>
        </w:rPr>
        <w:t>A</w:t>
      </w:r>
      <w:r w:rsidRPr="006D5632">
        <w:rPr>
          <w:sz w:val="24"/>
          <w:szCs w:val="24"/>
        </w:rPr>
        <w:t xml:space="preserve"> qualitative paradigm</w:t>
      </w:r>
      <w:r w:rsidRPr="005F070A">
        <w:rPr>
          <w:sz w:val="24"/>
          <w:szCs w:val="24"/>
        </w:rPr>
        <w:t xml:space="preserve"> is in concert with the philosophical approach outlined and prioritises discovery </w:t>
      </w:r>
      <w:r>
        <w:rPr>
          <w:sz w:val="24"/>
          <w:szCs w:val="24"/>
        </w:rPr>
        <w:t xml:space="preserve">and process </w:t>
      </w:r>
      <w:r w:rsidRPr="005F070A">
        <w:rPr>
          <w:sz w:val="24"/>
          <w:szCs w:val="24"/>
        </w:rPr>
        <w:t>over the more analytic realm of quantitative positivism</w:t>
      </w:r>
      <w:r>
        <w:rPr>
          <w:sz w:val="24"/>
          <w:szCs w:val="24"/>
        </w:rPr>
        <w:t xml:space="preserve"> which could prove reductionist (</w:t>
      </w:r>
      <w:r w:rsidRPr="002D48AA">
        <w:rPr>
          <w:sz w:val="24"/>
          <w:szCs w:val="24"/>
        </w:rPr>
        <w:t xml:space="preserve">Guba and Lincoln, 1994) </w:t>
      </w:r>
      <w:r w:rsidRPr="005F070A">
        <w:rPr>
          <w:sz w:val="24"/>
          <w:szCs w:val="24"/>
        </w:rPr>
        <w:t xml:space="preserve"> </w:t>
      </w:r>
    </w:p>
    <w:p w14:paraId="5F941C96" w14:textId="769BBCC6" w:rsidR="000171E2" w:rsidRPr="00D77B81" w:rsidRDefault="000171E2" w:rsidP="009040FD">
      <w:pPr>
        <w:spacing w:line="360" w:lineRule="auto"/>
        <w:rPr>
          <w:sz w:val="24"/>
          <w:szCs w:val="24"/>
        </w:rPr>
      </w:pPr>
      <w:r>
        <w:rPr>
          <w:sz w:val="24"/>
          <w:szCs w:val="24"/>
        </w:rPr>
        <w:t xml:space="preserve">The </w:t>
      </w:r>
      <w:r w:rsidRPr="005F070A">
        <w:rPr>
          <w:sz w:val="24"/>
          <w:szCs w:val="24"/>
        </w:rPr>
        <w:t xml:space="preserve">narrative focus of the research instrument </w:t>
      </w:r>
      <w:r>
        <w:rPr>
          <w:sz w:val="24"/>
          <w:szCs w:val="24"/>
        </w:rPr>
        <w:t xml:space="preserve">utilised in this study </w:t>
      </w:r>
      <w:r w:rsidRPr="005F070A">
        <w:rPr>
          <w:sz w:val="24"/>
          <w:szCs w:val="24"/>
        </w:rPr>
        <w:t>require</w:t>
      </w:r>
      <w:r>
        <w:rPr>
          <w:sz w:val="24"/>
          <w:szCs w:val="24"/>
        </w:rPr>
        <w:t>d</w:t>
      </w:r>
      <w:r w:rsidRPr="005F070A">
        <w:rPr>
          <w:sz w:val="24"/>
          <w:szCs w:val="24"/>
        </w:rPr>
        <w:t xml:space="preserve"> a qualitative </w:t>
      </w:r>
      <w:r>
        <w:rPr>
          <w:sz w:val="24"/>
          <w:szCs w:val="24"/>
        </w:rPr>
        <w:t>approach. N</w:t>
      </w:r>
      <w:r w:rsidRPr="005F070A">
        <w:rPr>
          <w:sz w:val="24"/>
          <w:szCs w:val="24"/>
        </w:rPr>
        <w:t xml:space="preserve">arratives capture closely </w:t>
      </w:r>
      <w:r>
        <w:rPr>
          <w:sz w:val="24"/>
          <w:szCs w:val="24"/>
        </w:rPr>
        <w:t>“</w:t>
      </w:r>
      <w:r w:rsidRPr="005F070A">
        <w:rPr>
          <w:sz w:val="24"/>
          <w:szCs w:val="24"/>
        </w:rPr>
        <w:t>the representation of the context and integrity of participants</w:t>
      </w:r>
      <w:r w:rsidR="00216B4B">
        <w:rPr>
          <w:sz w:val="24"/>
          <w:szCs w:val="24"/>
        </w:rPr>
        <w:t>’</w:t>
      </w:r>
      <w:r w:rsidRPr="005F070A">
        <w:rPr>
          <w:sz w:val="24"/>
          <w:szCs w:val="24"/>
        </w:rPr>
        <w:t xml:space="preserve"> lives</w:t>
      </w:r>
      <w:r>
        <w:rPr>
          <w:sz w:val="24"/>
          <w:szCs w:val="24"/>
        </w:rPr>
        <w:t>”</w:t>
      </w:r>
      <w:r w:rsidRPr="005F070A">
        <w:rPr>
          <w:sz w:val="24"/>
          <w:szCs w:val="24"/>
        </w:rPr>
        <w:t xml:space="preserve"> (Anderson and Kirkpatrick, 2016, p.631) which the quantitative approach lacks (</w:t>
      </w:r>
      <w:r w:rsidR="00D941F3">
        <w:rPr>
          <w:sz w:val="24"/>
          <w:szCs w:val="24"/>
        </w:rPr>
        <w:t>ibid.</w:t>
      </w:r>
      <w:r w:rsidRPr="005F070A">
        <w:rPr>
          <w:sz w:val="24"/>
          <w:szCs w:val="24"/>
        </w:rPr>
        <w:t xml:space="preserve">).  </w:t>
      </w:r>
      <w:r>
        <w:rPr>
          <w:sz w:val="24"/>
          <w:szCs w:val="24"/>
        </w:rPr>
        <w:t>Storytelling</w:t>
      </w:r>
      <w:r w:rsidRPr="00842707">
        <w:rPr>
          <w:sz w:val="24"/>
          <w:szCs w:val="24"/>
        </w:rPr>
        <w:t xml:space="preserve"> is one of the primary forms by which human experiences make meaning (Polkinghorne, 1988) and</w:t>
      </w:r>
      <w:r w:rsidRPr="00A120DA">
        <w:rPr>
          <w:sz w:val="24"/>
          <w:szCs w:val="24"/>
        </w:rPr>
        <w:t xml:space="preserve"> </w:t>
      </w:r>
      <w:r>
        <w:rPr>
          <w:sz w:val="24"/>
          <w:szCs w:val="24"/>
        </w:rPr>
        <w:t xml:space="preserve">incorporates </w:t>
      </w:r>
      <w:r w:rsidRPr="00A120DA">
        <w:rPr>
          <w:sz w:val="24"/>
          <w:szCs w:val="24"/>
        </w:rPr>
        <w:t xml:space="preserve">events and experiences </w:t>
      </w:r>
      <w:r>
        <w:rPr>
          <w:sz w:val="24"/>
          <w:szCs w:val="24"/>
        </w:rPr>
        <w:t xml:space="preserve">that </w:t>
      </w:r>
      <w:r w:rsidRPr="00A120DA">
        <w:rPr>
          <w:sz w:val="24"/>
          <w:szCs w:val="24"/>
        </w:rPr>
        <w:t xml:space="preserve">have an experiential impact on the reader (Mattingly, 1998). </w:t>
      </w:r>
      <w:r>
        <w:rPr>
          <w:sz w:val="24"/>
          <w:szCs w:val="24"/>
        </w:rPr>
        <w:t>S</w:t>
      </w:r>
      <w:r w:rsidRPr="00842707">
        <w:rPr>
          <w:sz w:val="24"/>
          <w:szCs w:val="24"/>
        </w:rPr>
        <w:t>tories are a useful tool for reflection (Mattingly, 1991)</w:t>
      </w:r>
      <w:r>
        <w:rPr>
          <w:sz w:val="24"/>
          <w:szCs w:val="24"/>
        </w:rPr>
        <w:t xml:space="preserve">, </w:t>
      </w:r>
      <w:r w:rsidRPr="00842707">
        <w:rPr>
          <w:sz w:val="24"/>
          <w:szCs w:val="24"/>
        </w:rPr>
        <w:t xml:space="preserve">can be portraits of practice in words (Fish, 1998) and in research they can </w:t>
      </w:r>
      <w:r w:rsidR="00D24AC0">
        <w:rPr>
          <w:sz w:val="24"/>
          <w:szCs w:val="24"/>
        </w:rPr>
        <w:t xml:space="preserve">capture </w:t>
      </w:r>
      <w:r w:rsidRPr="00842707">
        <w:rPr>
          <w:sz w:val="24"/>
          <w:szCs w:val="24"/>
        </w:rPr>
        <w:t xml:space="preserve">social and cultural events that have shaped </w:t>
      </w:r>
      <w:r w:rsidR="002255AE">
        <w:rPr>
          <w:sz w:val="24"/>
          <w:szCs w:val="24"/>
        </w:rPr>
        <w:t>participants</w:t>
      </w:r>
      <w:r w:rsidRPr="00842707">
        <w:rPr>
          <w:sz w:val="24"/>
          <w:szCs w:val="24"/>
        </w:rPr>
        <w:t xml:space="preserve"> (Kumar, 2019). </w:t>
      </w:r>
      <w:r w:rsidRPr="005F070A">
        <w:rPr>
          <w:sz w:val="24"/>
          <w:szCs w:val="24"/>
        </w:rPr>
        <w:t>Culture, th</w:t>
      </w:r>
      <w:r>
        <w:rPr>
          <w:sz w:val="24"/>
          <w:szCs w:val="24"/>
        </w:rPr>
        <w:t xml:space="preserve">e </w:t>
      </w:r>
      <w:r w:rsidRPr="005F070A">
        <w:rPr>
          <w:sz w:val="24"/>
          <w:szCs w:val="24"/>
        </w:rPr>
        <w:t>psychosocial, reflection</w:t>
      </w:r>
      <w:r>
        <w:rPr>
          <w:sz w:val="24"/>
          <w:szCs w:val="24"/>
        </w:rPr>
        <w:t>, stories</w:t>
      </w:r>
      <w:r w:rsidRPr="005F070A">
        <w:rPr>
          <w:sz w:val="24"/>
          <w:szCs w:val="24"/>
        </w:rPr>
        <w:t xml:space="preserve"> and processes are intrinsic aspect</w:t>
      </w:r>
      <w:r w:rsidR="002255AE">
        <w:rPr>
          <w:sz w:val="24"/>
          <w:szCs w:val="24"/>
        </w:rPr>
        <w:t>s</w:t>
      </w:r>
      <w:r w:rsidRPr="005F070A">
        <w:rPr>
          <w:sz w:val="24"/>
          <w:szCs w:val="24"/>
        </w:rPr>
        <w:t xml:space="preserve"> of my research</w:t>
      </w:r>
      <w:r>
        <w:rPr>
          <w:sz w:val="24"/>
          <w:szCs w:val="24"/>
        </w:rPr>
        <w:t xml:space="preserve"> and best</w:t>
      </w:r>
      <w:r w:rsidRPr="005F070A">
        <w:rPr>
          <w:sz w:val="24"/>
          <w:szCs w:val="24"/>
        </w:rPr>
        <w:t xml:space="preserve"> held by a qualitative paradigm.</w:t>
      </w:r>
      <w:r w:rsidRPr="00D77B81">
        <w:rPr>
          <w:sz w:val="24"/>
          <w:szCs w:val="24"/>
        </w:rPr>
        <w:t xml:space="preserve"> </w:t>
      </w:r>
      <w:r w:rsidRPr="005F070A">
        <w:rPr>
          <w:sz w:val="24"/>
          <w:szCs w:val="24"/>
        </w:rPr>
        <w:t>As a final point, qualitative research is based on humanistic psychology theories (Fischer, 2006)</w:t>
      </w:r>
      <w:r>
        <w:rPr>
          <w:sz w:val="24"/>
          <w:szCs w:val="24"/>
        </w:rPr>
        <w:t xml:space="preserve"> </w:t>
      </w:r>
      <w:r w:rsidRPr="005F070A">
        <w:rPr>
          <w:sz w:val="24"/>
          <w:szCs w:val="24"/>
        </w:rPr>
        <w:t xml:space="preserve">and </w:t>
      </w:r>
      <w:r>
        <w:rPr>
          <w:sz w:val="24"/>
          <w:szCs w:val="24"/>
        </w:rPr>
        <w:t xml:space="preserve">my positionality </w:t>
      </w:r>
      <w:r w:rsidRPr="005F070A">
        <w:rPr>
          <w:sz w:val="24"/>
          <w:szCs w:val="24"/>
        </w:rPr>
        <w:t>as a humanistic</w:t>
      </w:r>
      <w:r w:rsidR="00D24AC0">
        <w:rPr>
          <w:sz w:val="24"/>
          <w:szCs w:val="24"/>
        </w:rPr>
        <w:t>, depth</w:t>
      </w:r>
      <w:r w:rsidRPr="005F070A">
        <w:rPr>
          <w:sz w:val="24"/>
          <w:szCs w:val="24"/>
        </w:rPr>
        <w:t xml:space="preserve"> psychotherapist</w:t>
      </w:r>
      <w:r>
        <w:rPr>
          <w:sz w:val="24"/>
          <w:szCs w:val="24"/>
        </w:rPr>
        <w:t xml:space="preserve"> used to listening intently to stories </w:t>
      </w:r>
      <w:r w:rsidRPr="005F070A">
        <w:rPr>
          <w:sz w:val="24"/>
          <w:szCs w:val="24"/>
        </w:rPr>
        <w:t>afford</w:t>
      </w:r>
      <w:r>
        <w:rPr>
          <w:sz w:val="24"/>
          <w:szCs w:val="24"/>
        </w:rPr>
        <w:t>s</w:t>
      </w:r>
      <w:r w:rsidRPr="005F070A">
        <w:rPr>
          <w:sz w:val="24"/>
          <w:szCs w:val="24"/>
        </w:rPr>
        <w:t xml:space="preserve"> me </w:t>
      </w:r>
      <w:r>
        <w:rPr>
          <w:sz w:val="24"/>
          <w:szCs w:val="24"/>
        </w:rPr>
        <w:t>a strong position to hold, listen to and reflect upon participants’ stories</w:t>
      </w:r>
      <w:r w:rsidRPr="005F070A">
        <w:rPr>
          <w:sz w:val="24"/>
          <w:szCs w:val="24"/>
        </w:rPr>
        <w:t>.</w:t>
      </w:r>
    </w:p>
    <w:p w14:paraId="50199DA1" w14:textId="77777777" w:rsidR="000171E2" w:rsidRPr="00C3132F" w:rsidRDefault="000171E2" w:rsidP="00B325DA">
      <w:pPr>
        <w:rPr>
          <w:b/>
          <w:bCs/>
          <w:sz w:val="24"/>
          <w:szCs w:val="24"/>
        </w:rPr>
      </w:pPr>
      <w:r>
        <w:rPr>
          <w:b/>
          <w:bCs/>
          <w:sz w:val="24"/>
          <w:szCs w:val="24"/>
        </w:rPr>
        <w:t>Reflections on ethics</w:t>
      </w:r>
      <w:r w:rsidRPr="00C3132F">
        <w:rPr>
          <w:b/>
          <w:bCs/>
          <w:sz w:val="24"/>
          <w:szCs w:val="24"/>
        </w:rPr>
        <w:t xml:space="preserve"> and limitations</w:t>
      </w:r>
    </w:p>
    <w:p w14:paraId="2DC9BC54" w14:textId="6AB62AA0" w:rsidR="0065449B" w:rsidRDefault="000171E2" w:rsidP="00455D80">
      <w:pPr>
        <w:spacing w:line="360" w:lineRule="auto"/>
        <w:rPr>
          <w:sz w:val="24"/>
          <w:szCs w:val="24"/>
        </w:rPr>
      </w:pPr>
      <w:r w:rsidRPr="00C3132F">
        <w:rPr>
          <w:sz w:val="24"/>
          <w:szCs w:val="24"/>
        </w:rPr>
        <w:t xml:space="preserve">While the outlined research </w:t>
      </w:r>
      <w:r>
        <w:rPr>
          <w:sz w:val="24"/>
          <w:szCs w:val="24"/>
        </w:rPr>
        <w:t xml:space="preserve">approach was </w:t>
      </w:r>
      <w:r w:rsidRPr="00C3132F">
        <w:rPr>
          <w:sz w:val="24"/>
          <w:szCs w:val="24"/>
        </w:rPr>
        <w:t>argued to b</w:t>
      </w:r>
      <w:r>
        <w:rPr>
          <w:sz w:val="24"/>
          <w:szCs w:val="24"/>
        </w:rPr>
        <w:t>est suit this study</w:t>
      </w:r>
      <w:r w:rsidRPr="00C3132F">
        <w:rPr>
          <w:sz w:val="24"/>
          <w:szCs w:val="24"/>
        </w:rPr>
        <w:t xml:space="preserve">, numerous limitations were recognised. </w:t>
      </w:r>
      <w:r w:rsidR="00BA251B">
        <w:rPr>
          <w:sz w:val="24"/>
          <w:szCs w:val="24"/>
        </w:rPr>
        <w:t>A</w:t>
      </w:r>
      <w:r w:rsidRPr="00C3132F">
        <w:rPr>
          <w:sz w:val="24"/>
          <w:szCs w:val="24"/>
        </w:rPr>
        <w:t xml:space="preserve"> qualitative approach is limited in terms of data and may not provide insight as to </w:t>
      </w:r>
      <w:r w:rsidRPr="00154F4D">
        <w:rPr>
          <w:sz w:val="24"/>
          <w:szCs w:val="24"/>
        </w:rPr>
        <w:t>why</w:t>
      </w:r>
      <w:r w:rsidRPr="00C3132F">
        <w:rPr>
          <w:i/>
          <w:iCs/>
          <w:sz w:val="24"/>
          <w:szCs w:val="24"/>
        </w:rPr>
        <w:t xml:space="preserve"> </w:t>
      </w:r>
      <w:r w:rsidRPr="00C3132F">
        <w:rPr>
          <w:sz w:val="24"/>
          <w:szCs w:val="24"/>
        </w:rPr>
        <w:t xml:space="preserve">respondents </w:t>
      </w:r>
      <w:r w:rsidR="00154F4D">
        <w:rPr>
          <w:sz w:val="24"/>
          <w:szCs w:val="24"/>
        </w:rPr>
        <w:t>provided specific answers to interview questions</w:t>
      </w:r>
      <w:r w:rsidRPr="00C3132F">
        <w:rPr>
          <w:sz w:val="24"/>
          <w:szCs w:val="24"/>
        </w:rPr>
        <w:t xml:space="preserve">. Additionally, the underpinning theoretical positionality reflects the limited perspective of the author (Gray, 1994) and cannot realistically encompass all potential variables. </w:t>
      </w:r>
      <w:r w:rsidRPr="00C3132F">
        <w:rPr>
          <w:sz w:val="24"/>
          <w:szCs w:val="24"/>
        </w:rPr>
        <w:lastRenderedPageBreak/>
        <w:t xml:space="preserve">Furthermore, being a psychotherapist is a limitation and may result in </w:t>
      </w:r>
      <w:r w:rsidR="00FB2D53">
        <w:rPr>
          <w:sz w:val="24"/>
          <w:szCs w:val="24"/>
        </w:rPr>
        <w:t>confirmation</w:t>
      </w:r>
      <w:r w:rsidRPr="00C3132F">
        <w:rPr>
          <w:sz w:val="24"/>
          <w:szCs w:val="24"/>
        </w:rPr>
        <w:t xml:space="preserve"> bias towards emotions in the incoming data. These limitations can be offset by other sets of more well-developed eyes such as research supervisors to anchor that which is </w:t>
      </w:r>
      <w:r>
        <w:rPr>
          <w:sz w:val="24"/>
          <w:szCs w:val="24"/>
        </w:rPr>
        <w:t>appropriate</w:t>
      </w:r>
      <w:r w:rsidR="00A07B54">
        <w:rPr>
          <w:sz w:val="24"/>
          <w:szCs w:val="24"/>
        </w:rPr>
        <w:t>,</w:t>
      </w:r>
      <w:r>
        <w:rPr>
          <w:sz w:val="24"/>
          <w:szCs w:val="24"/>
        </w:rPr>
        <w:t xml:space="preserve"> and </w:t>
      </w:r>
      <w:r w:rsidRPr="00C3132F">
        <w:rPr>
          <w:sz w:val="24"/>
          <w:szCs w:val="24"/>
        </w:rPr>
        <w:t xml:space="preserve">verifiable. </w:t>
      </w:r>
    </w:p>
    <w:p w14:paraId="4D2568CF" w14:textId="64C0FC53" w:rsidR="006046E8" w:rsidRDefault="006046E8" w:rsidP="00455D80">
      <w:pPr>
        <w:spacing w:line="360" w:lineRule="auto"/>
        <w:rPr>
          <w:sz w:val="24"/>
          <w:szCs w:val="24"/>
        </w:rPr>
      </w:pPr>
      <w:r>
        <w:rPr>
          <w:sz w:val="24"/>
          <w:szCs w:val="24"/>
        </w:rPr>
        <w:t xml:space="preserve">With reference to appropriateness, I am mindful to note that </w:t>
      </w:r>
      <w:r w:rsidR="00595FFC">
        <w:rPr>
          <w:sz w:val="24"/>
          <w:szCs w:val="24"/>
        </w:rPr>
        <w:t xml:space="preserve">a psychosocial approach to research </w:t>
      </w:r>
      <w:r w:rsidR="000004B9">
        <w:rPr>
          <w:sz w:val="24"/>
          <w:szCs w:val="24"/>
        </w:rPr>
        <w:t xml:space="preserve">has the potential to </w:t>
      </w:r>
      <w:r w:rsidR="006F16E6">
        <w:rPr>
          <w:sz w:val="24"/>
          <w:szCs w:val="24"/>
        </w:rPr>
        <w:t xml:space="preserve">elicit unconscious </w:t>
      </w:r>
      <w:r w:rsidR="007E4058">
        <w:rPr>
          <w:sz w:val="24"/>
          <w:szCs w:val="24"/>
        </w:rPr>
        <w:t xml:space="preserve">dynamics and drivers in the stories participants tell. </w:t>
      </w:r>
      <w:r w:rsidR="00461BAA">
        <w:rPr>
          <w:sz w:val="24"/>
          <w:szCs w:val="24"/>
        </w:rPr>
        <w:t>As a researcher exploring psy</w:t>
      </w:r>
      <w:r w:rsidR="00B67883">
        <w:rPr>
          <w:sz w:val="24"/>
          <w:szCs w:val="24"/>
        </w:rPr>
        <w:t xml:space="preserve">chosocial </w:t>
      </w:r>
      <w:r w:rsidR="00417FA0">
        <w:rPr>
          <w:sz w:val="24"/>
          <w:szCs w:val="24"/>
        </w:rPr>
        <w:t>elements,</w:t>
      </w:r>
      <w:r w:rsidR="00B67883">
        <w:rPr>
          <w:sz w:val="24"/>
          <w:szCs w:val="24"/>
        </w:rPr>
        <w:t xml:space="preserve"> I am keen to note that </w:t>
      </w:r>
      <w:r w:rsidR="00380C14">
        <w:rPr>
          <w:sz w:val="24"/>
          <w:szCs w:val="24"/>
        </w:rPr>
        <w:t xml:space="preserve">this study </w:t>
      </w:r>
      <w:r w:rsidR="00CA55F6">
        <w:rPr>
          <w:sz w:val="24"/>
          <w:szCs w:val="24"/>
        </w:rPr>
        <w:t xml:space="preserve">is </w:t>
      </w:r>
      <w:r w:rsidR="00417FA0">
        <w:rPr>
          <w:sz w:val="24"/>
          <w:szCs w:val="24"/>
        </w:rPr>
        <w:t xml:space="preserve">not </w:t>
      </w:r>
      <w:r w:rsidR="00F212A3">
        <w:rPr>
          <w:sz w:val="24"/>
          <w:szCs w:val="24"/>
        </w:rPr>
        <w:t>framed</w:t>
      </w:r>
      <w:r w:rsidR="00417FA0">
        <w:rPr>
          <w:sz w:val="24"/>
          <w:szCs w:val="24"/>
        </w:rPr>
        <w:t xml:space="preserve"> as a </w:t>
      </w:r>
      <w:r w:rsidR="00E70F31">
        <w:rPr>
          <w:sz w:val="24"/>
          <w:szCs w:val="24"/>
        </w:rPr>
        <w:t xml:space="preserve">singular, </w:t>
      </w:r>
      <w:r w:rsidR="00417FA0">
        <w:rPr>
          <w:sz w:val="24"/>
          <w:szCs w:val="24"/>
        </w:rPr>
        <w:t xml:space="preserve">purist </w:t>
      </w:r>
      <w:r w:rsidR="00F212A3">
        <w:rPr>
          <w:sz w:val="24"/>
          <w:szCs w:val="24"/>
        </w:rPr>
        <w:t>psychosocial</w:t>
      </w:r>
      <w:r w:rsidR="00970575">
        <w:rPr>
          <w:sz w:val="24"/>
          <w:szCs w:val="24"/>
        </w:rPr>
        <w:t xml:space="preserve"> research project and I adopted a psychosocial sensitivity </w:t>
      </w:r>
      <w:r w:rsidR="008D492A">
        <w:rPr>
          <w:sz w:val="24"/>
          <w:szCs w:val="24"/>
        </w:rPr>
        <w:t>b</w:t>
      </w:r>
      <w:r w:rsidR="00DA374E">
        <w:rPr>
          <w:sz w:val="24"/>
          <w:szCs w:val="24"/>
        </w:rPr>
        <w:t>y</w:t>
      </w:r>
      <w:r w:rsidR="008D492A">
        <w:rPr>
          <w:sz w:val="24"/>
          <w:szCs w:val="24"/>
        </w:rPr>
        <w:t xml:space="preserve"> </w:t>
      </w:r>
      <w:r w:rsidR="008D492A" w:rsidRPr="00D22DE0">
        <w:rPr>
          <w:i/>
          <w:iCs/>
          <w:sz w:val="24"/>
          <w:szCs w:val="24"/>
        </w:rPr>
        <w:t>not</w:t>
      </w:r>
      <w:r w:rsidR="008D492A">
        <w:rPr>
          <w:sz w:val="24"/>
          <w:szCs w:val="24"/>
        </w:rPr>
        <w:t xml:space="preserve"> seeking to elicit, interpret or </w:t>
      </w:r>
      <w:r w:rsidR="00DA374E">
        <w:rPr>
          <w:sz w:val="24"/>
          <w:szCs w:val="24"/>
        </w:rPr>
        <w:t>analyse</w:t>
      </w:r>
      <w:r w:rsidR="008D492A">
        <w:rPr>
          <w:sz w:val="24"/>
          <w:szCs w:val="24"/>
        </w:rPr>
        <w:t xml:space="preserve"> unconscious </w:t>
      </w:r>
      <w:r w:rsidR="00DA374E">
        <w:rPr>
          <w:sz w:val="24"/>
          <w:szCs w:val="24"/>
        </w:rPr>
        <w:t xml:space="preserve">dynamics in biographically reflective stories </w:t>
      </w:r>
      <w:r w:rsidR="00410D28">
        <w:rPr>
          <w:sz w:val="24"/>
          <w:szCs w:val="24"/>
        </w:rPr>
        <w:t xml:space="preserve">or within tales </w:t>
      </w:r>
      <w:r w:rsidR="006844D2">
        <w:rPr>
          <w:sz w:val="24"/>
          <w:szCs w:val="24"/>
        </w:rPr>
        <w:t xml:space="preserve">from </w:t>
      </w:r>
      <w:r w:rsidR="00D839B8">
        <w:rPr>
          <w:sz w:val="24"/>
          <w:szCs w:val="24"/>
        </w:rPr>
        <w:t xml:space="preserve">participants’ </w:t>
      </w:r>
      <w:r w:rsidR="006844D2">
        <w:rPr>
          <w:sz w:val="24"/>
          <w:szCs w:val="24"/>
        </w:rPr>
        <w:t xml:space="preserve">teaching practice. </w:t>
      </w:r>
      <w:r w:rsidR="00213F2A">
        <w:rPr>
          <w:sz w:val="24"/>
          <w:szCs w:val="24"/>
        </w:rPr>
        <w:t>Particular attention to</w:t>
      </w:r>
      <w:r w:rsidR="002B3CFC">
        <w:rPr>
          <w:sz w:val="24"/>
          <w:szCs w:val="24"/>
        </w:rPr>
        <w:t xml:space="preserve"> this was required </w:t>
      </w:r>
      <w:r w:rsidR="002E11A4">
        <w:rPr>
          <w:sz w:val="24"/>
          <w:szCs w:val="24"/>
        </w:rPr>
        <w:t xml:space="preserve">given that in my professional capacity as a psychotherapist </w:t>
      </w:r>
      <w:r w:rsidR="00FF1C32">
        <w:rPr>
          <w:sz w:val="24"/>
          <w:szCs w:val="24"/>
        </w:rPr>
        <w:t>the unpacking o</w:t>
      </w:r>
      <w:r w:rsidR="00D839B8">
        <w:rPr>
          <w:sz w:val="24"/>
          <w:szCs w:val="24"/>
        </w:rPr>
        <w:t xml:space="preserve">f </w:t>
      </w:r>
      <w:r w:rsidR="002E11A4">
        <w:rPr>
          <w:sz w:val="24"/>
          <w:szCs w:val="24"/>
        </w:rPr>
        <w:t xml:space="preserve">unconscious material </w:t>
      </w:r>
      <w:r w:rsidR="00D839B8">
        <w:rPr>
          <w:sz w:val="24"/>
          <w:szCs w:val="24"/>
        </w:rPr>
        <w:t xml:space="preserve">is commonplace. </w:t>
      </w:r>
      <w:r w:rsidR="008C783F">
        <w:rPr>
          <w:sz w:val="24"/>
          <w:szCs w:val="24"/>
        </w:rPr>
        <w:t xml:space="preserve">In this regard </w:t>
      </w:r>
      <w:r w:rsidR="00286D77">
        <w:rPr>
          <w:sz w:val="24"/>
          <w:szCs w:val="24"/>
        </w:rPr>
        <w:t>research supervision and the GRIP (2022) policy</w:t>
      </w:r>
      <w:r w:rsidR="008C783F">
        <w:rPr>
          <w:sz w:val="24"/>
          <w:szCs w:val="24"/>
        </w:rPr>
        <w:t xml:space="preserve"> provided </w:t>
      </w:r>
      <w:r w:rsidR="00DC0F1F">
        <w:rPr>
          <w:sz w:val="24"/>
          <w:szCs w:val="24"/>
        </w:rPr>
        <w:t xml:space="preserve">essential </w:t>
      </w:r>
      <w:r w:rsidR="008C783F">
        <w:rPr>
          <w:sz w:val="24"/>
          <w:szCs w:val="24"/>
        </w:rPr>
        <w:t xml:space="preserve">guidance and safeguarding. </w:t>
      </w:r>
    </w:p>
    <w:p w14:paraId="638FCBDC" w14:textId="37C47BFE" w:rsidR="000171E2" w:rsidRPr="00BD7C3F" w:rsidRDefault="000171E2" w:rsidP="00C53D62">
      <w:pPr>
        <w:spacing w:line="360" w:lineRule="auto"/>
        <w:rPr>
          <w:sz w:val="24"/>
          <w:szCs w:val="24"/>
        </w:rPr>
      </w:pPr>
      <w:r w:rsidRPr="00BD7C3F">
        <w:rPr>
          <w:sz w:val="24"/>
          <w:szCs w:val="24"/>
        </w:rPr>
        <w:t>It is suggested that researchers reflect upon ethical considerations as moral and methodological imperatives (B</w:t>
      </w:r>
      <w:r>
        <w:rPr>
          <w:sz w:val="24"/>
          <w:szCs w:val="24"/>
        </w:rPr>
        <w:t xml:space="preserve">ritish </w:t>
      </w:r>
      <w:r w:rsidRPr="00BD7C3F">
        <w:rPr>
          <w:sz w:val="24"/>
          <w:szCs w:val="24"/>
        </w:rPr>
        <w:t>P</w:t>
      </w:r>
      <w:r>
        <w:rPr>
          <w:sz w:val="24"/>
          <w:szCs w:val="24"/>
        </w:rPr>
        <w:t xml:space="preserve">sychological </w:t>
      </w:r>
      <w:r w:rsidRPr="00BD7C3F">
        <w:rPr>
          <w:sz w:val="24"/>
          <w:szCs w:val="24"/>
        </w:rPr>
        <w:t>S</w:t>
      </w:r>
      <w:r>
        <w:rPr>
          <w:sz w:val="24"/>
          <w:szCs w:val="24"/>
        </w:rPr>
        <w:t>ociety</w:t>
      </w:r>
      <w:r w:rsidRPr="00BD7C3F">
        <w:rPr>
          <w:sz w:val="24"/>
          <w:szCs w:val="24"/>
        </w:rPr>
        <w:t>, 2</w:t>
      </w:r>
      <w:r>
        <w:rPr>
          <w:sz w:val="24"/>
          <w:szCs w:val="24"/>
        </w:rPr>
        <w:t>021;</w:t>
      </w:r>
      <w:r w:rsidRPr="0011607E">
        <w:rPr>
          <w:sz w:val="24"/>
          <w:szCs w:val="24"/>
        </w:rPr>
        <w:t xml:space="preserve"> Sobočan et al, 2018</w:t>
      </w:r>
      <w:r w:rsidRPr="00BD7C3F">
        <w:rPr>
          <w:sz w:val="24"/>
          <w:szCs w:val="24"/>
        </w:rPr>
        <w:t>). I am researching relational aspects from an interpretivist perspective which is characterised by the need for a concern for the individual (Crotty 1998), and which mirrors Winnicott’s “capacity for concern” (196</w:t>
      </w:r>
      <w:r w:rsidR="008E7B7F">
        <w:rPr>
          <w:sz w:val="24"/>
          <w:szCs w:val="24"/>
        </w:rPr>
        <w:t>3</w:t>
      </w:r>
      <w:r w:rsidRPr="00BD7C3F">
        <w:rPr>
          <w:sz w:val="24"/>
          <w:szCs w:val="24"/>
        </w:rPr>
        <w:t>, p.7</w:t>
      </w:r>
      <w:r w:rsidR="00361FE4">
        <w:rPr>
          <w:sz w:val="24"/>
          <w:szCs w:val="24"/>
        </w:rPr>
        <w:t>4</w:t>
      </w:r>
      <w:r w:rsidRPr="00BD7C3F">
        <w:rPr>
          <w:sz w:val="24"/>
          <w:szCs w:val="24"/>
        </w:rPr>
        <w:t>). I believe my capacity for concern in my reflections ha</w:t>
      </w:r>
      <w:r w:rsidR="008E7B7F">
        <w:rPr>
          <w:sz w:val="24"/>
          <w:szCs w:val="24"/>
        </w:rPr>
        <w:t>s</w:t>
      </w:r>
      <w:r w:rsidRPr="00BD7C3F">
        <w:rPr>
          <w:sz w:val="24"/>
          <w:szCs w:val="24"/>
        </w:rPr>
        <w:t xml:space="preserve"> upheld a moral </w:t>
      </w:r>
      <w:r>
        <w:rPr>
          <w:sz w:val="24"/>
          <w:szCs w:val="24"/>
        </w:rPr>
        <w:t xml:space="preserve">and ethical </w:t>
      </w:r>
      <w:r w:rsidRPr="00BD7C3F">
        <w:rPr>
          <w:sz w:val="24"/>
          <w:szCs w:val="24"/>
        </w:rPr>
        <w:t>imperative.</w:t>
      </w:r>
    </w:p>
    <w:p w14:paraId="1E8CA48C" w14:textId="77777777" w:rsidR="000171E2" w:rsidRPr="00A44E59" w:rsidRDefault="000171E2" w:rsidP="00C415C9">
      <w:pPr>
        <w:rPr>
          <w:b/>
          <w:bCs/>
          <w:sz w:val="24"/>
          <w:szCs w:val="24"/>
        </w:rPr>
      </w:pPr>
      <w:r>
        <w:rPr>
          <w:b/>
          <w:bCs/>
          <w:sz w:val="24"/>
          <w:szCs w:val="24"/>
        </w:rPr>
        <w:t>Research Strategy: M</w:t>
      </w:r>
      <w:r w:rsidRPr="00A44E59">
        <w:rPr>
          <w:b/>
          <w:bCs/>
          <w:sz w:val="24"/>
          <w:szCs w:val="24"/>
        </w:rPr>
        <w:t>ethods</w:t>
      </w:r>
    </w:p>
    <w:p w14:paraId="14914F60" w14:textId="3A9899E2" w:rsidR="000171E2" w:rsidRDefault="000171E2" w:rsidP="00850CE6">
      <w:pPr>
        <w:spacing w:line="360" w:lineRule="auto"/>
        <w:rPr>
          <w:sz w:val="24"/>
          <w:szCs w:val="24"/>
        </w:rPr>
      </w:pPr>
      <w:r>
        <w:rPr>
          <w:sz w:val="24"/>
          <w:szCs w:val="24"/>
        </w:rPr>
        <w:t xml:space="preserve">The research methods utilised in this study </w:t>
      </w:r>
      <w:r w:rsidRPr="003D24A5">
        <w:rPr>
          <w:sz w:val="24"/>
          <w:szCs w:val="24"/>
        </w:rPr>
        <w:t>need</w:t>
      </w:r>
      <w:r>
        <w:rPr>
          <w:sz w:val="24"/>
          <w:szCs w:val="24"/>
        </w:rPr>
        <w:t>ed</w:t>
      </w:r>
      <w:r w:rsidRPr="003D24A5">
        <w:rPr>
          <w:sz w:val="24"/>
          <w:szCs w:val="24"/>
        </w:rPr>
        <w:t xml:space="preserve"> to be in alignment with a qualitative paradigm </w:t>
      </w:r>
      <w:r>
        <w:rPr>
          <w:sz w:val="24"/>
          <w:szCs w:val="24"/>
        </w:rPr>
        <w:t xml:space="preserve">and </w:t>
      </w:r>
      <w:r w:rsidRPr="003D24A5">
        <w:rPr>
          <w:sz w:val="24"/>
          <w:szCs w:val="24"/>
        </w:rPr>
        <w:t>a social constructivist and interpretive approach</w:t>
      </w:r>
      <w:r>
        <w:rPr>
          <w:sz w:val="24"/>
          <w:szCs w:val="24"/>
        </w:rPr>
        <w:t xml:space="preserve"> (Cresswell, 2009;</w:t>
      </w:r>
      <w:r w:rsidR="006A5B95">
        <w:rPr>
          <w:sz w:val="24"/>
          <w:szCs w:val="24"/>
        </w:rPr>
        <w:t xml:space="preserve"> </w:t>
      </w:r>
      <w:r>
        <w:rPr>
          <w:sz w:val="24"/>
          <w:szCs w:val="24"/>
        </w:rPr>
        <w:t>2013; Marshall and Rossman, 2014)</w:t>
      </w:r>
      <w:r w:rsidRPr="003D24A5">
        <w:rPr>
          <w:sz w:val="24"/>
          <w:szCs w:val="24"/>
        </w:rPr>
        <w:t>.</w:t>
      </w:r>
      <w:r>
        <w:rPr>
          <w:sz w:val="24"/>
          <w:szCs w:val="24"/>
        </w:rPr>
        <w:t xml:space="preserve"> </w:t>
      </w:r>
      <w:r w:rsidRPr="00EB5EE2">
        <w:rPr>
          <w:sz w:val="24"/>
          <w:szCs w:val="24"/>
        </w:rPr>
        <w:t>In this respect</w:t>
      </w:r>
      <w:r w:rsidR="008E7B7F">
        <w:rPr>
          <w:sz w:val="24"/>
          <w:szCs w:val="24"/>
        </w:rPr>
        <w:t>,</w:t>
      </w:r>
      <w:r w:rsidRPr="00EB5EE2">
        <w:rPr>
          <w:sz w:val="24"/>
          <w:szCs w:val="24"/>
        </w:rPr>
        <w:t xml:space="preserve"> justifications for my methodological approach </w:t>
      </w:r>
      <w:r>
        <w:rPr>
          <w:sz w:val="24"/>
          <w:szCs w:val="24"/>
        </w:rPr>
        <w:t>are summarised in in Table</w:t>
      </w:r>
      <w:r w:rsidR="00DD52E2">
        <w:rPr>
          <w:sz w:val="24"/>
          <w:szCs w:val="24"/>
        </w:rPr>
        <w:t xml:space="preserve"> 6</w:t>
      </w:r>
      <w:r w:rsidR="00A97F80">
        <w:rPr>
          <w:sz w:val="24"/>
          <w:szCs w:val="24"/>
        </w:rPr>
        <w:t xml:space="preserve"> (p.109)</w:t>
      </w:r>
      <w:r w:rsidRPr="00EB5EE2">
        <w:rPr>
          <w:sz w:val="24"/>
          <w:szCs w:val="24"/>
        </w:rPr>
        <w:t xml:space="preserve">: </w:t>
      </w:r>
    </w:p>
    <w:p w14:paraId="18C45237" w14:textId="77777777" w:rsidR="008037CF" w:rsidRDefault="008037CF" w:rsidP="00850CE6">
      <w:pPr>
        <w:spacing w:line="360" w:lineRule="auto"/>
        <w:rPr>
          <w:sz w:val="24"/>
          <w:szCs w:val="24"/>
        </w:rPr>
      </w:pPr>
    </w:p>
    <w:p w14:paraId="1E39C8A9" w14:textId="77777777" w:rsidR="008037CF" w:rsidRDefault="008037CF" w:rsidP="00850CE6">
      <w:pPr>
        <w:spacing w:line="360" w:lineRule="auto"/>
        <w:rPr>
          <w:sz w:val="24"/>
          <w:szCs w:val="24"/>
        </w:rPr>
      </w:pPr>
    </w:p>
    <w:p w14:paraId="4CFC77F2" w14:textId="77777777" w:rsidR="008037CF" w:rsidRDefault="008037CF" w:rsidP="00850CE6">
      <w:pPr>
        <w:spacing w:line="360" w:lineRule="auto"/>
        <w:rPr>
          <w:sz w:val="24"/>
          <w:szCs w:val="24"/>
        </w:rPr>
      </w:pPr>
    </w:p>
    <w:p w14:paraId="259ED86A" w14:textId="445F4A20" w:rsidR="000171E2" w:rsidRPr="00DD52E2" w:rsidRDefault="000171E2" w:rsidP="004649C3">
      <w:pPr>
        <w:ind w:left="1440" w:firstLine="720"/>
        <w:rPr>
          <w:i/>
          <w:iCs/>
          <w:sz w:val="24"/>
          <w:szCs w:val="24"/>
        </w:rPr>
      </w:pPr>
      <w:r w:rsidRPr="00DD52E2">
        <w:rPr>
          <w:i/>
          <w:iCs/>
          <w:sz w:val="24"/>
          <w:szCs w:val="24"/>
        </w:rPr>
        <w:lastRenderedPageBreak/>
        <w:t>Table</w:t>
      </w:r>
      <w:r w:rsidR="00DD52E2" w:rsidRPr="00DD52E2">
        <w:rPr>
          <w:i/>
          <w:iCs/>
          <w:sz w:val="24"/>
          <w:szCs w:val="24"/>
        </w:rPr>
        <w:t xml:space="preserve"> 6</w:t>
      </w:r>
      <w:r w:rsidRPr="00DD52E2">
        <w:rPr>
          <w:i/>
          <w:iCs/>
          <w:sz w:val="24"/>
          <w:szCs w:val="24"/>
        </w:rPr>
        <w:t>: Justifying the research approach</w:t>
      </w:r>
    </w:p>
    <w:tbl>
      <w:tblPr>
        <w:tblStyle w:val="TableGrid"/>
        <w:tblW w:w="0" w:type="auto"/>
        <w:tblLook w:val="04A0" w:firstRow="1" w:lastRow="0" w:firstColumn="1" w:lastColumn="0" w:noHBand="0" w:noVBand="1"/>
      </w:tblPr>
      <w:tblGrid>
        <w:gridCol w:w="9016"/>
      </w:tblGrid>
      <w:tr w:rsidR="000171E2" w14:paraId="2B973A90" w14:textId="77777777" w:rsidTr="00F64CE4">
        <w:tc>
          <w:tcPr>
            <w:tcW w:w="9016" w:type="dxa"/>
          </w:tcPr>
          <w:p w14:paraId="59E1195F" w14:textId="77777777" w:rsidR="000171E2" w:rsidRDefault="000171E2" w:rsidP="00A87CCE">
            <w:pPr>
              <w:rPr>
                <w:sz w:val="24"/>
                <w:szCs w:val="24"/>
              </w:rPr>
            </w:pPr>
            <w:r>
              <w:rPr>
                <w:sz w:val="24"/>
                <w:szCs w:val="24"/>
              </w:rPr>
              <w:t xml:space="preserve">                                           Methodological approach choice</w:t>
            </w:r>
          </w:p>
        </w:tc>
      </w:tr>
      <w:tr w:rsidR="000171E2" w14:paraId="361C60C4" w14:textId="77777777" w:rsidTr="00413104">
        <w:trPr>
          <w:trHeight w:val="5280"/>
        </w:trPr>
        <w:tc>
          <w:tcPr>
            <w:tcW w:w="9016" w:type="dxa"/>
          </w:tcPr>
          <w:p w14:paraId="63AE731D" w14:textId="77777777" w:rsidR="000171E2" w:rsidRDefault="000171E2" w:rsidP="00F64CE4">
            <w:bookmarkStart w:id="55" w:name="_Hlk210136564"/>
          </w:p>
          <w:p w14:paraId="5AB0FD85" w14:textId="46EA316E" w:rsidR="000171E2" w:rsidRDefault="000171E2" w:rsidP="0031269B">
            <w:pPr>
              <w:spacing w:line="360" w:lineRule="auto"/>
            </w:pPr>
            <w:r w:rsidRPr="00F64CE4">
              <w:t xml:space="preserve">1. The research questions sought to explore the lived experience of teachers and their emotions in the course of their work and therefore required qualitative data that could be analysed </w:t>
            </w:r>
          </w:p>
          <w:p w14:paraId="76683D54" w14:textId="76F4622F" w:rsidR="000171E2" w:rsidRDefault="000171E2" w:rsidP="0031269B">
            <w:pPr>
              <w:spacing w:line="360" w:lineRule="auto"/>
            </w:pPr>
            <w:r w:rsidRPr="00BA4702">
              <w:t xml:space="preserve">2. The author sought access to participants in a university setting which was likely to yield the relevant sample audience from which observations could be made about their university specific experiences </w:t>
            </w:r>
          </w:p>
          <w:p w14:paraId="3025A12E" w14:textId="2E067D25" w:rsidR="000171E2" w:rsidRPr="00074FAC" w:rsidRDefault="000171E2" w:rsidP="0031269B">
            <w:pPr>
              <w:spacing w:line="360" w:lineRule="auto"/>
            </w:pPr>
            <w:r>
              <w:t xml:space="preserve">3. </w:t>
            </w:r>
            <w:r w:rsidRPr="00074FAC">
              <w:t xml:space="preserve">Academics are typically time poor, therefore the data collection method of virtual interviewing which is time efficient and location independent was presumed would attract more responses, particularly as interviews were taking place remotely during a post pandemic period and physical safety was an additional factor (Dodds and Hess, 2020; Lobe </w:t>
            </w:r>
            <w:r w:rsidR="00FB3A6E" w:rsidRPr="00FB3A6E">
              <w:rPr>
                <w:i/>
              </w:rPr>
              <w:t>et al.</w:t>
            </w:r>
            <w:r w:rsidRPr="00074FAC">
              <w:t>, 2020)</w:t>
            </w:r>
          </w:p>
          <w:p w14:paraId="64F214FF" w14:textId="61C2447C" w:rsidR="000171E2" w:rsidRPr="00F64CE4" w:rsidRDefault="000171E2" w:rsidP="000B1DB8">
            <w:pPr>
              <w:spacing w:line="360" w:lineRule="auto"/>
            </w:pPr>
            <w:r w:rsidRPr="00074FAC">
              <w:t xml:space="preserve">4. A degree of experiential specificity was required by the research questions. Given that specificity and detail is a key aspect of qualitative research such an approach represented a common-sense choice </w:t>
            </w:r>
          </w:p>
        </w:tc>
      </w:tr>
      <w:bookmarkEnd w:id="55"/>
    </w:tbl>
    <w:p w14:paraId="79B908C8" w14:textId="77777777" w:rsidR="000171E2" w:rsidRPr="00EB5EE2" w:rsidRDefault="000171E2" w:rsidP="00A87CCE">
      <w:pPr>
        <w:rPr>
          <w:sz w:val="24"/>
          <w:szCs w:val="24"/>
        </w:rPr>
      </w:pPr>
    </w:p>
    <w:p w14:paraId="4A92C8BB" w14:textId="77777777" w:rsidR="000171E2" w:rsidRPr="001E720B" w:rsidRDefault="000171E2" w:rsidP="00C415C9">
      <w:pPr>
        <w:rPr>
          <w:b/>
          <w:bCs/>
          <w:sz w:val="24"/>
          <w:szCs w:val="24"/>
        </w:rPr>
      </w:pPr>
      <w:r w:rsidRPr="001E720B">
        <w:rPr>
          <w:b/>
          <w:bCs/>
          <w:sz w:val="24"/>
          <w:szCs w:val="24"/>
        </w:rPr>
        <w:t>The research instrument</w:t>
      </w:r>
    </w:p>
    <w:p w14:paraId="7C2B934F" w14:textId="5921A616" w:rsidR="000171E2" w:rsidRPr="00DB2D55" w:rsidRDefault="000171E2" w:rsidP="00870E75">
      <w:pPr>
        <w:spacing w:line="360" w:lineRule="auto"/>
        <w:rPr>
          <w:sz w:val="24"/>
          <w:szCs w:val="24"/>
        </w:rPr>
      </w:pPr>
      <w:r w:rsidRPr="00E4208A">
        <w:rPr>
          <w:sz w:val="24"/>
          <w:szCs w:val="24"/>
        </w:rPr>
        <w:t xml:space="preserve">For this research project to fulfil its aims, I </w:t>
      </w:r>
      <w:r>
        <w:rPr>
          <w:sz w:val="24"/>
          <w:szCs w:val="24"/>
        </w:rPr>
        <w:t xml:space="preserve">would need to </w:t>
      </w:r>
      <w:r w:rsidRPr="00E4208A">
        <w:rPr>
          <w:sz w:val="24"/>
          <w:szCs w:val="24"/>
        </w:rPr>
        <w:t xml:space="preserve">generate knowledge </w:t>
      </w:r>
      <w:r w:rsidRPr="00E4208A">
        <w:rPr>
          <w:i/>
          <w:iCs/>
          <w:sz w:val="24"/>
          <w:szCs w:val="24"/>
        </w:rPr>
        <w:t>with</w:t>
      </w:r>
      <w:r w:rsidRPr="00E4208A">
        <w:rPr>
          <w:sz w:val="24"/>
          <w:szCs w:val="24"/>
        </w:rPr>
        <w:t xml:space="preserve"> my participants </w:t>
      </w:r>
      <w:r w:rsidR="00BE070F">
        <w:rPr>
          <w:sz w:val="24"/>
          <w:szCs w:val="24"/>
        </w:rPr>
        <w:t xml:space="preserve">and within their stories </w:t>
      </w:r>
      <w:r w:rsidRPr="00E4208A">
        <w:rPr>
          <w:sz w:val="24"/>
          <w:szCs w:val="24"/>
        </w:rPr>
        <w:t xml:space="preserve">to address </w:t>
      </w:r>
      <w:r>
        <w:rPr>
          <w:sz w:val="24"/>
          <w:szCs w:val="24"/>
        </w:rPr>
        <w:t>the</w:t>
      </w:r>
      <w:r w:rsidRPr="00E4208A">
        <w:rPr>
          <w:sz w:val="24"/>
          <w:szCs w:val="24"/>
        </w:rPr>
        <w:t xml:space="preserve"> research questions. I believe a successful way of achieving this </w:t>
      </w:r>
      <w:r>
        <w:rPr>
          <w:sz w:val="24"/>
          <w:szCs w:val="24"/>
        </w:rPr>
        <w:t xml:space="preserve">was </w:t>
      </w:r>
      <w:r w:rsidRPr="00E4208A">
        <w:rPr>
          <w:sz w:val="24"/>
          <w:szCs w:val="24"/>
        </w:rPr>
        <w:t xml:space="preserve">by using the research instrument of semi-structured interviews with a narrative focus. In this choice of instrument, I drew upon guidance </w:t>
      </w:r>
      <w:r>
        <w:rPr>
          <w:sz w:val="24"/>
          <w:szCs w:val="24"/>
        </w:rPr>
        <w:t>from</w:t>
      </w:r>
      <w:r w:rsidRPr="00E4208A">
        <w:rPr>
          <w:sz w:val="24"/>
          <w:szCs w:val="24"/>
        </w:rPr>
        <w:t xml:space="preserve"> research scholars (</w:t>
      </w:r>
      <w:r w:rsidRPr="00263E98">
        <w:rPr>
          <w:sz w:val="24"/>
          <w:szCs w:val="24"/>
        </w:rPr>
        <w:t>Anderson and Kirkpatrick, 2016</w:t>
      </w:r>
      <w:r>
        <w:rPr>
          <w:sz w:val="24"/>
          <w:szCs w:val="24"/>
        </w:rPr>
        <w:t xml:space="preserve">; </w:t>
      </w:r>
      <w:r w:rsidRPr="00E4208A">
        <w:rPr>
          <w:sz w:val="24"/>
          <w:szCs w:val="24"/>
        </w:rPr>
        <w:t xml:space="preserve">Cohen </w:t>
      </w:r>
      <w:r w:rsidR="00FB3A6E" w:rsidRPr="00FB3A6E">
        <w:rPr>
          <w:i/>
          <w:sz w:val="24"/>
          <w:szCs w:val="24"/>
        </w:rPr>
        <w:t>et al.</w:t>
      </w:r>
      <w:r w:rsidRPr="00E4208A">
        <w:rPr>
          <w:sz w:val="24"/>
          <w:szCs w:val="24"/>
        </w:rPr>
        <w:t xml:space="preserve">, 2019; Kara </w:t>
      </w:r>
      <w:r w:rsidR="00FB3A6E" w:rsidRPr="00FB3A6E">
        <w:rPr>
          <w:i/>
          <w:sz w:val="24"/>
          <w:szCs w:val="24"/>
        </w:rPr>
        <w:t>et al.</w:t>
      </w:r>
      <w:r w:rsidRPr="00E4208A">
        <w:rPr>
          <w:sz w:val="24"/>
          <w:szCs w:val="24"/>
        </w:rPr>
        <w:t>, 2021; Kumar, 2019)</w:t>
      </w:r>
      <w:r>
        <w:rPr>
          <w:sz w:val="24"/>
          <w:szCs w:val="24"/>
        </w:rPr>
        <w:t xml:space="preserve">. </w:t>
      </w:r>
      <w:r w:rsidRPr="00DB2D55">
        <w:rPr>
          <w:sz w:val="24"/>
          <w:szCs w:val="24"/>
        </w:rPr>
        <w:t>Two semi structured interviews were employed. The first interview explored themes relating to emotions, teaching and reflective practice</w:t>
      </w:r>
      <w:r w:rsidR="007744DB">
        <w:rPr>
          <w:sz w:val="24"/>
          <w:szCs w:val="24"/>
        </w:rPr>
        <w:t>,</w:t>
      </w:r>
      <w:r w:rsidRPr="00DB2D55">
        <w:rPr>
          <w:sz w:val="24"/>
          <w:szCs w:val="24"/>
        </w:rPr>
        <w:t xml:space="preserve"> and the follow-up interview served </w:t>
      </w:r>
      <w:r w:rsidRPr="0012500D">
        <w:rPr>
          <w:sz w:val="24"/>
          <w:szCs w:val="24"/>
        </w:rPr>
        <w:t xml:space="preserve">to elicit further narratives following their reflections on the </w:t>
      </w:r>
      <w:r w:rsidR="00D17991">
        <w:rPr>
          <w:sz w:val="24"/>
          <w:szCs w:val="24"/>
        </w:rPr>
        <w:t>concept of</w:t>
      </w:r>
      <w:r w:rsidRPr="0012500D">
        <w:rPr>
          <w:sz w:val="24"/>
          <w:szCs w:val="24"/>
        </w:rPr>
        <w:t xml:space="preserve"> </w:t>
      </w:r>
      <w:r w:rsidR="007744DB">
        <w:rPr>
          <w:sz w:val="24"/>
          <w:szCs w:val="24"/>
        </w:rPr>
        <w:t>“</w:t>
      </w:r>
      <w:r w:rsidRPr="0012500D">
        <w:rPr>
          <w:sz w:val="24"/>
          <w:szCs w:val="24"/>
        </w:rPr>
        <w:t>holding</w:t>
      </w:r>
      <w:r w:rsidR="007744DB">
        <w:rPr>
          <w:sz w:val="24"/>
          <w:szCs w:val="24"/>
        </w:rPr>
        <w:t>”</w:t>
      </w:r>
      <w:r w:rsidR="00FE0189">
        <w:rPr>
          <w:sz w:val="24"/>
          <w:szCs w:val="24"/>
        </w:rPr>
        <w:t xml:space="preserve"> (Winnicott, 1965, pp.43-44</w:t>
      </w:r>
      <w:r w:rsidR="004603B4">
        <w:rPr>
          <w:sz w:val="24"/>
          <w:szCs w:val="24"/>
        </w:rPr>
        <w:t>)</w:t>
      </w:r>
      <w:r w:rsidRPr="0012500D">
        <w:rPr>
          <w:sz w:val="24"/>
          <w:szCs w:val="24"/>
        </w:rPr>
        <w:t xml:space="preserve">. </w:t>
      </w:r>
      <w:r>
        <w:rPr>
          <w:sz w:val="24"/>
          <w:szCs w:val="24"/>
        </w:rPr>
        <w:t xml:space="preserve">The pause </w:t>
      </w:r>
      <w:r w:rsidRPr="00DB2D55">
        <w:rPr>
          <w:sz w:val="24"/>
          <w:szCs w:val="24"/>
        </w:rPr>
        <w:t xml:space="preserve">affording participants the opportunity to have </w:t>
      </w:r>
      <w:r w:rsidR="001165ED">
        <w:rPr>
          <w:sz w:val="24"/>
          <w:szCs w:val="24"/>
        </w:rPr>
        <w:t>further</w:t>
      </w:r>
      <w:r w:rsidRPr="00DB2D55">
        <w:rPr>
          <w:sz w:val="24"/>
          <w:szCs w:val="24"/>
        </w:rPr>
        <w:t xml:space="preserve"> time to tell their stories (Scheffelaar </w:t>
      </w:r>
      <w:r w:rsidR="00FB3A6E" w:rsidRPr="00FB3A6E">
        <w:rPr>
          <w:i/>
          <w:sz w:val="24"/>
          <w:szCs w:val="24"/>
        </w:rPr>
        <w:t>et al.</w:t>
      </w:r>
      <w:r w:rsidRPr="00DB2D55">
        <w:rPr>
          <w:sz w:val="24"/>
          <w:szCs w:val="24"/>
        </w:rPr>
        <w:t xml:space="preserve">, 2021) and </w:t>
      </w:r>
      <w:r w:rsidR="001165ED">
        <w:rPr>
          <w:sz w:val="24"/>
          <w:szCs w:val="24"/>
        </w:rPr>
        <w:t xml:space="preserve">to </w:t>
      </w:r>
      <w:r w:rsidRPr="00DB2D55">
        <w:rPr>
          <w:sz w:val="24"/>
          <w:szCs w:val="24"/>
        </w:rPr>
        <w:t xml:space="preserve">discuss their </w:t>
      </w:r>
      <w:r>
        <w:rPr>
          <w:sz w:val="24"/>
          <w:szCs w:val="24"/>
        </w:rPr>
        <w:t xml:space="preserve">interim </w:t>
      </w:r>
      <w:r w:rsidRPr="00DB2D55">
        <w:rPr>
          <w:sz w:val="24"/>
          <w:szCs w:val="24"/>
        </w:rPr>
        <w:t>thoughts and reflections</w:t>
      </w:r>
      <w:r w:rsidR="00D17991">
        <w:rPr>
          <w:sz w:val="24"/>
          <w:szCs w:val="24"/>
        </w:rPr>
        <w:t>,</w:t>
      </w:r>
      <w:r>
        <w:rPr>
          <w:sz w:val="24"/>
          <w:szCs w:val="24"/>
        </w:rPr>
        <w:t xml:space="preserve"> </w:t>
      </w:r>
      <w:r w:rsidRPr="00DB2D55">
        <w:rPr>
          <w:sz w:val="24"/>
          <w:szCs w:val="24"/>
        </w:rPr>
        <w:t xml:space="preserve">which also </w:t>
      </w:r>
      <w:r w:rsidR="00816CE0">
        <w:rPr>
          <w:sz w:val="24"/>
          <w:szCs w:val="24"/>
        </w:rPr>
        <w:t>provided useful data.</w:t>
      </w:r>
    </w:p>
    <w:p w14:paraId="2EBF34B0" w14:textId="3985BA73" w:rsidR="000171E2" w:rsidRPr="00D8739A" w:rsidRDefault="000171E2" w:rsidP="00C90BED">
      <w:pPr>
        <w:spacing w:line="360" w:lineRule="auto"/>
        <w:rPr>
          <w:sz w:val="24"/>
          <w:szCs w:val="24"/>
        </w:rPr>
      </w:pPr>
      <w:r>
        <w:rPr>
          <w:sz w:val="24"/>
          <w:szCs w:val="24"/>
        </w:rPr>
        <w:t>Alternative research instruments such as the structured interview were discussed in research supervision and researched independently. M</w:t>
      </w:r>
      <w:r w:rsidRPr="00D8739A">
        <w:rPr>
          <w:sz w:val="24"/>
          <w:szCs w:val="24"/>
        </w:rPr>
        <w:t xml:space="preserve">ore easily implemented by the inexperienced researcher, the structured interview </w:t>
      </w:r>
      <w:r>
        <w:rPr>
          <w:sz w:val="24"/>
          <w:szCs w:val="24"/>
        </w:rPr>
        <w:t xml:space="preserve">can be </w:t>
      </w:r>
      <w:r w:rsidRPr="00D8739A">
        <w:rPr>
          <w:sz w:val="24"/>
          <w:szCs w:val="24"/>
        </w:rPr>
        <w:t xml:space="preserve">somewhat prescriptive and positivist in nature (Cohen </w:t>
      </w:r>
      <w:r w:rsidR="00FB3A6E" w:rsidRPr="00FB3A6E">
        <w:rPr>
          <w:i/>
          <w:sz w:val="24"/>
          <w:szCs w:val="24"/>
        </w:rPr>
        <w:t>et al.</w:t>
      </w:r>
      <w:r w:rsidRPr="00D8739A">
        <w:rPr>
          <w:sz w:val="24"/>
          <w:szCs w:val="24"/>
        </w:rPr>
        <w:t>, 2019</w:t>
      </w:r>
      <w:r>
        <w:rPr>
          <w:sz w:val="24"/>
          <w:szCs w:val="24"/>
        </w:rPr>
        <w:t>;</w:t>
      </w:r>
      <w:r w:rsidRPr="00C90BED">
        <w:rPr>
          <w:sz w:val="24"/>
          <w:szCs w:val="24"/>
        </w:rPr>
        <w:t xml:space="preserve"> Kumar, 2019</w:t>
      </w:r>
      <w:r w:rsidRPr="00D8739A">
        <w:rPr>
          <w:sz w:val="24"/>
          <w:szCs w:val="24"/>
        </w:rPr>
        <w:t>)</w:t>
      </w:r>
      <w:r>
        <w:rPr>
          <w:sz w:val="24"/>
          <w:szCs w:val="24"/>
        </w:rPr>
        <w:t xml:space="preserve"> </w:t>
      </w:r>
      <w:r w:rsidR="000D7349">
        <w:rPr>
          <w:sz w:val="24"/>
          <w:szCs w:val="24"/>
        </w:rPr>
        <w:t xml:space="preserve">which </w:t>
      </w:r>
      <w:r w:rsidR="00CF5177">
        <w:rPr>
          <w:sz w:val="24"/>
          <w:szCs w:val="24"/>
        </w:rPr>
        <w:t>might</w:t>
      </w:r>
      <w:r w:rsidRPr="00D8739A">
        <w:rPr>
          <w:sz w:val="24"/>
          <w:szCs w:val="24"/>
        </w:rPr>
        <w:t xml:space="preserve"> provide </w:t>
      </w:r>
      <w:r>
        <w:rPr>
          <w:sz w:val="24"/>
          <w:szCs w:val="24"/>
        </w:rPr>
        <w:t xml:space="preserve">rigid </w:t>
      </w:r>
      <w:r w:rsidRPr="00D8739A">
        <w:rPr>
          <w:sz w:val="24"/>
          <w:szCs w:val="24"/>
        </w:rPr>
        <w:t xml:space="preserve">responses </w:t>
      </w:r>
      <w:r w:rsidRPr="00D8739A">
        <w:rPr>
          <w:sz w:val="24"/>
          <w:szCs w:val="24"/>
        </w:rPr>
        <w:lastRenderedPageBreak/>
        <w:t>and s</w:t>
      </w:r>
      <w:r w:rsidR="00DF5225">
        <w:rPr>
          <w:sz w:val="24"/>
          <w:szCs w:val="24"/>
        </w:rPr>
        <w:t>urface</w:t>
      </w:r>
      <w:r w:rsidRPr="00D8739A">
        <w:rPr>
          <w:sz w:val="24"/>
          <w:szCs w:val="24"/>
        </w:rPr>
        <w:t xml:space="preserve"> answers to questions. As previously stated, it is the mess</w:t>
      </w:r>
      <w:r w:rsidR="008F4314">
        <w:rPr>
          <w:sz w:val="24"/>
          <w:szCs w:val="24"/>
        </w:rPr>
        <w:t>y</w:t>
      </w:r>
      <w:r w:rsidRPr="00D8739A">
        <w:rPr>
          <w:sz w:val="24"/>
          <w:szCs w:val="24"/>
        </w:rPr>
        <w:t xml:space="preserve">, non-linear and nuanced stories I </w:t>
      </w:r>
      <w:r>
        <w:rPr>
          <w:sz w:val="24"/>
          <w:szCs w:val="24"/>
        </w:rPr>
        <w:t>wish to explore</w:t>
      </w:r>
      <w:r w:rsidR="00833D24">
        <w:rPr>
          <w:sz w:val="24"/>
          <w:szCs w:val="24"/>
        </w:rPr>
        <w:t>,</w:t>
      </w:r>
      <w:r>
        <w:rPr>
          <w:sz w:val="24"/>
          <w:szCs w:val="24"/>
        </w:rPr>
        <w:t xml:space="preserve"> </w:t>
      </w:r>
      <w:r w:rsidRPr="00D8739A">
        <w:rPr>
          <w:sz w:val="24"/>
          <w:szCs w:val="24"/>
        </w:rPr>
        <w:t xml:space="preserve">therefore a structured interview does not lend itself to the nature of this study. </w:t>
      </w:r>
      <w:r>
        <w:rPr>
          <w:sz w:val="24"/>
          <w:szCs w:val="24"/>
        </w:rPr>
        <w:t xml:space="preserve">Furthermore, </w:t>
      </w:r>
      <w:r w:rsidRPr="00D8739A">
        <w:rPr>
          <w:sz w:val="24"/>
          <w:szCs w:val="24"/>
        </w:rPr>
        <w:t>I am seeking to catch the close-up reality, rich details and the description (Geertz, 1973) of individual participants’ stories that I can analyse and draw in depth conclusions from</w:t>
      </w:r>
      <w:r w:rsidR="004C3392">
        <w:rPr>
          <w:sz w:val="24"/>
          <w:szCs w:val="24"/>
        </w:rPr>
        <w:t xml:space="preserve">, </w:t>
      </w:r>
      <w:r w:rsidRPr="00D8739A">
        <w:rPr>
          <w:sz w:val="24"/>
          <w:szCs w:val="24"/>
        </w:rPr>
        <w:t xml:space="preserve">which a more structured interview </w:t>
      </w:r>
      <w:r>
        <w:rPr>
          <w:sz w:val="24"/>
          <w:szCs w:val="24"/>
        </w:rPr>
        <w:t xml:space="preserve">might </w:t>
      </w:r>
      <w:r w:rsidR="00077209">
        <w:rPr>
          <w:sz w:val="24"/>
          <w:szCs w:val="24"/>
        </w:rPr>
        <w:t>not provide.</w:t>
      </w:r>
    </w:p>
    <w:p w14:paraId="7855087E" w14:textId="05C5FF70" w:rsidR="000171E2" w:rsidRPr="001E720B" w:rsidRDefault="000171E2" w:rsidP="00672B9D">
      <w:pPr>
        <w:spacing w:line="360" w:lineRule="auto"/>
        <w:rPr>
          <w:sz w:val="24"/>
          <w:szCs w:val="24"/>
        </w:rPr>
      </w:pPr>
      <w:r>
        <w:rPr>
          <w:sz w:val="24"/>
          <w:szCs w:val="24"/>
        </w:rPr>
        <w:t xml:space="preserve">A case study as a research instrument was considered. </w:t>
      </w:r>
      <w:r w:rsidRPr="00D8739A">
        <w:rPr>
          <w:sz w:val="24"/>
          <w:szCs w:val="24"/>
        </w:rPr>
        <w:t>Case studies follow the interpretive tradition of research, are a way of seeing the situation through the eyes of participants (Cohen</w:t>
      </w:r>
      <w:r>
        <w:rPr>
          <w:sz w:val="24"/>
          <w:szCs w:val="24"/>
        </w:rPr>
        <w:t xml:space="preserve"> </w:t>
      </w:r>
      <w:r w:rsidR="00FB3A6E" w:rsidRPr="00FB3A6E">
        <w:rPr>
          <w:i/>
          <w:sz w:val="24"/>
          <w:szCs w:val="24"/>
        </w:rPr>
        <w:t>et al.</w:t>
      </w:r>
      <w:r w:rsidRPr="00D8739A">
        <w:rPr>
          <w:sz w:val="24"/>
          <w:szCs w:val="24"/>
        </w:rPr>
        <w:t>, 2019) and reflect the very nature of my research and positionality.  However</w:t>
      </w:r>
      <w:r>
        <w:rPr>
          <w:sz w:val="24"/>
          <w:szCs w:val="24"/>
        </w:rPr>
        <w:t xml:space="preserve">, </w:t>
      </w:r>
      <w:r w:rsidRPr="00D8739A">
        <w:rPr>
          <w:sz w:val="24"/>
          <w:szCs w:val="24"/>
        </w:rPr>
        <w:t xml:space="preserve">Smith (1991) argues that </w:t>
      </w:r>
      <w:r>
        <w:rPr>
          <w:sz w:val="24"/>
          <w:szCs w:val="24"/>
        </w:rPr>
        <w:t>a</w:t>
      </w:r>
      <w:r w:rsidRPr="00D8739A">
        <w:rPr>
          <w:sz w:val="24"/>
          <w:szCs w:val="24"/>
        </w:rPr>
        <w:t xml:space="preserve"> case study</w:t>
      </w:r>
      <w:r>
        <w:rPr>
          <w:sz w:val="24"/>
          <w:szCs w:val="24"/>
        </w:rPr>
        <w:t xml:space="preserve"> </w:t>
      </w:r>
      <w:r w:rsidRPr="00D8739A">
        <w:rPr>
          <w:sz w:val="24"/>
          <w:szCs w:val="24"/>
        </w:rPr>
        <w:t xml:space="preserve">is “the logically weakest method of knowing” (p.375) </w:t>
      </w:r>
      <w:r>
        <w:rPr>
          <w:sz w:val="24"/>
          <w:szCs w:val="24"/>
        </w:rPr>
        <w:t xml:space="preserve">which some consider </w:t>
      </w:r>
      <w:r w:rsidRPr="00D8739A">
        <w:rPr>
          <w:sz w:val="24"/>
          <w:szCs w:val="24"/>
        </w:rPr>
        <w:t>focuses on the idiosyncratic complexity within a certain situation and not on the whole population of cases (Burns, 1997</w:t>
      </w:r>
      <w:r>
        <w:rPr>
          <w:sz w:val="24"/>
          <w:szCs w:val="24"/>
        </w:rPr>
        <w:t>;</w:t>
      </w:r>
      <w:r w:rsidRPr="00DA7384">
        <w:rPr>
          <w:sz w:val="24"/>
          <w:szCs w:val="24"/>
        </w:rPr>
        <w:t xml:space="preserve"> Gilbert, 2008; Wellington, 2015</w:t>
      </w:r>
      <w:r w:rsidRPr="00D8739A">
        <w:rPr>
          <w:sz w:val="24"/>
          <w:szCs w:val="24"/>
        </w:rPr>
        <w:t xml:space="preserve">). </w:t>
      </w:r>
      <w:r w:rsidRPr="00420861">
        <w:rPr>
          <w:sz w:val="24"/>
          <w:szCs w:val="24"/>
        </w:rPr>
        <w:t xml:space="preserve">In addition, Yin (2009) argues that a case study does not always consider the nuances and details within the context. </w:t>
      </w:r>
      <w:r w:rsidRPr="00D8739A">
        <w:rPr>
          <w:sz w:val="24"/>
          <w:szCs w:val="24"/>
        </w:rPr>
        <w:t xml:space="preserve">Not wishing to study a single case of “an instance in action” (Cohen, </w:t>
      </w:r>
      <w:r w:rsidR="00FB3A6E" w:rsidRPr="00FB3A6E">
        <w:rPr>
          <w:i/>
          <w:sz w:val="24"/>
          <w:szCs w:val="24"/>
        </w:rPr>
        <w:t>et al.</w:t>
      </w:r>
      <w:r w:rsidRPr="00D8739A">
        <w:rPr>
          <w:sz w:val="24"/>
          <w:szCs w:val="24"/>
        </w:rPr>
        <w:t>, 2019, p.375) I felt a case study might not provide sufficient</w:t>
      </w:r>
      <w:r>
        <w:rPr>
          <w:sz w:val="24"/>
          <w:szCs w:val="24"/>
        </w:rPr>
        <w:t xml:space="preserve"> </w:t>
      </w:r>
      <w:r w:rsidRPr="00D8739A">
        <w:rPr>
          <w:sz w:val="24"/>
          <w:szCs w:val="24"/>
        </w:rPr>
        <w:t>depth</w:t>
      </w:r>
      <w:r>
        <w:rPr>
          <w:sz w:val="24"/>
          <w:szCs w:val="24"/>
        </w:rPr>
        <w:t xml:space="preserve"> within both personal stories and the wider context</w:t>
      </w:r>
      <w:r w:rsidRPr="00D8739A">
        <w:rPr>
          <w:sz w:val="24"/>
          <w:szCs w:val="24"/>
        </w:rPr>
        <w:t>. I</w:t>
      </w:r>
      <w:r>
        <w:rPr>
          <w:sz w:val="24"/>
          <w:szCs w:val="24"/>
        </w:rPr>
        <w:t xml:space="preserve">n the future </w:t>
      </w:r>
      <w:r w:rsidRPr="00D8739A">
        <w:rPr>
          <w:sz w:val="24"/>
          <w:szCs w:val="24"/>
        </w:rPr>
        <w:t>a case study would be something I might use if I were seek</w:t>
      </w:r>
      <w:r w:rsidR="003C5D47">
        <w:rPr>
          <w:sz w:val="24"/>
          <w:szCs w:val="24"/>
        </w:rPr>
        <w:t>ing</w:t>
      </w:r>
      <w:r w:rsidRPr="00D8739A">
        <w:rPr>
          <w:sz w:val="24"/>
          <w:szCs w:val="24"/>
        </w:rPr>
        <w:t xml:space="preserve"> data </w:t>
      </w:r>
      <w:r w:rsidR="003515A6">
        <w:rPr>
          <w:sz w:val="24"/>
          <w:szCs w:val="24"/>
        </w:rPr>
        <w:t xml:space="preserve">from one contextual source.  </w:t>
      </w:r>
    </w:p>
    <w:p w14:paraId="7133D1B1" w14:textId="398C5E3B" w:rsidR="000171E2" w:rsidRDefault="000171E2" w:rsidP="00FC7B31">
      <w:pPr>
        <w:spacing w:line="360" w:lineRule="auto"/>
        <w:rPr>
          <w:sz w:val="24"/>
          <w:szCs w:val="24"/>
        </w:rPr>
      </w:pPr>
      <w:r w:rsidRPr="001E720B">
        <w:rPr>
          <w:sz w:val="24"/>
          <w:szCs w:val="24"/>
        </w:rPr>
        <w:t xml:space="preserve">Semi structured interviews are a popular qualitative data gathering technique (Brown and Danaher, 2019) and occupy a central position in contemporary research methods (Kvale and Brinkmann, 2009). Efficacy of this method relies on the relationship and level of trust established between </w:t>
      </w:r>
      <w:r w:rsidR="00A86499">
        <w:rPr>
          <w:sz w:val="24"/>
          <w:szCs w:val="24"/>
        </w:rPr>
        <w:t xml:space="preserve">the </w:t>
      </w:r>
      <w:r w:rsidRPr="001E720B">
        <w:rPr>
          <w:sz w:val="24"/>
          <w:szCs w:val="24"/>
        </w:rPr>
        <w:t xml:space="preserve">researcher and </w:t>
      </w:r>
      <w:r w:rsidR="00A86499">
        <w:rPr>
          <w:sz w:val="24"/>
          <w:szCs w:val="24"/>
        </w:rPr>
        <w:t xml:space="preserve">the </w:t>
      </w:r>
      <w:r w:rsidRPr="001E720B">
        <w:rPr>
          <w:sz w:val="24"/>
          <w:szCs w:val="24"/>
        </w:rPr>
        <w:t>researched (Brown and Danaher, 2019)</w:t>
      </w:r>
      <w:r w:rsidR="00D61C66">
        <w:rPr>
          <w:sz w:val="24"/>
          <w:szCs w:val="24"/>
        </w:rPr>
        <w:t xml:space="preserve">. </w:t>
      </w:r>
      <w:r w:rsidRPr="001E720B">
        <w:rPr>
          <w:sz w:val="24"/>
          <w:szCs w:val="24"/>
        </w:rPr>
        <w:t>I can bring a level of trust to the interviews based on knowledge drawn from developmental theories (Erikson, 1963)</w:t>
      </w:r>
      <w:r w:rsidR="003515A6">
        <w:rPr>
          <w:sz w:val="24"/>
          <w:szCs w:val="24"/>
        </w:rPr>
        <w:t>,</w:t>
      </w:r>
      <w:r>
        <w:rPr>
          <w:sz w:val="24"/>
          <w:szCs w:val="24"/>
        </w:rPr>
        <w:t xml:space="preserve"> and psychotherapy practice</w:t>
      </w:r>
      <w:r w:rsidRPr="001E720B">
        <w:rPr>
          <w:sz w:val="24"/>
          <w:szCs w:val="24"/>
        </w:rPr>
        <w:t xml:space="preserve">. </w:t>
      </w:r>
      <w:r>
        <w:rPr>
          <w:sz w:val="24"/>
          <w:szCs w:val="24"/>
        </w:rPr>
        <w:t>Furthermore, the semi-structured interview aligns with the critical and reflexive psychosocial positionality of the researcher.</w:t>
      </w:r>
    </w:p>
    <w:p w14:paraId="6C006052" w14:textId="77777777" w:rsidR="000171E2" w:rsidRPr="00FC7B31" w:rsidRDefault="000171E2" w:rsidP="00FC7B31">
      <w:pPr>
        <w:spacing w:line="360" w:lineRule="auto"/>
        <w:rPr>
          <w:b/>
          <w:bCs/>
          <w:sz w:val="24"/>
          <w:szCs w:val="24"/>
        </w:rPr>
      </w:pPr>
      <w:r>
        <w:rPr>
          <w:b/>
          <w:bCs/>
          <w:sz w:val="24"/>
          <w:szCs w:val="24"/>
        </w:rPr>
        <w:t>C</w:t>
      </w:r>
      <w:r w:rsidRPr="00FC7B31">
        <w:rPr>
          <w:b/>
          <w:bCs/>
          <w:sz w:val="24"/>
          <w:szCs w:val="24"/>
        </w:rPr>
        <w:t>onducting sensitive research</w:t>
      </w:r>
    </w:p>
    <w:p w14:paraId="657C0EB7" w14:textId="38A0B224" w:rsidR="000171E2" w:rsidRDefault="000171E2" w:rsidP="00FC7B31">
      <w:pPr>
        <w:spacing w:line="360" w:lineRule="auto"/>
        <w:rPr>
          <w:sz w:val="24"/>
          <w:szCs w:val="24"/>
        </w:rPr>
      </w:pPr>
      <w:r>
        <w:rPr>
          <w:sz w:val="24"/>
          <w:szCs w:val="24"/>
        </w:rPr>
        <w:t xml:space="preserve">Semi-structured interviews </w:t>
      </w:r>
      <w:r w:rsidRPr="001E720B">
        <w:rPr>
          <w:sz w:val="24"/>
          <w:szCs w:val="24"/>
        </w:rPr>
        <w:t>often generate unexpected complexities and research dilemmas including dynamics of power and powerlessness (Jacobson and Akerstrom, 2013</w:t>
      </w:r>
      <w:r w:rsidR="00483E06" w:rsidRPr="001E720B">
        <w:rPr>
          <w:sz w:val="24"/>
          <w:szCs w:val="24"/>
        </w:rPr>
        <w:t>)</w:t>
      </w:r>
      <w:r w:rsidR="00483E06">
        <w:rPr>
          <w:sz w:val="24"/>
          <w:szCs w:val="24"/>
        </w:rPr>
        <w:t xml:space="preserve"> and</w:t>
      </w:r>
      <w:r>
        <w:rPr>
          <w:sz w:val="24"/>
          <w:szCs w:val="24"/>
        </w:rPr>
        <w:t xml:space="preserve"> require sensitive preparation. </w:t>
      </w:r>
      <w:r w:rsidRPr="00F67C8F">
        <w:rPr>
          <w:sz w:val="24"/>
          <w:szCs w:val="24"/>
        </w:rPr>
        <w:t>Ethical protocols, and guidelines cannot guard fully against all research dilemmas</w:t>
      </w:r>
      <w:r>
        <w:rPr>
          <w:sz w:val="24"/>
          <w:szCs w:val="24"/>
        </w:rPr>
        <w:t xml:space="preserve"> therefore </w:t>
      </w:r>
      <w:r w:rsidRPr="00F67C8F">
        <w:rPr>
          <w:sz w:val="24"/>
          <w:szCs w:val="24"/>
        </w:rPr>
        <w:t xml:space="preserve">the researcher needs to judiciously plan for potential research dilemmas. For example, power dynamics and emotions may unfold for participants during the research process (Etherington, 2004), and similarly, the researcher’s emotions may be </w:t>
      </w:r>
      <w:r w:rsidRPr="00F67C8F">
        <w:rPr>
          <w:sz w:val="24"/>
          <w:szCs w:val="24"/>
        </w:rPr>
        <w:lastRenderedPageBreak/>
        <w:t xml:space="preserve">ignited. There is a potential for emotional contagion within the research alliance (Hatfield </w:t>
      </w:r>
      <w:r w:rsidR="00FB3A6E" w:rsidRPr="00FB3A6E">
        <w:rPr>
          <w:i/>
          <w:sz w:val="24"/>
          <w:szCs w:val="24"/>
        </w:rPr>
        <w:t>et al.</w:t>
      </w:r>
      <w:r w:rsidRPr="00F67C8F">
        <w:rPr>
          <w:sz w:val="24"/>
          <w:szCs w:val="24"/>
        </w:rPr>
        <w:t>, 1992), that which DeYoung (2003) refers to as a “thickly populated encounter” (p.2)</w:t>
      </w:r>
      <w:r w:rsidR="00AE0722">
        <w:rPr>
          <w:sz w:val="24"/>
          <w:szCs w:val="24"/>
        </w:rPr>
        <w:t>,</w:t>
      </w:r>
      <w:r w:rsidRPr="00F67C8F">
        <w:rPr>
          <w:sz w:val="24"/>
          <w:szCs w:val="24"/>
        </w:rPr>
        <w:t xml:space="preserve"> whereby unconscious stories, histories, experiences and feelings impact researchers and participants. Already </w:t>
      </w:r>
      <w:r w:rsidR="00953889">
        <w:rPr>
          <w:sz w:val="24"/>
          <w:szCs w:val="24"/>
        </w:rPr>
        <w:t>stated on page 108</w:t>
      </w:r>
      <w:r w:rsidRPr="00F67C8F">
        <w:rPr>
          <w:sz w:val="24"/>
          <w:szCs w:val="24"/>
        </w:rPr>
        <w:t>, my professional knowledge of unconscious dynamics in myself and the other acted as a safeguarding mechanism.</w:t>
      </w:r>
    </w:p>
    <w:p w14:paraId="634D7618" w14:textId="3417FE73" w:rsidR="000171E2" w:rsidRPr="00C9068D" w:rsidRDefault="000171E2" w:rsidP="00F67C8F">
      <w:pPr>
        <w:spacing w:line="360" w:lineRule="auto"/>
        <w:rPr>
          <w:sz w:val="24"/>
          <w:szCs w:val="24"/>
        </w:rPr>
      </w:pPr>
      <w:r w:rsidRPr="00F67C8F">
        <w:rPr>
          <w:sz w:val="24"/>
          <w:szCs w:val="24"/>
        </w:rPr>
        <w:t>Sensitive research can potentially pose a substantial threat to those involved (Lee, 1993). I read this to mean that research generates risk o</w:t>
      </w:r>
      <w:r>
        <w:rPr>
          <w:sz w:val="24"/>
          <w:szCs w:val="24"/>
        </w:rPr>
        <w:t>f</w:t>
      </w:r>
      <w:r w:rsidRPr="00F67C8F">
        <w:rPr>
          <w:sz w:val="24"/>
          <w:szCs w:val="24"/>
        </w:rPr>
        <w:t xml:space="preserve"> potential harm for the participants (Corbin and Morse, 2003; Dickson-Swift </w:t>
      </w:r>
      <w:r w:rsidR="00FB3A6E" w:rsidRPr="00FB3A6E">
        <w:rPr>
          <w:i/>
          <w:sz w:val="24"/>
          <w:szCs w:val="24"/>
        </w:rPr>
        <w:t>et al.</w:t>
      </w:r>
      <w:r w:rsidRPr="00F67C8F">
        <w:rPr>
          <w:sz w:val="24"/>
          <w:szCs w:val="24"/>
        </w:rPr>
        <w:t>, 2007; 2008; 2009; Emerald and Carpenter, 2015). Threats to participants may comprise “a potential intrusion into private, intimate spheres and deep personal experience</w:t>
      </w:r>
      <w:r w:rsidRPr="00F67C8F">
        <w:rPr>
          <w:i/>
          <w:iCs/>
          <w:sz w:val="24"/>
          <w:szCs w:val="24"/>
        </w:rPr>
        <w:t>”</w:t>
      </w:r>
      <w:r w:rsidRPr="00F67C8F">
        <w:rPr>
          <w:sz w:val="24"/>
          <w:szCs w:val="24"/>
        </w:rPr>
        <w:t xml:space="preserve"> (Lee and Renzetti, 1993, p.5). Merely by engaging in an interview, personal, intimate spheres are being brought to light and need to be managed ethically and sensitively</w:t>
      </w:r>
      <w:r>
        <w:rPr>
          <w:sz w:val="24"/>
          <w:szCs w:val="24"/>
        </w:rPr>
        <w:t xml:space="preserve">. </w:t>
      </w:r>
      <w:r w:rsidRPr="00AE607F">
        <w:rPr>
          <w:sz w:val="24"/>
          <w:szCs w:val="24"/>
        </w:rPr>
        <w:t>The instrument of the interview is appropriate as a method for complex situations and areas of sensitivity (Kumar, 2019) as it affords the interviewer the opportunity</w:t>
      </w:r>
      <w:r w:rsidR="0031612D">
        <w:rPr>
          <w:sz w:val="24"/>
          <w:szCs w:val="24"/>
        </w:rPr>
        <w:t xml:space="preserve"> </w:t>
      </w:r>
      <w:r w:rsidRPr="00AE607F">
        <w:rPr>
          <w:sz w:val="24"/>
          <w:szCs w:val="24"/>
        </w:rPr>
        <w:t xml:space="preserve">and time to prepare the participant. My skills </w:t>
      </w:r>
      <w:r>
        <w:rPr>
          <w:sz w:val="24"/>
          <w:szCs w:val="24"/>
        </w:rPr>
        <w:t xml:space="preserve">and sensitivity </w:t>
      </w:r>
      <w:r w:rsidRPr="00AE607F">
        <w:rPr>
          <w:sz w:val="24"/>
          <w:szCs w:val="24"/>
        </w:rPr>
        <w:t xml:space="preserve">as a psychotherapist have the potential of coming into their own such as </w:t>
      </w:r>
      <w:r>
        <w:rPr>
          <w:sz w:val="24"/>
          <w:szCs w:val="24"/>
        </w:rPr>
        <w:t xml:space="preserve">noticing, </w:t>
      </w:r>
      <w:r w:rsidRPr="00AE607F">
        <w:rPr>
          <w:sz w:val="24"/>
          <w:szCs w:val="24"/>
        </w:rPr>
        <w:t>paraphrasing, summarising, reflecting and mirroring to aid in th</w:t>
      </w:r>
      <w:r w:rsidR="00476BAD">
        <w:rPr>
          <w:sz w:val="24"/>
          <w:szCs w:val="24"/>
        </w:rPr>
        <w:t>is</w:t>
      </w:r>
      <w:r w:rsidRPr="00AE607F">
        <w:rPr>
          <w:sz w:val="24"/>
          <w:szCs w:val="24"/>
        </w:rPr>
        <w:t xml:space="preserve"> process</w:t>
      </w:r>
      <w:r>
        <w:rPr>
          <w:sz w:val="24"/>
          <w:szCs w:val="24"/>
        </w:rPr>
        <w:t>.</w:t>
      </w:r>
      <w:bookmarkStart w:id="56" w:name="_Hlk214082775"/>
    </w:p>
    <w:bookmarkEnd w:id="56"/>
    <w:p w14:paraId="2DB85AF9" w14:textId="21517A6A" w:rsidR="000171E2" w:rsidRPr="00C9068D" w:rsidRDefault="000171E2" w:rsidP="00DA17F3">
      <w:pPr>
        <w:spacing w:line="360" w:lineRule="auto"/>
        <w:rPr>
          <w:sz w:val="24"/>
          <w:szCs w:val="24"/>
        </w:rPr>
      </w:pPr>
      <w:r w:rsidRPr="00C9068D">
        <w:rPr>
          <w:sz w:val="24"/>
          <w:szCs w:val="24"/>
        </w:rPr>
        <w:t xml:space="preserve">Preparation involved discussing potential sensitive issues in advance with my research </w:t>
      </w:r>
      <w:r w:rsidR="006637B3" w:rsidRPr="00C9068D">
        <w:rPr>
          <w:sz w:val="24"/>
          <w:szCs w:val="24"/>
        </w:rPr>
        <w:t>supervisors and</w:t>
      </w:r>
      <w:r w:rsidRPr="00C9068D">
        <w:rPr>
          <w:sz w:val="24"/>
          <w:szCs w:val="24"/>
        </w:rPr>
        <w:t xml:space="preserve"> delineating in the ethical approval </w:t>
      </w:r>
      <w:r w:rsidR="00521FA1">
        <w:rPr>
          <w:sz w:val="24"/>
          <w:szCs w:val="24"/>
        </w:rPr>
        <w:t xml:space="preserve">application </w:t>
      </w:r>
      <w:r w:rsidRPr="00C9068D">
        <w:rPr>
          <w:sz w:val="24"/>
          <w:szCs w:val="24"/>
        </w:rPr>
        <w:t xml:space="preserve">process </w:t>
      </w:r>
      <w:r w:rsidR="00521FA1">
        <w:rPr>
          <w:sz w:val="24"/>
          <w:szCs w:val="24"/>
        </w:rPr>
        <w:t xml:space="preserve">a number of </w:t>
      </w:r>
      <w:r w:rsidRPr="00C9068D">
        <w:rPr>
          <w:sz w:val="24"/>
          <w:szCs w:val="24"/>
        </w:rPr>
        <w:t>safeguarding mechanisms for participants and their stakeholders</w:t>
      </w:r>
      <w:r w:rsidR="00380EED">
        <w:rPr>
          <w:sz w:val="24"/>
          <w:szCs w:val="24"/>
        </w:rPr>
        <w:t xml:space="preserve"> (GRIP</w:t>
      </w:r>
      <w:r w:rsidR="002355B2">
        <w:rPr>
          <w:sz w:val="24"/>
          <w:szCs w:val="24"/>
        </w:rPr>
        <w:t>, 2022)</w:t>
      </w:r>
      <w:r w:rsidRPr="00C9068D">
        <w:rPr>
          <w:sz w:val="24"/>
          <w:szCs w:val="24"/>
        </w:rPr>
        <w:t xml:space="preserve">. </w:t>
      </w:r>
      <w:r>
        <w:rPr>
          <w:sz w:val="24"/>
          <w:szCs w:val="24"/>
        </w:rPr>
        <w:t>For example</w:t>
      </w:r>
      <w:r w:rsidR="00D364AD">
        <w:rPr>
          <w:sz w:val="24"/>
          <w:szCs w:val="24"/>
        </w:rPr>
        <w:t xml:space="preserve">, </w:t>
      </w:r>
      <w:r>
        <w:rPr>
          <w:sz w:val="24"/>
          <w:szCs w:val="24"/>
        </w:rPr>
        <w:t xml:space="preserve">I considered carefully </w:t>
      </w:r>
      <w:r w:rsidRPr="00C9068D">
        <w:rPr>
          <w:sz w:val="24"/>
          <w:szCs w:val="24"/>
        </w:rPr>
        <w:t>what happens to participants after the research intervention</w:t>
      </w:r>
      <w:r>
        <w:rPr>
          <w:sz w:val="24"/>
          <w:szCs w:val="24"/>
        </w:rPr>
        <w:t>s</w:t>
      </w:r>
      <w:r w:rsidRPr="00C9068D">
        <w:rPr>
          <w:sz w:val="24"/>
          <w:szCs w:val="24"/>
        </w:rPr>
        <w:t xml:space="preserve"> </w:t>
      </w:r>
      <w:r>
        <w:rPr>
          <w:sz w:val="24"/>
          <w:szCs w:val="24"/>
        </w:rPr>
        <w:t xml:space="preserve">were </w:t>
      </w:r>
      <w:r w:rsidRPr="00C9068D">
        <w:rPr>
          <w:sz w:val="24"/>
          <w:szCs w:val="24"/>
        </w:rPr>
        <w:t>concluded, because I believe the process journey continues for the</w:t>
      </w:r>
      <w:r>
        <w:rPr>
          <w:sz w:val="24"/>
          <w:szCs w:val="24"/>
        </w:rPr>
        <w:t>m</w:t>
      </w:r>
      <w:r w:rsidRPr="00C9068D">
        <w:rPr>
          <w:sz w:val="24"/>
          <w:szCs w:val="24"/>
        </w:rPr>
        <w:t>. Coyle (1998) states: “</w:t>
      </w:r>
      <w:r w:rsidR="00C01BCC">
        <w:rPr>
          <w:sz w:val="24"/>
          <w:szCs w:val="24"/>
        </w:rPr>
        <w:t>I</w:t>
      </w:r>
      <w:r w:rsidRPr="00C9068D">
        <w:rPr>
          <w:sz w:val="24"/>
          <w:szCs w:val="24"/>
        </w:rPr>
        <w:t>t verges on the unethical for a researcher to address sensitive issues with respondents, restimulate painful experiences, record them, then simply depart from the interview situation” (p. 57). Referring to the somewhat emotive term “rape research”, Lather (1986</w:t>
      </w:r>
      <w:r>
        <w:rPr>
          <w:sz w:val="24"/>
          <w:szCs w:val="24"/>
        </w:rPr>
        <w:t>, p.263</w:t>
      </w:r>
      <w:r w:rsidRPr="00C9068D">
        <w:rPr>
          <w:sz w:val="24"/>
          <w:szCs w:val="24"/>
        </w:rPr>
        <w:t xml:space="preserve">) describes research that only benefits the researcher can be considered disrespectful to participants (Heron and Reason, 1997).  Similarly, Cochran </w:t>
      </w:r>
      <w:r w:rsidR="00FB3A6E" w:rsidRPr="00FB3A6E">
        <w:rPr>
          <w:i/>
          <w:sz w:val="24"/>
          <w:szCs w:val="24"/>
        </w:rPr>
        <w:t>et al.</w:t>
      </w:r>
      <w:r w:rsidR="00C01BCC">
        <w:rPr>
          <w:sz w:val="24"/>
          <w:szCs w:val="24"/>
        </w:rPr>
        <w:t xml:space="preserve"> </w:t>
      </w:r>
      <w:r w:rsidRPr="00C9068D">
        <w:rPr>
          <w:sz w:val="24"/>
          <w:szCs w:val="24"/>
        </w:rPr>
        <w:t xml:space="preserve"> (2008) liken researchers to mosquitoes </w:t>
      </w:r>
      <w:r>
        <w:rPr>
          <w:sz w:val="24"/>
          <w:szCs w:val="24"/>
        </w:rPr>
        <w:t xml:space="preserve">who take </w:t>
      </w:r>
      <w:r w:rsidRPr="00C9068D">
        <w:rPr>
          <w:sz w:val="24"/>
          <w:szCs w:val="24"/>
        </w:rPr>
        <w:t>the participant</w:t>
      </w:r>
      <w:r w:rsidR="00406589">
        <w:rPr>
          <w:sz w:val="24"/>
          <w:szCs w:val="24"/>
        </w:rPr>
        <w:t>’</w:t>
      </w:r>
      <w:r w:rsidRPr="00C9068D">
        <w:rPr>
          <w:sz w:val="24"/>
          <w:szCs w:val="24"/>
        </w:rPr>
        <w:t>s</w:t>
      </w:r>
      <w:r>
        <w:rPr>
          <w:sz w:val="24"/>
          <w:szCs w:val="24"/>
        </w:rPr>
        <w:t xml:space="preserve"> blood</w:t>
      </w:r>
      <w:r w:rsidRPr="00C9068D">
        <w:rPr>
          <w:sz w:val="24"/>
          <w:szCs w:val="24"/>
        </w:rPr>
        <w:t xml:space="preserve"> and then leave</w:t>
      </w:r>
      <w:r w:rsidR="00E27195">
        <w:rPr>
          <w:sz w:val="24"/>
          <w:szCs w:val="24"/>
        </w:rPr>
        <w:t>. T</w:t>
      </w:r>
      <w:r w:rsidRPr="00C9068D">
        <w:rPr>
          <w:sz w:val="24"/>
          <w:szCs w:val="24"/>
        </w:rPr>
        <w:t>his provocative metaphor</w:t>
      </w:r>
      <w:r>
        <w:rPr>
          <w:sz w:val="24"/>
          <w:szCs w:val="24"/>
        </w:rPr>
        <w:t xml:space="preserve"> </w:t>
      </w:r>
      <w:r w:rsidRPr="00C9068D">
        <w:rPr>
          <w:sz w:val="24"/>
          <w:szCs w:val="24"/>
        </w:rPr>
        <w:t>led me to consider the researcher’s responsibility towards participants more deeply.</w:t>
      </w:r>
      <w:r w:rsidR="00993046">
        <w:rPr>
          <w:sz w:val="24"/>
          <w:szCs w:val="24"/>
        </w:rPr>
        <w:t xml:space="preserve"> </w:t>
      </w:r>
      <w:r w:rsidR="00804CAB">
        <w:rPr>
          <w:sz w:val="24"/>
          <w:szCs w:val="24"/>
        </w:rPr>
        <w:t>For example, I intend sharing the outcomes of the research with participants</w:t>
      </w:r>
      <w:r w:rsidR="005B590A">
        <w:rPr>
          <w:sz w:val="24"/>
          <w:szCs w:val="24"/>
        </w:rPr>
        <w:t xml:space="preserve"> to mitigate against their potentially feeling</w:t>
      </w:r>
      <w:r w:rsidR="00A80BE9">
        <w:rPr>
          <w:sz w:val="24"/>
          <w:szCs w:val="24"/>
        </w:rPr>
        <w:t xml:space="preserve"> they were</w:t>
      </w:r>
      <w:r w:rsidR="006D767C">
        <w:rPr>
          <w:sz w:val="24"/>
          <w:szCs w:val="24"/>
        </w:rPr>
        <w:t xml:space="preserve"> simply</w:t>
      </w:r>
      <w:r w:rsidR="00A80BE9">
        <w:rPr>
          <w:sz w:val="24"/>
          <w:szCs w:val="24"/>
        </w:rPr>
        <w:t xml:space="preserve"> a host to</w:t>
      </w:r>
      <w:r w:rsidRPr="00C9068D">
        <w:rPr>
          <w:sz w:val="24"/>
          <w:szCs w:val="24"/>
        </w:rPr>
        <w:t xml:space="preserve"> </w:t>
      </w:r>
      <w:r w:rsidR="006D767C">
        <w:rPr>
          <w:sz w:val="24"/>
          <w:szCs w:val="24"/>
        </w:rPr>
        <w:t>feast on.</w:t>
      </w:r>
    </w:p>
    <w:p w14:paraId="1486DDA6" w14:textId="1B13C09A" w:rsidR="000171E2" w:rsidRDefault="000171E2" w:rsidP="00DA17F3">
      <w:pPr>
        <w:spacing w:line="360" w:lineRule="auto"/>
        <w:rPr>
          <w:sz w:val="24"/>
          <w:szCs w:val="24"/>
        </w:rPr>
      </w:pPr>
      <w:r w:rsidRPr="00C9068D">
        <w:rPr>
          <w:sz w:val="24"/>
          <w:szCs w:val="24"/>
        </w:rPr>
        <w:lastRenderedPageBreak/>
        <w:t>To avoid participants potentially feeling being used as</w:t>
      </w:r>
      <w:r w:rsidR="00200F2E">
        <w:rPr>
          <w:sz w:val="24"/>
          <w:szCs w:val="24"/>
        </w:rPr>
        <w:t xml:space="preserve"> </w:t>
      </w:r>
      <w:r w:rsidRPr="00C9068D">
        <w:rPr>
          <w:sz w:val="24"/>
          <w:szCs w:val="24"/>
        </w:rPr>
        <w:t>commodit</w:t>
      </w:r>
      <w:r w:rsidR="00200F2E">
        <w:rPr>
          <w:sz w:val="24"/>
          <w:szCs w:val="24"/>
        </w:rPr>
        <w:t>ies</w:t>
      </w:r>
      <w:r w:rsidRPr="00C9068D">
        <w:rPr>
          <w:sz w:val="24"/>
          <w:szCs w:val="24"/>
        </w:rPr>
        <w:t xml:space="preserve">, I ensured I was respectful and grateful, and thanked each participant before, during and following data collection. If the ethics and boundaries of research participation are clear, and the participant has chosen to take part in a study, it is worthy of note that they have total agency in their choice to leave or to remove their consent at any point (Appendix E). This information was imparted in the participant information (Appendix D) prior to taking part in the study. Boundaries, ethics and sensitivity to the process are my priority and I have mitigated against the breach of any boundaries by adhering to the GRIP (2022) policy, dialoguing with my research supervisors and holding to the participant contract and ethical approval </w:t>
      </w:r>
      <w:r w:rsidR="002D02D9">
        <w:rPr>
          <w:sz w:val="24"/>
          <w:szCs w:val="24"/>
        </w:rPr>
        <w:t>application process</w:t>
      </w:r>
      <w:r w:rsidR="00315F8D">
        <w:rPr>
          <w:sz w:val="24"/>
          <w:szCs w:val="24"/>
        </w:rPr>
        <w:t xml:space="preserve"> </w:t>
      </w:r>
      <w:r w:rsidR="001E250D">
        <w:rPr>
          <w:sz w:val="24"/>
          <w:szCs w:val="24"/>
        </w:rPr>
        <w:t>(Appendix G)</w:t>
      </w:r>
      <w:r w:rsidRPr="00C9068D">
        <w:rPr>
          <w:sz w:val="24"/>
          <w:szCs w:val="24"/>
        </w:rPr>
        <w:t xml:space="preserve">. </w:t>
      </w:r>
    </w:p>
    <w:p w14:paraId="14F1DEF5" w14:textId="20403F29" w:rsidR="000171E2" w:rsidRPr="007D1CD6" w:rsidRDefault="000171E2" w:rsidP="00DA17F3">
      <w:pPr>
        <w:spacing w:line="360" w:lineRule="auto"/>
        <w:rPr>
          <w:sz w:val="24"/>
          <w:szCs w:val="24"/>
        </w:rPr>
      </w:pPr>
      <w:r>
        <w:rPr>
          <w:sz w:val="24"/>
          <w:szCs w:val="24"/>
        </w:rPr>
        <w:t xml:space="preserve">I am concluding this section by flagging up an omission in the GRIP (2022) policies with reference to preparation and care for the researcher. </w:t>
      </w:r>
      <w:r w:rsidRPr="00A03CC2">
        <w:rPr>
          <w:sz w:val="24"/>
          <w:szCs w:val="24"/>
        </w:rPr>
        <w:t>Modelling ethical practice, researchers are required to protect the rights of the participants and to protect them from harm (Gabriel and Casemore, 2009).</w:t>
      </w:r>
      <w:r w:rsidRPr="00A03CC2">
        <w:rPr>
          <w:bCs/>
          <w:sz w:val="24"/>
          <w:szCs w:val="24"/>
        </w:rPr>
        <w:t xml:space="preserve"> The GRIP</w:t>
      </w:r>
      <w:r>
        <w:rPr>
          <w:bCs/>
          <w:sz w:val="24"/>
          <w:szCs w:val="24"/>
        </w:rPr>
        <w:t xml:space="preserve"> (2022)</w:t>
      </w:r>
      <w:r w:rsidRPr="00A03CC2">
        <w:rPr>
          <w:bCs/>
          <w:sz w:val="24"/>
          <w:szCs w:val="24"/>
        </w:rPr>
        <w:t xml:space="preserve"> </w:t>
      </w:r>
      <w:r>
        <w:rPr>
          <w:sz w:val="24"/>
          <w:szCs w:val="24"/>
        </w:rPr>
        <w:t xml:space="preserve">document is </w:t>
      </w:r>
      <w:r w:rsidRPr="00A03CC2">
        <w:rPr>
          <w:sz w:val="24"/>
          <w:szCs w:val="24"/>
        </w:rPr>
        <w:t>replete with safety directives</w:t>
      </w:r>
      <w:r w:rsidR="006D767C">
        <w:rPr>
          <w:sz w:val="24"/>
          <w:szCs w:val="24"/>
        </w:rPr>
        <w:t xml:space="preserve"> </w:t>
      </w:r>
      <w:r w:rsidRPr="00A03CC2">
        <w:rPr>
          <w:sz w:val="24"/>
          <w:szCs w:val="24"/>
        </w:rPr>
        <w:t>for the participant, however, safeguarding for the researcher (</w:t>
      </w:r>
      <w:r w:rsidRPr="00DA17F3">
        <w:rPr>
          <w:sz w:val="24"/>
          <w:szCs w:val="24"/>
        </w:rPr>
        <w:t>Denzin, 1997</w:t>
      </w:r>
      <w:r>
        <w:rPr>
          <w:sz w:val="24"/>
          <w:szCs w:val="24"/>
        </w:rPr>
        <w:t xml:space="preserve">; </w:t>
      </w:r>
      <w:r w:rsidRPr="00A03CC2">
        <w:rPr>
          <w:sz w:val="24"/>
          <w:szCs w:val="24"/>
        </w:rPr>
        <w:t xml:space="preserve">Villa-Vicencio, 1994) </w:t>
      </w:r>
      <w:r w:rsidR="00063A89">
        <w:rPr>
          <w:sz w:val="24"/>
          <w:szCs w:val="24"/>
        </w:rPr>
        <w:t>is</w:t>
      </w:r>
      <w:r w:rsidRPr="00A03CC2">
        <w:rPr>
          <w:sz w:val="24"/>
          <w:szCs w:val="24"/>
        </w:rPr>
        <w:t xml:space="preserve"> in my view underrepresented</w:t>
      </w:r>
      <w:r>
        <w:rPr>
          <w:sz w:val="24"/>
          <w:szCs w:val="24"/>
        </w:rPr>
        <w:t>.</w:t>
      </w:r>
      <w:r w:rsidRPr="00A03CC2">
        <w:rPr>
          <w:sz w:val="24"/>
          <w:szCs w:val="24"/>
        </w:rPr>
        <w:t xml:space="preserve"> </w:t>
      </w:r>
      <w:r>
        <w:rPr>
          <w:sz w:val="24"/>
          <w:szCs w:val="24"/>
        </w:rPr>
        <w:t>T</w:t>
      </w:r>
      <w:r w:rsidRPr="00A03CC2">
        <w:rPr>
          <w:sz w:val="24"/>
          <w:szCs w:val="24"/>
        </w:rPr>
        <w:t xml:space="preserve">here is not enough care afforded researchers. The </w:t>
      </w:r>
      <w:r>
        <w:rPr>
          <w:sz w:val="24"/>
          <w:szCs w:val="24"/>
        </w:rPr>
        <w:t xml:space="preserve">need for </w:t>
      </w:r>
      <w:r w:rsidRPr="00A03CC2">
        <w:rPr>
          <w:sz w:val="24"/>
          <w:szCs w:val="24"/>
        </w:rPr>
        <w:t xml:space="preserve">symbolic representations of care </w:t>
      </w:r>
      <w:r>
        <w:rPr>
          <w:sz w:val="24"/>
          <w:szCs w:val="24"/>
        </w:rPr>
        <w:t xml:space="preserve">is required at times </w:t>
      </w:r>
      <w:r w:rsidRPr="00A03CC2">
        <w:rPr>
          <w:sz w:val="24"/>
          <w:szCs w:val="24"/>
        </w:rPr>
        <w:t>of transition, challenge or difficulty (Young, 1994)</w:t>
      </w:r>
      <w:r>
        <w:rPr>
          <w:sz w:val="24"/>
          <w:szCs w:val="24"/>
        </w:rPr>
        <w:t>,</w:t>
      </w:r>
      <w:r w:rsidRPr="00A03CC2">
        <w:rPr>
          <w:sz w:val="24"/>
          <w:szCs w:val="24"/>
        </w:rPr>
        <w:t xml:space="preserve"> </w:t>
      </w:r>
      <w:r>
        <w:rPr>
          <w:sz w:val="24"/>
          <w:szCs w:val="24"/>
        </w:rPr>
        <w:t xml:space="preserve">and conducting </w:t>
      </w:r>
      <w:r w:rsidRPr="00A03CC2">
        <w:rPr>
          <w:sz w:val="24"/>
          <w:szCs w:val="24"/>
        </w:rPr>
        <w:t>research</w:t>
      </w:r>
      <w:r>
        <w:rPr>
          <w:sz w:val="24"/>
          <w:szCs w:val="24"/>
        </w:rPr>
        <w:t xml:space="preserve"> is difficult and challenging</w:t>
      </w:r>
      <w:r w:rsidRPr="00A03CC2">
        <w:rPr>
          <w:sz w:val="24"/>
          <w:szCs w:val="24"/>
        </w:rPr>
        <w:t>. Support and care for the researcher could be enhanced by policies, procedures and training offerings that I found deficient</w:t>
      </w:r>
      <w:r>
        <w:rPr>
          <w:sz w:val="24"/>
          <w:szCs w:val="24"/>
        </w:rPr>
        <w:t xml:space="preserve"> as a neophyte researcher</w:t>
      </w:r>
      <w:r w:rsidR="00637272">
        <w:rPr>
          <w:sz w:val="24"/>
          <w:szCs w:val="24"/>
        </w:rPr>
        <w:t xml:space="preserve"> (</w:t>
      </w:r>
      <w:r w:rsidR="001B6E8E">
        <w:rPr>
          <w:sz w:val="24"/>
          <w:szCs w:val="24"/>
        </w:rPr>
        <w:t>s</w:t>
      </w:r>
      <w:r w:rsidR="00637272">
        <w:rPr>
          <w:sz w:val="24"/>
          <w:szCs w:val="24"/>
        </w:rPr>
        <w:t xml:space="preserve">ee Appendix </w:t>
      </w:r>
      <w:r w:rsidR="001B6E8E">
        <w:rPr>
          <w:sz w:val="24"/>
          <w:szCs w:val="24"/>
        </w:rPr>
        <w:t>L</w:t>
      </w:r>
      <w:r w:rsidR="00D205EE">
        <w:rPr>
          <w:sz w:val="24"/>
          <w:szCs w:val="24"/>
        </w:rPr>
        <w:t>)</w:t>
      </w:r>
      <w:r w:rsidRPr="00A03CC2">
        <w:rPr>
          <w:sz w:val="24"/>
          <w:szCs w:val="24"/>
        </w:rPr>
        <w:t xml:space="preserve">. This deficit is somewhat disappointing particularly as research is a sensitive area (Lee, 1993; Coyle, 1998; Cohen, </w:t>
      </w:r>
      <w:r w:rsidR="00FB3A6E" w:rsidRPr="00FB3A6E">
        <w:rPr>
          <w:i/>
          <w:sz w:val="24"/>
          <w:szCs w:val="24"/>
        </w:rPr>
        <w:t>et al.</w:t>
      </w:r>
      <w:r w:rsidRPr="00A03CC2">
        <w:rPr>
          <w:sz w:val="24"/>
          <w:szCs w:val="24"/>
        </w:rPr>
        <w:t xml:space="preserve">, 2019) that requires specific skills, a sound knowledge of the research craft and the understanding of ethics (Mutch, 1998). </w:t>
      </w:r>
    </w:p>
    <w:p w14:paraId="1E031294" w14:textId="77777777" w:rsidR="000171E2" w:rsidRPr="00097C57" w:rsidRDefault="000171E2" w:rsidP="0001019C">
      <w:pPr>
        <w:rPr>
          <w:b/>
          <w:bCs/>
          <w:sz w:val="24"/>
          <w:szCs w:val="24"/>
        </w:rPr>
      </w:pPr>
      <w:r>
        <w:rPr>
          <w:b/>
          <w:bCs/>
          <w:sz w:val="24"/>
          <w:szCs w:val="24"/>
        </w:rPr>
        <w:t>The interview platform</w:t>
      </w:r>
    </w:p>
    <w:p w14:paraId="76EC8CBB" w14:textId="5797C715" w:rsidR="000171E2" w:rsidRPr="00097C57" w:rsidRDefault="000171E2" w:rsidP="00CE6DAE">
      <w:pPr>
        <w:spacing w:line="360" w:lineRule="auto"/>
        <w:rPr>
          <w:sz w:val="24"/>
          <w:szCs w:val="24"/>
        </w:rPr>
      </w:pPr>
      <w:r w:rsidRPr="00097C57">
        <w:rPr>
          <w:sz w:val="24"/>
          <w:szCs w:val="24"/>
        </w:rPr>
        <w:t xml:space="preserve">Interviews can be time-consuming and expensive (Kumar, 2019) due to </w:t>
      </w:r>
      <w:r>
        <w:rPr>
          <w:sz w:val="24"/>
          <w:szCs w:val="24"/>
        </w:rPr>
        <w:t xml:space="preserve">a </w:t>
      </w:r>
      <w:r w:rsidRPr="00097C57">
        <w:rPr>
          <w:sz w:val="24"/>
          <w:szCs w:val="24"/>
        </w:rPr>
        <w:t>wide geographical dispersal of participants</w:t>
      </w:r>
      <w:r w:rsidR="00D93B8A">
        <w:rPr>
          <w:sz w:val="24"/>
          <w:szCs w:val="24"/>
        </w:rPr>
        <w:t>,</w:t>
      </w:r>
      <w:r w:rsidRPr="00097C57">
        <w:rPr>
          <w:sz w:val="24"/>
          <w:szCs w:val="24"/>
        </w:rPr>
        <w:t xml:space="preserve"> and</w:t>
      </w:r>
      <w:r>
        <w:rPr>
          <w:sz w:val="24"/>
          <w:szCs w:val="24"/>
        </w:rPr>
        <w:t xml:space="preserve"> </w:t>
      </w:r>
      <w:r w:rsidRPr="00CE6DAE">
        <w:rPr>
          <w:sz w:val="24"/>
          <w:szCs w:val="24"/>
        </w:rPr>
        <w:t>the most efficient way to conduct the interviews</w:t>
      </w:r>
      <w:r>
        <w:rPr>
          <w:sz w:val="24"/>
          <w:szCs w:val="24"/>
        </w:rPr>
        <w:t xml:space="preserve"> needed consideration</w:t>
      </w:r>
      <w:r w:rsidRPr="00CE6DAE">
        <w:rPr>
          <w:sz w:val="24"/>
          <w:szCs w:val="24"/>
        </w:rPr>
        <w:t xml:space="preserve"> (Sedgwick and Spiers, 2009</w:t>
      </w:r>
      <w:r>
        <w:rPr>
          <w:sz w:val="24"/>
          <w:szCs w:val="24"/>
        </w:rPr>
        <w:t>). I decided to i</w:t>
      </w:r>
      <w:r w:rsidRPr="00097C57">
        <w:rPr>
          <w:sz w:val="24"/>
          <w:szCs w:val="24"/>
        </w:rPr>
        <w:t>nterview participants virtually</w:t>
      </w:r>
      <w:r>
        <w:rPr>
          <w:sz w:val="24"/>
          <w:szCs w:val="24"/>
        </w:rPr>
        <w:t xml:space="preserve"> and t</w:t>
      </w:r>
      <w:r w:rsidRPr="00097C57">
        <w:rPr>
          <w:sz w:val="24"/>
          <w:szCs w:val="24"/>
        </w:rPr>
        <w:t>here were t</w:t>
      </w:r>
      <w:r w:rsidR="000552DE">
        <w:rPr>
          <w:sz w:val="24"/>
          <w:szCs w:val="24"/>
        </w:rPr>
        <w:t>wo</w:t>
      </w:r>
      <w:r w:rsidRPr="00097C57">
        <w:rPr>
          <w:sz w:val="24"/>
          <w:szCs w:val="24"/>
        </w:rPr>
        <w:t xml:space="preserve"> main considerations for this choice. </w:t>
      </w:r>
      <w:r w:rsidR="008A3C74">
        <w:rPr>
          <w:sz w:val="24"/>
          <w:szCs w:val="24"/>
        </w:rPr>
        <w:t xml:space="preserve">Firstly, </w:t>
      </w:r>
      <w:r w:rsidRPr="00097C57">
        <w:rPr>
          <w:sz w:val="24"/>
          <w:szCs w:val="24"/>
        </w:rPr>
        <w:t xml:space="preserve">there was a possibility of a wide geographical dispersal in my impending recruitment drive. </w:t>
      </w:r>
      <w:r w:rsidR="008A3C74">
        <w:rPr>
          <w:sz w:val="24"/>
          <w:szCs w:val="24"/>
        </w:rPr>
        <w:t>Secondly</w:t>
      </w:r>
      <w:r w:rsidRPr="00097C57">
        <w:rPr>
          <w:sz w:val="24"/>
          <w:szCs w:val="24"/>
        </w:rPr>
        <w:t xml:space="preserve">, I was conducting interviews in a post pandemic period where virtual working was normalised. </w:t>
      </w:r>
    </w:p>
    <w:p w14:paraId="6BDFE162" w14:textId="4675310F" w:rsidR="000171E2" w:rsidRDefault="000171E2" w:rsidP="00CE6DAE">
      <w:pPr>
        <w:spacing w:line="360" w:lineRule="auto"/>
        <w:rPr>
          <w:sz w:val="24"/>
          <w:szCs w:val="24"/>
        </w:rPr>
      </w:pPr>
      <w:r>
        <w:rPr>
          <w:sz w:val="24"/>
          <w:szCs w:val="24"/>
        </w:rPr>
        <w:lastRenderedPageBreak/>
        <w:t>In line with the GRIP (2022) policies</w:t>
      </w:r>
      <w:r w:rsidR="006237D0">
        <w:rPr>
          <w:sz w:val="24"/>
          <w:szCs w:val="24"/>
        </w:rPr>
        <w:t xml:space="preserve">, </w:t>
      </w:r>
      <w:r>
        <w:rPr>
          <w:sz w:val="24"/>
          <w:szCs w:val="24"/>
        </w:rPr>
        <w:t xml:space="preserve">it was important to implement safeguarding mechanisms for the interview process. The interviews were conducted using </w:t>
      </w:r>
      <w:r w:rsidRPr="007D26D7">
        <w:rPr>
          <w:sz w:val="24"/>
          <w:szCs w:val="24"/>
        </w:rPr>
        <w:t>Google Meet</w:t>
      </w:r>
      <w:r>
        <w:rPr>
          <w:sz w:val="24"/>
          <w:szCs w:val="24"/>
        </w:rPr>
        <w:t xml:space="preserve">, </w:t>
      </w:r>
      <w:r w:rsidRPr="007D26D7">
        <w:rPr>
          <w:sz w:val="24"/>
          <w:szCs w:val="24"/>
        </w:rPr>
        <w:t xml:space="preserve">a platform </w:t>
      </w:r>
      <w:r>
        <w:rPr>
          <w:sz w:val="24"/>
          <w:szCs w:val="24"/>
        </w:rPr>
        <w:t xml:space="preserve">available to </w:t>
      </w:r>
      <w:r w:rsidRPr="007D26D7">
        <w:rPr>
          <w:sz w:val="24"/>
          <w:szCs w:val="24"/>
        </w:rPr>
        <w:t>university staff and students</w:t>
      </w:r>
      <w:r>
        <w:rPr>
          <w:sz w:val="24"/>
          <w:szCs w:val="24"/>
        </w:rPr>
        <w:t xml:space="preserve">. It </w:t>
      </w:r>
      <w:r w:rsidRPr="007D26D7">
        <w:rPr>
          <w:sz w:val="24"/>
          <w:szCs w:val="24"/>
        </w:rPr>
        <w:t>generates a recording of each interview and produces a transcript</w:t>
      </w:r>
      <w:r>
        <w:rPr>
          <w:sz w:val="24"/>
          <w:szCs w:val="24"/>
        </w:rPr>
        <w:t xml:space="preserve"> which are </w:t>
      </w:r>
      <w:r w:rsidRPr="007D26D7">
        <w:rPr>
          <w:sz w:val="24"/>
          <w:szCs w:val="24"/>
        </w:rPr>
        <w:t xml:space="preserve">automatically saved </w:t>
      </w:r>
      <w:r>
        <w:rPr>
          <w:sz w:val="24"/>
          <w:szCs w:val="24"/>
        </w:rPr>
        <w:t xml:space="preserve">securely </w:t>
      </w:r>
      <w:r w:rsidRPr="007D26D7">
        <w:rPr>
          <w:sz w:val="24"/>
          <w:szCs w:val="24"/>
        </w:rPr>
        <w:t>within password protected and multi-factor authentication area</w:t>
      </w:r>
      <w:r w:rsidR="00482BDA">
        <w:rPr>
          <w:sz w:val="24"/>
          <w:szCs w:val="24"/>
        </w:rPr>
        <w:t>s</w:t>
      </w:r>
      <w:r w:rsidRPr="007D26D7">
        <w:rPr>
          <w:sz w:val="24"/>
          <w:szCs w:val="24"/>
        </w:rPr>
        <w:t xml:space="preserve">.  Further safeguarding involved seeking feedback for the completion of data management </w:t>
      </w:r>
      <w:r w:rsidR="00D2777A">
        <w:rPr>
          <w:sz w:val="24"/>
          <w:szCs w:val="24"/>
        </w:rPr>
        <w:t>protocol</w:t>
      </w:r>
      <w:r w:rsidRPr="007D26D7">
        <w:rPr>
          <w:sz w:val="24"/>
          <w:szCs w:val="24"/>
        </w:rPr>
        <w:t xml:space="preserve"> </w:t>
      </w:r>
      <w:r>
        <w:rPr>
          <w:sz w:val="24"/>
          <w:szCs w:val="24"/>
        </w:rPr>
        <w:t>from library staff and research supervisors</w:t>
      </w:r>
      <w:r w:rsidRPr="007D26D7">
        <w:rPr>
          <w:sz w:val="24"/>
          <w:szCs w:val="24"/>
        </w:rPr>
        <w:t>. To mitigate against possibilities</w:t>
      </w:r>
      <w:r>
        <w:rPr>
          <w:sz w:val="24"/>
          <w:szCs w:val="24"/>
        </w:rPr>
        <w:t xml:space="preserve"> of factors such as access to Wi-Fi, </w:t>
      </w:r>
      <w:r w:rsidRPr="00A60A2E">
        <w:rPr>
          <w:sz w:val="24"/>
          <w:szCs w:val="24"/>
        </w:rPr>
        <w:t xml:space="preserve">required hardware (Sah </w:t>
      </w:r>
      <w:r w:rsidR="00FB3A6E" w:rsidRPr="00FB3A6E">
        <w:rPr>
          <w:i/>
          <w:sz w:val="24"/>
          <w:szCs w:val="24"/>
        </w:rPr>
        <w:t>et al.</w:t>
      </w:r>
      <w:r w:rsidRPr="00A60A2E">
        <w:rPr>
          <w:sz w:val="24"/>
          <w:szCs w:val="24"/>
        </w:rPr>
        <w:t>, 2020)</w:t>
      </w:r>
      <w:r>
        <w:rPr>
          <w:sz w:val="24"/>
          <w:szCs w:val="24"/>
        </w:rPr>
        <w:t xml:space="preserve"> </w:t>
      </w:r>
      <w:r w:rsidRPr="00A60A2E">
        <w:rPr>
          <w:sz w:val="24"/>
          <w:szCs w:val="24"/>
        </w:rPr>
        <w:t xml:space="preserve">and potential interruptions (Oliffe </w:t>
      </w:r>
      <w:r w:rsidR="00FB3A6E" w:rsidRPr="00FB3A6E">
        <w:rPr>
          <w:i/>
          <w:sz w:val="24"/>
          <w:szCs w:val="24"/>
        </w:rPr>
        <w:t>et al.</w:t>
      </w:r>
      <w:r w:rsidRPr="00A60A2E">
        <w:rPr>
          <w:sz w:val="24"/>
          <w:szCs w:val="24"/>
        </w:rPr>
        <w:t xml:space="preserve">, 2021) </w:t>
      </w:r>
      <w:r>
        <w:rPr>
          <w:sz w:val="24"/>
          <w:szCs w:val="24"/>
        </w:rPr>
        <w:t xml:space="preserve">which can negatively impact the virtual </w:t>
      </w:r>
      <w:r w:rsidR="001A5664">
        <w:rPr>
          <w:sz w:val="24"/>
          <w:szCs w:val="24"/>
        </w:rPr>
        <w:t xml:space="preserve">interview, </w:t>
      </w:r>
      <w:r w:rsidR="001A5664" w:rsidRPr="007D26D7">
        <w:rPr>
          <w:sz w:val="24"/>
          <w:szCs w:val="24"/>
        </w:rPr>
        <w:t>I</w:t>
      </w:r>
      <w:r w:rsidRPr="007D26D7">
        <w:rPr>
          <w:sz w:val="24"/>
          <w:szCs w:val="24"/>
        </w:rPr>
        <w:t xml:space="preserve"> piloted the study. </w:t>
      </w:r>
    </w:p>
    <w:p w14:paraId="06D66BC2" w14:textId="77777777" w:rsidR="000171E2" w:rsidRPr="003B5C2B" w:rsidRDefault="000171E2" w:rsidP="003B5C2B">
      <w:pPr>
        <w:rPr>
          <w:b/>
          <w:bCs/>
          <w:sz w:val="24"/>
          <w:szCs w:val="24"/>
        </w:rPr>
      </w:pPr>
      <w:r w:rsidRPr="003B5C2B">
        <w:rPr>
          <w:b/>
          <w:bCs/>
          <w:sz w:val="24"/>
          <w:szCs w:val="24"/>
        </w:rPr>
        <w:t>The Pilot</w:t>
      </w:r>
    </w:p>
    <w:p w14:paraId="6AF0AE64" w14:textId="1F1D231E" w:rsidR="000171E2" w:rsidRPr="003B5C2B" w:rsidRDefault="000171E2" w:rsidP="009902DE">
      <w:pPr>
        <w:spacing w:line="360" w:lineRule="auto"/>
        <w:rPr>
          <w:sz w:val="24"/>
          <w:szCs w:val="24"/>
        </w:rPr>
      </w:pPr>
      <w:r>
        <w:rPr>
          <w:sz w:val="24"/>
          <w:szCs w:val="24"/>
        </w:rPr>
        <w:t>Once</w:t>
      </w:r>
      <w:r w:rsidRPr="003B5C2B">
        <w:rPr>
          <w:sz w:val="24"/>
          <w:szCs w:val="24"/>
        </w:rPr>
        <w:t xml:space="preserve"> ethical approval was gained</w:t>
      </w:r>
      <w:r>
        <w:rPr>
          <w:sz w:val="24"/>
          <w:szCs w:val="24"/>
        </w:rPr>
        <w:t xml:space="preserve"> (Appendix </w:t>
      </w:r>
      <w:r w:rsidR="009E0404">
        <w:rPr>
          <w:sz w:val="24"/>
          <w:szCs w:val="24"/>
        </w:rPr>
        <w:t>G</w:t>
      </w:r>
      <w:r>
        <w:rPr>
          <w:sz w:val="24"/>
          <w:szCs w:val="24"/>
        </w:rPr>
        <w:t>)</w:t>
      </w:r>
      <w:r w:rsidRPr="003B5C2B">
        <w:rPr>
          <w:sz w:val="24"/>
          <w:szCs w:val="24"/>
        </w:rPr>
        <w:t xml:space="preserve">, a pilot </w:t>
      </w:r>
      <w:r>
        <w:rPr>
          <w:sz w:val="24"/>
          <w:szCs w:val="24"/>
        </w:rPr>
        <w:t xml:space="preserve">was conducted </w:t>
      </w:r>
      <w:r w:rsidRPr="003B5C2B">
        <w:rPr>
          <w:sz w:val="24"/>
          <w:szCs w:val="24"/>
        </w:rPr>
        <w:t xml:space="preserve">with two participants sourced by </w:t>
      </w:r>
      <w:r>
        <w:rPr>
          <w:sz w:val="24"/>
          <w:szCs w:val="24"/>
        </w:rPr>
        <w:t xml:space="preserve">a </w:t>
      </w:r>
      <w:r w:rsidRPr="003B5C2B">
        <w:rPr>
          <w:sz w:val="24"/>
          <w:szCs w:val="24"/>
        </w:rPr>
        <w:t xml:space="preserve">research supervisor. The purpose of </w:t>
      </w:r>
      <w:r>
        <w:rPr>
          <w:sz w:val="24"/>
          <w:szCs w:val="24"/>
        </w:rPr>
        <w:t xml:space="preserve">conducting a pilot </w:t>
      </w:r>
      <w:r w:rsidRPr="003B5C2B">
        <w:rPr>
          <w:sz w:val="24"/>
          <w:szCs w:val="24"/>
        </w:rPr>
        <w:t>was to prepare for and improve aspects of the research design</w:t>
      </w:r>
      <w:r w:rsidR="000D0AD1">
        <w:rPr>
          <w:sz w:val="24"/>
          <w:szCs w:val="24"/>
        </w:rPr>
        <w:t>,</w:t>
      </w:r>
      <w:r>
        <w:rPr>
          <w:sz w:val="24"/>
          <w:szCs w:val="24"/>
        </w:rPr>
        <w:t xml:space="preserve"> </w:t>
      </w:r>
      <w:r w:rsidRPr="003B5C2B">
        <w:rPr>
          <w:sz w:val="24"/>
          <w:szCs w:val="24"/>
        </w:rPr>
        <w:t xml:space="preserve">and to </w:t>
      </w:r>
      <w:r>
        <w:rPr>
          <w:sz w:val="24"/>
          <w:szCs w:val="24"/>
        </w:rPr>
        <w:t xml:space="preserve">safeguard </w:t>
      </w:r>
      <w:r w:rsidRPr="003B5C2B">
        <w:rPr>
          <w:sz w:val="24"/>
          <w:szCs w:val="24"/>
        </w:rPr>
        <w:t xml:space="preserve">against any technical or logistical participation issues. </w:t>
      </w:r>
      <w:r>
        <w:rPr>
          <w:sz w:val="24"/>
          <w:szCs w:val="24"/>
        </w:rPr>
        <w:t>Additionally, t</w:t>
      </w:r>
      <w:r w:rsidRPr="003B5C2B">
        <w:rPr>
          <w:sz w:val="24"/>
          <w:szCs w:val="24"/>
        </w:rPr>
        <w:t xml:space="preserve">he pilot afforded </w:t>
      </w:r>
      <w:r>
        <w:rPr>
          <w:sz w:val="24"/>
          <w:szCs w:val="24"/>
        </w:rPr>
        <w:t xml:space="preserve">an </w:t>
      </w:r>
      <w:r w:rsidRPr="003B5C2B">
        <w:rPr>
          <w:sz w:val="24"/>
          <w:szCs w:val="24"/>
        </w:rPr>
        <w:t xml:space="preserve">opportunity to </w:t>
      </w:r>
      <w:r>
        <w:rPr>
          <w:sz w:val="24"/>
          <w:szCs w:val="24"/>
        </w:rPr>
        <w:t>refine</w:t>
      </w:r>
      <w:r w:rsidRPr="003B5C2B">
        <w:rPr>
          <w:sz w:val="24"/>
          <w:szCs w:val="24"/>
        </w:rPr>
        <w:t xml:space="preserve"> </w:t>
      </w:r>
      <w:r>
        <w:rPr>
          <w:sz w:val="24"/>
          <w:szCs w:val="24"/>
        </w:rPr>
        <w:t xml:space="preserve">and </w:t>
      </w:r>
      <w:r w:rsidRPr="003B5C2B">
        <w:rPr>
          <w:sz w:val="24"/>
          <w:szCs w:val="24"/>
        </w:rPr>
        <w:t>my skills as a researcher, to confirm or counter any preconceptions about the research topic (Kezar, 2000)</w:t>
      </w:r>
      <w:r>
        <w:rPr>
          <w:sz w:val="24"/>
          <w:szCs w:val="24"/>
        </w:rPr>
        <w:t xml:space="preserve">, </w:t>
      </w:r>
      <w:r w:rsidRPr="003B5C2B">
        <w:rPr>
          <w:sz w:val="24"/>
          <w:szCs w:val="24"/>
        </w:rPr>
        <w:t xml:space="preserve">to practice and refine the interview questions and to focus on developing follow up questioning skills (Alshenqeeti, 2014). </w:t>
      </w:r>
    </w:p>
    <w:p w14:paraId="2E5F2605" w14:textId="6857D48B" w:rsidR="000171E2" w:rsidRPr="003B5C2B" w:rsidRDefault="000171E2" w:rsidP="008E7EF5">
      <w:pPr>
        <w:spacing w:line="360" w:lineRule="auto"/>
        <w:rPr>
          <w:sz w:val="24"/>
          <w:szCs w:val="24"/>
        </w:rPr>
      </w:pPr>
      <w:r>
        <w:rPr>
          <w:sz w:val="24"/>
          <w:szCs w:val="24"/>
        </w:rPr>
        <w:t>C</w:t>
      </w:r>
      <w:r w:rsidRPr="003B5C2B">
        <w:rPr>
          <w:sz w:val="24"/>
          <w:szCs w:val="24"/>
        </w:rPr>
        <w:t xml:space="preserve">onducting a pilot is not without its </w:t>
      </w:r>
      <w:r>
        <w:rPr>
          <w:sz w:val="24"/>
          <w:szCs w:val="24"/>
        </w:rPr>
        <w:t>challenges</w:t>
      </w:r>
      <w:r w:rsidRPr="003B5C2B">
        <w:rPr>
          <w:sz w:val="24"/>
          <w:szCs w:val="24"/>
        </w:rPr>
        <w:t>. MacIntyre (1981) frames the importance of mak</w:t>
      </w:r>
      <w:r>
        <w:rPr>
          <w:sz w:val="24"/>
          <w:szCs w:val="24"/>
        </w:rPr>
        <w:t>ing</w:t>
      </w:r>
      <w:r w:rsidRPr="003B5C2B">
        <w:rPr>
          <w:sz w:val="24"/>
          <w:szCs w:val="24"/>
        </w:rPr>
        <w:t xml:space="preserve"> sense of challenges as a quest, or journey. During the journey dangers, temptations, and distractions will be encountered</w:t>
      </w:r>
      <w:r>
        <w:rPr>
          <w:sz w:val="24"/>
          <w:szCs w:val="24"/>
        </w:rPr>
        <w:t xml:space="preserve">, </w:t>
      </w:r>
      <w:r w:rsidRPr="003B5C2B">
        <w:rPr>
          <w:sz w:val="24"/>
          <w:szCs w:val="24"/>
        </w:rPr>
        <w:t xml:space="preserve">episodes </w:t>
      </w:r>
      <w:r>
        <w:rPr>
          <w:sz w:val="24"/>
          <w:szCs w:val="24"/>
        </w:rPr>
        <w:t xml:space="preserve">that </w:t>
      </w:r>
      <w:r w:rsidRPr="003B5C2B">
        <w:rPr>
          <w:sz w:val="24"/>
          <w:szCs w:val="24"/>
        </w:rPr>
        <w:t>will strengthen the seeker and help them understand the nature of that being sought</w:t>
      </w:r>
      <w:r>
        <w:rPr>
          <w:sz w:val="24"/>
          <w:szCs w:val="24"/>
        </w:rPr>
        <w:t xml:space="preserve"> (</w:t>
      </w:r>
      <w:r w:rsidR="00AB1ADC">
        <w:rPr>
          <w:sz w:val="24"/>
          <w:szCs w:val="24"/>
        </w:rPr>
        <w:t>ibid.</w:t>
      </w:r>
      <w:r>
        <w:rPr>
          <w:sz w:val="24"/>
          <w:szCs w:val="24"/>
        </w:rPr>
        <w:t>)</w:t>
      </w:r>
      <w:r w:rsidRPr="003B5C2B">
        <w:rPr>
          <w:sz w:val="24"/>
          <w:szCs w:val="24"/>
        </w:rPr>
        <w:t>. The pilot enabled me to mitigate against potential difficulties in the research process and left me considering there may be other dangers and distractions that might only emerge when the research proper is conducted.</w:t>
      </w:r>
      <w:r>
        <w:rPr>
          <w:sz w:val="24"/>
          <w:szCs w:val="24"/>
        </w:rPr>
        <w:t xml:space="preserve"> For example, w</w:t>
      </w:r>
      <w:r w:rsidRPr="003B5C2B">
        <w:rPr>
          <w:sz w:val="24"/>
          <w:szCs w:val="24"/>
        </w:rPr>
        <w:t>hilst conducting the pilot</w:t>
      </w:r>
      <w:r>
        <w:rPr>
          <w:sz w:val="24"/>
          <w:szCs w:val="24"/>
        </w:rPr>
        <w:t xml:space="preserve"> </w:t>
      </w:r>
      <w:r w:rsidRPr="003B5C2B">
        <w:rPr>
          <w:sz w:val="24"/>
          <w:szCs w:val="24"/>
        </w:rPr>
        <w:t xml:space="preserve">there were practical obstacles to overcome. </w:t>
      </w:r>
      <w:r>
        <w:rPr>
          <w:sz w:val="24"/>
          <w:szCs w:val="24"/>
        </w:rPr>
        <w:t>T</w:t>
      </w:r>
      <w:r w:rsidRPr="003B5C2B">
        <w:rPr>
          <w:sz w:val="24"/>
          <w:szCs w:val="24"/>
        </w:rPr>
        <w:t xml:space="preserve">he </w:t>
      </w:r>
      <w:r>
        <w:rPr>
          <w:sz w:val="24"/>
          <w:szCs w:val="24"/>
        </w:rPr>
        <w:t xml:space="preserve">audio </w:t>
      </w:r>
      <w:r w:rsidRPr="003B5C2B">
        <w:rPr>
          <w:sz w:val="24"/>
          <w:szCs w:val="24"/>
        </w:rPr>
        <w:t>quality of the</w:t>
      </w:r>
      <w:r>
        <w:rPr>
          <w:sz w:val="24"/>
          <w:szCs w:val="24"/>
        </w:rPr>
        <w:t xml:space="preserve"> recordings </w:t>
      </w:r>
      <w:r w:rsidRPr="003B5C2B">
        <w:rPr>
          <w:sz w:val="24"/>
          <w:szCs w:val="24"/>
        </w:rPr>
        <w:t xml:space="preserve">was somewhat poor, and I mitigated against this by moving the laptop closer to my person. </w:t>
      </w:r>
      <w:r>
        <w:rPr>
          <w:sz w:val="24"/>
          <w:szCs w:val="24"/>
        </w:rPr>
        <w:t>The t</w:t>
      </w:r>
      <w:r w:rsidRPr="003B5C2B">
        <w:rPr>
          <w:sz w:val="24"/>
          <w:szCs w:val="24"/>
        </w:rPr>
        <w:t xml:space="preserve">ranscript wording was </w:t>
      </w:r>
      <w:r>
        <w:rPr>
          <w:sz w:val="24"/>
          <w:szCs w:val="24"/>
        </w:rPr>
        <w:t xml:space="preserve">frequently </w:t>
      </w:r>
      <w:r w:rsidRPr="003B5C2B">
        <w:rPr>
          <w:sz w:val="24"/>
          <w:szCs w:val="24"/>
        </w:rPr>
        <w:t>distorted by the software</w:t>
      </w:r>
      <w:r>
        <w:rPr>
          <w:sz w:val="24"/>
          <w:szCs w:val="24"/>
        </w:rPr>
        <w:t xml:space="preserve"> </w:t>
      </w:r>
      <w:r w:rsidRPr="003B5C2B">
        <w:rPr>
          <w:sz w:val="24"/>
          <w:szCs w:val="24"/>
        </w:rPr>
        <w:t xml:space="preserve">resulting in my </w:t>
      </w:r>
      <w:r>
        <w:rPr>
          <w:sz w:val="24"/>
          <w:szCs w:val="24"/>
        </w:rPr>
        <w:t xml:space="preserve">manually </w:t>
      </w:r>
      <w:r w:rsidRPr="003B5C2B">
        <w:rPr>
          <w:sz w:val="24"/>
          <w:szCs w:val="24"/>
        </w:rPr>
        <w:t xml:space="preserve">transcribing the interviews by watching the interview recording and </w:t>
      </w:r>
      <w:r>
        <w:rPr>
          <w:sz w:val="24"/>
          <w:szCs w:val="24"/>
        </w:rPr>
        <w:t xml:space="preserve">repeatedly </w:t>
      </w:r>
      <w:r w:rsidRPr="003B5C2B">
        <w:rPr>
          <w:sz w:val="24"/>
          <w:szCs w:val="24"/>
        </w:rPr>
        <w:t xml:space="preserve">pausing to </w:t>
      </w:r>
      <w:r>
        <w:rPr>
          <w:sz w:val="24"/>
          <w:szCs w:val="24"/>
        </w:rPr>
        <w:t xml:space="preserve">make corrections </w:t>
      </w:r>
      <w:r w:rsidRPr="003B5C2B">
        <w:rPr>
          <w:sz w:val="24"/>
          <w:szCs w:val="24"/>
        </w:rPr>
        <w:t xml:space="preserve">which rendered the process time consuming. </w:t>
      </w:r>
    </w:p>
    <w:p w14:paraId="2BA12367" w14:textId="77777777" w:rsidR="00A97F80" w:rsidRDefault="00A97F80" w:rsidP="0001019C">
      <w:pPr>
        <w:rPr>
          <w:b/>
          <w:bCs/>
          <w:sz w:val="24"/>
          <w:szCs w:val="24"/>
        </w:rPr>
      </w:pPr>
    </w:p>
    <w:p w14:paraId="134252AE" w14:textId="72A7D4F1" w:rsidR="000171E2" w:rsidRPr="00EE05C7" w:rsidRDefault="000171E2" w:rsidP="0001019C">
      <w:pPr>
        <w:rPr>
          <w:b/>
          <w:bCs/>
          <w:sz w:val="24"/>
          <w:szCs w:val="24"/>
        </w:rPr>
      </w:pPr>
      <w:r>
        <w:rPr>
          <w:b/>
          <w:bCs/>
          <w:sz w:val="24"/>
          <w:szCs w:val="24"/>
        </w:rPr>
        <w:lastRenderedPageBreak/>
        <w:t>Preparation for the interview proper</w:t>
      </w:r>
    </w:p>
    <w:p w14:paraId="726A8DE9" w14:textId="32F79D9A" w:rsidR="000171E2" w:rsidRDefault="000171E2" w:rsidP="008E7EF5">
      <w:pPr>
        <w:spacing w:line="360" w:lineRule="auto"/>
        <w:rPr>
          <w:sz w:val="24"/>
          <w:szCs w:val="24"/>
        </w:rPr>
      </w:pPr>
      <w:r w:rsidRPr="001E720B">
        <w:rPr>
          <w:sz w:val="24"/>
          <w:szCs w:val="24"/>
        </w:rPr>
        <w:t xml:space="preserve">Generically, there is a danger in the research process that </w:t>
      </w:r>
      <w:r w:rsidR="001B30D1">
        <w:rPr>
          <w:sz w:val="24"/>
          <w:szCs w:val="24"/>
        </w:rPr>
        <w:t xml:space="preserve">the interview </w:t>
      </w:r>
      <w:r w:rsidRPr="001E720B">
        <w:rPr>
          <w:sz w:val="24"/>
          <w:szCs w:val="24"/>
        </w:rPr>
        <w:t>could become distorted by the researcher’s and participants’ feelings</w:t>
      </w:r>
      <w:r w:rsidR="00600C84">
        <w:rPr>
          <w:sz w:val="24"/>
          <w:szCs w:val="24"/>
        </w:rPr>
        <w:t xml:space="preserve"> and power dynamics</w:t>
      </w:r>
      <w:r>
        <w:rPr>
          <w:sz w:val="24"/>
          <w:szCs w:val="24"/>
        </w:rPr>
        <w:t>.</w:t>
      </w:r>
      <w:r w:rsidRPr="001E720B">
        <w:rPr>
          <w:sz w:val="24"/>
          <w:szCs w:val="24"/>
        </w:rPr>
        <w:t xml:space="preserve"> I believe such dangers are heightened using a narrative focus and</w:t>
      </w:r>
      <w:r>
        <w:rPr>
          <w:sz w:val="24"/>
          <w:szCs w:val="24"/>
        </w:rPr>
        <w:t xml:space="preserve"> </w:t>
      </w:r>
      <w:r w:rsidRPr="001E720B">
        <w:rPr>
          <w:sz w:val="24"/>
          <w:szCs w:val="24"/>
        </w:rPr>
        <w:t xml:space="preserve">the participants </w:t>
      </w:r>
      <w:r>
        <w:rPr>
          <w:sz w:val="24"/>
          <w:szCs w:val="24"/>
        </w:rPr>
        <w:t xml:space="preserve">would need to be safeguarded </w:t>
      </w:r>
      <w:r w:rsidRPr="001E720B">
        <w:rPr>
          <w:sz w:val="24"/>
          <w:szCs w:val="24"/>
        </w:rPr>
        <w:t>more than if the interview were semi-structured in nature.  Professionally, as a psychotherapist I am constantly addressing and mitigating potential power abuses through the mechanism of supervision</w:t>
      </w:r>
      <w:r>
        <w:rPr>
          <w:sz w:val="24"/>
          <w:szCs w:val="24"/>
        </w:rPr>
        <w:t xml:space="preserve"> and felt confident I could manage these dynamics by drawing upon research supervision</w:t>
      </w:r>
      <w:r w:rsidRPr="001E720B">
        <w:rPr>
          <w:sz w:val="24"/>
          <w:szCs w:val="24"/>
        </w:rPr>
        <w:t xml:space="preserve">. </w:t>
      </w:r>
      <w:r>
        <w:rPr>
          <w:sz w:val="24"/>
          <w:szCs w:val="24"/>
        </w:rPr>
        <w:t xml:space="preserve"> </w:t>
      </w:r>
      <w:r w:rsidRPr="001E720B">
        <w:rPr>
          <w:sz w:val="24"/>
          <w:szCs w:val="24"/>
        </w:rPr>
        <w:t xml:space="preserve">Furthermore, adherence to procedure </w:t>
      </w:r>
      <w:r>
        <w:rPr>
          <w:sz w:val="24"/>
          <w:szCs w:val="24"/>
        </w:rPr>
        <w:t xml:space="preserve">serves to </w:t>
      </w:r>
      <w:r w:rsidRPr="001E720B">
        <w:rPr>
          <w:sz w:val="24"/>
          <w:szCs w:val="24"/>
        </w:rPr>
        <w:t xml:space="preserve">prevent </w:t>
      </w:r>
      <w:r>
        <w:rPr>
          <w:sz w:val="24"/>
          <w:szCs w:val="24"/>
        </w:rPr>
        <w:t xml:space="preserve">any </w:t>
      </w:r>
      <w:r w:rsidRPr="001E720B">
        <w:rPr>
          <w:sz w:val="24"/>
          <w:szCs w:val="24"/>
        </w:rPr>
        <w:t>distortion of methods (Morgan, 1998)</w:t>
      </w:r>
      <w:r>
        <w:rPr>
          <w:sz w:val="24"/>
          <w:szCs w:val="24"/>
        </w:rPr>
        <w:t>. E</w:t>
      </w:r>
      <w:r w:rsidRPr="001E720B">
        <w:rPr>
          <w:sz w:val="24"/>
          <w:szCs w:val="24"/>
        </w:rPr>
        <w:t>nsur</w:t>
      </w:r>
      <w:r>
        <w:rPr>
          <w:sz w:val="24"/>
          <w:szCs w:val="24"/>
        </w:rPr>
        <w:t>ing</w:t>
      </w:r>
      <w:r w:rsidRPr="001E720B">
        <w:rPr>
          <w:sz w:val="24"/>
          <w:szCs w:val="24"/>
        </w:rPr>
        <w:t xml:space="preserve"> research protocols were adhered to</w:t>
      </w:r>
      <w:r>
        <w:rPr>
          <w:sz w:val="24"/>
          <w:szCs w:val="24"/>
        </w:rPr>
        <w:t xml:space="preserve"> involved making sure</w:t>
      </w:r>
      <w:r w:rsidRPr="001E720B">
        <w:rPr>
          <w:sz w:val="24"/>
          <w:szCs w:val="24"/>
        </w:rPr>
        <w:t xml:space="preserve"> locations </w:t>
      </w:r>
      <w:r>
        <w:rPr>
          <w:sz w:val="24"/>
          <w:szCs w:val="24"/>
        </w:rPr>
        <w:t xml:space="preserve">were </w:t>
      </w:r>
      <w:r w:rsidRPr="001E720B">
        <w:rPr>
          <w:sz w:val="24"/>
          <w:szCs w:val="24"/>
        </w:rPr>
        <w:t>comfortable for the participants and researcher</w:t>
      </w:r>
      <w:r w:rsidR="00E72A0F">
        <w:rPr>
          <w:sz w:val="24"/>
          <w:szCs w:val="24"/>
        </w:rPr>
        <w:t xml:space="preserve">, </w:t>
      </w:r>
      <w:r w:rsidRPr="001E720B">
        <w:rPr>
          <w:sz w:val="24"/>
          <w:szCs w:val="24"/>
        </w:rPr>
        <w:t>and familiar</w:t>
      </w:r>
      <w:r>
        <w:rPr>
          <w:sz w:val="24"/>
          <w:szCs w:val="24"/>
        </w:rPr>
        <w:t>ising myself</w:t>
      </w:r>
      <w:r w:rsidRPr="001E720B">
        <w:rPr>
          <w:sz w:val="24"/>
          <w:szCs w:val="24"/>
        </w:rPr>
        <w:t xml:space="preserve"> with the interview schedule and GRIP policies in advance.</w:t>
      </w:r>
    </w:p>
    <w:p w14:paraId="7CD32664" w14:textId="77777777" w:rsidR="000171E2" w:rsidRPr="001E720B" w:rsidRDefault="000171E2" w:rsidP="00EF7145">
      <w:pPr>
        <w:spacing w:line="360" w:lineRule="auto"/>
        <w:rPr>
          <w:sz w:val="24"/>
          <w:szCs w:val="24"/>
        </w:rPr>
      </w:pPr>
      <w:r w:rsidRPr="005D0872">
        <w:rPr>
          <w:sz w:val="24"/>
          <w:szCs w:val="24"/>
        </w:rPr>
        <w:t xml:space="preserve">With each interview being a unique story and interaction, the quality of the responses is affected by the experience, skills, and commitment of the interviewer.  I mitigated against the quality of my interactions being inconsistent, and any bias </w:t>
      </w:r>
      <w:r>
        <w:rPr>
          <w:sz w:val="24"/>
          <w:szCs w:val="24"/>
        </w:rPr>
        <w:t xml:space="preserve">towards depth pedagogy which could impact the research encounter </w:t>
      </w:r>
      <w:r w:rsidRPr="005D0872">
        <w:rPr>
          <w:sz w:val="24"/>
          <w:szCs w:val="24"/>
        </w:rPr>
        <w:t xml:space="preserve">by processing and reflecting with </w:t>
      </w:r>
      <w:r>
        <w:rPr>
          <w:sz w:val="24"/>
          <w:szCs w:val="24"/>
        </w:rPr>
        <w:t xml:space="preserve">critical friends, research supervisors </w:t>
      </w:r>
      <w:r w:rsidRPr="005D0872">
        <w:rPr>
          <w:sz w:val="24"/>
          <w:szCs w:val="24"/>
        </w:rPr>
        <w:t>and mentors</w:t>
      </w:r>
      <w:r>
        <w:rPr>
          <w:sz w:val="24"/>
          <w:szCs w:val="24"/>
        </w:rPr>
        <w:t>.</w:t>
      </w:r>
    </w:p>
    <w:p w14:paraId="4B74C92E" w14:textId="5D4A2076" w:rsidR="000171E2" w:rsidRPr="001E720B" w:rsidRDefault="000171E2" w:rsidP="00EF7145">
      <w:pPr>
        <w:spacing w:line="360" w:lineRule="auto"/>
        <w:rPr>
          <w:sz w:val="24"/>
          <w:szCs w:val="24"/>
        </w:rPr>
      </w:pPr>
      <w:r w:rsidRPr="001E720B">
        <w:rPr>
          <w:sz w:val="24"/>
          <w:szCs w:val="24"/>
        </w:rPr>
        <w:t xml:space="preserve">Birch and Miller (2000) highlight the interview process may enable a positive therapeutic encounter </w:t>
      </w:r>
      <w:r>
        <w:rPr>
          <w:sz w:val="24"/>
          <w:szCs w:val="24"/>
        </w:rPr>
        <w:t xml:space="preserve">that serves to </w:t>
      </w:r>
      <w:r w:rsidRPr="001E720B">
        <w:rPr>
          <w:sz w:val="24"/>
          <w:szCs w:val="24"/>
        </w:rPr>
        <w:t>reconfigure</w:t>
      </w:r>
      <w:r>
        <w:rPr>
          <w:sz w:val="24"/>
          <w:szCs w:val="24"/>
        </w:rPr>
        <w:t xml:space="preserve"> difficult life situations</w:t>
      </w:r>
      <w:r w:rsidRPr="001E720B">
        <w:rPr>
          <w:sz w:val="24"/>
          <w:szCs w:val="24"/>
        </w:rPr>
        <w:t>. Although cathar</w:t>
      </w:r>
      <w:r>
        <w:rPr>
          <w:sz w:val="24"/>
          <w:szCs w:val="24"/>
        </w:rPr>
        <w:t>sis</w:t>
      </w:r>
      <w:r w:rsidRPr="001E720B">
        <w:rPr>
          <w:sz w:val="24"/>
          <w:szCs w:val="24"/>
        </w:rPr>
        <w:t xml:space="preserve"> </w:t>
      </w:r>
      <w:r>
        <w:rPr>
          <w:sz w:val="24"/>
          <w:szCs w:val="24"/>
        </w:rPr>
        <w:t xml:space="preserve">is possible in </w:t>
      </w:r>
      <w:r w:rsidRPr="001E720B">
        <w:rPr>
          <w:sz w:val="24"/>
          <w:szCs w:val="24"/>
        </w:rPr>
        <w:t xml:space="preserve">the telling of a personal story, I am mindful to safeguard participants </w:t>
      </w:r>
      <w:r>
        <w:rPr>
          <w:sz w:val="24"/>
          <w:szCs w:val="24"/>
        </w:rPr>
        <w:t xml:space="preserve">against </w:t>
      </w:r>
      <w:r w:rsidRPr="001E720B">
        <w:rPr>
          <w:sz w:val="24"/>
          <w:szCs w:val="24"/>
        </w:rPr>
        <w:t xml:space="preserve">the potential of the boundaries between research and therapy becoming blurred. The goal of </w:t>
      </w:r>
      <w:r>
        <w:rPr>
          <w:sz w:val="24"/>
          <w:szCs w:val="24"/>
        </w:rPr>
        <w:t xml:space="preserve">the </w:t>
      </w:r>
      <w:r w:rsidRPr="001E720B">
        <w:rPr>
          <w:sz w:val="24"/>
          <w:szCs w:val="24"/>
        </w:rPr>
        <w:t>research is to obtain knowledge from the participants and although psychosocial research is closely linked with therapeutic practice</w:t>
      </w:r>
      <w:r w:rsidR="004462E2">
        <w:rPr>
          <w:sz w:val="24"/>
          <w:szCs w:val="24"/>
        </w:rPr>
        <w:t xml:space="preserve"> (see p.108)</w:t>
      </w:r>
      <w:r w:rsidRPr="001E720B">
        <w:rPr>
          <w:sz w:val="24"/>
          <w:szCs w:val="24"/>
        </w:rPr>
        <w:t xml:space="preserve">, ethics require a particularly judicious consideration (Rustin, 2019). For example, the interpretations researchers make about unconscious dynamics in research participants is a particularly contentious issue (Archard </w:t>
      </w:r>
      <w:r w:rsidR="00FB3A6E" w:rsidRPr="00FB3A6E">
        <w:rPr>
          <w:i/>
          <w:sz w:val="24"/>
          <w:szCs w:val="24"/>
        </w:rPr>
        <w:t>et al.</w:t>
      </w:r>
      <w:r w:rsidRPr="001E720B">
        <w:rPr>
          <w:sz w:val="24"/>
          <w:szCs w:val="24"/>
        </w:rPr>
        <w:t>, 2024; Frosh, 1999</w:t>
      </w:r>
      <w:r>
        <w:rPr>
          <w:sz w:val="24"/>
          <w:szCs w:val="24"/>
        </w:rPr>
        <w:t>;</w:t>
      </w:r>
      <w:r w:rsidRPr="0041186B">
        <w:rPr>
          <w:sz w:val="24"/>
          <w:szCs w:val="24"/>
        </w:rPr>
        <w:t xml:space="preserve"> Midgley 2006</w:t>
      </w:r>
      <w:r w:rsidRPr="001E720B">
        <w:rPr>
          <w:sz w:val="24"/>
          <w:szCs w:val="24"/>
        </w:rPr>
        <w:t>)</w:t>
      </w:r>
      <w:r w:rsidR="000859F0">
        <w:rPr>
          <w:sz w:val="24"/>
          <w:szCs w:val="24"/>
        </w:rPr>
        <w:t>.</w:t>
      </w:r>
      <w:r>
        <w:rPr>
          <w:sz w:val="24"/>
          <w:szCs w:val="24"/>
        </w:rPr>
        <w:t xml:space="preserve"> </w:t>
      </w:r>
      <w:r w:rsidRPr="0041186B">
        <w:rPr>
          <w:sz w:val="24"/>
          <w:szCs w:val="24"/>
        </w:rPr>
        <w:t xml:space="preserve">Ivey (2022) suggests that closely observing one’s own behaviour and that of the </w:t>
      </w:r>
      <w:r w:rsidR="000F2C0C" w:rsidRPr="0041186B">
        <w:rPr>
          <w:sz w:val="24"/>
          <w:szCs w:val="24"/>
        </w:rPr>
        <w:t>interviewee</w:t>
      </w:r>
      <w:r w:rsidR="000F2C0C">
        <w:rPr>
          <w:sz w:val="24"/>
          <w:szCs w:val="24"/>
        </w:rPr>
        <w:t xml:space="preserve"> and</w:t>
      </w:r>
      <w:r w:rsidRPr="0041186B">
        <w:rPr>
          <w:sz w:val="24"/>
          <w:szCs w:val="24"/>
        </w:rPr>
        <w:t xml:space="preserve"> reflecting on the communicative significance of nuanced emotional responses can help in this regard. </w:t>
      </w:r>
      <w:r w:rsidRPr="001E720B">
        <w:rPr>
          <w:sz w:val="24"/>
          <w:szCs w:val="24"/>
        </w:rPr>
        <w:t>I will safeguard myself and participants by processing conscious dynamics in research supervision, and any unconscious dynamics in psychotherapy supervision. One further safeguarding mechanism is to remember I am not making claims of truth but am exploring possible interpretations of an interaction (Holmes, 2023)</w:t>
      </w:r>
      <w:r>
        <w:rPr>
          <w:sz w:val="24"/>
          <w:szCs w:val="24"/>
        </w:rPr>
        <w:t xml:space="preserve"> which will</w:t>
      </w:r>
      <w:r w:rsidRPr="001E720B">
        <w:rPr>
          <w:sz w:val="24"/>
          <w:szCs w:val="24"/>
        </w:rPr>
        <w:t xml:space="preserve"> be confined to the process of data analysis. </w:t>
      </w:r>
    </w:p>
    <w:p w14:paraId="5A56D77B" w14:textId="77777777" w:rsidR="000171E2" w:rsidRPr="001E720B" w:rsidRDefault="000171E2" w:rsidP="00354404">
      <w:pPr>
        <w:rPr>
          <w:b/>
          <w:bCs/>
          <w:sz w:val="24"/>
          <w:szCs w:val="24"/>
        </w:rPr>
      </w:pPr>
      <w:r>
        <w:rPr>
          <w:b/>
          <w:bCs/>
          <w:sz w:val="24"/>
          <w:szCs w:val="24"/>
        </w:rPr>
        <w:lastRenderedPageBreak/>
        <w:t>Interviews with a n</w:t>
      </w:r>
      <w:r w:rsidRPr="00404CCE">
        <w:rPr>
          <w:b/>
          <w:bCs/>
          <w:sz w:val="24"/>
          <w:szCs w:val="24"/>
        </w:rPr>
        <w:t>arrative focus</w:t>
      </w:r>
    </w:p>
    <w:p w14:paraId="5095677E" w14:textId="701C566E" w:rsidR="000171E2" w:rsidRPr="001E720B" w:rsidRDefault="000171E2" w:rsidP="00EF7145">
      <w:pPr>
        <w:spacing w:line="360" w:lineRule="auto"/>
        <w:rPr>
          <w:sz w:val="24"/>
          <w:szCs w:val="24"/>
        </w:rPr>
      </w:pPr>
      <w:r w:rsidRPr="001E720B">
        <w:rPr>
          <w:sz w:val="24"/>
          <w:szCs w:val="24"/>
        </w:rPr>
        <w:t xml:space="preserve">The terms storytelling and narrative are used interchangeably in research. A story is a single account of life events in a true or imagined form, and a narrative is a multilayered story that </w:t>
      </w:r>
      <w:r>
        <w:rPr>
          <w:sz w:val="24"/>
          <w:szCs w:val="24"/>
        </w:rPr>
        <w:t xml:space="preserve">organises </w:t>
      </w:r>
      <w:r w:rsidRPr="001E720B">
        <w:rPr>
          <w:sz w:val="24"/>
          <w:szCs w:val="24"/>
        </w:rPr>
        <w:t xml:space="preserve">events and human actions into a more coherent whole (Polkinghorne, 1988). A narrative attempts to link </w:t>
      </w:r>
      <w:r>
        <w:rPr>
          <w:sz w:val="24"/>
          <w:szCs w:val="24"/>
        </w:rPr>
        <w:t xml:space="preserve">life events </w:t>
      </w:r>
      <w:r w:rsidRPr="001E720B">
        <w:rPr>
          <w:sz w:val="24"/>
          <w:szCs w:val="24"/>
        </w:rPr>
        <w:t>in time and meaning (Anderson and Kirkpatrick, 2016), and a narrative focus in an interview “provides an opportunity to prioritise the storytellers’ perspective” (p. 631). For standardisation of this research, I am utilising a narrative focus that links life events in time and meaning</w:t>
      </w:r>
      <w:r w:rsidR="00510CAF">
        <w:rPr>
          <w:sz w:val="24"/>
          <w:szCs w:val="24"/>
        </w:rPr>
        <w:t xml:space="preserve"> which </w:t>
      </w:r>
      <w:r w:rsidRPr="001E720B">
        <w:rPr>
          <w:sz w:val="24"/>
          <w:szCs w:val="24"/>
        </w:rPr>
        <w:t>prioritises the participants’ stories, and the researcher’s storytelling of their stories</w:t>
      </w:r>
      <w:r>
        <w:rPr>
          <w:sz w:val="24"/>
          <w:szCs w:val="24"/>
        </w:rPr>
        <w:t>.</w:t>
      </w:r>
      <w:r w:rsidRPr="00A64B2D">
        <w:rPr>
          <w:sz w:val="24"/>
          <w:szCs w:val="24"/>
        </w:rPr>
        <w:t xml:space="preserve"> Storytelling and narrative are fundamental to reflective practice and research because they involve a process of reflection to recount and make sense of experiences (Holloway and Freshwater, 2007).</w:t>
      </w:r>
    </w:p>
    <w:p w14:paraId="0EB03680" w14:textId="12AEE74B" w:rsidR="000171E2" w:rsidRPr="00837A4B" w:rsidRDefault="000171E2" w:rsidP="0089118B">
      <w:pPr>
        <w:spacing w:line="360" w:lineRule="auto"/>
        <w:rPr>
          <w:sz w:val="24"/>
          <w:szCs w:val="24"/>
        </w:rPr>
      </w:pPr>
      <w:r>
        <w:rPr>
          <w:sz w:val="24"/>
          <w:szCs w:val="24"/>
        </w:rPr>
        <w:t xml:space="preserve">In the interviews I shall be </w:t>
      </w:r>
      <w:r w:rsidRPr="001E720B">
        <w:rPr>
          <w:sz w:val="24"/>
          <w:szCs w:val="24"/>
        </w:rPr>
        <w:t>solicit</w:t>
      </w:r>
      <w:r>
        <w:rPr>
          <w:sz w:val="24"/>
          <w:szCs w:val="24"/>
        </w:rPr>
        <w:t>ing</w:t>
      </w:r>
      <w:r w:rsidRPr="001E720B">
        <w:rPr>
          <w:sz w:val="24"/>
          <w:szCs w:val="24"/>
        </w:rPr>
        <w:t xml:space="preserve"> stories about the</w:t>
      </w:r>
      <w:r>
        <w:rPr>
          <w:sz w:val="24"/>
          <w:szCs w:val="24"/>
        </w:rPr>
        <w:t xml:space="preserve"> participants’</w:t>
      </w:r>
      <w:r w:rsidRPr="001E720B">
        <w:rPr>
          <w:sz w:val="24"/>
          <w:szCs w:val="24"/>
        </w:rPr>
        <w:t xml:space="preserve"> educational journeys </w:t>
      </w:r>
      <w:r>
        <w:rPr>
          <w:sz w:val="24"/>
          <w:szCs w:val="24"/>
        </w:rPr>
        <w:t>which renders the process</w:t>
      </w:r>
      <w:r w:rsidRPr="001E720B">
        <w:rPr>
          <w:sz w:val="24"/>
          <w:szCs w:val="24"/>
        </w:rPr>
        <w:t xml:space="preserve"> a biographical research endeavour (Merrill and West, 2009). This endeavour facilitates participants’ reflection on their journeys to identify</w:t>
      </w:r>
      <w:r>
        <w:rPr>
          <w:sz w:val="24"/>
          <w:szCs w:val="24"/>
        </w:rPr>
        <w:t xml:space="preserve"> </w:t>
      </w:r>
      <w:r w:rsidRPr="001E720B">
        <w:rPr>
          <w:sz w:val="24"/>
          <w:szCs w:val="24"/>
        </w:rPr>
        <w:t xml:space="preserve">not only any difficulties and struggles (Thunborg </w:t>
      </w:r>
      <w:r w:rsidR="00FB3A6E" w:rsidRPr="00FB3A6E">
        <w:rPr>
          <w:i/>
          <w:sz w:val="24"/>
          <w:szCs w:val="24"/>
        </w:rPr>
        <w:t>et al.</w:t>
      </w:r>
      <w:r w:rsidRPr="001E720B">
        <w:rPr>
          <w:sz w:val="24"/>
          <w:szCs w:val="24"/>
        </w:rPr>
        <w:t>, 2012)</w:t>
      </w:r>
      <w:r w:rsidR="004C478E">
        <w:rPr>
          <w:sz w:val="24"/>
          <w:szCs w:val="24"/>
        </w:rPr>
        <w:t>,</w:t>
      </w:r>
      <w:r w:rsidRPr="001E720B">
        <w:rPr>
          <w:sz w:val="24"/>
          <w:szCs w:val="24"/>
        </w:rPr>
        <w:t xml:space="preserve"> but also good moments about personal significant events (Jov</w:t>
      </w:r>
      <w:r>
        <w:rPr>
          <w:sz w:val="24"/>
          <w:szCs w:val="24"/>
        </w:rPr>
        <w:t>ch</w:t>
      </w:r>
      <w:r w:rsidRPr="001E720B">
        <w:rPr>
          <w:sz w:val="24"/>
          <w:szCs w:val="24"/>
        </w:rPr>
        <w:t>elovi</w:t>
      </w:r>
      <w:r>
        <w:rPr>
          <w:sz w:val="24"/>
          <w:szCs w:val="24"/>
        </w:rPr>
        <w:t>t</w:t>
      </w:r>
      <w:r w:rsidRPr="001E720B">
        <w:rPr>
          <w:sz w:val="24"/>
          <w:szCs w:val="24"/>
        </w:rPr>
        <w:t>ch and Bauer, 2000). This study adopts a social constructivism philosophy which seeks to make sense and meaning, and with an interpretivist ontological and epistemological positionality of the author, the instrument of narrative is appropriate to help the researcher understand overall participants’ experience, thoughts, feelings and behaviours (</w:t>
      </w:r>
      <w:r w:rsidR="00AB1ADC">
        <w:rPr>
          <w:sz w:val="24"/>
          <w:szCs w:val="24"/>
        </w:rPr>
        <w:t>ibid.</w:t>
      </w:r>
      <w:r w:rsidRPr="001E720B">
        <w:rPr>
          <w:sz w:val="24"/>
          <w:szCs w:val="24"/>
        </w:rPr>
        <w:t>)</w:t>
      </w:r>
      <w:r w:rsidR="00F25E56">
        <w:rPr>
          <w:sz w:val="24"/>
          <w:szCs w:val="24"/>
        </w:rPr>
        <w:t xml:space="preserve">. </w:t>
      </w:r>
      <w:r w:rsidRPr="001E720B">
        <w:rPr>
          <w:sz w:val="24"/>
          <w:szCs w:val="24"/>
        </w:rPr>
        <w:t xml:space="preserve">Furthermore, Anderson and Kirkpatrick (2016) consider that participants’ narratives are strongly representative of the integrity and context of peoples’ lives, and I am keen to explore these in-depth aspects of participants’ lives. </w:t>
      </w:r>
      <w:bookmarkStart w:id="57" w:name="_Hlk194574463"/>
    </w:p>
    <w:bookmarkEnd w:id="57"/>
    <w:p w14:paraId="19278B4B" w14:textId="0E54A732" w:rsidR="000171E2" w:rsidRPr="00C3132F" w:rsidRDefault="000171E2" w:rsidP="0089118B">
      <w:pPr>
        <w:spacing w:line="360" w:lineRule="auto"/>
        <w:rPr>
          <w:sz w:val="24"/>
          <w:szCs w:val="24"/>
        </w:rPr>
      </w:pPr>
      <w:r w:rsidRPr="00C3132F">
        <w:rPr>
          <w:sz w:val="24"/>
          <w:szCs w:val="24"/>
        </w:rPr>
        <w:t>This research is seeking to listen to, capture and fully represent the meaning and depth from participants</w:t>
      </w:r>
      <w:r w:rsidR="00AC5A72">
        <w:rPr>
          <w:sz w:val="24"/>
          <w:szCs w:val="24"/>
        </w:rPr>
        <w:t>’</w:t>
      </w:r>
      <w:r w:rsidRPr="00C3132F">
        <w:rPr>
          <w:sz w:val="24"/>
          <w:szCs w:val="24"/>
        </w:rPr>
        <w:t xml:space="preserve"> “storied text” (Bruner, 1986, p. 14), the stories that have got under their skin</w:t>
      </w:r>
      <w:r>
        <w:rPr>
          <w:sz w:val="24"/>
          <w:szCs w:val="24"/>
        </w:rPr>
        <w:t xml:space="preserve"> and impacted them personally and experientially:</w:t>
      </w:r>
      <w:r w:rsidRPr="00C3132F">
        <w:rPr>
          <w:sz w:val="24"/>
          <w:szCs w:val="24"/>
        </w:rPr>
        <w:t xml:space="preserve"> </w:t>
      </w:r>
      <w:r>
        <w:rPr>
          <w:sz w:val="24"/>
          <w:szCs w:val="24"/>
        </w:rPr>
        <w:t>“</w:t>
      </w:r>
      <w:r w:rsidRPr="006A27AC">
        <w:rPr>
          <w:sz w:val="24"/>
          <w:szCs w:val="24"/>
        </w:rPr>
        <w:t>Once stories are under people’s skin, they affect the terms in which people think, know, and perceive</w:t>
      </w:r>
      <w:r>
        <w:rPr>
          <w:sz w:val="24"/>
          <w:szCs w:val="24"/>
        </w:rPr>
        <w:t>”</w:t>
      </w:r>
      <w:r w:rsidRPr="006A27AC">
        <w:rPr>
          <w:sz w:val="24"/>
          <w:szCs w:val="24"/>
        </w:rPr>
        <w:t xml:space="preserve"> </w:t>
      </w:r>
      <w:r>
        <w:rPr>
          <w:sz w:val="24"/>
          <w:szCs w:val="24"/>
        </w:rPr>
        <w:t>(Frank, 2010, p.</w:t>
      </w:r>
      <w:r w:rsidRPr="006A27AC">
        <w:rPr>
          <w:sz w:val="24"/>
          <w:szCs w:val="24"/>
        </w:rPr>
        <w:t>48</w:t>
      </w:r>
      <w:r>
        <w:rPr>
          <w:sz w:val="24"/>
          <w:szCs w:val="24"/>
        </w:rPr>
        <w:t>)</w:t>
      </w:r>
      <w:bookmarkStart w:id="58" w:name="_Hlk210563576"/>
      <w:r>
        <w:rPr>
          <w:sz w:val="24"/>
          <w:szCs w:val="24"/>
        </w:rPr>
        <w:t xml:space="preserve">. </w:t>
      </w:r>
      <w:bookmarkEnd w:id="58"/>
      <w:r w:rsidRPr="00C3132F">
        <w:rPr>
          <w:sz w:val="24"/>
          <w:szCs w:val="24"/>
        </w:rPr>
        <w:t xml:space="preserve">Adopting a narrative focus helps elicit </w:t>
      </w:r>
      <w:r w:rsidR="00C127C4">
        <w:rPr>
          <w:sz w:val="24"/>
          <w:szCs w:val="24"/>
        </w:rPr>
        <w:t>epistem</w:t>
      </w:r>
      <w:r w:rsidR="00874AF6">
        <w:rPr>
          <w:sz w:val="24"/>
          <w:szCs w:val="24"/>
        </w:rPr>
        <w:t xml:space="preserve">ological and </w:t>
      </w:r>
      <w:r w:rsidRPr="00C3132F">
        <w:rPr>
          <w:sz w:val="24"/>
          <w:szCs w:val="24"/>
        </w:rPr>
        <w:t>ontological information from the general story, such as the context, to the personal story (Gibbs, 2007). A form of oral history, stories are first person narratives that the researcher gathers from a single individual (Burns, 1997)</w:t>
      </w:r>
      <w:r>
        <w:rPr>
          <w:sz w:val="24"/>
          <w:szCs w:val="24"/>
        </w:rPr>
        <w:t xml:space="preserve"> and their</w:t>
      </w:r>
      <w:r w:rsidRPr="00C3132F">
        <w:rPr>
          <w:sz w:val="24"/>
          <w:szCs w:val="24"/>
        </w:rPr>
        <w:t xml:space="preserve"> own experiences (Kumar, 2019) of </w:t>
      </w:r>
      <w:r w:rsidRPr="00C3132F">
        <w:rPr>
          <w:i/>
          <w:iCs/>
          <w:sz w:val="24"/>
          <w:szCs w:val="24"/>
        </w:rPr>
        <w:t>their</w:t>
      </w:r>
      <w:r w:rsidRPr="00C3132F">
        <w:rPr>
          <w:sz w:val="24"/>
          <w:szCs w:val="24"/>
        </w:rPr>
        <w:t xml:space="preserve"> </w:t>
      </w:r>
      <w:r w:rsidR="00BE614C">
        <w:rPr>
          <w:sz w:val="24"/>
          <w:szCs w:val="24"/>
        </w:rPr>
        <w:t>psycho</w:t>
      </w:r>
      <w:r w:rsidRPr="00C3132F">
        <w:rPr>
          <w:sz w:val="24"/>
          <w:szCs w:val="24"/>
        </w:rPr>
        <w:t xml:space="preserve">social and cultural events. </w:t>
      </w:r>
    </w:p>
    <w:p w14:paraId="1D1777F7" w14:textId="77777777" w:rsidR="000171E2" w:rsidRPr="00C3132F" w:rsidRDefault="000171E2" w:rsidP="00354404">
      <w:pPr>
        <w:rPr>
          <w:b/>
          <w:bCs/>
          <w:sz w:val="24"/>
          <w:szCs w:val="24"/>
        </w:rPr>
      </w:pPr>
      <w:r w:rsidRPr="00C3132F">
        <w:rPr>
          <w:b/>
          <w:bCs/>
          <w:sz w:val="24"/>
          <w:szCs w:val="24"/>
        </w:rPr>
        <w:lastRenderedPageBreak/>
        <w:t>Ethics</w:t>
      </w:r>
      <w:r>
        <w:rPr>
          <w:b/>
          <w:bCs/>
          <w:sz w:val="24"/>
          <w:szCs w:val="24"/>
        </w:rPr>
        <w:t xml:space="preserve"> and self-care</w:t>
      </w:r>
      <w:r w:rsidRPr="00C3132F">
        <w:rPr>
          <w:b/>
          <w:bCs/>
          <w:sz w:val="24"/>
          <w:szCs w:val="24"/>
        </w:rPr>
        <w:t xml:space="preserve"> </w:t>
      </w:r>
    </w:p>
    <w:p w14:paraId="28620FA8" w14:textId="3FB908B4" w:rsidR="000171E2" w:rsidRPr="00C3132F" w:rsidRDefault="000171E2" w:rsidP="00130FCC">
      <w:pPr>
        <w:spacing w:line="360" w:lineRule="auto"/>
        <w:rPr>
          <w:sz w:val="24"/>
          <w:szCs w:val="24"/>
        </w:rPr>
      </w:pPr>
      <w:r w:rsidRPr="00C3132F">
        <w:rPr>
          <w:sz w:val="24"/>
          <w:szCs w:val="24"/>
        </w:rPr>
        <w:t xml:space="preserve">The instrument of semi-structured interviews with a narrative focus requires judicious care. One concern was how the researcher might be impacted by the potentially overwhelming volume of data generated and safeguarding against this was achieved by focussing on the central research questions (Rubin and Rubin, 2011). </w:t>
      </w:r>
      <w:r>
        <w:rPr>
          <w:sz w:val="24"/>
          <w:szCs w:val="24"/>
        </w:rPr>
        <w:t>Furthermore, a</w:t>
      </w:r>
      <w:r w:rsidRPr="00C3132F">
        <w:rPr>
          <w:sz w:val="24"/>
          <w:szCs w:val="24"/>
        </w:rPr>
        <w:t xml:space="preserve">s self-care I ensured I created some personal space post the interviewing, and during the task of analysing the data. </w:t>
      </w:r>
    </w:p>
    <w:p w14:paraId="54FF5A1A" w14:textId="77777777" w:rsidR="000171E2" w:rsidRPr="00E64715" w:rsidRDefault="000171E2" w:rsidP="00130FCC">
      <w:pPr>
        <w:spacing w:line="360" w:lineRule="auto"/>
        <w:rPr>
          <w:sz w:val="24"/>
          <w:szCs w:val="24"/>
        </w:rPr>
      </w:pPr>
      <w:r w:rsidRPr="00C3132F">
        <w:rPr>
          <w:sz w:val="24"/>
          <w:szCs w:val="24"/>
        </w:rPr>
        <w:t xml:space="preserve">Another concern </w:t>
      </w:r>
      <w:r>
        <w:rPr>
          <w:sz w:val="24"/>
          <w:szCs w:val="24"/>
        </w:rPr>
        <w:t>centred around the lack of</w:t>
      </w:r>
      <w:r w:rsidRPr="00C3132F">
        <w:rPr>
          <w:sz w:val="24"/>
          <w:szCs w:val="24"/>
        </w:rPr>
        <w:t xml:space="preserve"> interview training for neophyte researchers. There is no formal training in interviewing at the University of Sheffield, and despite requests</w:t>
      </w:r>
      <w:r>
        <w:rPr>
          <w:sz w:val="24"/>
          <w:szCs w:val="24"/>
        </w:rPr>
        <w:t>,</w:t>
      </w:r>
      <w:r w:rsidRPr="00C3132F">
        <w:rPr>
          <w:sz w:val="24"/>
          <w:szCs w:val="24"/>
        </w:rPr>
        <w:t xml:space="preserve"> I was advised to </w:t>
      </w:r>
      <w:r>
        <w:rPr>
          <w:sz w:val="24"/>
          <w:szCs w:val="24"/>
        </w:rPr>
        <w:t xml:space="preserve">pay for external interview training and/or to </w:t>
      </w:r>
      <w:r w:rsidRPr="00C3132F">
        <w:rPr>
          <w:sz w:val="24"/>
          <w:szCs w:val="24"/>
        </w:rPr>
        <w:t xml:space="preserve">conduct </w:t>
      </w:r>
      <w:r>
        <w:rPr>
          <w:sz w:val="24"/>
          <w:szCs w:val="24"/>
        </w:rPr>
        <w:t xml:space="preserve">independent </w:t>
      </w:r>
      <w:r w:rsidRPr="00C3132F">
        <w:rPr>
          <w:sz w:val="24"/>
          <w:szCs w:val="24"/>
        </w:rPr>
        <w:t>research into interview techniques.</w:t>
      </w:r>
      <w:r>
        <w:rPr>
          <w:sz w:val="24"/>
          <w:szCs w:val="24"/>
        </w:rPr>
        <w:t xml:space="preserve"> The cost of external training was prohibitive and, in my view,</w:t>
      </w:r>
      <w:r w:rsidRPr="00C3132F">
        <w:rPr>
          <w:sz w:val="24"/>
          <w:szCs w:val="24"/>
        </w:rPr>
        <w:t xml:space="preserve"> watching exemplar interviews on YouTube fails to address </w:t>
      </w:r>
      <w:r>
        <w:rPr>
          <w:sz w:val="24"/>
          <w:szCs w:val="24"/>
        </w:rPr>
        <w:t xml:space="preserve">any unexpected </w:t>
      </w:r>
      <w:r w:rsidRPr="00C3132F">
        <w:rPr>
          <w:sz w:val="24"/>
          <w:szCs w:val="24"/>
        </w:rPr>
        <w:t xml:space="preserve">ethical matters that </w:t>
      </w:r>
      <w:r>
        <w:rPr>
          <w:sz w:val="24"/>
          <w:szCs w:val="24"/>
        </w:rPr>
        <w:t xml:space="preserve">could render </w:t>
      </w:r>
      <w:r w:rsidRPr="00C3132F">
        <w:rPr>
          <w:sz w:val="24"/>
          <w:szCs w:val="24"/>
        </w:rPr>
        <w:t>the participant, research and researcher</w:t>
      </w:r>
      <w:r>
        <w:rPr>
          <w:sz w:val="24"/>
          <w:szCs w:val="24"/>
        </w:rPr>
        <w:t xml:space="preserve"> vulnerable</w:t>
      </w:r>
      <w:r w:rsidRPr="00C3132F">
        <w:rPr>
          <w:sz w:val="24"/>
          <w:szCs w:val="24"/>
        </w:rPr>
        <w:t>.</w:t>
      </w:r>
      <w:r>
        <w:rPr>
          <w:sz w:val="24"/>
          <w:szCs w:val="24"/>
        </w:rPr>
        <w:t xml:space="preserve"> To safeguard myself and impending participants, I practised the interviews within my learning support group. </w:t>
      </w:r>
    </w:p>
    <w:p w14:paraId="63306884" w14:textId="77777777" w:rsidR="000171E2" w:rsidRPr="007942E2" w:rsidRDefault="000171E2" w:rsidP="0000160E">
      <w:pPr>
        <w:rPr>
          <w:color w:val="FF0000"/>
          <w:sz w:val="24"/>
          <w:szCs w:val="24"/>
        </w:rPr>
      </w:pPr>
      <w:r>
        <w:rPr>
          <w:b/>
          <w:bCs/>
          <w:sz w:val="24"/>
          <w:szCs w:val="24"/>
        </w:rPr>
        <w:t>R</w:t>
      </w:r>
      <w:r w:rsidRPr="007B4F06">
        <w:rPr>
          <w:b/>
          <w:bCs/>
          <w:sz w:val="24"/>
          <w:szCs w:val="24"/>
        </w:rPr>
        <w:t xml:space="preserve">ecruitment </w:t>
      </w:r>
      <w:r>
        <w:rPr>
          <w:b/>
          <w:bCs/>
          <w:sz w:val="24"/>
          <w:szCs w:val="24"/>
        </w:rPr>
        <w:t>of participants and sampling strategy</w:t>
      </w:r>
    </w:p>
    <w:p w14:paraId="53267E52" w14:textId="68C220EF" w:rsidR="000171E2" w:rsidRDefault="000171E2" w:rsidP="00172162">
      <w:pPr>
        <w:spacing w:line="360" w:lineRule="auto"/>
        <w:rPr>
          <w:sz w:val="24"/>
          <w:szCs w:val="24"/>
        </w:rPr>
      </w:pPr>
      <w:r w:rsidRPr="006A2BAC">
        <w:rPr>
          <w:sz w:val="24"/>
          <w:szCs w:val="24"/>
        </w:rPr>
        <w:t>I sought to recruit 10</w:t>
      </w:r>
      <w:r w:rsidR="001524EA">
        <w:rPr>
          <w:sz w:val="24"/>
          <w:szCs w:val="24"/>
        </w:rPr>
        <w:t xml:space="preserve"> </w:t>
      </w:r>
      <w:r w:rsidRPr="006A2BAC">
        <w:rPr>
          <w:sz w:val="24"/>
          <w:szCs w:val="24"/>
        </w:rPr>
        <w:t>-</w:t>
      </w:r>
      <w:r w:rsidR="001524EA">
        <w:rPr>
          <w:sz w:val="24"/>
          <w:szCs w:val="24"/>
        </w:rPr>
        <w:t xml:space="preserve"> </w:t>
      </w:r>
      <w:r w:rsidRPr="006A2BAC">
        <w:rPr>
          <w:sz w:val="24"/>
          <w:szCs w:val="24"/>
        </w:rPr>
        <w:t xml:space="preserve">15 participants who had attended a teacher training course (PGCHE or equivalent), and who currently teach at a university (Appendix B). The search criteria for participants were broad, and the opinions of every participant would be highly valued irrespective of experience, knowledge or discipline. </w:t>
      </w:r>
    </w:p>
    <w:p w14:paraId="06C8FEFD" w14:textId="0E4E0BCA" w:rsidR="000171E2" w:rsidRDefault="000171E2" w:rsidP="00172162">
      <w:pPr>
        <w:spacing w:line="360" w:lineRule="auto"/>
        <w:rPr>
          <w:sz w:val="24"/>
          <w:szCs w:val="24"/>
        </w:rPr>
      </w:pPr>
      <w:r w:rsidRPr="00A830A8">
        <w:rPr>
          <w:sz w:val="24"/>
          <w:szCs w:val="24"/>
        </w:rPr>
        <w:t xml:space="preserve">I initially sought advice and guidance on the recruitment process from </w:t>
      </w:r>
      <w:r>
        <w:rPr>
          <w:sz w:val="24"/>
          <w:szCs w:val="24"/>
        </w:rPr>
        <w:t xml:space="preserve">a </w:t>
      </w:r>
      <w:r w:rsidRPr="00A830A8">
        <w:rPr>
          <w:sz w:val="24"/>
          <w:szCs w:val="24"/>
        </w:rPr>
        <w:t xml:space="preserve"> PGCHE tutor (Schultz,</w:t>
      </w:r>
      <w:r>
        <w:rPr>
          <w:sz w:val="24"/>
          <w:szCs w:val="24"/>
        </w:rPr>
        <w:t xml:space="preserve"> </w:t>
      </w:r>
      <w:r w:rsidRPr="00A830A8">
        <w:rPr>
          <w:sz w:val="24"/>
          <w:szCs w:val="24"/>
        </w:rPr>
        <w:t xml:space="preserve">2022) who suggested </w:t>
      </w:r>
      <w:r>
        <w:rPr>
          <w:sz w:val="24"/>
          <w:szCs w:val="24"/>
        </w:rPr>
        <w:t xml:space="preserve">if I targeted seasoned teachers, </w:t>
      </w:r>
      <w:r w:rsidRPr="00A830A8">
        <w:rPr>
          <w:sz w:val="24"/>
          <w:szCs w:val="24"/>
        </w:rPr>
        <w:t xml:space="preserve">I </w:t>
      </w:r>
      <w:r>
        <w:rPr>
          <w:sz w:val="24"/>
          <w:szCs w:val="24"/>
        </w:rPr>
        <w:t xml:space="preserve">might </w:t>
      </w:r>
      <w:r w:rsidRPr="00A830A8">
        <w:rPr>
          <w:sz w:val="24"/>
          <w:szCs w:val="24"/>
        </w:rPr>
        <w:t>encounter resistance due to the</w:t>
      </w:r>
      <w:r>
        <w:rPr>
          <w:sz w:val="24"/>
          <w:szCs w:val="24"/>
        </w:rPr>
        <w:t>ir</w:t>
      </w:r>
      <w:r w:rsidRPr="00A830A8">
        <w:rPr>
          <w:sz w:val="24"/>
          <w:szCs w:val="24"/>
        </w:rPr>
        <w:t xml:space="preserve"> attachment to </w:t>
      </w:r>
      <w:r>
        <w:rPr>
          <w:sz w:val="24"/>
          <w:szCs w:val="24"/>
        </w:rPr>
        <w:t xml:space="preserve">known </w:t>
      </w:r>
      <w:r w:rsidRPr="00A830A8">
        <w:rPr>
          <w:sz w:val="24"/>
          <w:szCs w:val="24"/>
        </w:rPr>
        <w:t xml:space="preserve">pedagogic methodologies. I speculated that neophyte teachers may be more open to SEL aspects of teaching </w:t>
      </w:r>
      <w:r>
        <w:rPr>
          <w:sz w:val="24"/>
          <w:szCs w:val="24"/>
        </w:rPr>
        <w:t xml:space="preserve">however they might </w:t>
      </w:r>
      <w:r w:rsidRPr="00A830A8">
        <w:rPr>
          <w:sz w:val="24"/>
          <w:szCs w:val="24"/>
        </w:rPr>
        <w:t>not have enough teaching</w:t>
      </w:r>
      <w:r>
        <w:rPr>
          <w:sz w:val="24"/>
          <w:szCs w:val="24"/>
        </w:rPr>
        <w:t xml:space="preserve"> experience</w:t>
      </w:r>
      <w:r w:rsidRPr="00A830A8">
        <w:rPr>
          <w:sz w:val="24"/>
          <w:szCs w:val="24"/>
        </w:rPr>
        <w:t xml:space="preserve">, and therefore their stories </w:t>
      </w:r>
      <w:r>
        <w:rPr>
          <w:sz w:val="24"/>
          <w:szCs w:val="24"/>
        </w:rPr>
        <w:t xml:space="preserve">could </w:t>
      </w:r>
      <w:r w:rsidRPr="00A830A8">
        <w:rPr>
          <w:sz w:val="24"/>
          <w:szCs w:val="24"/>
        </w:rPr>
        <w:t>lack depth</w:t>
      </w:r>
      <w:r w:rsidR="00BD1854">
        <w:rPr>
          <w:sz w:val="24"/>
          <w:szCs w:val="24"/>
        </w:rPr>
        <w:t xml:space="preserve"> (Schultz, 2022a)</w:t>
      </w:r>
      <w:r w:rsidRPr="00A830A8">
        <w:rPr>
          <w:sz w:val="24"/>
          <w:szCs w:val="24"/>
        </w:rPr>
        <w:t xml:space="preserve">. </w:t>
      </w:r>
      <w:r>
        <w:rPr>
          <w:sz w:val="24"/>
          <w:szCs w:val="24"/>
        </w:rPr>
        <w:t>Although e</w:t>
      </w:r>
      <w:r w:rsidRPr="00A830A8">
        <w:rPr>
          <w:sz w:val="24"/>
          <w:szCs w:val="24"/>
        </w:rPr>
        <w:t xml:space="preserve">ngagement with research </w:t>
      </w:r>
      <w:r>
        <w:rPr>
          <w:sz w:val="24"/>
          <w:szCs w:val="24"/>
        </w:rPr>
        <w:t xml:space="preserve">is </w:t>
      </w:r>
      <w:r w:rsidRPr="00A830A8">
        <w:rPr>
          <w:sz w:val="24"/>
          <w:szCs w:val="24"/>
        </w:rPr>
        <w:t xml:space="preserve">heightened by individuals who </w:t>
      </w:r>
      <w:r>
        <w:rPr>
          <w:sz w:val="24"/>
          <w:szCs w:val="24"/>
        </w:rPr>
        <w:t xml:space="preserve">have </w:t>
      </w:r>
      <w:r w:rsidRPr="00A830A8">
        <w:rPr>
          <w:sz w:val="24"/>
          <w:szCs w:val="24"/>
        </w:rPr>
        <w:t>experience</w:t>
      </w:r>
      <w:r w:rsidR="0044396D">
        <w:rPr>
          <w:sz w:val="24"/>
          <w:szCs w:val="24"/>
        </w:rPr>
        <w:t>d</w:t>
      </w:r>
      <w:r w:rsidRPr="00A830A8">
        <w:rPr>
          <w:sz w:val="24"/>
          <w:szCs w:val="24"/>
        </w:rPr>
        <w:t xml:space="preserve"> the topic in their lives</w:t>
      </w:r>
      <w:r w:rsidRPr="004D0347">
        <w:rPr>
          <w:sz w:val="24"/>
          <w:szCs w:val="24"/>
        </w:rPr>
        <w:t xml:space="preserve"> </w:t>
      </w:r>
      <w:r>
        <w:rPr>
          <w:sz w:val="24"/>
          <w:szCs w:val="24"/>
        </w:rPr>
        <w:t>(</w:t>
      </w:r>
      <w:r w:rsidRPr="00A830A8">
        <w:rPr>
          <w:sz w:val="24"/>
          <w:szCs w:val="24"/>
        </w:rPr>
        <w:t>Lowes and Gill</w:t>
      </w:r>
      <w:r>
        <w:rPr>
          <w:sz w:val="24"/>
          <w:szCs w:val="24"/>
        </w:rPr>
        <w:t xml:space="preserve">, </w:t>
      </w:r>
      <w:r w:rsidRPr="00A830A8">
        <w:rPr>
          <w:sz w:val="24"/>
          <w:szCs w:val="24"/>
        </w:rPr>
        <w:t>2006)</w:t>
      </w:r>
      <w:r w:rsidR="003A4A1F">
        <w:rPr>
          <w:sz w:val="24"/>
          <w:szCs w:val="24"/>
        </w:rPr>
        <w:t xml:space="preserve">, </w:t>
      </w:r>
      <w:r w:rsidR="00280433">
        <w:rPr>
          <w:sz w:val="24"/>
          <w:szCs w:val="24"/>
        </w:rPr>
        <w:t>ultimately,</w:t>
      </w:r>
      <w:r>
        <w:rPr>
          <w:sz w:val="24"/>
          <w:szCs w:val="24"/>
        </w:rPr>
        <w:t xml:space="preserve"> </w:t>
      </w:r>
      <w:r w:rsidRPr="00A830A8">
        <w:rPr>
          <w:sz w:val="24"/>
          <w:szCs w:val="24"/>
        </w:rPr>
        <w:t>I w</w:t>
      </w:r>
      <w:r>
        <w:rPr>
          <w:sz w:val="24"/>
          <w:szCs w:val="24"/>
        </w:rPr>
        <w:t>ould be</w:t>
      </w:r>
      <w:r w:rsidRPr="00A830A8">
        <w:rPr>
          <w:sz w:val="24"/>
          <w:szCs w:val="24"/>
        </w:rPr>
        <w:t xml:space="preserve"> guided by the </w:t>
      </w:r>
      <w:r>
        <w:rPr>
          <w:sz w:val="24"/>
          <w:szCs w:val="24"/>
        </w:rPr>
        <w:t xml:space="preserve">response to a recruitment drive </w:t>
      </w:r>
      <w:r w:rsidRPr="00A830A8">
        <w:rPr>
          <w:sz w:val="24"/>
          <w:szCs w:val="24"/>
        </w:rPr>
        <w:t>and decided that the academic age of potential participants was not relevant.</w:t>
      </w:r>
    </w:p>
    <w:p w14:paraId="67EAD24D" w14:textId="7F6F9FFC" w:rsidR="000171E2" w:rsidRPr="005E39D0" w:rsidRDefault="000171E2" w:rsidP="00172162">
      <w:pPr>
        <w:spacing w:line="360" w:lineRule="auto"/>
        <w:rPr>
          <w:sz w:val="24"/>
          <w:szCs w:val="24"/>
        </w:rPr>
      </w:pPr>
      <w:r w:rsidRPr="005E39D0">
        <w:rPr>
          <w:sz w:val="24"/>
          <w:szCs w:val="24"/>
        </w:rPr>
        <w:lastRenderedPageBreak/>
        <w:t xml:space="preserve">I resisted using social media to recruit participants despite several of my EdD colleagues’ successful recruitment drives using this method. Social media as a recruitment medium could attract too diverse an audience thus requiring a copious filtering of respondents. Networking </w:t>
      </w:r>
      <w:r>
        <w:rPr>
          <w:sz w:val="24"/>
          <w:szCs w:val="24"/>
        </w:rPr>
        <w:t xml:space="preserve">can </w:t>
      </w:r>
      <w:r w:rsidR="007577F9">
        <w:rPr>
          <w:sz w:val="24"/>
          <w:szCs w:val="24"/>
        </w:rPr>
        <w:t xml:space="preserve">be </w:t>
      </w:r>
      <w:r w:rsidRPr="005E39D0">
        <w:rPr>
          <w:sz w:val="24"/>
          <w:szCs w:val="24"/>
        </w:rPr>
        <w:t xml:space="preserve">used for recruitment purposes </w:t>
      </w:r>
      <w:r>
        <w:rPr>
          <w:sz w:val="24"/>
          <w:szCs w:val="24"/>
        </w:rPr>
        <w:t xml:space="preserve">and </w:t>
      </w:r>
      <w:r w:rsidRPr="005E39D0">
        <w:rPr>
          <w:sz w:val="24"/>
          <w:szCs w:val="24"/>
        </w:rPr>
        <w:t xml:space="preserve">involves requesting contact recommendations through informal networks like friends, professional associates and their colleagues (Morrison, 2006). </w:t>
      </w:r>
      <w:r>
        <w:rPr>
          <w:sz w:val="24"/>
          <w:szCs w:val="24"/>
        </w:rPr>
        <w:t xml:space="preserve">Given the sensitivity of the research, I felt it important to have personal conversations with gatekeepers, </w:t>
      </w:r>
      <w:r w:rsidRPr="00BD72CF">
        <w:rPr>
          <w:sz w:val="24"/>
          <w:szCs w:val="24"/>
        </w:rPr>
        <w:t xml:space="preserve">“those who control access” (Cohen </w:t>
      </w:r>
      <w:r w:rsidR="00FB3A6E" w:rsidRPr="00FB3A6E">
        <w:rPr>
          <w:i/>
          <w:sz w:val="24"/>
          <w:szCs w:val="24"/>
        </w:rPr>
        <w:t>et al.</w:t>
      </w:r>
      <w:r w:rsidRPr="00BD72CF">
        <w:rPr>
          <w:sz w:val="24"/>
          <w:szCs w:val="24"/>
        </w:rPr>
        <w:t xml:space="preserve"> 2019, p.231)</w:t>
      </w:r>
      <w:r>
        <w:rPr>
          <w:sz w:val="24"/>
          <w:szCs w:val="24"/>
        </w:rPr>
        <w:t xml:space="preserve"> to establish interpersonal trust (Lee, 1993). T</w:t>
      </w:r>
      <w:r w:rsidRPr="005E39D0">
        <w:rPr>
          <w:sz w:val="24"/>
          <w:szCs w:val="24"/>
        </w:rPr>
        <w:t>hrough a combination of networking contacts, and cold calling, some 17 scoping conversations took place with</w:t>
      </w:r>
      <w:r>
        <w:rPr>
          <w:sz w:val="24"/>
          <w:szCs w:val="24"/>
        </w:rPr>
        <w:t xml:space="preserve"> </w:t>
      </w:r>
      <w:r w:rsidRPr="005E39D0">
        <w:rPr>
          <w:sz w:val="24"/>
          <w:szCs w:val="24"/>
        </w:rPr>
        <w:t>teaching leads on teacher training programmes at various universities (September 2022 - March 2023) none of which yielded any prospective participants</w:t>
      </w:r>
      <w:r w:rsidR="007B6914">
        <w:rPr>
          <w:sz w:val="24"/>
          <w:szCs w:val="24"/>
        </w:rPr>
        <w:t>.</w:t>
      </w:r>
    </w:p>
    <w:p w14:paraId="3692BC20" w14:textId="532A4782" w:rsidR="000171E2" w:rsidRPr="00532DB0" w:rsidRDefault="000171E2" w:rsidP="00411C5A">
      <w:pPr>
        <w:spacing w:line="360" w:lineRule="auto"/>
        <w:rPr>
          <w:sz w:val="24"/>
          <w:szCs w:val="24"/>
        </w:rPr>
      </w:pPr>
      <w:r w:rsidRPr="00532DB0">
        <w:rPr>
          <w:sz w:val="24"/>
          <w:szCs w:val="24"/>
        </w:rPr>
        <w:t xml:space="preserve">Following the lack of response to recruitment drives, 120 invitation letters were sent out by the education department at the University of Sheffield to </w:t>
      </w:r>
      <w:r>
        <w:rPr>
          <w:sz w:val="24"/>
          <w:szCs w:val="24"/>
        </w:rPr>
        <w:t xml:space="preserve">students </w:t>
      </w:r>
      <w:r w:rsidRPr="00532DB0">
        <w:rPr>
          <w:sz w:val="24"/>
          <w:szCs w:val="24"/>
        </w:rPr>
        <w:t xml:space="preserve">attending a PGCE which yielded only one result. A further recruitment drive </w:t>
      </w:r>
      <w:r>
        <w:rPr>
          <w:sz w:val="24"/>
          <w:szCs w:val="24"/>
        </w:rPr>
        <w:t xml:space="preserve">three months later </w:t>
      </w:r>
      <w:r w:rsidRPr="00532DB0">
        <w:rPr>
          <w:sz w:val="24"/>
          <w:szCs w:val="24"/>
        </w:rPr>
        <w:t xml:space="preserve">yielded no result. </w:t>
      </w:r>
      <w:r>
        <w:rPr>
          <w:sz w:val="24"/>
          <w:szCs w:val="24"/>
        </w:rPr>
        <w:t>A</w:t>
      </w:r>
      <w:r w:rsidRPr="00532DB0">
        <w:rPr>
          <w:sz w:val="24"/>
          <w:szCs w:val="24"/>
        </w:rPr>
        <w:t xml:space="preserve">n external professional </w:t>
      </w:r>
      <w:r>
        <w:rPr>
          <w:sz w:val="24"/>
          <w:szCs w:val="24"/>
        </w:rPr>
        <w:t xml:space="preserve">conducting research </w:t>
      </w:r>
      <w:r w:rsidRPr="00532DB0">
        <w:rPr>
          <w:sz w:val="24"/>
          <w:szCs w:val="24"/>
        </w:rPr>
        <w:t>can be perceived as an “external stranger” (Zurolo, 2012, p.154) who might introduce elements that threaten the perceived pre-existing equilibrium (</w:t>
      </w:r>
      <w:r w:rsidR="00AB1ADC">
        <w:rPr>
          <w:sz w:val="24"/>
          <w:szCs w:val="24"/>
        </w:rPr>
        <w:t>ibid.</w:t>
      </w:r>
      <w:r w:rsidRPr="00532DB0">
        <w:rPr>
          <w:sz w:val="24"/>
          <w:szCs w:val="24"/>
        </w:rPr>
        <w:t>)</w:t>
      </w:r>
      <w:r w:rsidR="00553885">
        <w:rPr>
          <w:sz w:val="24"/>
          <w:szCs w:val="24"/>
        </w:rPr>
        <w:t>,</w:t>
      </w:r>
      <w:r>
        <w:rPr>
          <w:sz w:val="24"/>
          <w:szCs w:val="24"/>
        </w:rPr>
        <w:t xml:space="preserve"> and </w:t>
      </w:r>
      <w:r w:rsidRPr="00532DB0">
        <w:rPr>
          <w:sz w:val="24"/>
          <w:szCs w:val="24"/>
        </w:rPr>
        <w:t xml:space="preserve">I speculate that </w:t>
      </w:r>
      <w:r>
        <w:rPr>
          <w:sz w:val="24"/>
          <w:szCs w:val="24"/>
        </w:rPr>
        <w:t xml:space="preserve">this </w:t>
      </w:r>
      <w:r w:rsidRPr="00532DB0">
        <w:rPr>
          <w:sz w:val="24"/>
          <w:szCs w:val="24"/>
        </w:rPr>
        <w:t xml:space="preserve">may have played a part in the lack of response. </w:t>
      </w:r>
      <w:r>
        <w:rPr>
          <w:sz w:val="24"/>
          <w:szCs w:val="24"/>
        </w:rPr>
        <w:t>A</w:t>
      </w:r>
      <w:r w:rsidRPr="00532DB0">
        <w:rPr>
          <w:sz w:val="24"/>
          <w:szCs w:val="24"/>
        </w:rPr>
        <w:t>s a final push I emailed a</w:t>
      </w:r>
      <w:r>
        <w:rPr>
          <w:sz w:val="24"/>
          <w:szCs w:val="24"/>
        </w:rPr>
        <w:t>n academic</w:t>
      </w:r>
      <w:r w:rsidRPr="00532DB0">
        <w:rPr>
          <w:sz w:val="24"/>
          <w:szCs w:val="24"/>
        </w:rPr>
        <w:t xml:space="preserve"> I spoke to at the Advance HE (2023) mental health conference. I also approached my professional organisation</w:t>
      </w:r>
      <w:r>
        <w:rPr>
          <w:sz w:val="24"/>
          <w:szCs w:val="24"/>
        </w:rPr>
        <w:t xml:space="preserve"> (UKAHPP)</w:t>
      </w:r>
      <w:r w:rsidRPr="00532DB0">
        <w:rPr>
          <w:sz w:val="24"/>
          <w:szCs w:val="24"/>
        </w:rPr>
        <w:t xml:space="preserve"> for a recommendation of a psychotherapist with a doctorate in education</w:t>
      </w:r>
      <w:r>
        <w:rPr>
          <w:sz w:val="24"/>
          <w:szCs w:val="24"/>
        </w:rPr>
        <w:t>. W</w:t>
      </w:r>
      <w:r w:rsidRPr="00532DB0">
        <w:rPr>
          <w:sz w:val="24"/>
          <w:szCs w:val="24"/>
        </w:rPr>
        <w:t xml:space="preserve">ithin two weeks I had </w:t>
      </w:r>
      <w:r w:rsidR="003D36EB">
        <w:rPr>
          <w:sz w:val="24"/>
          <w:szCs w:val="24"/>
        </w:rPr>
        <w:t>nine</w:t>
      </w:r>
      <w:r w:rsidRPr="00532DB0">
        <w:rPr>
          <w:sz w:val="24"/>
          <w:szCs w:val="24"/>
        </w:rPr>
        <w:t xml:space="preserve"> participants.</w:t>
      </w:r>
      <w:r>
        <w:rPr>
          <w:sz w:val="24"/>
          <w:szCs w:val="24"/>
        </w:rPr>
        <w:t xml:space="preserve"> Ideally, I would have liked to have recruited 10</w:t>
      </w:r>
      <w:r w:rsidR="00D74949">
        <w:rPr>
          <w:sz w:val="24"/>
          <w:szCs w:val="24"/>
        </w:rPr>
        <w:t xml:space="preserve"> </w:t>
      </w:r>
      <w:r>
        <w:rPr>
          <w:sz w:val="24"/>
          <w:szCs w:val="24"/>
        </w:rPr>
        <w:t>-</w:t>
      </w:r>
      <w:r w:rsidR="00D74949">
        <w:rPr>
          <w:sz w:val="24"/>
          <w:szCs w:val="24"/>
        </w:rPr>
        <w:t xml:space="preserve"> </w:t>
      </w:r>
      <w:r>
        <w:rPr>
          <w:sz w:val="24"/>
          <w:szCs w:val="24"/>
        </w:rPr>
        <w:t xml:space="preserve">12 participants, however, when reflecting on </w:t>
      </w:r>
      <w:r w:rsidRPr="0043307F">
        <w:rPr>
          <w:i/>
          <w:iCs/>
          <w:sz w:val="24"/>
          <w:szCs w:val="24"/>
        </w:rPr>
        <w:t>how</w:t>
      </w:r>
      <w:r>
        <w:rPr>
          <w:sz w:val="24"/>
          <w:szCs w:val="24"/>
        </w:rPr>
        <w:t xml:space="preserve"> the </w:t>
      </w:r>
      <w:r w:rsidR="003D36EB">
        <w:rPr>
          <w:sz w:val="24"/>
          <w:szCs w:val="24"/>
        </w:rPr>
        <w:t>nine</w:t>
      </w:r>
      <w:r>
        <w:rPr>
          <w:sz w:val="24"/>
          <w:szCs w:val="24"/>
        </w:rPr>
        <w:t xml:space="preserve"> participants were recruited, I believe the personal touch of having met me in person was a deciding factor in </w:t>
      </w:r>
      <w:r w:rsidR="00BF7974">
        <w:rPr>
          <w:sz w:val="24"/>
          <w:szCs w:val="24"/>
        </w:rPr>
        <w:t>the success of the recruitment</w:t>
      </w:r>
      <w:r>
        <w:rPr>
          <w:sz w:val="24"/>
          <w:szCs w:val="24"/>
        </w:rPr>
        <w:t xml:space="preserve">. </w:t>
      </w:r>
    </w:p>
    <w:p w14:paraId="3647DD89" w14:textId="04573928" w:rsidR="000171E2" w:rsidRDefault="000171E2" w:rsidP="00411C5A">
      <w:pPr>
        <w:spacing w:line="360" w:lineRule="auto"/>
        <w:rPr>
          <w:sz w:val="24"/>
          <w:szCs w:val="24"/>
        </w:rPr>
      </w:pPr>
      <w:r>
        <w:rPr>
          <w:sz w:val="24"/>
          <w:szCs w:val="24"/>
        </w:rPr>
        <w:t>I decided not to incentivise participation despite the fact that v</w:t>
      </w:r>
      <w:r w:rsidRPr="00532DB0">
        <w:rPr>
          <w:sz w:val="24"/>
          <w:szCs w:val="24"/>
        </w:rPr>
        <w:t>arious studies suggest that incentivisation does not impact response quality (</w:t>
      </w:r>
      <w:hyperlink r:id="rId40" w:anchor="con" w:history="1">
        <w:r w:rsidRPr="00130829">
          <w:rPr>
            <w:rStyle w:val="Hyperlink"/>
            <w:bCs/>
            <w:color w:val="auto"/>
            <w:sz w:val="24"/>
            <w:szCs w:val="24"/>
            <w:u w:val="none"/>
          </w:rPr>
          <w:t>Göritz</w:t>
        </w:r>
      </w:hyperlink>
      <w:r w:rsidRPr="00130829">
        <w:rPr>
          <w:sz w:val="24"/>
          <w:szCs w:val="24"/>
        </w:rPr>
        <w:t xml:space="preserve">, </w:t>
      </w:r>
      <w:r w:rsidRPr="00532DB0">
        <w:rPr>
          <w:sz w:val="24"/>
          <w:szCs w:val="24"/>
        </w:rPr>
        <w:t xml:space="preserve">2004; Olsen </w:t>
      </w:r>
      <w:r w:rsidR="00FB3A6E" w:rsidRPr="00FB3A6E">
        <w:rPr>
          <w:i/>
          <w:sz w:val="24"/>
          <w:szCs w:val="24"/>
        </w:rPr>
        <w:t>et al.</w:t>
      </w:r>
      <w:r w:rsidRPr="00532DB0">
        <w:rPr>
          <w:sz w:val="24"/>
          <w:szCs w:val="24"/>
        </w:rPr>
        <w:t xml:space="preserve">, 2012; Singer </w:t>
      </w:r>
      <w:r w:rsidR="00FB3A6E" w:rsidRPr="00FB3A6E">
        <w:rPr>
          <w:i/>
          <w:sz w:val="24"/>
          <w:szCs w:val="24"/>
        </w:rPr>
        <w:t>et al.</w:t>
      </w:r>
      <w:r w:rsidRPr="00532DB0">
        <w:rPr>
          <w:sz w:val="24"/>
          <w:szCs w:val="24"/>
        </w:rPr>
        <w:t xml:space="preserve"> 2000). </w:t>
      </w:r>
      <w:r>
        <w:rPr>
          <w:sz w:val="24"/>
          <w:szCs w:val="24"/>
        </w:rPr>
        <w:t xml:space="preserve">The </w:t>
      </w:r>
      <w:r w:rsidRPr="00532DB0">
        <w:rPr>
          <w:sz w:val="24"/>
          <w:szCs w:val="24"/>
        </w:rPr>
        <w:t>UKCP</w:t>
      </w:r>
      <w:r>
        <w:rPr>
          <w:sz w:val="24"/>
          <w:szCs w:val="24"/>
        </w:rPr>
        <w:t xml:space="preserve"> Code of Ethics</w:t>
      </w:r>
      <w:r w:rsidRPr="00532DB0">
        <w:rPr>
          <w:sz w:val="24"/>
          <w:szCs w:val="24"/>
        </w:rPr>
        <w:t xml:space="preserve"> </w:t>
      </w:r>
      <w:r>
        <w:rPr>
          <w:sz w:val="24"/>
          <w:szCs w:val="24"/>
        </w:rPr>
        <w:t xml:space="preserve">(UKCP, </w:t>
      </w:r>
      <w:r w:rsidRPr="00532DB0">
        <w:rPr>
          <w:sz w:val="24"/>
          <w:szCs w:val="24"/>
        </w:rPr>
        <w:t>2019) came into play to guide me on this matter. As a therapist, I am not allowed to receive gifts as this can be regarded as exploitative (</w:t>
      </w:r>
      <w:r w:rsidR="00AB1ADC">
        <w:rPr>
          <w:sz w:val="24"/>
          <w:szCs w:val="24"/>
        </w:rPr>
        <w:t>ibid.</w:t>
      </w:r>
      <w:r w:rsidRPr="00532DB0">
        <w:rPr>
          <w:sz w:val="24"/>
          <w:szCs w:val="24"/>
        </w:rPr>
        <w:t>, p.3). Although not stated, I believe this principle could be applied to the giving of gifts in research as it could be exploitative</w:t>
      </w:r>
      <w:r>
        <w:rPr>
          <w:sz w:val="24"/>
          <w:szCs w:val="24"/>
        </w:rPr>
        <w:t xml:space="preserve"> and </w:t>
      </w:r>
      <w:r w:rsidRPr="00532DB0">
        <w:rPr>
          <w:sz w:val="24"/>
          <w:szCs w:val="24"/>
        </w:rPr>
        <w:t xml:space="preserve">leave the participant feeling beholden to the researcher. </w:t>
      </w:r>
    </w:p>
    <w:p w14:paraId="7E0A964D" w14:textId="77777777" w:rsidR="000171E2" w:rsidRPr="009473DB" w:rsidRDefault="000171E2" w:rsidP="009473DB">
      <w:pPr>
        <w:rPr>
          <w:b/>
          <w:bCs/>
          <w:sz w:val="24"/>
          <w:szCs w:val="24"/>
        </w:rPr>
      </w:pPr>
      <w:r w:rsidRPr="009473DB">
        <w:rPr>
          <w:b/>
          <w:bCs/>
          <w:sz w:val="24"/>
          <w:szCs w:val="24"/>
        </w:rPr>
        <w:lastRenderedPageBreak/>
        <w:t>Preparation for research participants</w:t>
      </w:r>
    </w:p>
    <w:p w14:paraId="7734F763" w14:textId="54E03E39" w:rsidR="000171E2" w:rsidRPr="00DA317F" w:rsidRDefault="000171E2" w:rsidP="00095D3B">
      <w:pPr>
        <w:spacing w:line="360" w:lineRule="auto"/>
        <w:rPr>
          <w:sz w:val="24"/>
          <w:szCs w:val="24"/>
        </w:rPr>
      </w:pPr>
      <w:r w:rsidRPr="009473DB">
        <w:rPr>
          <w:sz w:val="24"/>
          <w:szCs w:val="24"/>
        </w:rPr>
        <w:t xml:space="preserve">The indicative interview schedule, participant information sheets, participant consent form and pre-interview questionnaire (Appendices C-F) were sent to participants to allow them to familiarise themselves with the project and give their consent to being involved. Emails were exchanged to arrange the first interview. Between the first and second interviews participants were sent a diagrammatic representation of holding for them to consider as a reflective exercise (Appendix </w:t>
      </w:r>
      <w:r w:rsidR="002D069E">
        <w:rPr>
          <w:sz w:val="24"/>
          <w:szCs w:val="24"/>
        </w:rPr>
        <w:t>H</w:t>
      </w:r>
      <w:r w:rsidRPr="009473DB">
        <w:rPr>
          <w:sz w:val="24"/>
          <w:szCs w:val="24"/>
        </w:rPr>
        <w:t>). Participants were advised that copies of the transcripts of both interviews would be sent to them for correction</w:t>
      </w:r>
      <w:r>
        <w:rPr>
          <w:sz w:val="24"/>
          <w:szCs w:val="24"/>
        </w:rPr>
        <w:t xml:space="preserve">. </w:t>
      </w:r>
      <w:r w:rsidR="007577F9">
        <w:rPr>
          <w:sz w:val="24"/>
          <w:szCs w:val="24"/>
        </w:rPr>
        <w:t>H</w:t>
      </w:r>
      <w:r w:rsidRPr="009473DB">
        <w:rPr>
          <w:sz w:val="24"/>
          <w:szCs w:val="24"/>
        </w:rPr>
        <w:t xml:space="preserve">alf of the participants made corrections. Participants post both interviews were provided with a list of resources that were location specific should they require some emotional support once the interview process was complete </w:t>
      </w:r>
      <w:r w:rsidRPr="00610553">
        <w:rPr>
          <w:sz w:val="24"/>
          <w:szCs w:val="24"/>
        </w:rPr>
        <w:t xml:space="preserve">(Appendix </w:t>
      </w:r>
      <w:r w:rsidR="00EF2ED4">
        <w:rPr>
          <w:sz w:val="24"/>
          <w:szCs w:val="24"/>
        </w:rPr>
        <w:t>I</w:t>
      </w:r>
      <w:r w:rsidRPr="00610553">
        <w:rPr>
          <w:sz w:val="24"/>
          <w:szCs w:val="24"/>
        </w:rPr>
        <w:t xml:space="preserve">). </w:t>
      </w:r>
    </w:p>
    <w:p w14:paraId="46039510" w14:textId="4268E869" w:rsidR="000171E2" w:rsidRPr="009473DB" w:rsidRDefault="000171E2" w:rsidP="00095D3B">
      <w:pPr>
        <w:spacing w:line="360" w:lineRule="auto"/>
        <w:rPr>
          <w:sz w:val="24"/>
          <w:szCs w:val="24"/>
        </w:rPr>
      </w:pPr>
      <w:r w:rsidRPr="009473DB">
        <w:rPr>
          <w:sz w:val="24"/>
          <w:szCs w:val="24"/>
        </w:rPr>
        <w:t xml:space="preserve">Ethical guidelines state the researcher should recognise concerns relating to the time and effort that research participation can require (BERA, 2018). Attention was paid to </w:t>
      </w:r>
      <w:r>
        <w:rPr>
          <w:sz w:val="24"/>
          <w:szCs w:val="24"/>
        </w:rPr>
        <w:t xml:space="preserve">factors </w:t>
      </w:r>
      <w:r w:rsidRPr="009473DB">
        <w:rPr>
          <w:sz w:val="24"/>
          <w:szCs w:val="24"/>
        </w:rPr>
        <w:t xml:space="preserve">that might influence participation such as time constraints by delineating estimated timing of both interviews in advance. The interview length </w:t>
      </w:r>
      <w:r>
        <w:rPr>
          <w:sz w:val="24"/>
          <w:szCs w:val="24"/>
        </w:rPr>
        <w:t xml:space="preserve">requires </w:t>
      </w:r>
      <w:r w:rsidRPr="009473DB">
        <w:rPr>
          <w:sz w:val="24"/>
          <w:szCs w:val="24"/>
        </w:rPr>
        <w:t>careful consider</w:t>
      </w:r>
      <w:r>
        <w:rPr>
          <w:sz w:val="24"/>
          <w:szCs w:val="24"/>
        </w:rPr>
        <w:t>ation</w:t>
      </w:r>
      <w:r w:rsidRPr="009473DB">
        <w:rPr>
          <w:sz w:val="24"/>
          <w:szCs w:val="24"/>
        </w:rPr>
        <w:t xml:space="preserve"> as after a certain number of questions participants can expose inconsistencies and contradictions in their thinking</w:t>
      </w:r>
      <w:r>
        <w:rPr>
          <w:sz w:val="24"/>
          <w:szCs w:val="24"/>
        </w:rPr>
        <w:t xml:space="preserve"> </w:t>
      </w:r>
      <w:r w:rsidRPr="009473DB">
        <w:rPr>
          <w:sz w:val="24"/>
          <w:szCs w:val="24"/>
        </w:rPr>
        <w:t>(Harris and Brown, 2019</w:t>
      </w:r>
      <w:r>
        <w:rPr>
          <w:sz w:val="24"/>
          <w:szCs w:val="24"/>
        </w:rPr>
        <w:t>;</w:t>
      </w:r>
      <w:r w:rsidRPr="00130566">
        <w:rPr>
          <w:sz w:val="24"/>
          <w:szCs w:val="24"/>
        </w:rPr>
        <w:t xml:space="preserve"> </w:t>
      </w:r>
      <w:r w:rsidRPr="00BF672E">
        <w:rPr>
          <w:sz w:val="24"/>
          <w:szCs w:val="24"/>
        </w:rPr>
        <w:t>Panjares, 1992</w:t>
      </w:r>
      <w:r w:rsidRPr="009473DB">
        <w:rPr>
          <w:sz w:val="24"/>
          <w:szCs w:val="24"/>
        </w:rPr>
        <w:t xml:space="preserve">), however, contradictions </w:t>
      </w:r>
      <w:r>
        <w:rPr>
          <w:sz w:val="24"/>
          <w:szCs w:val="24"/>
        </w:rPr>
        <w:t xml:space="preserve">will be included </w:t>
      </w:r>
      <w:r w:rsidRPr="009473DB">
        <w:rPr>
          <w:sz w:val="24"/>
          <w:szCs w:val="24"/>
        </w:rPr>
        <w:t xml:space="preserve">as they reveal nuances that facilitate understanding of the participants and their stories. </w:t>
      </w:r>
      <w:r w:rsidRPr="007766D7">
        <w:rPr>
          <w:sz w:val="24"/>
          <w:szCs w:val="24"/>
        </w:rPr>
        <w:t>A second interview formed part of an ethical consideration of time in that participants were afforded time to reflect and consolidate their thoughts and feelings arising from the first interview.</w:t>
      </w:r>
      <w:r>
        <w:rPr>
          <w:sz w:val="24"/>
          <w:szCs w:val="24"/>
        </w:rPr>
        <w:t xml:space="preserve"> T</w:t>
      </w:r>
      <w:r w:rsidRPr="009473DB">
        <w:rPr>
          <w:sz w:val="24"/>
          <w:szCs w:val="24"/>
        </w:rPr>
        <w:t>he purpose of the second interview was fully explained (Appendix D</w:t>
      </w:r>
      <w:r w:rsidR="00DE58FE">
        <w:rPr>
          <w:sz w:val="24"/>
          <w:szCs w:val="24"/>
        </w:rPr>
        <w:t>)</w:t>
      </w:r>
      <w:r>
        <w:rPr>
          <w:sz w:val="24"/>
          <w:szCs w:val="24"/>
        </w:rPr>
        <w:t xml:space="preserve"> and</w:t>
      </w:r>
      <w:r w:rsidRPr="009473DB">
        <w:rPr>
          <w:sz w:val="24"/>
          <w:szCs w:val="24"/>
        </w:rPr>
        <w:t xml:space="preserve"> participants chose to attend both interviews.</w:t>
      </w:r>
    </w:p>
    <w:p w14:paraId="127A69A5" w14:textId="3599AF48" w:rsidR="000171E2" w:rsidRPr="008D62FE" w:rsidRDefault="00A97ADA" w:rsidP="00843EE3">
      <w:pPr>
        <w:spacing w:line="360" w:lineRule="auto"/>
        <w:rPr>
          <w:color w:val="FF0000"/>
          <w:sz w:val="24"/>
          <w:szCs w:val="24"/>
        </w:rPr>
      </w:pPr>
      <w:bookmarkStart w:id="59" w:name="_Hlk157253906"/>
      <w:r>
        <w:rPr>
          <w:color w:val="000000" w:themeColor="text1"/>
          <w:sz w:val="24"/>
          <w:szCs w:val="24"/>
        </w:rPr>
        <w:t>I believe r</w:t>
      </w:r>
      <w:r w:rsidR="000171E2">
        <w:rPr>
          <w:color w:val="000000" w:themeColor="text1"/>
          <w:sz w:val="24"/>
          <w:szCs w:val="24"/>
        </w:rPr>
        <w:t>esearch p</w:t>
      </w:r>
      <w:r w:rsidR="000171E2" w:rsidRPr="00BB6AA5">
        <w:rPr>
          <w:color w:val="000000" w:themeColor="text1"/>
          <w:sz w:val="24"/>
          <w:szCs w:val="24"/>
        </w:rPr>
        <w:t xml:space="preserve">articipants may be guarded due to an imbalance in power dynamics, fear of the unknown, the researcher being intrusive and the possibility of difficult emotions being awoken. As a researcher it </w:t>
      </w:r>
      <w:r w:rsidR="000171E2">
        <w:rPr>
          <w:color w:val="000000" w:themeColor="text1"/>
          <w:sz w:val="24"/>
          <w:szCs w:val="24"/>
        </w:rPr>
        <w:t>was</w:t>
      </w:r>
      <w:r w:rsidR="000171E2" w:rsidRPr="00BB6AA5">
        <w:rPr>
          <w:color w:val="000000" w:themeColor="text1"/>
          <w:sz w:val="24"/>
          <w:szCs w:val="24"/>
        </w:rPr>
        <w:t xml:space="preserve"> the GRIP policy (2022) that provide</w:t>
      </w:r>
      <w:r w:rsidR="000171E2">
        <w:rPr>
          <w:color w:val="000000" w:themeColor="text1"/>
          <w:sz w:val="24"/>
          <w:szCs w:val="24"/>
        </w:rPr>
        <w:t>d</w:t>
      </w:r>
      <w:r w:rsidR="000171E2" w:rsidRPr="00BB6AA5">
        <w:rPr>
          <w:color w:val="000000" w:themeColor="text1"/>
          <w:sz w:val="24"/>
          <w:szCs w:val="24"/>
        </w:rPr>
        <w:t xml:space="preserve"> the contractual and logistical holding</w:t>
      </w:r>
      <w:r w:rsidR="000171E2">
        <w:rPr>
          <w:color w:val="000000" w:themeColor="text1"/>
          <w:sz w:val="24"/>
          <w:szCs w:val="24"/>
        </w:rPr>
        <w:t xml:space="preserve"> for these potential sensitivities. </w:t>
      </w:r>
      <w:r w:rsidR="000171E2" w:rsidRPr="00BB6AA5">
        <w:rPr>
          <w:color w:val="000000" w:themeColor="text1"/>
          <w:sz w:val="24"/>
          <w:szCs w:val="24"/>
        </w:rPr>
        <w:t xml:space="preserve"> </w:t>
      </w:r>
      <w:r w:rsidR="000171E2" w:rsidRPr="00D374CE">
        <w:rPr>
          <w:color w:val="000000" w:themeColor="text1"/>
          <w:sz w:val="24"/>
          <w:szCs w:val="24"/>
        </w:rPr>
        <w:t xml:space="preserve">It </w:t>
      </w:r>
      <w:r w:rsidR="000171E2">
        <w:rPr>
          <w:color w:val="000000" w:themeColor="text1"/>
          <w:sz w:val="24"/>
          <w:szCs w:val="24"/>
        </w:rPr>
        <w:t xml:space="preserve">was </w:t>
      </w:r>
      <w:r w:rsidR="000171E2" w:rsidRPr="00D374CE">
        <w:rPr>
          <w:color w:val="000000" w:themeColor="text1"/>
          <w:sz w:val="24"/>
          <w:szCs w:val="24"/>
        </w:rPr>
        <w:t xml:space="preserve">anticipated that change in some form </w:t>
      </w:r>
      <w:r w:rsidR="000171E2">
        <w:rPr>
          <w:color w:val="000000" w:themeColor="text1"/>
          <w:sz w:val="24"/>
          <w:szCs w:val="24"/>
        </w:rPr>
        <w:t xml:space="preserve">would </w:t>
      </w:r>
      <w:r w:rsidR="000171E2" w:rsidRPr="00D374CE">
        <w:rPr>
          <w:color w:val="000000" w:themeColor="text1"/>
          <w:sz w:val="24"/>
          <w:szCs w:val="24"/>
        </w:rPr>
        <w:t xml:space="preserve">result from the research process, and a transparent and collaborative research contract </w:t>
      </w:r>
      <w:r w:rsidR="000171E2">
        <w:rPr>
          <w:color w:val="000000" w:themeColor="text1"/>
          <w:sz w:val="24"/>
          <w:szCs w:val="24"/>
        </w:rPr>
        <w:t>(Appendices C</w:t>
      </w:r>
      <w:r w:rsidR="0074324E">
        <w:rPr>
          <w:color w:val="000000" w:themeColor="text1"/>
          <w:sz w:val="24"/>
          <w:szCs w:val="24"/>
        </w:rPr>
        <w:t xml:space="preserve"> </w:t>
      </w:r>
      <w:r w:rsidR="000171E2">
        <w:rPr>
          <w:color w:val="000000" w:themeColor="text1"/>
          <w:sz w:val="24"/>
          <w:szCs w:val="24"/>
        </w:rPr>
        <w:t>-</w:t>
      </w:r>
      <w:r w:rsidR="0074324E">
        <w:rPr>
          <w:color w:val="000000" w:themeColor="text1"/>
          <w:sz w:val="24"/>
          <w:szCs w:val="24"/>
        </w:rPr>
        <w:t xml:space="preserve"> </w:t>
      </w:r>
      <w:r w:rsidR="000171E2">
        <w:rPr>
          <w:color w:val="000000" w:themeColor="text1"/>
          <w:sz w:val="24"/>
          <w:szCs w:val="24"/>
        </w:rPr>
        <w:t xml:space="preserve">E) </w:t>
      </w:r>
      <w:r w:rsidR="000171E2" w:rsidRPr="00D374CE">
        <w:rPr>
          <w:color w:val="000000" w:themeColor="text1"/>
          <w:sz w:val="24"/>
          <w:szCs w:val="24"/>
        </w:rPr>
        <w:t>w</w:t>
      </w:r>
      <w:r w:rsidR="000171E2">
        <w:rPr>
          <w:color w:val="000000" w:themeColor="text1"/>
          <w:sz w:val="24"/>
          <w:szCs w:val="24"/>
        </w:rPr>
        <w:t xml:space="preserve">ould </w:t>
      </w:r>
      <w:r w:rsidR="000171E2" w:rsidRPr="00D374CE">
        <w:rPr>
          <w:color w:val="000000" w:themeColor="text1"/>
          <w:sz w:val="24"/>
          <w:szCs w:val="24"/>
        </w:rPr>
        <w:t xml:space="preserve">mitigate against potential fears associated with the research process. In addition, </w:t>
      </w:r>
      <w:r w:rsidR="000171E2">
        <w:rPr>
          <w:color w:val="000000" w:themeColor="text1"/>
          <w:sz w:val="24"/>
          <w:szCs w:val="24"/>
        </w:rPr>
        <w:t>with</w:t>
      </w:r>
      <w:r w:rsidR="00467586">
        <w:rPr>
          <w:color w:val="000000" w:themeColor="text1"/>
          <w:sz w:val="24"/>
          <w:szCs w:val="24"/>
        </w:rPr>
        <w:t xml:space="preserve"> the safeguarding of</w:t>
      </w:r>
      <w:r w:rsidR="000171E2">
        <w:rPr>
          <w:color w:val="000000" w:themeColor="text1"/>
          <w:sz w:val="24"/>
          <w:szCs w:val="24"/>
        </w:rPr>
        <w:t xml:space="preserve"> participants</w:t>
      </w:r>
      <w:r w:rsidR="00A154B0">
        <w:rPr>
          <w:color w:val="000000" w:themeColor="text1"/>
          <w:sz w:val="24"/>
          <w:szCs w:val="24"/>
        </w:rPr>
        <w:t>’</w:t>
      </w:r>
      <w:r w:rsidR="000171E2">
        <w:rPr>
          <w:color w:val="000000" w:themeColor="text1"/>
          <w:sz w:val="24"/>
          <w:szCs w:val="24"/>
        </w:rPr>
        <w:t xml:space="preserve"> well-being in mind, </w:t>
      </w:r>
      <w:r w:rsidR="000171E2" w:rsidRPr="00D374CE">
        <w:rPr>
          <w:color w:val="000000" w:themeColor="text1"/>
          <w:sz w:val="24"/>
          <w:szCs w:val="24"/>
        </w:rPr>
        <w:t xml:space="preserve">participants </w:t>
      </w:r>
      <w:r w:rsidR="008177AC">
        <w:rPr>
          <w:color w:val="000000" w:themeColor="text1"/>
          <w:sz w:val="24"/>
          <w:szCs w:val="24"/>
        </w:rPr>
        <w:t xml:space="preserve">were asked </w:t>
      </w:r>
      <w:r w:rsidR="000171E2" w:rsidRPr="00D374CE">
        <w:rPr>
          <w:color w:val="000000" w:themeColor="text1"/>
          <w:sz w:val="24"/>
          <w:szCs w:val="24"/>
        </w:rPr>
        <w:t>how they fe</w:t>
      </w:r>
      <w:r w:rsidR="000171E2">
        <w:rPr>
          <w:color w:val="000000" w:themeColor="text1"/>
          <w:sz w:val="24"/>
          <w:szCs w:val="24"/>
        </w:rPr>
        <w:t xml:space="preserve">lt </w:t>
      </w:r>
      <w:r w:rsidR="000171E2" w:rsidRPr="00D374CE">
        <w:rPr>
          <w:color w:val="000000" w:themeColor="text1"/>
          <w:sz w:val="24"/>
          <w:szCs w:val="24"/>
        </w:rPr>
        <w:t>during the interview process</w:t>
      </w:r>
      <w:r w:rsidR="000171E2">
        <w:rPr>
          <w:color w:val="000000" w:themeColor="text1"/>
          <w:sz w:val="24"/>
          <w:szCs w:val="24"/>
        </w:rPr>
        <w:t>,</w:t>
      </w:r>
      <w:r w:rsidR="000171E2" w:rsidRPr="00D374CE">
        <w:rPr>
          <w:color w:val="000000" w:themeColor="text1"/>
          <w:sz w:val="24"/>
          <w:szCs w:val="24"/>
        </w:rPr>
        <w:t xml:space="preserve"> and the second interview fulfil</w:t>
      </w:r>
      <w:r w:rsidR="000171E2">
        <w:rPr>
          <w:color w:val="000000" w:themeColor="text1"/>
          <w:sz w:val="24"/>
          <w:szCs w:val="24"/>
        </w:rPr>
        <w:t>led</w:t>
      </w:r>
      <w:r w:rsidR="000171E2" w:rsidRPr="00D374CE">
        <w:rPr>
          <w:color w:val="000000" w:themeColor="text1"/>
          <w:sz w:val="24"/>
          <w:szCs w:val="24"/>
        </w:rPr>
        <w:t xml:space="preserve"> </w:t>
      </w:r>
      <w:r w:rsidR="000171E2">
        <w:rPr>
          <w:color w:val="000000" w:themeColor="text1"/>
          <w:sz w:val="24"/>
          <w:szCs w:val="24"/>
        </w:rPr>
        <w:t xml:space="preserve">an emotional </w:t>
      </w:r>
      <w:r w:rsidR="000171E2" w:rsidRPr="00D374CE">
        <w:rPr>
          <w:color w:val="000000" w:themeColor="text1"/>
          <w:sz w:val="24"/>
          <w:szCs w:val="24"/>
        </w:rPr>
        <w:t>safeguarding function further</w:t>
      </w:r>
      <w:r w:rsidR="000171E2">
        <w:rPr>
          <w:color w:val="000000" w:themeColor="text1"/>
          <w:sz w:val="24"/>
          <w:szCs w:val="24"/>
        </w:rPr>
        <w:t xml:space="preserve">. </w:t>
      </w:r>
    </w:p>
    <w:p w14:paraId="7D33A8D1" w14:textId="77777777" w:rsidR="000171E2" w:rsidRPr="002A1455" w:rsidRDefault="000171E2" w:rsidP="00643867">
      <w:pPr>
        <w:rPr>
          <w:b/>
          <w:bCs/>
          <w:sz w:val="24"/>
          <w:szCs w:val="24"/>
        </w:rPr>
      </w:pPr>
      <w:r>
        <w:rPr>
          <w:b/>
          <w:bCs/>
          <w:sz w:val="24"/>
          <w:szCs w:val="24"/>
        </w:rPr>
        <w:lastRenderedPageBreak/>
        <w:t>Ethics</w:t>
      </w:r>
    </w:p>
    <w:p w14:paraId="41E05DE0" w14:textId="37C33C8B" w:rsidR="000171E2" w:rsidRPr="004565EF" w:rsidRDefault="000171E2" w:rsidP="00843EE3">
      <w:pPr>
        <w:spacing w:line="360" w:lineRule="auto"/>
        <w:rPr>
          <w:sz w:val="24"/>
          <w:szCs w:val="24"/>
        </w:rPr>
      </w:pPr>
      <w:r w:rsidRPr="007A6B9B">
        <w:rPr>
          <w:sz w:val="24"/>
          <w:szCs w:val="24"/>
        </w:rPr>
        <w:t xml:space="preserve">Hammersley and Traianou </w:t>
      </w:r>
      <w:r w:rsidRPr="00643867">
        <w:rPr>
          <w:sz w:val="24"/>
          <w:szCs w:val="24"/>
        </w:rPr>
        <w:t>(2012) identify in education</w:t>
      </w:r>
      <w:r>
        <w:rPr>
          <w:sz w:val="24"/>
          <w:szCs w:val="24"/>
        </w:rPr>
        <w:t>al</w:t>
      </w:r>
      <w:r w:rsidRPr="00643867">
        <w:rPr>
          <w:sz w:val="24"/>
          <w:szCs w:val="24"/>
        </w:rPr>
        <w:t xml:space="preserve"> research five key areas for researchers to be aware of when working with research participants</w:t>
      </w:r>
      <w:r>
        <w:rPr>
          <w:sz w:val="24"/>
          <w:szCs w:val="24"/>
        </w:rPr>
        <w:t xml:space="preserve">: the minimising of harm, respecting autonomy, protecting privacy, the offering of reciprocity and treating participants equitably. I am very familiar with these key areas as they </w:t>
      </w:r>
      <w:r w:rsidRPr="00643867">
        <w:rPr>
          <w:sz w:val="24"/>
          <w:szCs w:val="24"/>
        </w:rPr>
        <w:t>align very closely to the principles that guide ethical practice in psychotherap</w:t>
      </w:r>
      <w:r>
        <w:rPr>
          <w:sz w:val="24"/>
          <w:szCs w:val="24"/>
        </w:rPr>
        <w:t>y (</w:t>
      </w:r>
      <w:r w:rsidRPr="00643867">
        <w:rPr>
          <w:sz w:val="24"/>
          <w:szCs w:val="24"/>
        </w:rPr>
        <w:t>UKCP</w:t>
      </w:r>
      <w:r>
        <w:rPr>
          <w:sz w:val="24"/>
          <w:szCs w:val="24"/>
        </w:rPr>
        <w:t>, 2019; UKAHPP, 2023) and the GRIP (2022</w:t>
      </w:r>
      <w:r w:rsidR="001235CD">
        <w:rPr>
          <w:sz w:val="24"/>
          <w:szCs w:val="24"/>
        </w:rPr>
        <w:t>)</w:t>
      </w:r>
      <w:r>
        <w:rPr>
          <w:sz w:val="24"/>
          <w:szCs w:val="24"/>
        </w:rPr>
        <w:t xml:space="preserve"> policies.</w:t>
      </w:r>
      <w:r w:rsidRPr="00643867">
        <w:rPr>
          <w:sz w:val="24"/>
          <w:szCs w:val="24"/>
        </w:rPr>
        <w:t xml:space="preserve"> </w:t>
      </w:r>
    </w:p>
    <w:bookmarkEnd w:id="59"/>
    <w:p w14:paraId="577E2F45" w14:textId="77777777" w:rsidR="000171E2" w:rsidRDefault="000171E2" w:rsidP="000E6EEF">
      <w:pPr>
        <w:spacing w:line="360" w:lineRule="auto"/>
        <w:rPr>
          <w:sz w:val="24"/>
          <w:szCs w:val="24"/>
        </w:rPr>
      </w:pPr>
      <w:r>
        <w:rPr>
          <w:sz w:val="24"/>
          <w:szCs w:val="24"/>
        </w:rPr>
        <w:t xml:space="preserve">Being a </w:t>
      </w:r>
      <w:r w:rsidRPr="00BD3F2D">
        <w:rPr>
          <w:sz w:val="24"/>
          <w:szCs w:val="24"/>
        </w:rPr>
        <w:t xml:space="preserve">psychotherapist </w:t>
      </w:r>
      <w:r>
        <w:rPr>
          <w:sz w:val="24"/>
          <w:szCs w:val="24"/>
        </w:rPr>
        <w:t xml:space="preserve">could </w:t>
      </w:r>
      <w:r w:rsidRPr="00BD3F2D">
        <w:rPr>
          <w:sz w:val="24"/>
          <w:szCs w:val="24"/>
        </w:rPr>
        <w:t xml:space="preserve">be an advantage as a research interviewer in that emotions and potential difficult material will be held, however this might cause </w:t>
      </w:r>
      <w:r>
        <w:rPr>
          <w:sz w:val="24"/>
          <w:szCs w:val="24"/>
        </w:rPr>
        <w:t xml:space="preserve">a problem </w:t>
      </w:r>
      <w:r w:rsidRPr="00BD3F2D">
        <w:rPr>
          <w:sz w:val="24"/>
          <w:szCs w:val="24"/>
        </w:rPr>
        <w:t xml:space="preserve">for participants. There is a delicate balance to be struck between holding the participants’ stories and emotions and not leaving participants feeling they are being analysed. </w:t>
      </w:r>
      <w:r>
        <w:rPr>
          <w:sz w:val="24"/>
          <w:szCs w:val="24"/>
        </w:rPr>
        <w:t xml:space="preserve">Participants were aware </w:t>
      </w:r>
      <w:r w:rsidRPr="00BD3F2D">
        <w:rPr>
          <w:sz w:val="24"/>
          <w:szCs w:val="24"/>
        </w:rPr>
        <w:t>that I was a psychotherapist conducting research</w:t>
      </w:r>
      <w:r>
        <w:rPr>
          <w:sz w:val="24"/>
          <w:szCs w:val="24"/>
        </w:rPr>
        <w:t xml:space="preserve"> (Appendix D) and</w:t>
      </w:r>
      <w:r w:rsidRPr="00BD3F2D">
        <w:rPr>
          <w:sz w:val="24"/>
          <w:szCs w:val="24"/>
        </w:rPr>
        <w:t xml:space="preserve"> if participants had this</w:t>
      </w:r>
      <w:r>
        <w:rPr>
          <w:sz w:val="24"/>
          <w:szCs w:val="24"/>
        </w:rPr>
        <w:t xml:space="preserve"> concern</w:t>
      </w:r>
      <w:r w:rsidRPr="00BD3F2D">
        <w:rPr>
          <w:sz w:val="24"/>
          <w:szCs w:val="24"/>
        </w:rPr>
        <w:t xml:space="preserve">, arguably they would not have volunteered for the research study. Indeed, I explored this specific query with a few participants when the subject arose, and participants confirmed this was not of concern. </w:t>
      </w:r>
    </w:p>
    <w:p w14:paraId="1EE83C31" w14:textId="77777777" w:rsidR="000171E2" w:rsidRDefault="000171E2" w:rsidP="000E6EEF">
      <w:pPr>
        <w:spacing w:line="360" w:lineRule="auto"/>
        <w:rPr>
          <w:sz w:val="24"/>
          <w:szCs w:val="24"/>
        </w:rPr>
      </w:pPr>
      <w:r w:rsidRPr="00F53FBE">
        <w:rPr>
          <w:sz w:val="24"/>
          <w:szCs w:val="24"/>
        </w:rPr>
        <w:t xml:space="preserve">I felt a particular pressure to prove I was not </w:t>
      </w:r>
      <w:r>
        <w:rPr>
          <w:sz w:val="24"/>
          <w:szCs w:val="24"/>
        </w:rPr>
        <w:t>conducting a</w:t>
      </w:r>
      <w:r w:rsidRPr="00F53FBE">
        <w:rPr>
          <w:sz w:val="24"/>
          <w:szCs w:val="24"/>
        </w:rPr>
        <w:t xml:space="preserve"> therapeutic intervention </w:t>
      </w:r>
      <w:r>
        <w:rPr>
          <w:sz w:val="24"/>
          <w:szCs w:val="24"/>
        </w:rPr>
        <w:t>in the</w:t>
      </w:r>
      <w:r w:rsidRPr="00F53FBE">
        <w:rPr>
          <w:sz w:val="24"/>
          <w:szCs w:val="24"/>
        </w:rPr>
        <w:t xml:space="preserve"> interview process</w:t>
      </w:r>
      <w:r>
        <w:rPr>
          <w:sz w:val="24"/>
          <w:szCs w:val="24"/>
        </w:rPr>
        <w:t xml:space="preserve"> arising from </w:t>
      </w:r>
      <w:r w:rsidRPr="00F53FBE">
        <w:rPr>
          <w:sz w:val="24"/>
          <w:szCs w:val="24"/>
        </w:rPr>
        <w:t xml:space="preserve">assumptions </w:t>
      </w:r>
      <w:r>
        <w:rPr>
          <w:sz w:val="24"/>
          <w:szCs w:val="24"/>
        </w:rPr>
        <w:t xml:space="preserve">during the ethical approval process </w:t>
      </w:r>
      <w:r w:rsidRPr="00F53FBE">
        <w:rPr>
          <w:sz w:val="24"/>
          <w:szCs w:val="24"/>
        </w:rPr>
        <w:t xml:space="preserve">about the </w:t>
      </w:r>
      <w:r>
        <w:rPr>
          <w:sz w:val="24"/>
          <w:szCs w:val="24"/>
        </w:rPr>
        <w:t xml:space="preserve">potential </w:t>
      </w:r>
      <w:r w:rsidRPr="00F53FBE">
        <w:rPr>
          <w:sz w:val="24"/>
          <w:szCs w:val="24"/>
        </w:rPr>
        <w:t>therapeutic nature of my study</w:t>
      </w:r>
      <w:r>
        <w:rPr>
          <w:sz w:val="24"/>
          <w:szCs w:val="24"/>
        </w:rPr>
        <w:t>. The process of reflecting can automatically</w:t>
      </w:r>
      <w:r w:rsidRPr="00F53FBE">
        <w:rPr>
          <w:sz w:val="24"/>
          <w:szCs w:val="24"/>
        </w:rPr>
        <w:t xml:space="preserve"> change practice</w:t>
      </w:r>
      <w:r>
        <w:rPr>
          <w:sz w:val="24"/>
          <w:szCs w:val="24"/>
        </w:rPr>
        <w:t xml:space="preserve"> </w:t>
      </w:r>
      <w:r w:rsidRPr="0024683D">
        <w:rPr>
          <w:sz w:val="24"/>
          <w:szCs w:val="24"/>
        </w:rPr>
        <w:t xml:space="preserve">(Sedgwick, 1997), </w:t>
      </w:r>
      <w:r>
        <w:rPr>
          <w:sz w:val="24"/>
          <w:szCs w:val="24"/>
        </w:rPr>
        <w:t xml:space="preserve">and open, reflective dialogue with </w:t>
      </w:r>
      <w:bookmarkStart w:id="60" w:name="_Hlk179811509"/>
      <w:r>
        <w:rPr>
          <w:sz w:val="24"/>
          <w:szCs w:val="24"/>
        </w:rPr>
        <w:t>my supervisors meant I was better able to understand the cautions of the ethics approval board.</w:t>
      </w:r>
    </w:p>
    <w:bookmarkEnd w:id="60"/>
    <w:p w14:paraId="4E59DA46" w14:textId="77777777" w:rsidR="000171E2" w:rsidRPr="002A1455" w:rsidRDefault="000171E2" w:rsidP="00374897">
      <w:pPr>
        <w:rPr>
          <w:b/>
          <w:bCs/>
          <w:sz w:val="24"/>
          <w:szCs w:val="24"/>
        </w:rPr>
      </w:pPr>
      <w:r>
        <w:rPr>
          <w:b/>
          <w:bCs/>
          <w:sz w:val="24"/>
          <w:szCs w:val="24"/>
        </w:rPr>
        <w:t>P</w:t>
      </w:r>
      <w:r w:rsidRPr="002A1455">
        <w:rPr>
          <w:b/>
          <w:bCs/>
          <w:sz w:val="24"/>
          <w:szCs w:val="24"/>
        </w:rPr>
        <w:t>reparation</w:t>
      </w:r>
      <w:r>
        <w:rPr>
          <w:b/>
          <w:bCs/>
          <w:sz w:val="24"/>
          <w:szCs w:val="24"/>
        </w:rPr>
        <w:t xml:space="preserve"> for the researcher</w:t>
      </w:r>
    </w:p>
    <w:p w14:paraId="68178B4A" w14:textId="09F771D6" w:rsidR="000171E2" w:rsidRPr="00E45475" w:rsidRDefault="000171E2" w:rsidP="000E6EEF">
      <w:pPr>
        <w:spacing w:line="360" w:lineRule="auto"/>
        <w:rPr>
          <w:sz w:val="24"/>
          <w:szCs w:val="24"/>
        </w:rPr>
      </w:pPr>
      <w:r w:rsidRPr="00C651E8">
        <w:rPr>
          <w:sz w:val="24"/>
          <w:szCs w:val="24"/>
        </w:rPr>
        <w:t>With a view to guiding interview conversations to the most fruitful areas (</w:t>
      </w:r>
      <w:r w:rsidRPr="003114A0">
        <w:rPr>
          <w:sz w:val="24"/>
          <w:szCs w:val="24"/>
        </w:rPr>
        <w:t xml:space="preserve">Greenbaum, </w:t>
      </w:r>
      <w:r w:rsidRPr="00C651E8">
        <w:rPr>
          <w:sz w:val="24"/>
          <w:szCs w:val="24"/>
        </w:rPr>
        <w:t xml:space="preserve">2000), the indicative interview schedule (Appendix C) </w:t>
      </w:r>
      <w:r>
        <w:rPr>
          <w:sz w:val="24"/>
          <w:szCs w:val="24"/>
        </w:rPr>
        <w:t xml:space="preserve">was set </w:t>
      </w:r>
      <w:r w:rsidRPr="00C651E8">
        <w:rPr>
          <w:sz w:val="24"/>
          <w:szCs w:val="24"/>
        </w:rPr>
        <w:t>collaboratively with my supervisors</w:t>
      </w:r>
      <w:r>
        <w:rPr>
          <w:sz w:val="24"/>
          <w:szCs w:val="24"/>
        </w:rPr>
        <w:t xml:space="preserve"> from whom I </w:t>
      </w:r>
      <w:r w:rsidRPr="00C651E8">
        <w:rPr>
          <w:sz w:val="24"/>
          <w:szCs w:val="24"/>
        </w:rPr>
        <w:t xml:space="preserve">sought qualitative feedback. </w:t>
      </w:r>
      <w:r>
        <w:rPr>
          <w:sz w:val="24"/>
          <w:szCs w:val="24"/>
        </w:rPr>
        <w:t xml:space="preserve">Feedback highlighted </w:t>
      </w:r>
      <w:r w:rsidRPr="00C651E8">
        <w:rPr>
          <w:sz w:val="24"/>
          <w:szCs w:val="24"/>
        </w:rPr>
        <w:t xml:space="preserve">the possibility that respondents </w:t>
      </w:r>
      <w:r>
        <w:rPr>
          <w:sz w:val="24"/>
          <w:szCs w:val="24"/>
        </w:rPr>
        <w:t xml:space="preserve">might </w:t>
      </w:r>
      <w:r w:rsidRPr="00C651E8">
        <w:rPr>
          <w:sz w:val="24"/>
          <w:szCs w:val="24"/>
        </w:rPr>
        <w:t>not want to make negative comments about their employer,</w:t>
      </w:r>
      <w:r>
        <w:rPr>
          <w:sz w:val="24"/>
          <w:szCs w:val="24"/>
        </w:rPr>
        <w:t xml:space="preserve"> and</w:t>
      </w:r>
      <w:r w:rsidRPr="00C651E8">
        <w:rPr>
          <w:sz w:val="24"/>
          <w:szCs w:val="24"/>
        </w:rPr>
        <w:t xml:space="preserve"> </w:t>
      </w:r>
      <w:r w:rsidRPr="00E45475">
        <w:rPr>
          <w:sz w:val="24"/>
          <w:szCs w:val="24"/>
        </w:rPr>
        <w:t xml:space="preserve">I </w:t>
      </w:r>
      <w:r>
        <w:rPr>
          <w:sz w:val="24"/>
          <w:szCs w:val="24"/>
        </w:rPr>
        <w:t>therefore</w:t>
      </w:r>
      <w:r w:rsidRPr="00E45475">
        <w:rPr>
          <w:sz w:val="24"/>
          <w:szCs w:val="24"/>
        </w:rPr>
        <w:t xml:space="preserve"> reflect</w:t>
      </w:r>
      <w:r>
        <w:rPr>
          <w:sz w:val="24"/>
          <w:szCs w:val="24"/>
        </w:rPr>
        <w:t>ed</w:t>
      </w:r>
      <w:r w:rsidRPr="00E45475">
        <w:rPr>
          <w:sz w:val="24"/>
          <w:szCs w:val="24"/>
        </w:rPr>
        <w:t xml:space="preserve"> on the implication</w:t>
      </w:r>
      <w:r>
        <w:rPr>
          <w:sz w:val="24"/>
          <w:szCs w:val="24"/>
        </w:rPr>
        <w:t>s</w:t>
      </w:r>
      <w:r w:rsidRPr="00E45475">
        <w:rPr>
          <w:sz w:val="24"/>
          <w:szCs w:val="24"/>
        </w:rPr>
        <w:t xml:space="preserve"> </w:t>
      </w:r>
      <w:r>
        <w:rPr>
          <w:sz w:val="24"/>
          <w:szCs w:val="24"/>
        </w:rPr>
        <w:t>on a participant’s institution of employ</w:t>
      </w:r>
      <w:r w:rsidRPr="00E45475">
        <w:rPr>
          <w:sz w:val="24"/>
          <w:szCs w:val="24"/>
        </w:rPr>
        <w:t>. Anonymity of the institution</w:t>
      </w:r>
      <w:r>
        <w:rPr>
          <w:sz w:val="24"/>
          <w:szCs w:val="24"/>
        </w:rPr>
        <w:t xml:space="preserve"> was </w:t>
      </w:r>
      <w:r w:rsidRPr="00E45475">
        <w:rPr>
          <w:sz w:val="24"/>
          <w:szCs w:val="24"/>
        </w:rPr>
        <w:t xml:space="preserve">reiterated, </w:t>
      </w:r>
      <w:r>
        <w:rPr>
          <w:sz w:val="24"/>
          <w:szCs w:val="24"/>
        </w:rPr>
        <w:t xml:space="preserve">and participants were advised </w:t>
      </w:r>
      <w:r w:rsidRPr="00E45475">
        <w:rPr>
          <w:sz w:val="24"/>
          <w:szCs w:val="24"/>
        </w:rPr>
        <w:t xml:space="preserve">I would </w:t>
      </w:r>
      <w:r w:rsidR="006B7429">
        <w:rPr>
          <w:sz w:val="24"/>
          <w:szCs w:val="24"/>
        </w:rPr>
        <w:t xml:space="preserve">not </w:t>
      </w:r>
      <w:r w:rsidRPr="00E45475">
        <w:rPr>
          <w:sz w:val="24"/>
          <w:szCs w:val="24"/>
        </w:rPr>
        <w:t xml:space="preserve">refer to </w:t>
      </w:r>
      <w:r>
        <w:rPr>
          <w:sz w:val="24"/>
          <w:szCs w:val="24"/>
        </w:rPr>
        <w:t xml:space="preserve">their </w:t>
      </w:r>
      <w:r w:rsidR="008F2CA4">
        <w:rPr>
          <w:sz w:val="24"/>
          <w:szCs w:val="24"/>
        </w:rPr>
        <w:t xml:space="preserve">specific </w:t>
      </w:r>
      <w:r w:rsidRPr="00E45475">
        <w:rPr>
          <w:sz w:val="24"/>
          <w:szCs w:val="24"/>
        </w:rPr>
        <w:t>location a</w:t>
      </w:r>
      <w:r w:rsidR="00E7092B">
        <w:rPr>
          <w:sz w:val="24"/>
          <w:szCs w:val="24"/>
        </w:rPr>
        <w:t xml:space="preserve">nd </w:t>
      </w:r>
      <w:r w:rsidR="00B45E32">
        <w:rPr>
          <w:sz w:val="24"/>
          <w:szCs w:val="24"/>
        </w:rPr>
        <w:t xml:space="preserve">simply </w:t>
      </w:r>
      <w:r w:rsidR="00E7092B">
        <w:rPr>
          <w:sz w:val="24"/>
          <w:szCs w:val="24"/>
        </w:rPr>
        <w:t>name the recruitment sources</w:t>
      </w:r>
      <w:r w:rsidR="007108A1">
        <w:rPr>
          <w:sz w:val="24"/>
          <w:szCs w:val="24"/>
        </w:rPr>
        <w:t xml:space="preserve"> as UK based universities</w:t>
      </w:r>
      <w:r w:rsidRPr="00E45475">
        <w:rPr>
          <w:sz w:val="24"/>
          <w:szCs w:val="24"/>
        </w:rPr>
        <w:t xml:space="preserve">. </w:t>
      </w:r>
      <w:r>
        <w:rPr>
          <w:sz w:val="24"/>
          <w:szCs w:val="24"/>
        </w:rPr>
        <w:t xml:space="preserve">Furthermore, </w:t>
      </w:r>
      <w:r w:rsidRPr="003C4ACF">
        <w:rPr>
          <w:sz w:val="24"/>
          <w:szCs w:val="24"/>
        </w:rPr>
        <w:t>I considered that participants m</w:t>
      </w:r>
      <w:r>
        <w:rPr>
          <w:sz w:val="24"/>
          <w:szCs w:val="24"/>
        </w:rPr>
        <w:t>ight</w:t>
      </w:r>
      <w:r w:rsidRPr="003C4ACF">
        <w:rPr>
          <w:sz w:val="24"/>
          <w:szCs w:val="24"/>
        </w:rPr>
        <w:t xml:space="preserve"> feel a sense of discomfort </w:t>
      </w:r>
      <w:r>
        <w:rPr>
          <w:sz w:val="24"/>
          <w:szCs w:val="24"/>
        </w:rPr>
        <w:t xml:space="preserve">when </w:t>
      </w:r>
      <w:r w:rsidRPr="003C4ACF">
        <w:rPr>
          <w:sz w:val="24"/>
          <w:szCs w:val="24"/>
        </w:rPr>
        <w:t>faced with personal questions</w:t>
      </w:r>
      <w:r>
        <w:rPr>
          <w:sz w:val="24"/>
          <w:szCs w:val="24"/>
        </w:rPr>
        <w:t xml:space="preserve"> which resulted in the sequencing of the more personal questions </w:t>
      </w:r>
      <w:r>
        <w:rPr>
          <w:sz w:val="24"/>
          <w:szCs w:val="24"/>
        </w:rPr>
        <w:lastRenderedPageBreak/>
        <w:t xml:space="preserve">being positioned </w:t>
      </w:r>
      <w:r w:rsidRPr="0038412B">
        <w:rPr>
          <w:sz w:val="24"/>
          <w:szCs w:val="24"/>
        </w:rPr>
        <w:t xml:space="preserve">towards the end of the </w:t>
      </w:r>
      <w:r>
        <w:rPr>
          <w:sz w:val="24"/>
          <w:szCs w:val="24"/>
        </w:rPr>
        <w:t>interview</w:t>
      </w:r>
      <w:r w:rsidRPr="0038412B">
        <w:rPr>
          <w:sz w:val="24"/>
          <w:szCs w:val="24"/>
        </w:rPr>
        <w:t xml:space="preserve"> (</w:t>
      </w:r>
      <w:r w:rsidRPr="00557175">
        <w:rPr>
          <w:sz w:val="24"/>
          <w:szCs w:val="24"/>
        </w:rPr>
        <w:t xml:space="preserve">Adams </w:t>
      </w:r>
      <w:r w:rsidR="00FB3A6E" w:rsidRPr="00FB3A6E">
        <w:rPr>
          <w:i/>
          <w:sz w:val="24"/>
          <w:szCs w:val="24"/>
        </w:rPr>
        <w:t>et al.</w:t>
      </w:r>
      <w:r w:rsidRPr="00557175">
        <w:rPr>
          <w:sz w:val="24"/>
          <w:szCs w:val="24"/>
        </w:rPr>
        <w:t>, 201</w:t>
      </w:r>
      <w:r>
        <w:rPr>
          <w:sz w:val="24"/>
          <w:szCs w:val="24"/>
        </w:rPr>
        <w:t>6</w:t>
      </w:r>
      <w:r w:rsidRPr="00557175">
        <w:rPr>
          <w:sz w:val="24"/>
          <w:szCs w:val="24"/>
        </w:rPr>
        <w:t xml:space="preserve">; </w:t>
      </w:r>
      <w:r w:rsidRPr="0061175E">
        <w:rPr>
          <w:sz w:val="24"/>
          <w:szCs w:val="24"/>
        </w:rPr>
        <w:t xml:space="preserve">Rowley, 2014). </w:t>
      </w:r>
      <w:r>
        <w:rPr>
          <w:sz w:val="24"/>
          <w:szCs w:val="24"/>
        </w:rPr>
        <w:t xml:space="preserve">This meant that space would be afforded to ground any feelings after sensitive questions. </w:t>
      </w:r>
    </w:p>
    <w:p w14:paraId="6A478A3F" w14:textId="71F94E6B" w:rsidR="000171E2" w:rsidRDefault="000171E2" w:rsidP="000E6EEF">
      <w:pPr>
        <w:spacing w:line="360" w:lineRule="auto"/>
        <w:rPr>
          <w:sz w:val="24"/>
          <w:szCs w:val="24"/>
        </w:rPr>
      </w:pPr>
      <w:r>
        <w:rPr>
          <w:sz w:val="24"/>
          <w:szCs w:val="24"/>
        </w:rPr>
        <w:t>C</w:t>
      </w:r>
      <w:r w:rsidRPr="00FB4390">
        <w:rPr>
          <w:sz w:val="24"/>
          <w:szCs w:val="24"/>
        </w:rPr>
        <w:t>lear protocols for dealing with any distress</w:t>
      </w:r>
      <w:r>
        <w:rPr>
          <w:sz w:val="24"/>
          <w:szCs w:val="24"/>
        </w:rPr>
        <w:t xml:space="preserve"> should be implemented so that participants can access support if required</w:t>
      </w:r>
      <w:r w:rsidRPr="00FB4390">
        <w:rPr>
          <w:sz w:val="24"/>
          <w:szCs w:val="24"/>
        </w:rPr>
        <w:t xml:space="preserve"> (Sanjari </w:t>
      </w:r>
      <w:r w:rsidR="00FB3A6E" w:rsidRPr="00FB3A6E">
        <w:rPr>
          <w:i/>
          <w:sz w:val="24"/>
          <w:szCs w:val="24"/>
        </w:rPr>
        <w:t>et al.</w:t>
      </w:r>
      <w:r w:rsidRPr="00FB4390">
        <w:rPr>
          <w:sz w:val="24"/>
          <w:szCs w:val="24"/>
        </w:rPr>
        <w:t xml:space="preserve">, 2014). </w:t>
      </w:r>
      <w:r>
        <w:rPr>
          <w:sz w:val="24"/>
          <w:szCs w:val="24"/>
        </w:rPr>
        <w:t>P</w:t>
      </w:r>
      <w:r w:rsidRPr="00FB4390">
        <w:rPr>
          <w:sz w:val="24"/>
          <w:szCs w:val="24"/>
        </w:rPr>
        <w:t>articipants</w:t>
      </w:r>
      <w:r>
        <w:rPr>
          <w:sz w:val="24"/>
          <w:szCs w:val="24"/>
        </w:rPr>
        <w:t>’</w:t>
      </w:r>
      <w:r w:rsidRPr="00FB4390">
        <w:rPr>
          <w:sz w:val="24"/>
          <w:szCs w:val="24"/>
        </w:rPr>
        <w:t xml:space="preserve"> attention </w:t>
      </w:r>
      <w:r>
        <w:rPr>
          <w:sz w:val="24"/>
          <w:szCs w:val="24"/>
        </w:rPr>
        <w:t xml:space="preserve">was drawn </w:t>
      </w:r>
      <w:r w:rsidRPr="00FB4390">
        <w:rPr>
          <w:sz w:val="24"/>
          <w:szCs w:val="24"/>
        </w:rPr>
        <w:t xml:space="preserve">to points of contact </w:t>
      </w:r>
      <w:r>
        <w:rPr>
          <w:sz w:val="24"/>
          <w:szCs w:val="24"/>
        </w:rPr>
        <w:t>(Appendix D) such as the principal research supervisor</w:t>
      </w:r>
      <w:r w:rsidRPr="00FB4390">
        <w:rPr>
          <w:sz w:val="24"/>
          <w:szCs w:val="24"/>
        </w:rPr>
        <w:t xml:space="preserve"> and the </w:t>
      </w:r>
      <w:r>
        <w:rPr>
          <w:sz w:val="24"/>
          <w:szCs w:val="24"/>
        </w:rPr>
        <w:t xml:space="preserve">education department </w:t>
      </w:r>
      <w:r w:rsidRPr="00FB4390">
        <w:rPr>
          <w:sz w:val="24"/>
          <w:szCs w:val="24"/>
        </w:rPr>
        <w:t xml:space="preserve">safeguard lead. To reinforce </w:t>
      </w:r>
      <w:r>
        <w:rPr>
          <w:sz w:val="24"/>
          <w:szCs w:val="24"/>
        </w:rPr>
        <w:t>safeguarding</w:t>
      </w:r>
      <w:r w:rsidRPr="00FB4390">
        <w:rPr>
          <w:sz w:val="24"/>
          <w:szCs w:val="24"/>
        </w:rPr>
        <w:t xml:space="preserve"> </w:t>
      </w:r>
      <w:r>
        <w:rPr>
          <w:sz w:val="24"/>
          <w:szCs w:val="24"/>
        </w:rPr>
        <w:t>a summary of</w:t>
      </w:r>
      <w:r w:rsidRPr="00FB4390">
        <w:rPr>
          <w:sz w:val="24"/>
          <w:szCs w:val="24"/>
        </w:rPr>
        <w:t xml:space="preserve"> the purpose of the </w:t>
      </w:r>
      <w:r>
        <w:rPr>
          <w:sz w:val="24"/>
          <w:szCs w:val="24"/>
        </w:rPr>
        <w:t xml:space="preserve">research assuring </w:t>
      </w:r>
      <w:r w:rsidRPr="00FB4390">
        <w:rPr>
          <w:sz w:val="24"/>
          <w:szCs w:val="24"/>
        </w:rPr>
        <w:t>its anonymity</w:t>
      </w:r>
      <w:r>
        <w:rPr>
          <w:sz w:val="24"/>
          <w:szCs w:val="24"/>
        </w:rPr>
        <w:t xml:space="preserve"> (</w:t>
      </w:r>
      <w:r w:rsidR="00AB1ADC">
        <w:rPr>
          <w:sz w:val="24"/>
          <w:szCs w:val="24"/>
        </w:rPr>
        <w:t>ibid.</w:t>
      </w:r>
      <w:r>
        <w:rPr>
          <w:sz w:val="24"/>
          <w:szCs w:val="24"/>
        </w:rPr>
        <w:t>) and the</w:t>
      </w:r>
      <w:r w:rsidRPr="00A223DF">
        <w:rPr>
          <w:sz w:val="24"/>
          <w:szCs w:val="24"/>
        </w:rPr>
        <w:t xml:space="preserve"> purpose of the research </w:t>
      </w:r>
      <w:r>
        <w:rPr>
          <w:sz w:val="24"/>
          <w:szCs w:val="24"/>
        </w:rPr>
        <w:t>were written into</w:t>
      </w:r>
      <w:r w:rsidRPr="00A223DF">
        <w:rPr>
          <w:sz w:val="24"/>
          <w:szCs w:val="24"/>
        </w:rPr>
        <w:t xml:space="preserve"> the</w:t>
      </w:r>
      <w:r>
        <w:rPr>
          <w:sz w:val="24"/>
          <w:szCs w:val="24"/>
        </w:rPr>
        <w:t xml:space="preserve"> research</w:t>
      </w:r>
      <w:r w:rsidRPr="00A223DF">
        <w:rPr>
          <w:sz w:val="24"/>
          <w:szCs w:val="24"/>
        </w:rPr>
        <w:t xml:space="preserve"> </w:t>
      </w:r>
      <w:r>
        <w:rPr>
          <w:sz w:val="24"/>
          <w:szCs w:val="24"/>
        </w:rPr>
        <w:t xml:space="preserve">invitation letter </w:t>
      </w:r>
      <w:r w:rsidRPr="00A223DF">
        <w:rPr>
          <w:sz w:val="24"/>
          <w:szCs w:val="24"/>
        </w:rPr>
        <w:t>(Appendix</w:t>
      </w:r>
      <w:r>
        <w:rPr>
          <w:sz w:val="24"/>
          <w:szCs w:val="24"/>
        </w:rPr>
        <w:t xml:space="preserve"> </w:t>
      </w:r>
      <w:r w:rsidR="00EB2010">
        <w:rPr>
          <w:sz w:val="24"/>
          <w:szCs w:val="24"/>
        </w:rPr>
        <w:t>B</w:t>
      </w:r>
      <w:r w:rsidRPr="00A223DF">
        <w:rPr>
          <w:sz w:val="24"/>
          <w:szCs w:val="24"/>
        </w:rPr>
        <w:t xml:space="preserve">). Specific attention </w:t>
      </w:r>
      <w:r>
        <w:rPr>
          <w:sz w:val="24"/>
          <w:szCs w:val="24"/>
        </w:rPr>
        <w:t xml:space="preserve">needs to be </w:t>
      </w:r>
      <w:r w:rsidRPr="00A223DF">
        <w:rPr>
          <w:sz w:val="24"/>
          <w:szCs w:val="24"/>
        </w:rPr>
        <w:t>paid to emotional aspects of the interview (Co</w:t>
      </w:r>
      <w:r>
        <w:rPr>
          <w:sz w:val="24"/>
          <w:szCs w:val="24"/>
        </w:rPr>
        <w:t>hen</w:t>
      </w:r>
      <w:r w:rsidRPr="00A223DF">
        <w:rPr>
          <w:sz w:val="24"/>
          <w:szCs w:val="24"/>
        </w:rPr>
        <w:t xml:space="preserve">, </w:t>
      </w:r>
      <w:r w:rsidR="00FB3A6E" w:rsidRPr="00FB3A6E">
        <w:rPr>
          <w:i/>
          <w:sz w:val="24"/>
          <w:szCs w:val="24"/>
        </w:rPr>
        <w:t>et al.</w:t>
      </w:r>
      <w:r w:rsidRPr="00A223DF">
        <w:rPr>
          <w:sz w:val="24"/>
          <w:szCs w:val="24"/>
        </w:rPr>
        <w:t>, 201</w:t>
      </w:r>
      <w:r>
        <w:rPr>
          <w:sz w:val="24"/>
          <w:szCs w:val="24"/>
        </w:rPr>
        <w:t>9</w:t>
      </w:r>
      <w:r w:rsidRPr="00A223DF">
        <w:rPr>
          <w:sz w:val="24"/>
          <w:szCs w:val="24"/>
        </w:rPr>
        <w:t xml:space="preserve">) </w:t>
      </w:r>
      <w:r>
        <w:rPr>
          <w:sz w:val="24"/>
          <w:szCs w:val="24"/>
        </w:rPr>
        <w:t xml:space="preserve">and </w:t>
      </w:r>
      <w:r w:rsidRPr="00A223DF">
        <w:rPr>
          <w:sz w:val="24"/>
          <w:szCs w:val="24"/>
        </w:rPr>
        <w:t xml:space="preserve">continuity of care </w:t>
      </w:r>
      <w:r>
        <w:rPr>
          <w:sz w:val="24"/>
          <w:szCs w:val="24"/>
        </w:rPr>
        <w:t xml:space="preserve">was offered in the form of email contact </w:t>
      </w:r>
      <w:r w:rsidRPr="00A223DF">
        <w:rPr>
          <w:sz w:val="24"/>
          <w:szCs w:val="24"/>
        </w:rPr>
        <w:t>for a period of three months</w:t>
      </w:r>
      <w:r>
        <w:rPr>
          <w:sz w:val="24"/>
          <w:szCs w:val="24"/>
        </w:rPr>
        <w:t xml:space="preserve"> beyond the interviews (Appendix D)</w:t>
      </w:r>
      <w:r w:rsidRPr="00A223DF">
        <w:rPr>
          <w:sz w:val="24"/>
          <w:szCs w:val="24"/>
        </w:rPr>
        <w:t xml:space="preserve">. </w:t>
      </w:r>
      <w:r>
        <w:rPr>
          <w:sz w:val="24"/>
          <w:szCs w:val="24"/>
        </w:rPr>
        <w:t>As previously affirmed,</w:t>
      </w:r>
      <w:r w:rsidRPr="00A223DF">
        <w:rPr>
          <w:sz w:val="24"/>
          <w:szCs w:val="24"/>
        </w:rPr>
        <w:t xml:space="preserve"> the second interview</w:t>
      </w:r>
      <w:r>
        <w:rPr>
          <w:sz w:val="24"/>
          <w:szCs w:val="24"/>
        </w:rPr>
        <w:t xml:space="preserve"> afforded </w:t>
      </w:r>
      <w:r w:rsidRPr="00A223DF">
        <w:rPr>
          <w:sz w:val="24"/>
          <w:szCs w:val="24"/>
        </w:rPr>
        <w:t xml:space="preserve">participants an opportunity to ground any emotional </w:t>
      </w:r>
      <w:r>
        <w:rPr>
          <w:sz w:val="24"/>
          <w:szCs w:val="24"/>
        </w:rPr>
        <w:t xml:space="preserve">impact </w:t>
      </w:r>
      <w:r w:rsidRPr="00A223DF">
        <w:rPr>
          <w:sz w:val="24"/>
          <w:szCs w:val="24"/>
        </w:rPr>
        <w:t xml:space="preserve">and acted as an additional safeguarding measure. </w:t>
      </w:r>
    </w:p>
    <w:p w14:paraId="558F7019" w14:textId="3B9CE1D8" w:rsidR="000171E2" w:rsidRDefault="000171E2" w:rsidP="000E6EEF">
      <w:pPr>
        <w:spacing w:line="360" w:lineRule="auto"/>
        <w:rPr>
          <w:sz w:val="24"/>
          <w:szCs w:val="24"/>
        </w:rPr>
      </w:pPr>
      <w:r>
        <w:rPr>
          <w:sz w:val="24"/>
          <w:szCs w:val="24"/>
        </w:rPr>
        <w:t xml:space="preserve">Participants are entrusting their personal stories and data to an unknown stranger, and this requires judicious consideration of trust (Bond, 2006). </w:t>
      </w:r>
      <w:r w:rsidRPr="003C4ACF">
        <w:rPr>
          <w:sz w:val="24"/>
          <w:szCs w:val="24"/>
        </w:rPr>
        <w:t xml:space="preserve">It </w:t>
      </w:r>
      <w:r>
        <w:rPr>
          <w:sz w:val="24"/>
          <w:szCs w:val="24"/>
        </w:rPr>
        <w:t xml:space="preserve">was </w:t>
      </w:r>
      <w:r w:rsidRPr="003C4ACF">
        <w:rPr>
          <w:sz w:val="24"/>
          <w:szCs w:val="24"/>
        </w:rPr>
        <w:t>important to remind participants that th</w:t>
      </w:r>
      <w:r>
        <w:rPr>
          <w:sz w:val="24"/>
          <w:szCs w:val="24"/>
        </w:rPr>
        <w:t>eir data would be used</w:t>
      </w:r>
      <w:r w:rsidRPr="003C4ACF">
        <w:rPr>
          <w:sz w:val="24"/>
          <w:szCs w:val="24"/>
        </w:rPr>
        <w:t xml:space="preserve"> to make suggestions </w:t>
      </w:r>
      <w:r w:rsidR="009F5ED5">
        <w:rPr>
          <w:sz w:val="24"/>
          <w:szCs w:val="24"/>
        </w:rPr>
        <w:t>for improvements</w:t>
      </w:r>
      <w:r w:rsidRPr="003C4ACF">
        <w:rPr>
          <w:sz w:val="24"/>
          <w:szCs w:val="24"/>
        </w:rPr>
        <w:t xml:space="preserve">. It is the role of the researcher to create a </w:t>
      </w:r>
      <w:r w:rsidR="00CF63B9">
        <w:rPr>
          <w:sz w:val="24"/>
          <w:szCs w:val="24"/>
        </w:rPr>
        <w:t>confidential</w:t>
      </w:r>
      <w:r w:rsidRPr="003C4ACF">
        <w:rPr>
          <w:sz w:val="24"/>
          <w:szCs w:val="24"/>
        </w:rPr>
        <w:t xml:space="preserve"> </w:t>
      </w:r>
      <w:r w:rsidR="00475BE4" w:rsidRPr="003C4ACF">
        <w:rPr>
          <w:sz w:val="24"/>
          <w:szCs w:val="24"/>
        </w:rPr>
        <w:t>space,</w:t>
      </w:r>
      <w:r>
        <w:rPr>
          <w:sz w:val="24"/>
          <w:szCs w:val="24"/>
        </w:rPr>
        <w:t xml:space="preserve"> and </w:t>
      </w:r>
      <w:r w:rsidRPr="003C4ACF">
        <w:rPr>
          <w:sz w:val="24"/>
          <w:szCs w:val="24"/>
        </w:rPr>
        <w:t>participants w</w:t>
      </w:r>
      <w:r>
        <w:rPr>
          <w:sz w:val="24"/>
          <w:szCs w:val="24"/>
        </w:rPr>
        <w:t xml:space="preserve">ere notified </w:t>
      </w:r>
      <w:r w:rsidRPr="003C4ACF">
        <w:rPr>
          <w:sz w:val="24"/>
          <w:szCs w:val="24"/>
        </w:rPr>
        <w:t>in advance that interviews w</w:t>
      </w:r>
      <w:r>
        <w:rPr>
          <w:sz w:val="24"/>
          <w:szCs w:val="24"/>
        </w:rPr>
        <w:t>ould</w:t>
      </w:r>
      <w:r w:rsidRPr="003C4ACF">
        <w:rPr>
          <w:sz w:val="24"/>
          <w:szCs w:val="24"/>
        </w:rPr>
        <w:t xml:space="preserve"> be audio recorded and </w:t>
      </w:r>
      <w:r>
        <w:rPr>
          <w:sz w:val="24"/>
          <w:szCs w:val="24"/>
        </w:rPr>
        <w:t>assured that any</w:t>
      </w:r>
      <w:r w:rsidRPr="003C4ACF">
        <w:rPr>
          <w:sz w:val="24"/>
          <w:szCs w:val="24"/>
        </w:rPr>
        <w:t xml:space="preserve"> identifying details</w:t>
      </w:r>
      <w:r>
        <w:rPr>
          <w:sz w:val="24"/>
          <w:szCs w:val="24"/>
        </w:rPr>
        <w:t xml:space="preserve"> would be removed</w:t>
      </w:r>
      <w:r w:rsidRPr="003C4ACF">
        <w:rPr>
          <w:sz w:val="24"/>
          <w:szCs w:val="24"/>
        </w:rPr>
        <w:t>. Anonymized transcriptions w</w:t>
      </w:r>
      <w:r>
        <w:rPr>
          <w:sz w:val="24"/>
          <w:szCs w:val="24"/>
        </w:rPr>
        <w:t xml:space="preserve">ere </w:t>
      </w:r>
      <w:r w:rsidRPr="003C4ACF">
        <w:rPr>
          <w:sz w:val="24"/>
          <w:szCs w:val="24"/>
        </w:rPr>
        <w:t xml:space="preserve">sent individually to participants and the write-up taken back for correction and verification further affording the participant agency and trust in </w:t>
      </w:r>
      <w:r>
        <w:rPr>
          <w:sz w:val="24"/>
          <w:szCs w:val="24"/>
        </w:rPr>
        <w:t>the process</w:t>
      </w:r>
      <w:r w:rsidRPr="003C4ACF">
        <w:rPr>
          <w:sz w:val="24"/>
          <w:szCs w:val="24"/>
        </w:rPr>
        <w:t xml:space="preserve">. </w:t>
      </w:r>
    </w:p>
    <w:p w14:paraId="7ACC476B" w14:textId="77777777" w:rsidR="000171E2" w:rsidRPr="002A3E10" w:rsidRDefault="000171E2" w:rsidP="002A3E10">
      <w:pPr>
        <w:spacing w:before="120"/>
        <w:rPr>
          <w:rFonts w:ascii="Calibri" w:eastAsia="Constantia" w:hAnsi="Calibri" w:cs="Calibri"/>
          <w:b/>
          <w:bCs/>
          <w:sz w:val="24"/>
          <w:szCs w:val="24"/>
          <w:lang w:val="en-US"/>
        </w:rPr>
      </w:pPr>
      <w:bookmarkStart w:id="61" w:name="_Hlk155880513"/>
      <w:r w:rsidRPr="002A3E10">
        <w:rPr>
          <w:rFonts w:ascii="Calibri" w:eastAsia="Constantia" w:hAnsi="Calibri" w:cs="Calibri"/>
          <w:b/>
          <w:bCs/>
          <w:sz w:val="24"/>
          <w:szCs w:val="24"/>
          <w:lang w:val="en-US"/>
        </w:rPr>
        <w:t xml:space="preserve">Data Analysis </w:t>
      </w:r>
    </w:p>
    <w:p w14:paraId="09DCD9FF" w14:textId="48FC4FBB" w:rsidR="000171E2" w:rsidRPr="002A3E10" w:rsidRDefault="000171E2" w:rsidP="00E9508C">
      <w:pPr>
        <w:spacing w:before="120" w:line="360" w:lineRule="auto"/>
        <w:rPr>
          <w:rFonts w:ascii="Calibri" w:eastAsia="Constantia" w:hAnsi="Calibri" w:cs="Calibri"/>
          <w:sz w:val="24"/>
          <w:szCs w:val="24"/>
          <w:lang w:val="en-US"/>
        </w:rPr>
      </w:pPr>
      <w:r w:rsidRPr="002A3E10">
        <w:rPr>
          <w:rFonts w:ascii="Calibri" w:eastAsia="Constantia" w:hAnsi="Calibri" w:cs="Calibri"/>
          <w:sz w:val="24"/>
          <w:szCs w:val="24"/>
          <w:lang w:val="en-US"/>
        </w:rPr>
        <w:t>The data analytical approach is decided upon before data collection to ensure that the methods and strategies meet the needs of the research (</w:t>
      </w:r>
      <w:r w:rsidRPr="003B7C03">
        <w:rPr>
          <w:rFonts w:ascii="Calibri" w:eastAsia="Constantia" w:hAnsi="Calibri" w:cs="Calibri"/>
          <w:sz w:val="24"/>
          <w:szCs w:val="24"/>
          <w:lang w:val="en-US"/>
        </w:rPr>
        <w:t>Clark,</w:t>
      </w:r>
      <w:r w:rsidR="0021024E">
        <w:rPr>
          <w:rFonts w:ascii="Calibri" w:eastAsia="Constantia" w:hAnsi="Calibri" w:cs="Calibri"/>
          <w:sz w:val="24"/>
          <w:szCs w:val="24"/>
          <w:lang w:val="en-US"/>
        </w:rPr>
        <w:t xml:space="preserve"> </w:t>
      </w:r>
      <w:r w:rsidR="0021024E" w:rsidRPr="0021024E">
        <w:rPr>
          <w:rFonts w:ascii="Calibri" w:eastAsia="Constantia" w:hAnsi="Calibri" w:cs="Calibri"/>
          <w:i/>
          <w:iCs/>
          <w:sz w:val="24"/>
          <w:szCs w:val="24"/>
          <w:lang w:val="en-US"/>
        </w:rPr>
        <w:t>et al.</w:t>
      </w:r>
      <w:r w:rsidRPr="0021024E">
        <w:rPr>
          <w:rFonts w:ascii="Calibri" w:eastAsia="Constantia" w:hAnsi="Calibri" w:cs="Calibri"/>
          <w:i/>
          <w:iCs/>
          <w:sz w:val="24"/>
          <w:szCs w:val="24"/>
          <w:lang w:val="en-US"/>
        </w:rPr>
        <w:t>,</w:t>
      </w:r>
      <w:r w:rsidRPr="003B7C03">
        <w:rPr>
          <w:rFonts w:ascii="Calibri" w:eastAsia="Constantia" w:hAnsi="Calibri" w:cs="Calibri"/>
          <w:sz w:val="24"/>
          <w:szCs w:val="24"/>
          <w:lang w:val="en-US"/>
        </w:rPr>
        <w:t xml:space="preserve"> 2019</w:t>
      </w:r>
      <w:r w:rsidRPr="002A3E10">
        <w:rPr>
          <w:rFonts w:ascii="Calibri" w:eastAsia="Constantia" w:hAnsi="Calibri" w:cs="Calibri"/>
          <w:sz w:val="24"/>
          <w:szCs w:val="24"/>
          <w:lang w:val="en-US"/>
        </w:rPr>
        <w:t>), and I would add the researcher and the participants. To reflect the qualitative and open nature of this research, and the openness to a new story revealing itself in the participants’ data (</w:t>
      </w:r>
      <w:r w:rsidRPr="00D75732">
        <w:rPr>
          <w:rFonts w:ascii="Calibri" w:eastAsia="Constantia" w:hAnsi="Calibri" w:cs="Calibri"/>
          <w:sz w:val="24"/>
          <w:szCs w:val="24"/>
          <w:lang w:val="en-US"/>
        </w:rPr>
        <w:t>Schmidt, 2004</w:t>
      </w:r>
      <w:r w:rsidRPr="002A3E10">
        <w:rPr>
          <w:rFonts w:ascii="Calibri" w:eastAsia="Constantia" w:hAnsi="Calibri" w:cs="Calibri"/>
          <w:sz w:val="24"/>
          <w:szCs w:val="24"/>
          <w:lang w:val="en-US"/>
        </w:rPr>
        <w:t xml:space="preserve">), </w:t>
      </w:r>
      <w:r w:rsidR="00A6076B">
        <w:rPr>
          <w:rFonts w:ascii="Calibri" w:eastAsia="Constantia" w:hAnsi="Calibri" w:cs="Calibri"/>
          <w:sz w:val="24"/>
          <w:szCs w:val="24"/>
          <w:lang w:val="en-US"/>
        </w:rPr>
        <w:t xml:space="preserve">various </w:t>
      </w:r>
      <w:r w:rsidRPr="002A3E10">
        <w:rPr>
          <w:rFonts w:ascii="Calibri" w:eastAsia="Constantia" w:hAnsi="Calibri" w:cs="Calibri"/>
          <w:sz w:val="24"/>
          <w:szCs w:val="24"/>
          <w:lang w:val="en-US"/>
        </w:rPr>
        <w:t xml:space="preserve">methods of data analysis </w:t>
      </w:r>
      <w:r>
        <w:rPr>
          <w:rFonts w:ascii="Calibri" w:eastAsia="Constantia" w:hAnsi="Calibri" w:cs="Calibri"/>
          <w:sz w:val="24"/>
          <w:szCs w:val="24"/>
          <w:lang w:val="en-US"/>
        </w:rPr>
        <w:t xml:space="preserve">were explored </w:t>
      </w:r>
      <w:r w:rsidRPr="002A3E10">
        <w:rPr>
          <w:rFonts w:ascii="Calibri" w:eastAsia="Constantia" w:hAnsi="Calibri" w:cs="Calibri"/>
          <w:sz w:val="24"/>
          <w:szCs w:val="24"/>
          <w:lang w:val="en-US"/>
        </w:rPr>
        <w:t>in research supervision</w:t>
      </w:r>
      <w:r>
        <w:rPr>
          <w:rFonts w:ascii="Calibri" w:eastAsia="Constantia" w:hAnsi="Calibri" w:cs="Calibri"/>
          <w:sz w:val="24"/>
          <w:szCs w:val="24"/>
          <w:lang w:val="en-US"/>
        </w:rPr>
        <w:t xml:space="preserve"> and independently. </w:t>
      </w:r>
      <w:r w:rsidRPr="002A3E10">
        <w:rPr>
          <w:rFonts w:ascii="Calibri" w:eastAsia="Constantia" w:hAnsi="Calibri" w:cs="Calibri"/>
          <w:sz w:val="24"/>
          <w:szCs w:val="24"/>
          <w:lang w:val="en-US"/>
        </w:rPr>
        <w:t>Content analysis emphasizes trends, frequency and patterns of words used</w:t>
      </w:r>
      <w:r w:rsidR="00F17A29">
        <w:rPr>
          <w:rFonts w:ascii="Calibri" w:eastAsia="Constantia" w:hAnsi="Calibri" w:cs="Calibri"/>
          <w:sz w:val="24"/>
          <w:szCs w:val="24"/>
          <w:lang w:val="en-US"/>
        </w:rPr>
        <w:t>,</w:t>
      </w:r>
      <w:r w:rsidRPr="002A3E10">
        <w:rPr>
          <w:rFonts w:ascii="Calibri" w:eastAsia="Constantia" w:hAnsi="Calibri" w:cs="Calibri"/>
          <w:sz w:val="24"/>
          <w:szCs w:val="24"/>
          <w:lang w:val="en-US"/>
        </w:rPr>
        <w:t xml:space="preserve"> and structures and discourses of communication (</w:t>
      </w:r>
      <w:r w:rsidRPr="001E4AFA">
        <w:rPr>
          <w:rFonts w:ascii="Calibri" w:eastAsia="Constantia" w:hAnsi="Calibri" w:cs="Calibri"/>
          <w:sz w:val="24"/>
          <w:szCs w:val="24"/>
          <w:lang w:val="en-US"/>
        </w:rPr>
        <w:t xml:space="preserve">Gbrich, 2007; Mayring, 2000; Pope </w:t>
      </w:r>
      <w:r w:rsidR="00FB3A6E" w:rsidRPr="00FB3A6E">
        <w:rPr>
          <w:rFonts w:ascii="Calibri" w:eastAsia="Constantia" w:hAnsi="Calibri" w:cs="Calibri"/>
          <w:i/>
          <w:sz w:val="24"/>
          <w:szCs w:val="24"/>
          <w:lang w:val="en-US"/>
        </w:rPr>
        <w:t>et al.</w:t>
      </w:r>
      <w:r w:rsidRPr="001E4AFA">
        <w:rPr>
          <w:rFonts w:ascii="Calibri" w:eastAsia="Constantia" w:hAnsi="Calibri" w:cs="Calibri"/>
          <w:sz w:val="24"/>
          <w:szCs w:val="24"/>
          <w:lang w:val="en-US"/>
        </w:rPr>
        <w:t>, 2006)</w:t>
      </w:r>
      <w:r>
        <w:rPr>
          <w:rFonts w:ascii="Calibri" w:eastAsia="Constantia" w:hAnsi="Calibri" w:cs="Calibri"/>
          <w:sz w:val="24"/>
          <w:szCs w:val="24"/>
          <w:lang w:val="en-US"/>
        </w:rPr>
        <w:t xml:space="preserve">, however it </w:t>
      </w:r>
      <w:r w:rsidRPr="002A3E10">
        <w:rPr>
          <w:rFonts w:ascii="Calibri" w:eastAsia="Constantia" w:hAnsi="Calibri" w:cs="Calibri"/>
          <w:sz w:val="24"/>
          <w:szCs w:val="24"/>
          <w:lang w:val="en-US"/>
        </w:rPr>
        <w:t xml:space="preserve">can overemphasize words used, who the words were addressed to and with what effect (Bloor and Wood, 2006). Narrative analysis adopts a selective focus </w:t>
      </w:r>
      <w:r w:rsidRPr="002A3E10">
        <w:rPr>
          <w:rFonts w:ascii="Calibri" w:eastAsia="Constantia" w:hAnsi="Calibri" w:cs="Calibri"/>
          <w:sz w:val="24"/>
          <w:szCs w:val="24"/>
          <w:lang w:val="en-US"/>
        </w:rPr>
        <w:lastRenderedPageBreak/>
        <w:t xml:space="preserve">(Cohen, </w:t>
      </w:r>
      <w:r w:rsidR="00FB3A6E" w:rsidRPr="00FB3A6E">
        <w:rPr>
          <w:rFonts w:ascii="Calibri" w:eastAsia="Constantia" w:hAnsi="Calibri" w:cs="Calibri"/>
          <w:i/>
          <w:sz w:val="24"/>
          <w:szCs w:val="24"/>
          <w:lang w:val="en-US"/>
        </w:rPr>
        <w:t>et al.</w:t>
      </w:r>
      <w:r w:rsidRPr="002A3E10">
        <w:rPr>
          <w:rFonts w:ascii="Calibri" w:eastAsia="Constantia" w:hAnsi="Calibri" w:cs="Calibri"/>
          <w:sz w:val="24"/>
          <w:szCs w:val="24"/>
          <w:lang w:val="en-US"/>
        </w:rPr>
        <w:t>, 2019), catches the vividness of human experience (Bruner, 1986) and contributes to the structuring of identity (Gibbs, 2007)</w:t>
      </w:r>
      <w:r w:rsidR="007F3B0A">
        <w:rPr>
          <w:rFonts w:ascii="Calibri" w:eastAsia="Constantia" w:hAnsi="Calibri" w:cs="Calibri"/>
          <w:sz w:val="24"/>
          <w:szCs w:val="24"/>
          <w:lang w:val="en-US"/>
        </w:rPr>
        <w:t>,</w:t>
      </w:r>
      <w:r>
        <w:rPr>
          <w:rFonts w:ascii="Calibri" w:eastAsia="Constantia" w:hAnsi="Calibri" w:cs="Calibri"/>
          <w:sz w:val="24"/>
          <w:szCs w:val="24"/>
          <w:lang w:val="en-US"/>
        </w:rPr>
        <w:t xml:space="preserve"> however, it</w:t>
      </w:r>
      <w:r w:rsidRPr="00377F17">
        <w:rPr>
          <w:rFonts w:ascii="Calibri" w:eastAsia="Constantia" w:hAnsi="Calibri" w:cs="Calibri"/>
          <w:sz w:val="24"/>
          <w:szCs w:val="24"/>
          <w:lang w:val="en-US"/>
        </w:rPr>
        <w:t xml:space="preserve"> might offer too many interpretative options</w:t>
      </w:r>
      <w:r w:rsidRPr="002A3E10">
        <w:rPr>
          <w:rFonts w:ascii="Calibri" w:eastAsia="Constantia" w:hAnsi="Calibri" w:cs="Calibri"/>
          <w:sz w:val="24"/>
          <w:szCs w:val="24"/>
          <w:lang w:val="en-US"/>
        </w:rPr>
        <w:t>. For reasons of simplicity and ordering, and to safeguard the researcher against saturation, thematic analysis represented a judicious choice</w:t>
      </w:r>
      <w:r w:rsidRPr="00C25B7D">
        <w:rPr>
          <w:rFonts w:ascii="Calibri" w:eastAsia="Constantia" w:hAnsi="Calibri" w:cs="Calibri"/>
          <w:sz w:val="24"/>
          <w:szCs w:val="24"/>
          <w:lang w:val="en-US"/>
        </w:rPr>
        <w:t xml:space="preserve"> for the purposes of my study.</w:t>
      </w:r>
    </w:p>
    <w:p w14:paraId="78A3C481" w14:textId="62DF5DD9" w:rsidR="000171E2" w:rsidRPr="002A3E10" w:rsidRDefault="000171E2" w:rsidP="00E9508C">
      <w:pPr>
        <w:spacing w:before="120" w:line="360" w:lineRule="auto"/>
        <w:rPr>
          <w:rFonts w:ascii="Calibri" w:eastAsia="Constantia" w:hAnsi="Calibri" w:cs="Calibri"/>
          <w:sz w:val="24"/>
          <w:szCs w:val="24"/>
          <w:lang w:val="en-US"/>
        </w:rPr>
      </w:pPr>
      <w:r w:rsidRPr="002A3E10">
        <w:rPr>
          <w:rFonts w:ascii="Calibri" w:eastAsia="Constantia" w:hAnsi="Calibri" w:cs="Calibri"/>
          <w:sz w:val="24"/>
          <w:szCs w:val="24"/>
          <w:lang w:val="en-US"/>
        </w:rPr>
        <w:t>Thematic analysis (TA) is a method for identifying, analysing and reporting the patterns and themes within the data (Braun and Clarke, 2006)</w:t>
      </w:r>
      <w:r w:rsidR="00B854D4">
        <w:rPr>
          <w:rFonts w:ascii="Calibri" w:eastAsia="Constantia" w:hAnsi="Calibri" w:cs="Calibri"/>
          <w:sz w:val="24"/>
          <w:szCs w:val="24"/>
          <w:lang w:val="en-US"/>
        </w:rPr>
        <w:t>,</w:t>
      </w:r>
      <w:r w:rsidRPr="002A3E10">
        <w:rPr>
          <w:rFonts w:ascii="Calibri" w:eastAsia="Constantia" w:hAnsi="Calibri" w:cs="Calibri"/>
          <w:sz w:val="24"/>
          <w:szCs w:val="24"/>
          <w:lang w:val="en-US"/>
        </w:rPr>
        <w:t xml:space="preserve"> and is a descriptive method for examining life story narratives beyond the words alone (Sparker, 2005). It is not wedded to any pre-existing theoretical framework (Braun and Clark, 2006) and has the capacity to adapt to the differing nature of the data extrinsically and intrinsically. As a constructionist method which reports experiences, meanings, and the reality of participants, </w:t>
      </w:r>
      <w:r w:rsidR="00143975">
        <w:rPr>
          <w:rFonts w:ascii="Calibri" w:eastAsia="Constantia" w:hAnsi="Calibri" w:cs="Calibri"/>
          <w:sz w:val="24"/>
          <w:szCs w:val="24"/>
          <w:lang w:val="en-US"/>
        </w:rPr>
        <w:t xml:space="preserve">TA </w:t>
      </w:r>
      <w:r w:rsidRPr="002A3E10">
        <w:rPr>
          <w:rFonts w:ascii="Calibri" w:eastAsia="Constantia" w:hAnsi="Calibri" w:cs="Calibri"/>
          <w:sz w:val="24"/>
          <w:szCs w:val="24"/>
          <w:lang w:val="en-US"/>
        </w:rPr>
        <w:t>examines the ways in which events, realities, meanings, systemic and contextual experiences, and participants’ stories intersect (</w:t>
      </w:r>
      <w:r w:rsidR="006B2C70">
        <w:rPr>
          <w:rFonts w:ascii="Calibri" w:eastAsia="Constantia" w:hAnsi="Calibri" w:cs="Calibri"/>
          <w:sz w:val="24"/>
          <w:szCs w:val="24"/>
          <w:lang w:val="en-US"/>
        </w:rPr>
        <w:t>i</w:t>
      </w:r>
      <w:r w:rsidR="00AB1ADC">
        <w:rPr>
          <w:rFonts w:ascii="Calibri" w:eastAsia="Constantia" w:hAnsi="Calibri" w:cs="Calibri"/>
          <w:sz w:val="24"/>
          <w:szCs w:val="24"/>
          <w:lang w:val="en-US"/>
        </w:rPr>
        <w:t>bid.</w:t>
      </w:r>
      <w:r w:rsidRPr="002A3E10">
        <w:rPr>
          <w:rFonts w:ascii="Calibri" w:eastAsia="Constantia" w:hAnsi="Calibri" w:cs="Calibri"/>
          <w:sz w:val="24"/>
          <w:szCs w:val="24"/>
          <w:lang w:val="en-US"/>
        </w:rPr>
        <w:t>). Given that these intersections are a prime focus of my study, thematic analysis seemed a good fit.</w:t>
      </w:r>
    </w:p>
    <w:p w14:paraId="4BA6C876" w14:textId="64139755" w:rsidR="00666300" w:rsidRDefault="000171E2" w:rsidP="00BB45C6">
      <w:pPr>
        <w:spacing w:before="120" w:line="360" w:lineRule="auto"/>
        <w:rPr>
          <w:rFonts w:ascii="Calibri" w:eastAsia="Constantia" w:hAnsi="Calibri" w:cs="Calibri"/>
          <w:sz w:val="24"/>
          <w:szCs w:val="24"/>
        </w:rPr>
      </w:pPr>
      <w:r w:rsidRPr="002A3E10">
        <w:rPr>
          <w:rFonts w:ascii="Calibri" w:eastAsia="Constantia" w:hAnsi="Calibri" w:cs="Calibri"/>
          <w:sz w:val="24"/>
          <w:szCs w:val="24"/>
          <w:lang w:val="en-US"/>
        </w:rPr>
        <w:t>T</w:t>
      </w:r>
      <w:r w:rsidR="00AF27CE">
        <w:rPr>
          <w:rFonts w:ascii="Calibri" w:eastAsia="Constantia" w:hAnsi="Calibri" w:cs="Calibri"/>
          <w:sz w:val="24"/>
          <w:szCs w:val="24"/>
          <w:lang w:val="en-US"/>
        </w:rPr>
        <w:t>A</w:t>
      </w:r>
      <w:r w:rsidRPr="002A3E10">
        <w:rPr>
          <w:rFonts w:ascii="Calibri" w:eastAsia="Constantia" w:hAnsi="Calibri" w:cs="Calibri"/>
          <w:sz w:val="24"/>
          <w:szCs w:val="24"/>
          <w:lang w:val="en-US"/>
        </w:rPr>
        <w:t xml:space="preserve"> is a useful method for qualitative research beyond psychology, as well as within it. The nature of my conceptual lens is that of depth pedagogy, which derives from depth psychology and goes beyond psychology. From a depth pedagogy perspective, meaning and experience are socially produced, reproduced and co-constructed rendering </w:t>
      </w:r>
      <w:r w:rsidR="00143975">
        <w:rPr>
          <w:rFonts w:ascii="Calibri" w:eastAsia="Constantia" w:hAnsi="Calibri" w:cs="Calibri"/>
          <w:sz w:val="24"/>
          <w:szCs w:val="24"/>
          <w:lang w:val="en-US"/>
        </w:rPr>
        <w:t xml:space="preserve">TA </w:t>
      </w:r>
      <w:r w:rsidRPr="002A3E10">
        <w:rPr>
          <w:rFonts w:ascii="Calibri" w:eastAsia="Constantia" w:hAnsi="Calibri" w:cs="Calibri"/>
          <w:sz w:val="24"/>
          <w:szCs w:val="24"/>
          <w:lang w:val="en-US"/>
        </w:rPr>
        <w:t>an appropriate analytic tool as it seeks to theorize about and speculate upon the sociocultural context and feelings. Furthermore</w:t>
      </w:r>
      <w:r>
        <w:rPr>
          <w:rFonts w:ascii="Calibri" w:eastAsia="Constantia" w:hAnsi="Calibri" w:cs="Calibri"/>
          <w:sz w:val="24"/>
          <w:szCs w:val="24"/>
          <w:lang w:val="en-US"/>
        </w:rPr>
        <w:t xml:space="preserve">, </w:t>
      </w:r>
      <w:r w:rsidR="00143975">
        <w:rPr>
          <w:rFonts w:ascii="Calibri" w:eastAsia="Constantia" w:hAnsi="Calibri" w:cs="Calibri"/>
          <w:sz w:val="24"/>
          <w:szCs w:val="24"/>
          <w:lang w:val="en-US"/>
        </w:rPr>
        <w:t>TA</w:t>
      </w:r>
      <w:r>
        <w:rPr>
          <w:rFonts w:ascii="Calibri" w:eastAsia="Constantia" w:hAnsi="Calibri" w:cs="Calibri"/>
          <w:sz w:val="24"/>
          <w:szCs w:val="24"/>
          <w:lang w:val="en-US"/>
        </w:rPr>
        <w:t xml:space="preserve"> is in </w:t>
      </w:r>
      <w:r w:rsidRPr="002A3E10">
        <w:rPr>
          <w:rFonts w:ascii="Calibri" w:eastAsia="Constantia" w:hAnsi="Calibri" w:cs="Calibri"/>
          <w:sz w:val="24"/>
          <w:szCs w:val="24"/>
        </w:rPr>
        <w:t>keeping with my psychosocial</w:t>
      </w:r>
      <w:r w:rsidR="008701E5">
        <w:rPr>
          <w:rFonts w:ascii="Calibri" w:eastAsia="Constantia" w:hAnsi="Calibri" w:cs="Calibri"/>
          <w:sz w:val="24"/>
          <w:szCs w:val="24"/>
        </w:rPr>
        <w:t>,</w:t>
      </w:r>
      <w:r w:rsidRPr="002A3E10">
        <w:rPr>
          <w:rFonts w:ascii="Calibri" w:eastAsia="Constantia" w:hAnsi="Calibri" w:cs="Calibri"/>
          <w:sz w:val="24"/>
          <w:szCs w:val="24"/>
        </w:rPr>
        <w:t xml:space="preserve"> ontological and epistemological position</w:t>
      </w:r>
      <w:r w:rsidR="008300DF">
        <w:rPr>
          <w:rFonts w:ascii="Calibri" w:eastAsia="Constantia" w:hAnsi="Calibri" w:cs="Calibri"/>
          <w:sz w:val="24"/>
          <w:szCs w:val="24"/>
        </w:rPr>
        <w:t>s</w:t>
      </w:r>
      <w:r>
        <w:rPr>
          <w:rFonts w:ascii="Calibri" w:eastAsia="Constantia" w:hAnsi="Calibri" w:cs="Calibri"/>
          <w:sz w:val="24"/>
          <w:szCs w:val="24"/>
        </w:rPr>
        <w:t>.</w:t>
      </w:r>
      <w:r w:rsidRPr="002A3E10">
        <w:rPr>
          <w:rFonts w:ascii="Calibri" w:eastAsia="Constantia" w:hAnsi="Calibri" w:cs="Calibri"/>
          <w:sz w:val="24"/>
          <w:szCs w:val="24"/>
        </w:rPr>
        <w:t xml:space="preserve"> </w:t>
      </w:r>
      <w:r w:rsidRPr="00634EED">
        <w:rPr>
          <w:rFonts w:ascii="Calibri" w:eastAsia="Constantia" w:hAnsi="Calibri" w:cs="Calibri"/>
          <w:sz w:val="24"/>
          <w:szCs w:val="24"/>
        </w:rPr>
        <w:t>Before discussing the process of thematic analysis,</w:t>
      </w:r>
      <w:r>
        <w:rPr>
          <w:rFonts w:ascii="Calibri" w:eastAsia="Constantia" w:hAnsi="Calibri" w:cs="Calibri"/>
          <w:sz w:val="24"/>
          <w:szCs w:val="24"/>
        </w:rPr>
        <w:t xml:space="preserve"> Table </w:t>
      </w:r>
      <w:r w:rsidR="00666300">
        <w:rPr>
          <w:rFonts w:ascii="Calibri" w:eastAsia="Constantia" w:hAnsi="Calibri" w:cs="Calibri"/>
          <w:sz w:val="24"/>
          <w:szCs w:val="24"/>
        </w:rPr>
        <w:t>7</w:t>
      </w:r>
      <w:r w:rsidR="00F37307">
        <w:rPr>
          <w:rFonts w:ascii="Calibri" w:eastAsia="Constantia" w:hAnsi="Calibri" w:cs="Calibri"/>
          <w:sz w:val="24"/>
          <w:szCs w:val="24"/>
        </w:rPr>
        <w:t xml:space="preserve"> (p.122)</w:t>
      </w:r>
      <w:r w:rsidR="00666300">
        <w:rPr>
          <w:rFonts w:ascii="Calibri" w:eastAsia="Constantia" w:hAnsi="Calibri" w:cs="Calibri"/>
          <w:sz w:val="24"/>
          <w:szCs w:val="24"/>
        </w:rPr>
        <w:t xml:space="preserve"> </w:t>
      </w:r>
      <w:r>
        <w:rPr>
          <w:rFonts w:ascii="Calibri" w:eastAsia="Constantia" w:hAnsi="Calibri" w:cs="Calibri"/>
          <w:sz w:val="24"/>
          <w:szCs w:val="24"/>
        </w:rPr>
        <w:t>delineates</w:t>
      </w:r>
      <w:r w:rsidRPr="00634EED">
        <w:rPr>
          <w:rFonts w:ascii="Calibri" w:eastAsia="Constantia" w:hAnsi="Calibri" w:cs="Calibri"/>
          <w:sz w:val="24"/>
          <w:szCs w:val="24"/>
        </w:rPr>
        <w:t xml:space="preserve"> the timescale, method of data collection and the method of analysis:</w:t>
      </w:r>
    </w:p>
    <w:p w14:paraId="12F34BB9" w14:textId="77777777" w:rsidR="00F37307" w:rsidRDefault="00F37307" w:rsidP="00BB45C6">
      <w:pPr>
        <w:spacing w:before="120" w:line="360" w:lineRule="auto"/>
        <w:rPr>
          <w:rFonts w:ascii="Calibri" w:eastAsia="Constantia" w:hAnsi="Calibri" w:cs="Calibri"/>
          <w:sz w:val="24"/>
          <w:szCs w:val="24"/>
        </w:rPr>
      </w:pPr>
    </w:p>
    <w:p w14:paraId="0C59F1E0" w14:textId="77777777" w:rsidR="00EA218D" w:rsidRDefault="00EA218D" w:rsidP="00BB45C6">
      <w:pPr>
        <w:spacing w:before="120" w:line="360" w:lineRule="auto"/>
        <w:rPr>
          <w:rFonts w:ascii="Calibri" w:eastAsia="Constantia" w:hAnsi="Calibri" w:cs="Calibri"/>
          <w:sz w:val="24"/>
          <w:szCs w:val="24"/>
        </w:rPr>
      </w:pPr>
    </w:p>
    <w:p w14:paraId="43FDEE94" w14:textId="77777777" w:rsidR="00EA218D" w:rsidRDefault="00EA218D" w:rsidP="00BB45C6">
      <w:pPr>
        <w:spacing w:before="120" w:line="360" w:lineRule="auto"/>
        <w:rPr>
          <w:rFonts w:ascii="Calibri" w:eastAsia="Constantia" w:hAnsi="Calibri" w:cs="Calibri"/>
          <w:sz w:val="24"/>
          <w:szCs w:val="24"/>
        </w:rPr>
      </w:pPr>
    </w:p>
    <w:p w14:paraId="18DA9F84" w14:textId="77777777" w:rsidR="00EA218D" w:rsidRDefault="00EA218D" w:rsidP="00BB45C6">
      <w:pPr>
        <w:spacing w:before="120" w:line="360" w:lineRule="auto"/>
        <w:rPr>
          <w:rFonts w:ascii="Calibri" w:eastAsia="Constantia" w:hAnsi="Calibri" w:cs="Calibri"/>
          <w:sz w:val="24"/>
          <w:szCs w:val="24"/>
        </w:rPr>
      </w:pPr>
    </w:p>
    <w:p w14:paraId="551BC949" w14:textId="77777777" w:rsidR="00EA218D" w:rsidRDefault="00EA218D" w:rsidP="00BB45C6">
      <w:pPr>
        <w:spacing w:before="120" w:line="360" w:lineRule="auto"/>
        <w:rPr>
          <w:rFonts w:ascii="Calibri" w:eastAsia="Constantia" w:hAnsi="Calibri" w:cs="Calibri"/>
          <w:sz w:val="24"/>
          <w:szCs w:val="24"/>
        </w:rPr>
      </w:pPr>
    </w:p>
    <w:p w14:paraId="6BA25CFF" w14:textId="77777777" w:rsidR="00F37307" w:rsidRPr="00BB45C6" w:rsidRDefault="00F37307" w:rsidP="00BB45C6">
      <w:pPr>
        <w:spacing w:before="120" w:line="360" w:lineRule="auto"/>
        <w:rPr>
          <w:rFonts w:ascii="Calibri" w:eastAsia="Constantia" w:hAnsi="Calibri" w:cs="Calibri"/>
          <w:sz w:val="24"/>
          <w:szCs w:val="24"/>
        </w:rPr>
      </w:pPr>
    </w:p>
    <w:p w14:paraId="1DEECBEC" w14:textId="24903750" w:rsidR="000171E2" w:rsidRPr="00850A27" w:rsidRDefault="000171E2" w:rsidP="00E81D47">
      <w:pPr>
        <w:spacing w:before="120"/>
        <w:ind w:left="1440"/>
        <w:rPr>
          <w:rFonts w:ascii="Calibri" w:eastAsia="Constantia" w:hAnsi="Calibri" w:cs="Calibri"/>
          <w:i/>
          <w:iCs/>
          <w:sz w:val="24"/>
          <w:szCs w:val="24"/>
        </w:rPr>
      </w:pPr>
      <w:r w:rsidRPr="00850A27">
        <w:rPr>
          <w:rFonts w:ascii="Calibri" w:eastAsia="Constantia" w:hAnsi="Calibri" w:cs="Calibri"/>
          <w:i/>
          <w:iCs/>
          <w:sz w:val="24"/>
          <w:szCs w:val="24"/>
        </w:rPr>
        <w:lastRenderedPageBreak/>
        <w:t xml:space="preserve">Table </w:t>
      </w:r>
      <w:r w:rsidR="00666300">
        <w:rPr>
          <w:rFonts w:ascii="Calibri" w:eastAsia="Constantia" w:hAnsi="Calibri" w:cs="Calibri"/>
          <w:i/>
          <w:iCs/>
          <w:sz w:val="24"/>
          <w:szCs w:val="24"/>
        </w:rPr>
        <w:t>7</w:t>
      </w:r>
      <w:r w:rsidRPr="00850A27">
        <w:rPr>
          <w:rFonts w:ascii="Calibri" w:eastAsia="Constantia" w:hAnsi="Calibri" w:cs="Calibri"/>
          <w:i/>
          <w:iCs/>
          <w:sz w:val="24"/>
          <w:szCs w:val="24"/>
        </w:rPr>
        <w:t xml:space="preserve">: Data Collection and Analysis Methods </w:t>
      </w:r>
      <w:r w:rsidR="00850A27">
        <w:rPr>
          <w:rFonts w:ascii="Calibri" w:eastAsia="Constantia" w:hAnsi="Calibri" w:cs="Calibri"/>
          <w:i/>
          <w:iCs/>
          <w:sz w:val="24"/>
          <w:szCs w:val="24"/>
        </w:rPr>
        <w:t>J</w:t>
      </w:r>
      <w:r w:rsidRPr="00850A27">
        <w:rPr>
          <w:rFonts w:ascii="Calibri" w:eastAsia="Constantia" w:hAnsi="Calibri" w:cs="Calibri"/>
          <w:i/>
          <w:iCs/>
          <w:sz w:val="24"/>
          <w:szCs w:val="24"/>
        </w:rPr>
        <w:t>ourney</w:t>
      </w:r>
    </w:p>
    <w:tbl>
      <w:tblPr>
        <w:tblStyle w:val="TableGrid"/>
        <w:tblW w:w="9209" w:type="dxa"/>
        <w:tblLook w:val="04A0" w:firstRow="1" w:lastRow="0" w:firstColumn="1" w:lastColumn="0" w:noHBand="0" w:noVBand="1"/>
      </w:tblPr>
      <w:tblGrid>
        <w:gridCol w:w="1803"/>
        <w:gridCol w:w="1803"/>
        <w:gridCol w:w="2201"/>
        <w:gridCol w:w="1559"/>
        <w:gridCol w:w="1843"/>
      </w:tblGrid>
      <w:tr w:rsidR="000171E2" w:rsidRPr="00634EED" w14:paraId="3DF1DF9E" w14:textId="77777777" w:rsidTr="001C3032">
        <w:tc>
          <w:tcPr>
            <w:tcW w:w="1803" w:type="dxa"/>
          </w:tcPr>
          <w:p w14:paraId="6D11ED81" w14:textId="77777777" w:rsidR="000171E2" w:rsidRPr="00634EED" w:rsidRDefault="000171E2" w:rsidP="00634EED">
            <w:pPr>
              <w:spacing w:before="120" w:after="200" w:line="276" w:lineRule="auto"/>
              <w:rPr>
                <w:rFonts w:ascii="Calibri" w:eastAsia="Constantia" w:hAnsi="Calibri" w:cs="Calibri"/>
                <w:b/>
                <w:bCs/>
                <w:kern w:val="0"/>
                <w:sz w:val="24"/>
                <w:szCs w:val="24"/>
                <w14:ligatures w14:val="none"/>
              </w:rPr>
            </w:pPr>
            <w:r w:rsidRPr="00634EED">
              <w:rPr>
                <w:rFonts w:ascii="Calibri" w:eastAsia="Constantia" w:hAnsi="Calibri" w:cs="Calibri"/>
                <w:b/>
                <w:bCs/>
                <w:kern w:val="0"/>
                <w:sz w:val="24"/>
                <w:szCs w:val="24"/>
                <w14:ligatures w14:val="none"/>
              </w:rPr>
              <w:t>Data collection method</w:t>
            </w:r>
          </w:p>
        </w:tc>
        <w:tc>
          <w:tcPr>
            <w:tcW w:w="1803" w:type="dxa"/>
          </w:tcPr>
          <w:p w14:paraId="63D166B9" w14:textId="77777777" w:rsidR="000171E2" w:rsidRPr="00634EED" w:rsidRDefault="000171E2" w:rsidP="00634EED">
            <w:pPr>
              <w:spacing w:before="120" w:after="200" w:line="276" w:lineRule="auto"/>
              <w:rPr>
                <w:rFonts w:ascii="Calibri" w:eastAsia="Constantia" w:hAnsi="Calibri" w:cs="Calibri"/>
                <w:b/>
                <w:bCs/>
                <w:kern w:val="0"/>
                <w:sz w:val="24"/>
                <w:szCs w:val="24"/>
                <w14:ligatures w14:val="none"/>
              </w:rPr>
            </w:pPr>
            <w:r w:rsidRPr="00634EED">
              <w:rPr>
                <w:rFonts w:ascii="Calibri" w:eastAsia="Constantia" w:hAnsi="Calibri" w:cs="Calibri"/>
                <w:b/>
                <w:bCs/>
                <w:kern w:val="0"/>
                <w:sz w:val="24"/>
                <w:szCs w:val="24"/>
                <w14:ligatures w14:val="none"/>
              </w:rPr>
              <w:t>Time Frame</w:t>
            </w:r>
          </w:p>
        </w:tc>
        <w:tc>
          <w:tcPr>
            <w:tcW w:w="2201" w:type="dxa"/>
          </w:tcPr>
          <w:p w14:paraId="735EA098" w14:textId="77777777" w:rsidR="000171E2" w:rsidRPr="00634EED" w:rsidRDefault="000171E2" w:rsidP="00634EED">
            <w:pPr>
              <w:spacing w:before="120" w:after="200" w:line="276" w:lineRule="auto"/>
              <w:rPr>
                <w:rFonts w:ascii="Calibri" w:eastAsia="Constantia" w:hAnsi="Calibri" w:cs="Calibri"/>
                <w:b/>
                <w:bCs/>
                <w:kern w:val="0"/>
                <w:sz w:val="24"/>
                <w:szCs w:val="24"/>
                <w14:ligatures w14:val="none"/>
              </w:rPr>
            </w:pPr>
            <w:r w:rsidRPr="00634EED">
              <w:rPr>
                <w:rFonts w:ascii="Calibri" w:eastAsia="Constantia" w:hAnsi="Calibri" w:cs="Calibri"/>
                <w:b/>
                <w:bCs/>
                <w:kern w:val="0"/>
                <w:sz w:val="24"/>
                <w:szCs w:val="24"/>
                <w14:ligatures w14:val="none"/>
              </w:rPr>
              <w:t>Data collection sequence</w:t>
            </w:r>
          </w:p>
        </w:tc>
        <w:tc>
          <w:tcPr>
            <w:tcW w:w="1559" w:type="dxa"/>
          </w:tcPr>
          <w:p w14:paraId="1043DBCF" w14:textId="77777777" w:rsidR="000171E2" w:rsidRPr="00634EED" w:rsidRDefault="000171E2" w:rsidP="00634EED">
            <w:pPr>
              <w:spacing w:before="120" w:after="200" w:line="276" w:lineRule="auto"/>
              <w:rPr>
                <w:rFonts w:ascii="Calibri" w:eastAsia="Constantia" w:hAnsi="Calibri" w:cs="Calibri"/>
                <w:b/>
                <w:bCs/>
                <w:kern w:val="0"/>
                <w:sz w:val="24"/>
                <w:szCs w:val="24"/>
                <w14:ligatures w14:val="none"/>
              </w:rPr>
            </w:pPr>
            <w:r w:rsidRPr="00634EED">
              <w:rPr>
                <w:rFonts w:ascii="Calibri" w:eastAsia="Constantia" w:hAnsi="Calibri" w:cs="Calibri"/>
                <w:b/>
                <w:bCs/>
                <w:kern w:val="0"/>
                <w:sz w:val="24"/>
                <w:szCs w:val="24"/>
                <w14:ligatures w14:val="none"/>
              </w:rPr>
              <w:t>Data Source</w:t>
            </w:r>
          </w:p>
        </w:tc>
        <w:tc>
          <w:tcPr>
            <w:tcW w:w="1843" w:type="dxa"/>
          </w:tcPr>
          <w:p w14:paraId="16545FF4" w14:textId="77777777" w:rsidR="000171E2" w:rsidRPr="00634EED" w:rsidRDefault="000171E2" w:rsidP="00634EED">
            <w:pPr>
              <w:spacing w:before="120" w:after="200" w:line="276" w:lineRule="auto"/>
              <w:rPr>
                <w:rFonts w:ascii="Calibri" w:eastAsia="Constantia" w:hAnsi="Calibri" w:cs="Calibri"/>
                <w:b/>
                <w:bCs/>
                <w:kern w:val="0"/>
                <w:sz w:val="24"/>
                <w:szCs w:val="24"/>
                <w14:ligatures w14:val="none"/>
              </w:rPr>
            </w:pPr>
            <w:r w:rsidRPr="00634EED">
              <w:rPr>
                <w:rFonts w:ascii="Calibri" w:eastAsia="Constantia" w:hAnsi="Calibri" w:cs="Calibri"/>
                <w:b/>
                <w:bCs/>
                <w:kern w:val="0"/>
                <w:sz w:val="24"/>
                <w:szCs w:val="24"/>
                <w14:ligatures w14:val="none"/>
              </w:rPr>
              <w:t>Method of analysis</w:t>
            </w:r>
          </w:p>
        </w:tc>
      </w:tr>
      <w:tr w:rsidR="000171E2" w:rsidRPr="00BB45C6" w14:paraId="50141C9D" w14:textId="77777777" w:rsidTr="001C3032">
        <w:trPr>
          <w:trHeight w:val="4361"/>
        </w:trPr>
        <w:tc>
          <w:tcPr>
            <w:tcW w:w="1803" w:type="dxa"/>
          </w:tcPr>
          <w:p w14:paraId="031C9149" w14:textId="77777777"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Two semi-structured interviews with a narrative focus were conducted using an online platform with an average of 2-3 weeks between the interviews.</w:t>
            </w:r>
          </w:p>
          <w:p w14:paraId="79FE4BAC" w14:textId="0B605BDB"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 xml:space="preserve">At the end of the first interview participants were sent a diagram of a model of holding </w:t>
            </w:r>
            <w:r w:rsidR="00507E1E">
              <w:rPr>
                <w:rFonts w:ascii="Calibri" w:eastAsia="Constantia" w:hAnsi="Calibri" w:cs="Calibri"/>
                <w:kern w:val="0"/>
                <w:sz w:val="18"/>
                <w:szCs w:val="18"/>
                <w14:ligatures w14:val="none"/>
              </w:rPr>
              <w:t>(Appendix H)</w:t>
            </w:r>
            <w:r w:rsidR="00FE0189">
              <w:rPr>
                <w:rFonts w:ascii="Calibri" w:eastAsia="Constantia" w:hAnsi="Calibri" w:cs="Calibri"/>
                <w:kern w:val="0"/>
                <w:sz w:val="18"/>
                <w:szCs w:val="18"/>
                <w14:ligatures w14:val="none"/>
              </w:rPr>
              <w:t xml:space="preserve"> </w:t>
            </w:r>
            <w:r w:rsidRPr="00DB4C52">
              <w:rPr>
                <w:rFonts w:ascii="Calibri" w:eastAsia="Constantia" w:hAnsi="Calibri" w:cs="Calibri"/>
                <w:kern w:val="0"/>
                <w:sz w:val="18"/>
                <w:szCs w:val="18"/>
                <w14:ligatures w14:val="none"/>
              </w:rPr>
              <w:t>to reflect upon in between the interviews</w:t>
            </w:r>
          </w:p>
        </w:tc>
        <w:tc>
          <w:tcPr>
            <w:tcW w:w="1803" w:type="dxa"/>
          </w:tcPr>
          <w:p w14:paraId="0A2E2058" w14:textId="2A147152"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July 2023</w:t>
            </w:r>
            <w:r w:rsidR="007C0979">
              <w:rPr>
                <w:rFonts w:ascii="Calibri" w:eastAsia="Constantia" w:hAnsi="Calibri" w:cs="Calibri"/>
                <w:kern w:val="0"/>
                <w:sz w:val="18"/>
                <w:szCs w:val="18"/>
                <w14:ligatures w14:val="none"/>
              </w:rPr>
              <w:t xml:space="preserve"> </w:t>
            </w:r>
            <w:r w:rsidRPr="00DB4C52">
              <w:rPr>
                <w:rFonts w:ascii="Calibri" w:eastAsia="Constantia" w:hAnsi="Calibri" w:cs="Calibri"/>
                <w:kern w:val="0"/>
                <w:sz w:val="18"/>
                <w:szCs w:val="18"/>
                <w14:ligatures w14:val="none"/>
              </w:rPr>
              <w:t>- June 2024</w:t>
            </w:r>
            <w:r w:rsidR="00237711" w:rsidRPr="00DB4C52">
              <w:rPr>
                <w:rFonts w:ascii="Calibri" w:eastAsia="Constantia" w:hAnsi="Calibri" w:cs="Calibri"/>
                <w:kern w:val="0"/>
                <w:sz w:val="18"/>
                <w:szCs w:val="18"/>
                <w14:ligatures w14:val="none"/>
              </w:rPr>
              <w:t xml:space="preserve"> for interview recruitment and conduction of interviews</w:t>
            </w:r>
          </w:p>
          <w:p w14:paraId="2BAA017F" w14:textId="651DF030" w:rsidR="009B1EC0" w:rsidRPr="00DB4C52" w:rsidRDefault="009B1EC0"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 xml:space="preserve">The first interview lasted one to one and a half hours in duration; </w:t>
            </w:r>
            <w:r w:rsidR="004E3559" w:rsidRPr="00DB4C52">
              <w:rPr>
                <w:rFonts w:ascii="Calibri" w:eastAsia="Constantia" w:hAnsi="Calibri" w:cs="Calibri"/>
                <w:kern w:val="0"/>
                <w:sz w:val="18"/>
                <w:szCs w:val="18"/>
                <w14:ligatures w14:val="none"/>
              </w:rPr>
              <w:t>the second interview up to an hour</w:t>
            </w:r>
          </w:p>
        </w:tc>
        <w:tc>
          <w:tcPr>
            <w:tcW w:w="2201" w:type="dxa"/>
          </w:tcPr>
          <w:p w14:paraId="36E1427B" w14:textId="07B5E8D1"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The interviews were conducted with nine participants who contacted the researcher directly following a recruitment drive by gatekeepers in their organisation. Participants were initially sent an introductory email and upon deciding to take part, the participant information, indicative interview schedule and consent forms were relayed by the researcher</w:t>
            </w:r>
          </w:p>
        </w:tc>
        <w:tc>
          <w:tcPr>
            <w:tcW w:w="1559" w:type="dxa"/>
          </w:tcPr>
          <w:p w14:paraId="7AC0491D" w14:textId="01061192"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Transcripts of the interviews – some 18 in total as the interview process was in two parts</w:t>
            </w:r>
          </w:p>
        </w:tc>
        <w:tc>
          <w:tcPr>
            <w:tcW w:w="1843" w:type="dxa"/>
          </w:tcPr>
          <w:p w14:paraId="3DC1D4F9" w14:textId="60DCBCA5" w:rsidR="000171E2" w:rsidRPr="00DB4C52" w:rsidRDefault="000171E2" w:rsidP="00634EED">
            <w:pPr>
              <w:spacing w:before="120" w:after="200" w:line="276" w:lineRule="auto"/>
              <w:rPr>
                <w:rFonts w:ascii="Calibri" w:eastAsia="Constantia" w:hAnsi="Calibri" w:cs="Calibri"/>
                <w:kern w:val="0"/>
                <w:sz w:val="18"/>
                <w:szCs w:val="18"/>
                <w14:ligatures w14:val="none"/>
              </w:rPr>
            </w:pPr>
            <w:r w:rsidRPr="00DB4C52">
              <w:rPr>
                <w:rFonts w:ascii="Calibri" w:eastAsia="Constantia" w:hAnsi="Calibri" w:cs="Calibri"/>
                <w:kern w:val="0"/>
                <w:sz w:val="18"/>
                <w:szCs w:val="18"/>
                <w14:ligatures w14:val="none"/>
              </w:rPr>
              <w:t>Thematic analysis conducted manually by the researcher</w:t>
            </w:r>
          </w:p>
        </w:tc>
      </w:tr>
    </w:tbl>
    <w:p w14:paraId="0D3457BB" w14:textId="77777777" w:rsidR="00DD173A" w:rsidRDefault="00DD173A" w:rsidP="002A3E10">
      <w:pPr>
        <w:rPr>
          <w:rFonts w:ascii="Calibri" w:eastAsia="Calibri" w:hAnsi="Calibri" w:cs="Calibri"/>
          <w:b/>
          <w:bCs/>
          <w:sz w:val="24"/>
          <w:szCs w:val="24"/>
        </w:rPr>
      </w:pPr>
    </w:p>
    <w:p w14:paraId="79A56459" w14:textId="11E805D4" w:rsidR="000171E2" w:rsidRPr="002A3E10" w:rsidRDefault="000171E2" w:rsidP="002A3E10">
      <w:pPr>
        <w:rPr>
          <w:rFonts w:ascii="Calibri" w:eastAsia="Calibri" w:hAnsi="Calibri" w:cs="Calibri"/>
          <w:b/>
          <w:bCs/>
          <w:sz w:val="24"/>
          <w:szCs w:val="24"/>
        </w:rPr>
      </w:pPr>
      <w:r w:rsidRPr="002A3E10">
        <w:rPr>
          <w:rFonts w:ascii="Calibri" w:eastAsia="Calibri" w:hAnsi="Calibri" w:cs="Calibri"/>
          <w:b/>
          <w:bCs/>
          <w:sz w:val="24"/>
          <w:szCs w:val="24"/>
        </w:rPr>
        <w:t>Thematic analysis process</w:t>
      </w:r>
    </w:p>
    <w:p w14:paraId="5907933B" w14:textId="31B786FC" w:rsidR="000171E2" w:rsidRPr="002A3E10" w:rsidRDefault="000171E2" w:rsidP="00EC0442">
      <w:pPr>
        <w:spacing w:line="360" w:lineRule="auto"/>
        <w:rPr>
          <w:rFonts w:ascii="Calibri" w:eastAsia="Calibri" w:hAnsi="Calibri" w:cs="Calibri"/>
          <w:sz w:val="24"/>
          <w:szCs w:val="24"/>
        </w:rPr>
      </w:pPr>
      <w:r w:rsidRPr="002A3E10">
        <w:rPr>
          <w:rFonts w:ascii="Calibri" w:eastAsia="Calibri" w:hAnsi="Calibri" w:cs="Calibri"/>
          <w:sz w:val="24"/>
          <w:szCs w:val="24"/>
          <w:lang w:val="en-US"/>
        </w:rPr>
        <w:t xml:space="preserve">Braun and Clarke’s (2006) thematic analysis </w:t>
      </w:r>
      <w:r>
        <w:rPr>
          <w:rFonts w:ascii="Calibri" w:eastAsia="Calibri" w:hAnsi="Calibri" w:cs="Calibri"/>
          <w:sz w:val="24"/>
          <w:szCs w:val="24"/>
          <w:lang w:val="en-US"/>
        </w:rPr>
        <w:t xml:space="preserve">(TA) </w:t>
      </w:r>
      <w:r w:rsidRPr="002A3E10">
        <w:rPr>
          <w:rFonts w:ascii="Calibri" w:eastAsia="Calibri" w:hAnsi="Calibri" w:cs="Calibri"/>
          <w:sz w:val="24"/>
          <w:szCs w:val="24"/>
          <w:lang w:val="en-US"/>
        </w:rPr>
        <w:t xml:space="preserve">model comprises six phases (Appendix </w:t>
      </w:r>
      <w:r w:rsidR="00D0714A">
        <w:rPr>
          <w:rFonts w:ascii="Calibri" w:eastAsia="Calibri" w:hAnsi="Calibri" w:cs="Calibri"/>
          <w:sz w:val="24"/>
          <w:szCs w:val="24"/>
          <w:lang w:val="en-US"/>
        </w:rPr>
        <w:t>J</w:t>
      </w:r>
      <w:r w:rsidRPr="002A3E10">
        <w:rPr>
          <w:rFonts w:ascii="Calibri" w:eastAsia="Calibri" w:hAnsi="Calibri" w:cs="Calibri"/>
          <w:sz w:val="24"/>
          <w:szCs w:val="24"/>
          <w:lang w:val="en-US"/>
        </w:rPr>
        <w:t xml:space="preserve">) and involves familiarization with the data, generating codes, a search for themes, reviewing the themes, refining the themes and a writing up stage where salient and relevant extracts are gathered and presented. </w:t>
      </w:r>
      <w:r w:rsidRPr="002A3E10">
        <w:rPr>
          <w:rFonts w:ascii="Calibri" w:eastAsia="Calibri" w:hAnsi="Calibri" w:cs="Calibri"/>
          <w:sz w:val="24"/>
          <w:szCs w:val="24"/>
        </w:rPr>
        <w:t>Beginning with a familiarisation with the data stories</w:t>
      </w:r>
      <w:r>
        <w:rPr>
          <w:rFonts w:ascii="Calibri" w:eastAsia="Calibri" w:hAnsi="Calibri" w:cs="Calibri"/>
          <w:sz w:val="24"/>
          <w:szCs w:val="24"/>
        </w:rPr>
        <w:t>,</w:t>
      </w:r>
      <w:r w:rsidRPr="002A3E10">
        <w:rPr>
          <w:rFonts w:ascii="Calibri" w:eastAsia="Calibri" w:hAnsi="Calibri" w:cs="Calibri"/>
          <w:sz w:val="24"/>
          <w:szCs w:val="24"/>
        </w:rPr>
        <w:t xml:space="preserve"> Riessman (1993) suggests that </w:t>
      </w:r>
      <w:r>
        <w:rPr>
          <w:rFonts w:ascii="Calibri" w:eastAsia="Calibri" w:hAnsi="Calibri" w:cs="Calibri"/>
          <w:sz w:val="24"/>
          <w:szCs w:val="24"/>
        </w:rPr>
        <w:t xml:space="preserve">manually </w:t>
      </w:r>
      <w:r w:rsidRPr="002A3E10">
        <w:rPr>
          <w:rFonts w:ascii="Calibri" w:eastAsia="Calibri" w:hAnsi="Calibri" w:cs="Calibri"/>
          <w:sz w:val="24"/>
          <w:szCs w:val="24"/>
        </w:rPr>
        <w:t xml:space="preserve">transcribing the data is a </w:t>
      </w:r>
      <w:r>
        <w:rPr>
          <w:rFonts w:ascii="Calibri" w:eastAsia="Calibri" w:hAnsi="Calibri" w:cs="Calibri"/>
          <w:sz w:val="24"/>
          <w:szCs w:val="24"/>
        </w:rPr>
        <w:t xml:space="preserve">good </w:t>
      </w:r>
      <w:r w:rsidRPr="002A3E10">
        <w:rPr>
          <w:rFonts w:ascii="Calibri" w:eastAsia="Calibri" w:hAnsi="Calibri" w:cs="Calibri"/>
          <w:sz w:val="24"/>
          <w:szCs w:val="24"/>
        </w:rPr>
        <w:t>way for the researcher to become fully immersed in the data. I listened to each video recording of the interviews several times whilst simultaneously reading the interview transcriptions generated. Braun and Clarke (2006) suggest initially marking ideas for coding whilst reading the transcriptions to make links between participants’ stories, highlight any salient comments and begin to map commonalities as they appear</w:t>
      </w:r>
      <w:r w:rsidR="00606384">
        <w:rPr>
          <w:rFonts w:ascii="Calibri" w:eastAsia="Calibri" w:hAnsi="Calibri" w:cs="Calibri"/>
          <w:sz w:val="24"/>
          <w:szCs w:val="24"/>
        </w:rPr>
        <w:t xml:space="preserve"> (Ap</w:t>
      </w:r>
      <w:r w:rsidR="00115A6D">
        <w:rPr>
          <w:rFonts w:ascii="Calibri" w:eastAsia="Calibri" w:hAnsi="Calibri" w:cs="Calibri"/>
          <w:sz w:val="24"/>
          <w:szCs w:val="24"/>
        </w:rPr>
        <w:t>pendix K)</w:t>
      </w:r>
      <w:r w:rsidRPr="002A3E10">
        <w:rPr>
          <w:rFonts w:ascii="Calibri" w:eastAsia="Calibri" w:hAnsi="Calibri" w:cs="Calibri"/>
          <w:sz w:val="24"/>
          <w:szCs w:val="24"/>
        </w:rPr>
        <w:t xml:space="preserve">. Alongside </w:t>
      </w:r>
      <w:r>
        <w:rPr>
          <w:rFonts w:ascii="Calibri" w:eastAsia="Calibri" w:hAnsi="Calibri" w:cs="Calibri"/>
          <w:sz w:val="24"/>
          <w:szCs w:val="24"/>
        </w:rPr>
        <w:t>this process</w:t>
      </w:r>
      <w:r w:rsidRPr="002A3E10">
        <w:rPr>
          <w:rFonts w:ascii="Calibri" w:eastAsia="Calibri" w:hAnsi="Calibri" w:cs="Calibri"/>
          <w:sz w:val="24"/>
          <w:szCs w:val="24"/>
        </w:rPr>
        <w:t xml:space="preserve">, I produced a synopsis </w:t>
      </w:r>
      <w:r>
        <w:rPr>
          <w:rFonts w:ascii="Calibri" w:eastAsia="Calibri" w:hAnsi="Calibri" w:cs="Calibri"/>
          <w:sz w:val="24"/>
          <w:szCs w:val="24"/>
        </w:rPr>
        <w:t xml:space="preserve">in note form </w:t>
      </w:r>
      <w:r w:rsidRPr="002A3E10">
        <w:rPr>
          <w:rFonts w:ascii="Calibri" w:eastAsia="Calibri" w:hAnsi="Calibri" w:cs="Calibri"/>
          <w:sz w:val="24"/>
          <w:szCs w:val="24"/>
        </w:rPr>
        <w:t>to summarise the content of each interview, capture my personal reflections and highlight potential themes across the individual narratives and dataset</w:t>
      </w:r>
      <w:r w:rsidR="00115A6D">
        <w:rPr>
          <w:rFonts w:ascii="Calibri" w:eastAsia="Calibri" w:hAnsi="Calibri" w:cs="Calibri"/>
          <w:sz w:val="24"/>
          <w:szCs w:val="24"/>
        </w:rPr>
        <w:t xml:space="preserve"> (</w:t>
      </w:r>
      <w:r w:rsidR="00AB1ADC">
        <w:rPr>
          <w:rFonts w:ascii="Calibri" w:eastAsia="Calibri" w:hAnsi="Calibri" w:cs="Calibri"/>
          <w:sz w:val="24"/>
          <w:szCs w:val="24"/>
        </w:rPr>
        <w:t>ibid.</w:t>
      </w:r>
      <w:r w:rsidR="00115A6D">
        <w:rPr>
          <w:rFonts w:ascii="Calibri" w:eastAsia="Calibri" w:hAnsi="Calibri" w:cs="Calibri"/>
          <w:sz w:val="24"/>
          <w:szCs w:val="24"/>
        </w:rPr>
        <w:t>)</w:t>
      </w:r>
      <w:r w:rsidRPr="002A3E10">
        <w:rPr>
          <w:rFonts w:ascii="Calibri" w:eastAsia="Calibri" w:hAnsi="Calibri" w:cs="Calibri"/>
          <w:sz w:val="24"/>
          <w:szCs w:val="24"/>
        </w:rPr>
        <w:t xml:space="preserve">. </w:t>
      </w:r>
      <w:r w:rsidRPr="00D71329">
        <w:rPr>
          <w:rFonts w:ascii="Calibri" w:eastAsia="Calibri" w:hAnsi="Calibri" w:cs="Calibri"/>
          <w:sz w:val="24"/>
          <w:szCs w:val="24"/>
        </w:rPr>
        <w:t>Based o</w:t>
      </w:r>
      <w:r>
        <w:rPr>
          <w:rFonts w:ascii="Calibri" w:eastAsia="Calibri" w:hAnsi="Calibri" w:cs="Calibri"/>
          <w:sz w:val="24"/>
          <w:szCs w:val="24"/>
        </w:rPr>
        <w:t xml:space="preserve">n being a </w:t>
      </w:r>
      <w:r w:rsidRPr="00D71329">
        <w:rPr>
          <w:rFonts w:ascii="Calibri" w:eastAsia="Calibri" w:hAnsi="Calibri" w:cs="Calibri"/>
          <w:sz w:val="24"/>
          <w:szCs w:val="24"/>
        </w:rPr>
        <w:t>reflective person, I naturally adopted a reflexive position in the data collection and analysis (Mauthner and Doucet, 2003).</w:t>
      </w:r>
      <w:r w:rsidRPr="00091DF7">
        <w:rPr>
          <w:rFonts w:ascii="Calibri" w:eastAsia="Calibri" w:hAnsi="Calibri" w:cs="Calibri"/>
          <w:sz w:val="24"/>
          <w:szCs w:val="24"/>
        </w:rPr>
        <w:t xml:space="preserve"> By holding the whole and its individual parts</w:t>
      </w:r>
      <w:r>
        <w:rPr>
          <w:rFonts w:ascii="Calibri" w:eastAsia="Calibri" w:hAnsi="Calibri" w:cs="Calibri"/>
          <w:sz w:val="24"/>
          <w:szCs w:val="24"/>
        </w:rPr>
        <w:t xml:space="preserve"> </w:t>
      </w:r>
      <w:r w:rsidRPr="001A006E">
        <w:rPr>
          <w:rFonts w:ascii="Calibri" w:eastAsia="Calibri" w:hAnsi="Calibri" w:cs="Calibri"/>
          <w:sz w:val="24"/>
          <w:szCs w:val="24"/>
        </w:rPr>
        <w:t>I was adopting a hybrid approach to the coding (Fereday and Muir-Cochrane, 2006)</w:t>
      </w:r>
      <w:r>
        <w:rPr>
          <w:rFonts w:ascii="Calibri" w:eastAsia="Calibri" w:hAnsi="Calibri" w:cs="Calibri"/>
          <w:sz w:val="24"/>
          <w:szCs w:val="24"/>
        </w:rPr>
        <w:t xml:space="preserve"> </w:t>
      </w:r>
      <w:r>
        <w:rPr>
          <w:rFonts w:ascii="Calibri" w:eastAsia="Calibri" w:hAnsi="Calibri" w:cs="Calibri"/>
          <w:sz w:val="24"/>
          <w:szCs w:val="24"/>
        </w:rPr>
        <w:lastRenderedPageBreak/>
        <w:t xml:space="preserve">and </w:t>
      </w:r>
      <w:r w:rsidRPr="002A3E10">
        <w:rPr>
          <w:rFonts w:ascii="Calibri" w:eastAsia="Calibri" w:hAnsi="Calibri" w:cs="Calibri"/>
          <w:sz w:val="24"/>
          <w:szCs w:val="24"/>
        </w:rPr>
        <w:t xml:space="preserve">I </w:t>
      </w:r>
      <w:r>
        <w:rPr>
          <w:rFonts w:ascii="Calibri" w:eastAsia="Calibri" w:hAnsi="Calibri" w:cs="Calibri"/>
          <w:sz w:val="24"/>
          <w:szCs w:val="24"/>
        </w:rPr>
        <w:t>noticed</w:t>
      </w:r>
      <w:r w:rsidRPr="002A3E10">
        <w:rPr>
          <w:rFonts w:ascii="Calibri" w:eastAsia="Calibri" w:hAnsi="Calibri" w:cs="Calibri"/>
          <w:sz w:val="24"/>
          <w:szCs w:val="24"/>
        </w:rPr>
        <w:t xml:space="preserve"> that codes and themes did not magically </w:t>
      </w:r>
      <w:r w:rsidR="00541016" w:rsidRPr="002A3E10">
        <w:rPr>
          <w:rFonts w:ascii="Calibri" w:eastAsia="Calibri" w:hAnsi="Calibri" w:cs="Calibri"/>
          <w:sz w:val="24"/>
          <w:szCs w:val="24"/>
        </w:rPr>
        <w:t>emerge</w:t>
      </w:r>
      <w:r w:rsidR="00541016">
        <w:rPr>
          <w:rFonts w:ascii="Calibri" w:eastAsia="Calibri" w:hAnsi="Calibri" w:cs="Calibri"/>
          <w:sz w:val="24"/>
          <w:szCs w:val="24"/>
        </w:rPr>
        <w:t xml:space="preserve"> but</w:t>
      </w:r>
      <w:r w:rsidRPr="002A3E10">
        <w:rPr>
          <w:rFonts w:ascii="Calibri" w:eastAsia="Calibri" w:hAnsi="Calibri" w:cs="Calibri"/>
          <w:sz w:val="24"/>
          <w:szCs w:val="24"/>
        </w:rPr>
        <w:t xml:space="preserve"> were being actively sought out (Taylor and Ussher, 2001) rendering them both inductive and deductive. </w:t>
      </w:r>
    </w:p>
    <w:p w14:paraId="12A823AA" w14:textId="1819338A" w:rsidR="000171E2" w:rsidRPr="002A3E10" w:rsidRDefault="000171E2" w:rsidP="00EC0442">
      <w:pPr>
        <w:spacing w:line="360" w:lineRule="auto"/>
        <w:rPr>
          <w:rFonts w:ascii="Calibri" w:eastAsia="Calibri" w:hAnsi="Calibri" w:cs="Calibri"/>
          <w:sz w:val="24"/>
          <w:szCs w:val="24"/>
        </w:rPr>
      </w:pPr>
      <w:r>
        <w:rPr>
          <w:rFonts w:ascii="Calibri" w:eastAsia="Calibri" w:hAnsi="Calibri" w:cs="Calibri"/>
          <w:sz w:val="24"/>
          <w:szCs w:val="24"/>
        </w:rPr>
        <w:t>T</w:t>
      </w:r>
      <w:r w:rsidRPr="002A3E10">
        <w:rPr>
          <w:rFonts w:ascii="Calibri" w:eastAsia="Calibri" w:hAnsi="Calibri" w:cs="Calibri"/>
          <w:sz w:val="24"/>
          <w:szCs w:val="24"/>
        </w:rPr>
        <w:t>hemes generated were arrived at inductively through a repeated close reading of the transcripts</w:t>
      </w:r>
      <w:r>
        <w:rPr>
          <w:rFonts w:ascii="Calibri" w:eastAsia="Calibri" w:hAnsi="Calibri" w:cs="Calibri"/>
          <w:sz w:val="24"/>
          <w:szCs w:val="24"/>
        </w:rPr>
        <w:t xml:space="preserve"> (see Appendix </w:t>
      </w:r>
      <w:r w:rsidR="008F6A6F">
        <w:rPr>
          <w:rFonts w:ascii="Calibri" w:eastAsia="Calibri" w:hAnsi="Calibri" w:cs="Calibri"/>
          <w:sz w:val="24"/>
          <w:szCs w:val="24"/>
        </w:rPr>
        <w:t>L</w:t>
      </w:r>
      <w:r>
        <w:rPr>
          <w:rFonts w:ascii="Calibri" w:eastAsia="Calibri" w:hAnsi="Calibri" w:cs="Calibri"/>
          <w:sz w:val="24"/>
          <w:szCs w:val="24"/>
        </w:rPr>
        <w:t>)</w:t>
      </w:r>
      <w:r w:rsidRPr="002A3E10">
        <w:rPr>
          <w:rFonts w:ascii="Calibri" w:eastAsia="Calibri" w:hAnsi="Calibri" w:cs="Calibri"/>
          <w:sz w:val="24"/>
          <w:szCs w:val="24"/>
        </w:rPr>
        <w:t xml:space="preserve">. It was somewhat of a surprise that </w:t>
      </w:r>
      <w:r>
        <w:rPr>
          <w:rFonts w:ascii="Calibri" w:eastAsia="Calibri" w:hAnsi="Calibri" w:cs="Calibri"/>
          <w:sz w:val="24"/>
          <w:szCs w:val="24"/>
        </w:rPr>
        <w:t xml:space="preserve">fairytale </w:t>
      </w:r>
      <w:r w:rsidRPr="002A3E10">
        <w:rPr>
          <w:rFonts w:ascii="Calibri" w:eastAsia="Calibri" w:hAnsi="Calibri" w:cs="Calibri"/>
          <w:sz w:val="24"/>
          <w:szCs w:val="24"/>
        </w:rPr>
        <w:t xml:space="preserve">themes seemed to emerge </w:t>
      </w:r>
      <w:r>
        <w:rPr>
          <w:rFonts w:ascii="Calibri" w:eastAsia="Calibri" w:hAnsi="Calibri" w:cs="Calibri"/>
          <w:sz w:val="24"/>
          <w:szCs w:val="24"/>
        </w:rPr>
        <w:t xml:space="preserve">within the data </w:t>
      </w:r>
      <w:r w:rsidRPr="002A3E10">
        <w:rPr>
          <w:rFonts w:ascii="Calibri" w:eastAsia="Calibri" w:hAnsi="Calibri" w:cs="Calibri"/>
          <w:sz w:val="24"/>
          <w:szCs w:val="24"/>
        </w:rPr>
        <w:t>naturally</w:t>
      </w:r>
      <w:r>
        <w:rPr>
          <w:rFonts w:ascii="Calibri" w:eastAsia="Calibri" w:hAnsi="Calibri" w:cs="Calibri"/>
          <w:sz w:val="24"/>
          <w:szCs w:val="24"/>
        </w:rPr>
        <w:t xml:space="preserve"> </w:t>
      </w:r>
      <w:r w:rsidRPr="002A3E10">
        <w:rPr>
          <w:rFonts w:ascii="Calibri" w:eastAsia="Calibri" w:hAnsi="Calibri" w:cs="Calibri"/>
          <w:sz w:val="24"/>
          <w:szCs w:val="24"/>
        </w:rPr>
        <w:t xml:space="preserve">as if the internal and external dialogue (Tobin and Begley, 2004) of the </w:t>
      </w:r>
      <w:r>
        <w:rPr>
          <w:rFonts w:ascii="Calibri" w:eastAsia="Calibri" w:hAnsi="Calibri" w:cs="Calibri"/>
          <w:sz w:val="24"/>
          <w:szCs w:val="24"/>
        </w:rPr>
        <w:t xml:space="preserve">overall research danced </w:t>
      </w:r>
      <w:r w:rsidRPr="002A3E10">
        <w:rPr>
          <w:rFonts w:ascii="Calibri" w:eastAsia="Calibri" w:hAnsi="Calibri" w:cs="Calibri"/>
          <w:sz w:val="24"/>
          <w:szCs w:val="24"/>
        </w:rPr>
        <w:t>in the same space</w:t>
      </w:r>
      <w:r>
        <w:rPr>
          <w:rFonts w:ascii="Calibri" w:eastAsia="Calibri" w:hAnsi="Calibri" w:cs="Calibri"/>
          <w:sz w:val="24"/>
          <w:szCs w:val="24"/>
        </w:rPr>
        <w:t xml:space="preserve"> as </w:t>
      </w:r>
      <w:r w:rsidRPr="002A3E10">
        <w:rPr>
          <w:rFonts w:ascii="Calibri" w:eastAsia="Calibri" w:hAnsi="Calibri" w:cs="Calibri"/>
          <w:sz w:val="24"/>
          <w:szCs w:val="24"/>
        </w:rPr>
        <w:t>the values, interests, and insights inherent in the human instrument (Lincoln and Guba, 1985)</w:t>
      </w:r>
      <w:r>
        <w:rPr>
          <w:rFonts w:ascii="Calibri" w:eastAsia="Calibri" w:hAnsi="Calibri" w:cs="Calibri"/>
          <w:sz w:val="24"/>
          <w:szCs w:val="24"/>
        </w:rPr>
        <w:t xml:space="preserve">, the participants and the researcher. </w:t>
      </w:r>
      <w:r w:rsidRPr="002A3E10">
        <w:rPr>
          <w:rFonts w:ascii="Calibri" w:eastAsia="Calibri" w:hAnsi="Calibri" w:cs="Calibri"/>
          <w:sz w:val="24"/>
          <w:szCs w:val="24"/>
        </w:rPr>
        <w:t xml:space="preserve">According to Braun and Clarke (2014) the degree to which patterns are sought and how the researcher interprets the patterns are entirely in their remit. In my case this </w:t>
      </w:r>
      <w:r>
        <w:rPr>
          <w:rFonts w:ascii="Calibri" w:eastAsia="Calibri" w:hAnsi="Calibri" w:cs="Calibri"/>
          <w:sz w:val="24"/>
          <w:szCs w:val="24"/>
        </w:rPr>
        <w:t xml:space="preserve">interpretation </w:t>
      </w:r>
      <w:r w:rsidRPr="002A3E10">
        <w:rPr>
          <w:rFonts w:ascii="Calibri" w:eastAsia="Calibri" w:hAnsi="Calibri" w:cs="Calibri"/>
          <w:sz w:val="24"/>
          <w:szCs w:val="24"/>
        </w:rPr>
        <w:t xml:space="preserve">included thoughts, reflections, somatic responses and feelings arising from listening to and reading the words of my </w:t>
      </w:r>
      <w:r w:rsidR="00C73429" w:rsidRPr="002A3E10">
        <w:rPr>
          <w:rFonts w:ascii="Calibri" w:eastAsia="Calibri" w:hAnsi="Calibri" w:cs="Calibri"/>
          <w:sz w:val="24"/>
          <w:szCs w:val="24"/>
        </w:rPr>
        <w:t>participants</w:t>
      </w:r>
      <w:r w:rsidR="00C73429">
        <w:rPr>
          <w:rFonts w:ascii="Calibri" w:eastAsia="Calibri" w:hAnsi="Calibri" w:cs="Calibri"/>
          <w:sz w:val="24"/>
          <w:szCs w:val="24"/>
        </w:rPr>
        <w:t xml:space="preserve"> and</w:t>
      </w:r>
      <w:r>
        <w:rPr>
          <w:rFonts w:ascii="Calibri" w:eastAsia="Calibri" w:hAnsi="Calibri" w:cs="Calibri"/>
          <w:sz w:val="24"/>
          <w:szCs w:val="24"/>
        </w:rPr>
        <w:t xml:space="preserve"> holding in mind the literature read. In short, the coding emerged by listening to the </w:t>
      </w:r>
      <w:r w:rsidR="001C1CAF">
        <w:rPr>
          <w:rFonts w:ascii="Calibri" w:eastAsia="Calibri" w:hAnsi="Calibri" w:cs="Calibri"/>
          <w:sz w:val="24"/>
          <w:szCs w:val="24"/>
        </w:rPr>
        <w:t>cadence</w:t>
      </w:r>
      <w:r>
        <w:rPr>
          <w:rFonts w:ascii="Calibri" w:eastAsia="Calibri" w:hAnsi="Calibri" w:cs="Calibri"/>
          <w:sz w:val="24"/>
          <w:szCs w:val="24"/>
        </w:rPr>
        <w:t xml:space="preserve"> and nature of the stories told.</w:t>
      </w:r>
    </w:p>
    <w:p w14:paraId="576CF371" w14:textId="412C0273" w:rsidR="000171E2" w:rsidRPr="002A3E10" w:rsidRDefault="000171E2" w:rsidP="002A3E10">
      <w:pPr>
        <w:rPr>
          <w:rFonts w:ascii="Calibri" w:eastAsia="Calibri" w:hAnsi="Calibri" w:cs="Calibri"/>
          <w:b/>
          <w:bCs/>
          <w:sz w:val="24"/>
          <w:szCs w:val="24"/>
        </w:rPr>
      </w:pPr>
      <w:r w:rsidRPr="002A3E10">
        <w:rPr>
          <w:rFonts w:ascii="Calibri" w:eastAsia="Calibri" w:hAnsi="Calibri" w:cs="Calibri"/>
          <w:b/>
          <w:bCs/>
          <w:sz w:val="24"/>
          <w:szCs w:val="24"/>
        </w:rPr>
        <w:t>Coding</w:t>
      </w:r>
    </w:p>
    <w:p w14:paraId="09C42938" w14:textId="2A561AFA" w:rsidR="000171E2" w:rsidRPr="002A3E10" w:rsidRDefault="000171E2" w:rsidP="001F379C">
      <w:pPr>
        <w:spacing w:line="360" w:lineRule="auto"/>
        <w:rPr>
          <w:rFonts w:ascii="Calibri" w:eastAsia="Calibri" w:hAnsi="Calibri" w:cs="Calibri"/>
          <w:sz w:val="24"/>
          <w:szCs w:val="24"/>
        </w:rPr>
      </w:pPr>
      <w:r w:rsidRPr="002A3E10">
        <w:rPr>
          <w:rFonts w:ascii="Calibri" w:eastAsia="Calibri" w:hAnsi="Calibri" w:cs="Calibri"/>
          <w:sz w:val="24"/>
          <w:szCs w:val="24"/>
        </w:rPr>
        <w:t xml:space="preserve">Coding in qualitative research is a way of interacting with and thinking about data (Savage, 2000) </w:t>
      </w:r>
      <w:r>
        <w:rPr>
          <w:rFonts w:ascii="Calibri" w:eastAsia="Calibri" w:hAnsi="Calibri" w:cs="Calibri"/>
          <w:sz w:val="24"/>
          <w:szCs w:val="24"/>
        </w:rPr>
        <w:t xml:space="preserve">and </w:t>
      </w:r>
      <w:r w:rsidRPr="002A3E10">
        <w:rPr>
          <w:rFonts w:ascii="Calibri" w:eastAsia="Calibri" w:hAnsi="Calibri" w:cs="Calibri"/>
          <w:sz w:val="24"/>
          <w:szCs w:val="24"/>
        </w:rPr>
        <w:t xml:space="preserve">Nowell </w:t>
      </w:r>
      <w:r w:rsidR="00FB3A6E" w:rsidRPr="00FB3A6E">
        <w:rPr>
          <w:rFonts w:ascii="Calibri" w:eastAsia="Calibri" w:hAnsi="Calibri" w:cs="Calibri"/>
          <w:i/>
          <w:sz w:val="24"/>
          <w:szCs w:val="24"/>
        </w:rPr>
        <w:t>et al.</w:t>
      </w:r>
      <w:r w:rsidRPr="002A3E10">
        <w:rPr>
          <w:rFonts w:ascii="Calibri" w:eastAsia="Calibri" w:hAnsi="Calibri" w:cs="Calibri"/>
          <w:sz w:val="24"/>
          <w:szCs w:val="24"/>
        </w:rPr>
        <w:t xml:space="preserve"> (2017) suggest that coding allows the researcher to simplify specific characteristics of the dat</w:t>
      </w:r>
      <w:r>
        <w:rPr>
          <w:rFonts w:ascii="Calibri" w:eastAsia="Calibri" w:hAnsi="Calibri" w:cs="Calibri"/>
          <w:sz w:val="24"/>
          <w:szCs w:val="24"/>
        </w:rPr>
        <w:t>a</w:t>
      </w:r>
      <w:r w:rsidRPr="002A3E10">
        <w:rPr>
          <w:rFonts w:ascii="Calibri" w:eastAsia="Calibri" w:hAnsi="Calibri" w:cs="Calibri"/>
          <w:sz w:val="24"/>
          <w:szCs w:val="24"/>
        </w:rPr>
        <w:t xml:space="preserve">.  </w:t>
      </w:r>
      <w:r>
        <w:rPr>
          <w:rFonts w:ascii="Calibri" w:eastAsia="Calibri" w:hAnsi="Calibri" w:cs="Calibri"/>
          <w:sz w:val="24"/>
          <w:szCs w:val="24"/>
        </w:rPr>
        <w:t xml:space="preserve">Although </w:t>
      </w:r>
      <w:r w:rsidRPr="002A3E10">
        <w:rPr>
          <w:rFonts w:ascii="Calibri" w:eastAsia="Calibri" w:hAnsi="Calibri" w:cs="Calibri"/>
          <w:sz w:val="24"/>
          <w:szCs w:val="24"/>
        </w:rPr>
        <w:t xml:space="preserve">Green </w:t>
      </w:r>
      <w:r w:rsidR="00FB3A6E" w:rsidRPr="00FB3A6E">
        <w:rPr>
          <w:rFonts w:ascii="Calibri" w:eastAsia="Calibri" w:hAnsi="Calibri" w:cs="Calibri"/>
          <w:i/>
          <w:sz w:val="24"/>
          <w:szCs w:val="24"/>
        </w:rPr>
        <w:t>et al.</w:t>
      </w:r>
      <w:r>
        <w:rPr>
          <w:rFonts w:ascii="Calibri" w:eastAsia="Calibri" w:hAnsi="Calibri" w:cs="Calibri"/>
          <w:sz w:val="24"/>
          <w:szCs w:val="24"/>
        </w:rPr>
        <w:t xml:space="preserve"> </w:t>
      </w:r>
      <w:r w:rsidRPr="002A3E10">
        <w:rPr>
          <w:rFonts w:ascii="Calibri" w:eastAsia="Calibri" w:hAnsi="Calibri" w:cs="Calibri"/>
          <w:sz w:val="24"/>
          <w:szCs w:val="24"/>
        </w:rPr>
        <w:t xml:space="preserve">(2007) suggest </w:t>
      </w:r>
      <w:r>
        <w:rPr>
          <w:rFonts w:ascii="Calibri" w:eastAsia="Calibri" w:hAnsi="Calibri" w:cs="Calibri"/>
          <w:sz w:val="24"/>
          <w:szCs w:val="24"/>
        </w:rPr>
        <w:t xml:space="preserve">that </w:t>
      </w:r>
      <w:r w:rsidRPr="002A3E10">
        <w:rPr>
          <w:rFonts w:ascii="Calibri" w:eastAsia="Calibri" w:hAnsi="Calibri" w:cs="Calibri"/>
          <w:sz w:val="24"/>
          <w:szCs w:val="24"/>
        </w:rPr>
        <w:t xml:space="preserve">the repetitive reading and interpretation </w:t>
      </w:r>
      <w:r>
        <w:rPr>
          <w:rFonts w:ascii="Calibri" w:eastAsia="Calibri" w:hAnsi="Calibri" w:cs="Calibri"/>
          <w:sz w:val="24"/>
          <w:szCs w:val="24"/>
        </w:rPr>
        <w:t xml:space="preserve">of the data allows </w:t>
      </w:r>
      <w:r w:rsidRPr="002A3E10">
        <w:rPr>
          <w:rFonts w:ascii="Calibri" w:eastAsia="Calibri" w:hAnsi="Calibri" w:cs="Calibri"/>
          <w:sz w:val="24"/>
          <w:szCs w:val="24"/>
        </w:rPr>
        <w:t>a clear picture</w:t>
      </w:r>
      <w:r>
        <w:rPr>
          <w:rFonts w:ascii="Calibri" w:eastAsia="Calibri" w:hAnsi="Calibri" w:cs="Calibri"/>
          <w:sz w:val="24"/>
          <w:szCs w:val="24"/>
        </w:rPr>
        <w:t xml:space="preserve"> to emerge, </w:t>
      </w:r>
      <w:r w:rsidRPr="002A3E10">
        <w:rPr>
          <w:rFonts w:ascii="Calibri" w:eastAsia="Calibri" w:hAnsi="Calibri" w:cs="Calibri"/>
          <w:sz w:val="24"/>
          <w:szCs w:val="24"/>
        </w:rPr>
        <w:t>I found the process complicated, messy, emotional, somatic and overwhelming. I put this down to being in an intimate relationship</w:t>
      </w:r>
      <w:r w:rsidR="00E95A74">
        <w:rPr>
          <w:rFonts w:ascii="Calibri" w:eastAsia="Calibri" w:hAnsi="Calibri" w:cs="Calibri"/>
          <w:sz w:val="24"/>
          <w:szCs w:val="24"/>
        </w:rPr>
        <w:t xml:space="preserve">, </w:t>
      </w:r>
      <w:r w:rsidRPr="002A3E10">
        <w:rPr>
          <w:rFonts w:ascii="Calibri" w:eastAsia="Calibri" w:hAnsi="Calibri" w:cs="Calibri"/>
          <w:sz w:val="24"/>
          <w:szCs w:val="24"/>
        </w:rPr>
        <w:t>a transference (Breuer and Freud, 1895) with participants’ stories</w:t>
      </w:r>
      <w:r>
        <w:rPr>
          <w:rFonts w:ascii="Calibri" w:eastAsia="Calibri" w:hAnsi="Calibri" w:cs="Calibri"/>
          <w:sz w:val="24"/>
          <w:szCs w:val="24"/>
        </w:rPr>
        <w:t>. T</w:t>
      </w:r>
      <w:r w:rsidRPr="002A3E10">
        <w:rPr>
          <w:rFonts w:ascii="Calibri" w:eastAsia="Calibri" w:hAnsi="Calibri" w:cs="Calibri"/>
          <w:sz w:val="24"/>
          <w:szCs w:val="24"/>
        </w:rPr>
        <w:t xml:space="preserve">he process of </w:t>
      </w:r>
      <w:r>
        <w:rPr>
          <w:rFonts w:ascii="Calibri" w:eastAsia="Calibri" w:hAnsi="Calibri" w:cs="Calibri"/>
          <w:sz w:val="24"/>
          <w:szCs w:val="24"/>
        </w:rPr>
        <w:t xml:space="preserve">creating </w:t>
      </w:r>
      <w:r w:rsidRPr="002A3E10">
        <w:rPr>
          <w:rFonts w:ascii="Calibri" w:eastAsia="Calibri" w:hAnsi="Calibri" w:cs="Calibri"/>
          <w:sz w:val="24"/>
          <w:szCs w:val="24"/>
        </w:rPr>
        <w:t>definitive codes required holding</w:t>
      </w:r>
      <w:r>
        <w:rPr>
          <w:rFonts w:ascii="Calibri" w:eastAsia="Calibri" w:hAnsi="Calibri" w:cs="Calibri"/>
          <w:sz w:val="24"/>
          <w:szCs w:val="24"/>
        </w:rPr>
        <w:t xml:space="preserve"> </w:t>
      </w:r>
      <w:r w:rsidR="004B71DB">
        <w:rPr>
          <w:rFonts w:ascii="Calibri" w:eastAsia="Calibri" w:hAnsi="Calibri" w:cs="Calibri"/>
          <w:sz w:val="24"/>
          <w:szCs w:val="24"/>
        </w:rPr>
        <w:t xml:space="preserve">(Winnicott, 1965) </w:t>
      </w:r>
      <w:r>
        <w:rPr>
          <w:rFonts w:ascii="Calibri" w:eastAsia="Calibri" w:hAnsi="Calibri" w:cs="Calibri"/>
          <w:sz w:val="24"/>
          <w:szCs w:val="24"/>
        </w:rPr>
        <w:t xml:space="preserve">which </w:t>
      </w:r>
      <w:r w:rsidRPr="002A3E10">
        <w:rPr>
          <w:rFonts w:ascii="Calibri" w:eastAsia="Calibri" w:hAnsi="Calibri" w:cs="Calibri"/>
          <w:sz w:val="24"/>
          <w:szCs w:val="24"/>
        </w:rPr>
        <w:t>came in the form of flipchart paper to physically provide a frame (Milner, 1952)</w:t>
      </w:r>
      <w:r w:rsidR="003B0F7D">
        <w:rPr>
          <w:rFonts w:ascii="Calibri" w:eastAsia="Calibri" w:hAnsi="Calibri" w:cs="Calibri"/>
          <w:sz w:val="24"/>
          <w:szCs w:val="24"/>
        </w:rPr>
        <w:t xml:space="preserve">, thematic maps, </w:t>
      </w:r>
      <w:r w:rsidRPr="002A3E10">
        <w:rPr>
          <w:rFonts w:ascii="Calibri" w:eastAsia="Calibri" w:hAnsi="Calibri" w:cs="Calibri"/>
          <w:sz w:val="24"/>
          <w:szCs w:val="24"/>
        </w:rPr>
        <w:t>personal notes, highlighted text, colour coding, dialogue with trusted colleagues, and space</w:t>
      </w:r>
      <w:r>
        <w:rPr>
          <w:rFonts w:ascii="Calibri" w:eastAsia="Calibri" w:hAnsi="Calibri" w:cs="Calibri"/>
          <w:sz w:val="24"/>
          <w:szCs w:val="24"/>
        </w:rPr>
        <w:t xml:space="preserve"> (Appendix </w:t>
      </w:r>
      <w:r w:rsidR="002670A5">
        <w:rPr>
          <w:rFonts w:ascii="Calibri" w:eastAsia="Calibri" w:hAnsi="Calibri" w:cs="Calibri"/>
          <w:sz w:val="24"/>
          <w:szCs w:val="24"/>
        </w:rPr>
        <w:t>L</w:t>
      </w:r>
      <w:r>
        <w:rPr>
          <w:rFonts w:ascii="Calibri" w:eastAsia="Calibri" w:hAnsi="Calibri" w:cs="Calibri"/>
          <w:sz w:val="24"/>
          <w:szCs w:val="24"/>
        </w:rPr>
        <w:t>)</w:t>
      </w:r>
      <w:r w:rsidRPr="002A3E10">
        <w:rPr>
          <w:rFonts w:ascii="Calibri" w:eastAsia="Calibri" w:hAnsi="Calibri" w:cs="Calibri"/>
          <w:sz w:val="24"/>
          <w:szCs w:val="24"/>
        </w:rPr>
        <w:t xml:space="preserve">. This constant iterative process took over six months during which I followed the rhythm of what needed to surface as a </w:t>
      </w:r>
      <w:r w:rsidR="00D4745B">
        <w:rPr>
          <w:rFonts w:ascii="Calibri" w:eastAsia="Calibri" w:hAnsi="Calibri" w:cs="Calibri"/>
          <w:sz w:val="24"/>
          <w:szCs w:val="24"/>
        </w:rPr>
        <w:t xml:space="preserve">final </w:t>
      </w:r>
      <w:r w:rsidRPr="002A3E10">
        <w:rPr>
          <w:rFonts w:ascii="Calibri" w:eastAsia="Calibri" w:hAnsi="Calibri" w:cs="Calibri"/>
          <w:sz w:val="24"/>
          <w:szCs w:val="24"/>
        </w:rPr>
        <w:t>coding template (</w:t>
      </w:r>
      <w:r>
        <w:rPr>
          <w:rFonts w:ascii="Calibri" w:eastAsia="Calibri" w:hAnsi="Calibri" w:cs="Calibri"/>
          <w:sz w:val="24"/>
          <w:szCs w:val="24"/>
        </w:rPr>
        <w:t>F</w:t>
      </w:r>
      <w:r w:rsidRPr="002A3E10">
        <w:rPr>
          <w:rFonts w:ascii="Calibri" w:eastAsia="Calibri" w:hAnsi="Calibri" w:cs="Calibri"/>
          <w:sz w:val="24"/>
          <w:szCs w:val="24"/>
        </w:rPr>
        <w:t>igure</w:t>
      </w:r>
      <w:r w:rsidR="005C3D43">
        <w:rPr>
          <w:rFonts w:ascii="Calibri" w:eastAsia="Calibri" w:hAnsi="Calibri" w:cs="Calibri"/>
          <w:sz w:val="24"/>
          <w:szCs w:val="24"/>
        </w:rPr>
        <w:t xml:space="preserve"> 4</w:t>
      </w:r>
      <w:r w:rsidR="008F66AF">
        <w:rPr>
          <w:rFonts w:ascii="Calibri" w:eastAsia="Calibri" w:hAnsi="Calibri" w:cs="Calibri"/>
          <w:sz w:val="24"/>
          <w:szCs w:val="24"/>
        </w:rPr>
        <w:t>, p.124</w:t>
      </w:r>
      <w:r w:rsidRPr="002A3E10">
        <w:rPr>
          <w:rFonts w:ascii="Calibri" w:eastAsia="Calibri" w:hAnsi="Calibri" w:cs="Calibri"/>
          <w:sz w:val="24"/>
          <w:szCs w:val="24"/>
        </w:rPr>
        <w:t>)</w:t>
      </w:r>
      <w:r w:rsidR="00143527">
        <w:rPr>
          <w:rFonts w:ascii="Calibri" w:eastAsia="Calibri" w:hAnsi="Calibri" w:cs="Calibri"/>
          <w:sz w:val="24"/>
          <w:szCs w:val="24"/>
        </w:rPr>
        <w:t>:</w:t>
      </w:r>
    </w:p>
    <w:p w14:paraId="456E03CA" w14:textId="3FF0F75C" w:rsidR="000171E2" w:rsidRDefault="000171E2" w:rsidP="002A3E10">
      <w:pPr>
        <w:rPr>
          <w:rFonts w:ascii="Calibri" w:eastAsia="Calibri" w:hAnsi="Calibri" w:cs="Calibri"/>
          <w:noProof/>
        </w:rPr>
      </w:pPr>
      <w:r w:rsidRPr="003C42CE">
        <w:rPr>
          <w:rFonts w:ascii="Calibri" w:eastAsia="Aptos" w:hAnsi="Calibri" w:cs="Calibri"/>
          <w:noProof/>
          <w:sz w:val="24"/>
          <w:szCs w:val="24"/>
        </w:rPr>
        <w:lastRenderedPageBreak/>
        <w:drawing>
          <wp:inline distT="0" distB="0" distL="0" distR="0" wp14:anchorId="7AFDEDA4" wp14:editId="78AFFB21">
            <wp:extent cx="5486400" cy="2072640"/>
            <wp:effectExtent l="0" t="0" r="0" b="0"/>
            <wp:docPr id="165086276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89429EF" w14:textId="0FCFC361" w:rsidR="000171E2" w:rsidRPr="005C3D43" w:rsidRDefault="000171E2" w:rsidP="00F03723">
      <w:pPr>
        <w:ind w:left="1440" w:firstLine="720"/>
        <w:rPr>
          <w:rFonts w:ascii="Calibri" w:eastAsia="Aptos" w:hAnsi="Calibri" w:cs="Calibri"/>
          <w:i/>
          <w:iCs/>
          <w:sz w:val="24"/>
          <w:szCs w:val="24"/>
        </w:rPr>
      </w:pPr>
      <w:r w:rsidRPr="005C3D43">
        <w:rPr>
          <w:rFonts w:ascii="Calibri" w:eastAsia="Aptos" w:hAnsi="Calibri" w:cs="Calibri"/>
          <w:i/>
          <w:iCs/>
          <w:sz w:val="24"/>
          <w:szCs w:val="24"/>
        </w:rPr>
        <w:t>Figur</w:t>
      </w:r>
      <w:r w:rsidR="005C3D43" w:rsidRPr="005C3D43">
        <w:rPr>
          <w:rFonts w:ascii="Calibri" w:eastAsia="Aptos" w:hAnsi="Calibri" w:cs="Calibri"/>
          <w:i/>
          <w:iCs/>
          <w:sz w:val="24"/>
          <w:szCs w:val="24"/>
        </w:rPr>
        <w:t>e 4</w:t>
      </w:r>
      <w:r w:rsidRPr="005C3D43">
        <w:rPr>
          <w:rFonts w:ascii="Calibri" w:eastAsia="Aptos" w:hAnsi="Calibri" w:cs="Calibri"/>
          <w:i/>
          <w:iCs/>
          <w:sz w:val="24"/>
          <w:szCs w:val="24"/>
        </w:rPr>
        <w:t>: A coding template to hold the analysis</w:t>
      </w:r>
    </w:p>
    <w:p w14:paraId="21ABC6C2" w14:textId="77777777" w:rsidR="00170079" w:rsidRDefault="00170079" w:rsidP="002A3E10">
      <w:pPr>
        <w:rPr>
          <w:rFonts w:ascii="Calibri" w:eastAsia="Aptos" w:hAnsi="Calibri" w:cs="Calibri"/>
          <w:b/>
          <w:bCs/>
          <w:sz w:val="24"/>
          <w:szCs w:val="24"/>
        </w:rPr>
      </w:pPr>
    </w:p>
    <w:p w14:paraId="0AA65E90" w14:textId="6ED5F884" w:rsidR="000171E2" w:rsidRPr="002A3E10" w:rsidRDefault="000171E2" w:rsidP="002A3E10">
      <w:pPr>
        <w:rPr>
          <w:rFonts w:ascii="Calibri" w:eastAsia="Aptos" w:hAnsi="Calibri" w:cs="Calibri"/>
          <w:b/>
          <w:bCs/>
          <w:sz w:val="24"/>
          <w:szCs w:val="24"/>
        </w:rPr>
      </w:pPr>
      <w:r w:rsidRPr="002A3E10">
        <w:rPr>
          <w:rFonts w:ascii="Calibri" w:eastAsia="Aptos" w:hAnsi="Calibri" w:cs="Calibri"/>
          <w:b/>
          <w:bCs/>
          <w:sz w:val="24"/>
          <w:szCs w:val="24"/>
        </w:rPr>
        <w:t>A reminder</w:t>
      </w:r>
    </w:p>
    <w:p w14:paraId="549745A2" w14:textId="5A089B39" w:rsidR="003523B4" w:rsidRDefault="000171E2" w:rsidP="00E21691">
      <w:pPr>
        <w:spacing w:line="360" w:lineRule="auto"/>
        <w:rPr>
          <w:rFonts w:ascii="Calibri" w:eastAsia="Aptos" w:hAnsi="Calibri" w:cs="Calibri"/>
          <w:sz w:val="24"/>
          <w:szCs w:val="24"/>
        </w:rPr>
      </w:pPr>
      <w:r w:rsidRPr="002A3E10">
        <w:rPr>
          <w:rFonts w:ascii="Calibri" w:eastAsia="Aptos" w:hAnsi="Calibri" w:cs="Calibri"/>
          <w:sz w:val="24"/>
          <w:szCs w:val="24"/>
        </w:rPr>
        <w:t>Before delving into the analysis process, I reminded myself of the academic age, work history and teacher training qualifications of each of the participants</w:t>
      </w:r>
      <w:r>
        <w:rPr>
          <w:rFonts w:ascii="Calibri" w:eastAsia="Aptos" w:hAnsi="Calibri" w:cs="Calibri"/>
          <w:sz w:val="24"/>
          <w:szCs w:val="24"/>
        </w:rPr>
        <w:t xml:space="preserve"> by </w:t>
      </w:r>
      <w:r w:rsidRPr="002A3E10">
        <w:rPr>
          <w:rFonts w:ascii="Calibri" w:eastAsia="Aptos" w:hAnsi="Calibri" w:cs="Calibri"/>
          <w:sz w:val="24"/>
          <w:szCs w:val="24"/>
        </w:rPr>
        <w:t>creat</w:t>
      </w:r>
      <w:r>
        <w:rPr>
          <w:rFonts w:ascii="Calibri" w:eastAsia="Aptos" w:hAnsi="Calibri" w:cs="Calibri"/>
          <w:sz w:val="24"/>
          <w:szCs w:val="24"/>
        </w:rPr>
        <w:t>ing</w:t>
      </w:r>
      <w:r w:rsidRPr="002A3E10">
        <w:rPr>
          <w:rFonts w:ascii="Calibri" w:eastAsia="Aptos" w:hAnsi="Calibri" w:cs="Calibri"/>
          <w:sz w:val="24"/>
          <w:szCs w:val="24"/>
        </w:rPr>
        <w:t xml:space="preserve"> a </w:t>
      </w:r>
      <w:r>
        <w:rPr>
          <w:rFonts w:ascii="Calibri" w:eastAsia="Aptos" w:hAnsi="Calibri" w:cs="Calibri"/>
          <w:sz w:val="24"/>
          <w:szCs w:val="24"/>
        </w:rPr>
        <w:t xml:space="preserve">biographical </w:t>
      </w:r>
      <w:r w:rsidRPr="002A3E10">
        <w:rPr>
          <w:rFonts w:ascii="Calibri" w:eastAsia="Aptos" w:hAnsi="Calibri" w:cs="Calibri"/>
          <w:sz w:val="24"/>
          <w:szCs w:val="24"/>
        </w:rPr>
        <w:t>table (</w:t>
      </w:r>
      <w:r w:rsidR="003523B4">
        <w:rPr>
          <w:rFonts w:ascii="Calibri" w:eastAsia="Aptos" w:hAnsi="Calibri" w:cs="Calibri"/>
          <w:sz w:val="24"/>
          <w:szCs w:val="24"/>
        </w:rPr>
        <w:t xml:space="preserve">see </w:t>
      </w:r>
      <w:r>
        <w:rPr>
          <w:rFonts w:ascii="Calibri" w:eastAsia="Aptos" w:hAnsi="Calibri" w:cs="Calibri"/>
          <w:sz w:val="24"/>
          <w:szCs w:val="24"/>
        </w:rPr>
        <w:t>Table</w:t>
      </w:r>
      <w:r w:rsidR="00D51C6D">
        <w:rPr>
          <w:rFonts w:ascii="Calibri" w:eastAsia="Aptos" w:hAnsi="Calibri" w:cs="Calibri"/>
          <w:sz w:val="24"/>
          <w:szCs w:val="24"/>
        </w:rPr>
        <w:t xml:space="preserve"> 8</w:t>
      </w:r>
      <w:r w:rsidRPr="002A3E10">
        <w:rPr>
          <w:rFonts w:ascii="Calibri" w:eastAsia="Aptos" w:hAnsi="Calibri" w:cs="Calibri"/>
          <w:sz w:val="24"/>
          <w:szCs w:val="24"/>
        </w:rPr>
        <w:t xml:space="preserve">). Initially </w:t>
      </w:r>
      <w:r>
        <w:rPr>
          <w:rFonts w:ascii="Calibri" w:eastAsia="Aptos" w:hAnsi="Calibri" w:cs="Calibri"/>
          <w:sz w:val="24"/>
          <w:szCs w:val="24"/>
        </w:rPr>
        <w:t>it</w:t>
      </w:r>
      <w:r w:rsidRPr="002A3E10">
        <w:rPr>
          <w:rFonts w:ascii="Calibri" w:eastAsia="Aptos" w:hAnsi="Calibri" w:cs="Calibri"/>
          <w:sz w:val="24"/>
          <w:szCs w:val="24"/>
        </w:rPr>
        <w:t xml:space="preserve"> included their current area of teaching, but I considered this may identify them which was borne out by several participants who were mindful of confidentiality.</w:t>
      </w:r>
    </w:p>
    <w:p w14:paraId="5FBB89B7" w14:textId="060CA949" w:rsidR="000171E2" w:rsidRPr="00D51C6D" w:rsidRDefault="000171E2" w:rsidP="00850953">
      <w:pPr>
        <w:ind w:left="1440" w:firstLine="720"/>
        <w:rPr>
          <w:rFonts w:ascii="Calibri" w:eastAsia="Aptos" w:hAnsi="Calibri" w:cs="Calibri"/>
          <w:i/>
          <w:iCs/>
          <w:sz w:val="24"/>
          <w:szCs w:val="24"/>
        </w:rPr>
      </w:pPr>
      <w:r w:rsidRPr="00D51C6D">
        <w:rPr>
          <w:rFonts w:ascii="Calibri" w:eastAsia="Aptos" w:hAnsi="Calibri" w:cs="Calibri"/>
          <w:i/>
          <w:iCs/>
          <w:sz w:val="24"/>
          <w:szCs w:val="24"/>
        </w:rPr>
        <w:t xml:space="preserve">Table </w:t>
      </w:r>
      <w:r w:rsidR="00D51C6D" w:rsidRPr="00D51C6D">
        <w:rPr>
          <w:rFonts w:ascii="Calibri" w:eastAsia="Aptos" w:hAnsi="Calibri" w:cs="Calibri"/>
          <w:i/>
          <w:iCs/>
          <w:sz w:val="24"/>
          <w:szCs w:val="24"/>
        </w:rPr>
        <w:t>8</w:t>
      </w:r>
      <w:r w:rsidRPr="00D51C6D">
        <w:rPr>
          <w:rFonts w:ascii="Calibri" w:eastAsia="Aptos" w:hAnsi="Calibri" w:cs="Calibri"/>
          <w:i/>
          <w:iCs/>
          <w:sz w:val="24"/>
          <w:szCs w:val="24"/>
        </w:rPr>
        <w:t>: Participants’ biographical information</w:t>
      </w:r>
    </w:p>
    <w:tbl>
      <w:tblPr>
        <w:tblStyle w:val="TableGrid"/>
        <w:tblW w:w="0" w:type="auto"/>
        <w:tblLook w:val="04A0" w:firstRow="1" w:lastRow="0" w:firstColumn="1" w:lastColumn="0" w:noHBand="0" w:noVBand="1"/>
      </w:tblPr>
      <w:tblGrid>
        <w:gridCol w:w="1365"/>
        <w:gridCol w:w="1469"/>
        <w:gridCol w:w="989"/>
        <w:gridCol w:w="1445"/>
        <w:gridCol w:w="1709"/>
        <w:gridCol w:w="2039"/>
      </w:tblGrid>
      <w:tr w:rsidR="000171E2" w:rsidRPr="002A3E10" w14:paraId="053A3C90" w14:textId="77777777" w:rsidTr="00C1612E">
        <w:trPr>
          <w:trHeight w:val="796"/>
        </w:trPr>
        <w:tc>
          <w:tcPr>
            <w:tcW w:w="1365" w:type="dxa"/>
          </w:tcPr>
          <w:p w14:paraId="389F271E" w14:textId="77777777" w:rsidR="000171E2" w:rsidRPr="00C1612E" w:rsidRDefault="000171E2" w:rsidP="002A3E10">
            <w:pPr>
              <w:rPr>
                <w:rFonts w:ascii="Calibri" w:eastAsia="Aptos" w:hAnsi="Calibri" w:cs="Calibri"/>
                <w:b/>
                <w:bCs/>
                <w:sz w:val="24"/>
                <w:szCs w:val="24"/>
              </w:rPr>
            </w:pPr>
            <w:bookmarkStart w:id="62" w:name="_Hlk167701933"/>
            <w:bookmarkStart w:id="63" w:name="_Hlk207018446"/>
            <w:r w:rsidRPr="00C1612E">
              <w:rPr>
                <w:rFonts w:ascii="Calibri" w:eastAsia="Aptos" w:hAnsi="Calibri" w:cs="Calibri"/>
                <w:b/>
                <w:bCs/>
                <w:sz w:val="24"/>
                <w:szCs w:val="24"/>
              </w:rPr>
              <w:t>Participant number</w:t>
            </w:r>
          </w:p>
        </w:tc>
        <w:tc>
          <w:tcPr>
            <w:tcW w:w="1469" w:type="dxa"/>
          </w:tcPr>
          <w:p w14:paraId="4CAC8A7B" w14:textId="77777777" w:rsidR="000171E2" w:rsidRPr="00C1612E" w:rsidRDefault="000171E2" w:rsidP="002A3E10">
            <w:pPr>
              <w:rPr>
                <w:rFonts w:ascii="Calibri" w:eastAsia="Aptos" w:hAnsi="Calibri" w:cs="Calibri"/>
                <w:b/>
                <w:bCs/>
                <w:sz w:val="24"/>
                <w:szCs w:val="24"/>
              </w:rPr>
            </w:pPr>
            <w:r w:rsidRPr="00C1612E">
              <w:rPr>
                <w:rFonts w:ascii="Calibri" w:eastAsia="Aptos" w:hAnsi="Calibri" w:cs="Calibri"/>
                <w:b/>
                <w:bCs/>
                <w:sz w:val="24"/>
                <w:szCs w:val="24"/>
              </w:rPr>
              <w:t>Participant pseudonym</w:t>
            </w:r>
          </w:p>
        </w:tc>
        <w:tc>
          <w:tcPr>
            <w:tcW w:w="989" w:type="dxa"/>
          </w:tcPr>
          <w:p w14:paraId="12496FB2" w14:textId="77777777" w:rsidR="000171E2" w:rsidRPr="00C1612E" w:rsidRDefault="000171E2" w:rsidP="002A3E10">
            <w:pPr>
              <w:rPr>
                <w:rFonts w:ascii="Calibri" w:eastAsia="Aptos" w:hAnsi="Calibri" w:cs="Calibri"/>
                <w:b/>
                <w:bCs/>
                <w:sz w:val="24"/>
                <w:szCs w:val="24"/>
              </w:rPr>
            </w:pPr>
            <w:r w:rsidRPr="00C1612E">
              <w:rPr>
                <w:rFonts w:ascii="Calibri" w:eastAsia="Aptos" w:hAnsi="Calibri" w:cs="Calibri"/>
                <w:b/>
                <w:bCs/>
                <w:sz w:val="24"/>
                <w:szCs w:val="24"/>
              </w:rPr>
              <w:t>Gender</w:t>
            </w:r>
          </w:p>
        </w:tc>
        <w:tc>
          <w:tcPr>
            <w:tcW w:w="1445" w:type="dxa"/>
          </w:tcPr>
          <w:p w14:paraId="264EBF6E" w14:textId="011D58AD" w:rsidR="000171E2" w:rsidRPr="00C1612E" w:rsidRDefault="000171E2" w:rsidP="002A3E10">
            <w:pPr>
              <w:rPr>
                <w:rFonts w:ascii="Calibri" w:eastAsia="Aptos" w:hAnsi="Calibri" w:cs="Calibri"/>
                <w:b/>
                <w:bCs/>
                <w:sz w:val="24"/>
                <w:szCs w:val="24"/>
              </w:rPr>
            </w:pPr>
            <w:r w:rsidRPr="00C1612E">
              <w:rPr>
                <w:rFonts w:ascii="Calibri" w:eastAsia="Aptos" w:hAnsi="Calibri" w:cs="Calibri"/>
                <w:b/>
                <w:bCs/>
                <w:sz w:val="24"/>
                <w:szCs w:val="24"/>
              </w:rPr>
              <w:t xml:space="preserve">Academic age in years </w:t>
            </w:r>
          </w:p>
        </w:tc>
        <w:tc>
          <w:tcPr>
            <w:tcW w:w="1709" w:type="dxa"/>
          </w:tcPr>
          <w:p w14:paraId="3612A88B" w14:textId="77777777" w:rsidR="000171E2" w:rsidRPr="00C1612E" w:rsidRDefault="000171E2" w:rsidP="002A3E10">
            <w:pPr>
              <w:rPr>
                <w:rFonts w:ascii="Calibri" w:eastAsia="Aptos" w:hAnsi="Calibri" w:cs="Calibri"/>
                <w:b/>
                <w:bCs/>
                <w:sz w:val="24"/>
                <w:szCs w:val="24"/>
              </w:rPr>
            </w:pPr>
            <w:r w:rsidRPr="00C1612E">
              <w:rPr>
                <w:rFonts w:ascii="Calibri" w:eastAsia="Aptos" w:hAnsi="Calibri" w:cs="Calibri"/>
                <w:b/>
                <w:bCs/>
                <w:sz w:val="24"/>
                <w:szCs w:val="24"/>
              </w:rPr>
              <w:t>Work history</w:t>
            </w:r>
          </w:p>
        </w:tc>
        <w:tc>
          <w:tcPr>
            <w:tcW w:w="2039" w:type="dxa"/>
          </w:tcPr>
          <w:p w14:paraId="04D89E36" w14:textId="77777777" w:rsidR="000171E2" w:rsidRPr="00C1612E" w:rsidRDefault="000171E2" w:rsidP="002A3E10">
            <w:pPr>
              <w:rPr>
                <w:rFonts w:ascii="Calibri" w:eastAsia="Aptos" w:hAnsi="Calibri" w:cs="Calibri"/>
                <w:b/>
                <w:bCs/>
                <w:sz w:val="24"/>
                <w:szCs w:val="24"/>
              </w:rPr>
            </w:pPr>
            <w:r w:rsidRPr="00C1612E">
              <w:rPr>
                <w:rFonts w:ascii="Calibri" w:eastAsia="Aptos" w:hAnsi="Calibri" w:cs="Calibri"/>
                <w:b/>
                <w:bCs/>
                <w:sz w:val="24"/>
                <w:szCs w:val="24"/>
              </w:rPr>
              <w:t>Teacher training</w:t>
            </w:r>
          </w:p>
        </w:tc>
      </w:tr>
      <w:tr w:rsidR="000171E2" w:rsidRPr="002A3E10" w14:paraId="7D3AF59B" w14:textId="77777777" w:rsidTr="00C1612E">
        <w:trPr>
          <w:trHeight w:val="796"/>
        </w:trPr>
        <w:tc>
          <w:tcPr>
            <w:tcW w:w="1365" w:type="dxa"/>
          </w:tcPr>
          <w:p w14:paraId="2632039B" w14:textId="77777777" w:rsidR="000171E2" w:rsidRPr="002A3E10" w:rsidRDefault="000171E2" w:rsidP="002A3E10">
            <w:pPr>
              <w:rPr>
                <w:rFonts w:ascii="Calibri" w:eastAsia="Aptos" w:hAnsi="Calibri" w:cs="Calibri"/>
              </w:rPr>
            </w:pPr>
            <w:r w:rsidRPr="002A3E10">
              <w:rPr>
                <w:rFonts w:ascii="Calibri" w:eastAsia="Aptos" w:hAnsi="Calibri" w:cs="Calibri"/>
              </w:rPr>
              <w:t>1.</w:t>
            </w:r>
          </w:p>
        </w:tc>
        <w:tc>
          <w:tcPr>
            <w:tcW w:w="1469" w:type="dxa"/>
          </w:tcPr>
          <w:p w14:paraId="67C119FD" w14:textId="77777777" w:rsidR="000171E2" w:rsidRPr="002A3E10" w:rsidRDefault="000171E2" w:rsidP="002A3E10">
            <w:pPr>
              <w:rPr>
                <w:rFonts w:ascii="Calibri" w:eastAsia="Aptos" w:hAnsi="Calibri" w:cs="Calibri"/>
              </w:rPr>
            </w:pPr>
            <w:r w:rsidRPr="002A3E10">
              <w:rPr>
                <w:rFonts w:ascii="Calibri" w:eastAsia="Aptos" w:hAnsi="Calibri" w:cs="Calibri"/>
              </w:rPr>
              <w:t>Miriam</w:t>
            </w:r>
          </w:p>
        </w:tc>
        <w:tc>
          <w:tcPr>
            <w:tcW w:w="989" w:type="dxa"/>
          </w:tcPr>
          <w:p w14:paraId="760EE017"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33B7C2C0" w14:textId="77777777" w:rsidR="000171E2" w:rsidRPr="002A3E10" w:rsidRDefault="000171E2" w:rsidP="002A3E10">
            <w:pPr>
              <w:rPr>
                <w:rFonts w:ascii="Calibri" w:eastAsia="Aptos" w:hAnsi="Calibri" w:cs="Calibri"/>
              </w:rPr>
            </w:pPr>
            <w:r w:rsidRPr="002A3E10">
              <w:rPr>
                <w:rFonts w:ascii="Calibri" w:eastAsia="Aptos" w:hAnsi="Calibri" w:cs="Calibri"/>
              </w:rPr>
              <w:t xml:space="preserve">7 </w:t>
            </w:r>
          </w:p>
        </w:tc>
        <w:tc>
          <w:tcPr>
            <w:tcW w:w="1709" w:type="dxa"/>
          </w:tcPr>
          <w:p w14:paraId="2BB704E9" w14:textId="4BA933E7" w:rsidR="000171E2" w:rsidRPr="002A3E10" w:rsidRDefault="000171E2" w:rsidP="002A3E10">
            <w:pPr>
              <w:rPr>
                <w:rFonts w:ascii="Calibri" w:eastAsia="Aptos" w:hAnsi="Calibri" w:cs="Calibri"/>
              </w:rPr>
            </w:pPr>
            <w:r w:rsidRPr="002A3E10">
              <w:rPr>
                <w:rFonts w:ascii="Calibri" w:eastAsia="Aptos" w:hAnsi="Calibri" w:cs="Calibri"/>
              </w:rPr>
              <w:t>Worked in education at a university</w:t>
            </w:r>
          </w:p>
        </w:tc>
        <w:tc>
          <w:tcPr>
            <w:tcW w:w="2039" w:type="dxa"/>
          </w:tcPr>
          <w:p w14:paraId="27442B39" w14:textId="77777777" w:rsidR="000171E2" w:rsidRPr="002A3E10" w:rsidRDefault="000171E2" w:rsidP="002A3E10">
            <w:pPr>
              <w:rPr>
                <w:rFonts w:ascii="Calibri" w:eastAsia="Aptos" w:hAnsi="Calibri" w:cs="Calibri"/>
              </w:rPr>
            </w:pPr>
            <w:r w:rsidRPr="002A3E10">
              <w:rPr>
                <w:rFonts w:ascii="Calibri" w:eastAsia="Aptos" w:hAnsi="Calibri" w:cs="Calibri"/>
              </w:rPr>
              <w:t>PGCE</w:t>
            </w:r>
          </w:p>
        </w:tc>
      </w:tr>
      <w:tr w:rsidR="000171E2" w:rsidRPr="002A3E10" w14:paraId="735B12A3" w14:textId="77777777" w:rsidTr="00C1612E">
        <w:trPr>
          <w:trHeight w:val="796"/>
        </w:trPr>
        <w:tc>
          <w:tcPr>
            <w:tcW w:w="1365" w:type="dxa"/>
          </w:tcPr>
          <w:p w14:paraId="59ED3B96" w14:textId="77777777" w:rsidR="000171E2" w:rsidRPr="002A3E10" w:rsidRDefault="000171E2" w:rsidP="002A3E10">
            <w:pPr>
              <w:rPr>
                <w:rFonts w:ascii="Calibri" w:eastAsia="Aptos" w:hAnsi="Calibri" w:cs="Calibri"/>
              </w:rPr>
            </w:pPr>
            <w:r w:rsidRPr="002A3E10">
              <w:rPr>
                <w:rFonts w:ascii="Calibri" w:eastAsia="Aptos" w:hAnsi="Calibri" w:cs="Calibri"/>
              </w:rPr>
              <w:t>2.</w:t>
            </w:r>
          </w:p>
        </w:tc>
        <w:tc>
          <w:tcPr>
            <w:tcW w:w="1469" w:type="dxa"/>
          </w:tcPr>
          <w:p w14:paraId="7D13C221" w14:textId="77777777" w:rsidR="000171E2" w:rsidRPr="002A3E10" w:rsidRDefault="000171E2" w:rsidP="002A3E10">
            <w:pPr>
              <w:rPr>
                <w:rFonts w:ascii="Calibri" w:eastAsia="Aptos" w:hAnsi="Calibri" w:cs="Calibri"/>
              </w:rPr>
            </w:pPr>
            <w:r w:rsidRPr="002A3E10">
              <w:rPr>
                <w:rFonts w:ascii="Calibri" w:eastAsia="Aptos" w:hAnsi="Calibri" w:cs="Calibri"/>
              </w:rPr>
              <w:t>Liz</w:t>
            </w:r>
          </w:p>
        </w:tc>
        <w:tc>
          <w:tcPr>
            <w:tcW w:w="989" w:type="dxa"/>
          </w:tcPr>
          <w:p w14:paraId="7A0B679E"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22930D83" w14:textId="77777777" w:rsidR="000171E2" w:rsidRPr="002A3E10" w:rsidRDefault="000171E2" w:rsidP="002A3E10">
            <w:pPr>
              <w:rPr>
                <w:rFonts w:ascii="Calibri" w:eastAsia="Aptos" w:hAnsi="Calibri" w:cs="Calibri"/>
              </w:rPr>
            </w:pPr>
            <w:r w:rsidRPr="002A3E10">
              <w:rPr>
                <w:rFonts w:ascii="Calibri" w:eastAsia="Aptos" w:hAnsi="Calibri" w:cs="Calibri"/>
              </w:rPr>
              <w:t>10</w:t>
            </w:r>
          </w:p>
        </w:tc>
        <w:tc>
          <w:tcPr>
            <w:tcW w:w="1709" w:type="dxa"/>
          </w:tcPr>
          <w:p w14:paraId="7E7A30D4" w14:textId="7A9BF23E" w:rsidR="000171E2" w:rsidRPr="002A3E10" w:rsidRDefault="000171E2" w:rsidP="002A3E10">
            <w:pPr>
              <w:rPr>
                <w:rFonts w:ascii="Calibri" w:eastAsia="Aptos" w:hAnsi="Calibri" w:cs="Calibri"/>
              </w:rPr>
            </w:pPr>
            <w:r w:rsidRPr="002A3E10">
              <w:rPr>
                <w:rFonts w:ascii="Calibri" w:eastAsia="Aptos" w:hAnsi="Calibri" w:cs="Calibri"/>
              </w:rPr>
              <w:t>Health practitioner</w:t>
            </w:r>
          </w:p>
        </w:tc>
        <w:tc>
          <w:tcPr>
            <w:tcW w:w="2039" w:type="dxa"/>
          </w:tcPr>
          <w:p w14:paraId="30B037D7" w14:textId="77777777" w:rsidR="000171E2" w:rsidRPr="002A3E10" w:rsidRDefault="000171E2" w:rsidP="002A3E10">
            <w:pPr>
              <w:rPr>
                <w:rFonts w:ascii="Calibri" w:eastAsia="Aptos" w:hAnsi="Calibri" w:cs="Calibri"/>
              </w:rPr>
            </w:pPr>
            <w:r w:rsidRPr="002A3E10">
              <w:rPr>
                <w:rFonts w:ascii="Calibri" w:eastAsia="Aptos" w:hAnsi="Calibri" w:cs="Calibri"/>
              </w:rPr>
              <w:t>PGCE</w:t>
            </w:r>
          </w:p>
        </w:tc>
      </w:tr>
      <w:tr w:rsidR="000171E2" w:rsidRPr="002A3E10" w14:paraId="7DDAC739" w14:textId="77777777" w:rsidTr="00C1612E">
        <w:trPr>
          <w:trHeight w:val="796"/>
        </w:trPr>
        <w:tc>
          <w:tcPr>
            <w:tcW w:w="1365" w:type="dxa"/>
          </w:tcPr>
          <w:p w14:paraId="07E6E7C3" w14:textId="77777777" w:rsidR="000171E2" w:rsidRPr="002A3E10" w:rsidRDefault="000171E2" w:rsidP="002A3E10">
            <w:pPr>
              <w:rPr>
                <w:rFonts w:ascii="Calibri" w:eastAsia="Aptos" w:hAnsi="Calibri" w:cs="Calibri"/>
              </w:rPr>
            </w:pPr>
            <w:r w:rsidRPr="002A3E10">
              <w:rPr>
                <w:rFonts w:ascii="Calibri" w:eastAsia="Aptos" w:hAnsi="Calibri" w:cs="Calibri"/>
              </w:rPr>
              <w:t>3.</w:t>
            </w:r>
          </w:p>
        </w:tc>
        <w:tc>
          <w:tcPr>
            <w:tcW w:w="1469" w:type="dxa"/>
          </w:tcPr>
          <w:p w14:paraId="4055D0B9" w14:textId="77777777" w:rsidR="000171E2" w:rsidRPr="002A3E10" w:rsidRDefault="000171E2" w:rsidP="002A3E10">
            <w:pPr>
              <w:rPr>
                <w:rFonts w:ascii="Calibri" w:eastAsia="Aptos" w:hAnsi="Calibri" w:cs="Calibri"/>
              </w:rPr>
            </w:pPr>
            <w:r w:rsidRPr="002A3E10">
              <w:rPr>
                <w:rFonts w:ascii="Calibri" w:eastAsia="Aptos" w:hAnsi="Calibri" w:cs="Calibri"/>
              </w:rPr>
              <w:t>Sally</w:t>
            </w:r>
          </w:p>
        </w:tc>
        <w:tc>
          <w:tcPr>
            <w:tcW w:w="989" w:type="dxa"/>
          </w:tcPr>
          <w:p w14:paraId="37351B7B"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0B6C0219" w14:textId="77777777" w:rsidR="000171E2" w:rsidRPr="002A3E10" w:rsidRDefault="000171E2" w:rsidP="002A3E10">
            <w:pPr>
              <w:rPr>
                <w:rFonts w:ascii="Calibri" w:eastAsia="Aptos" w:hAnsi="Calibri" w:cs="Calibri"/>
              </w:rPr>
            </w:pPr>
            <w:r w:rsidRPr="002A3E10">
              <w:rPr>
                <w:rFonts w:ascii="Calibri" w:eastAsia="Aptos" w:hAnsi="Calibri" w:cs="Calibri"/>
              </w:rPr>
              <w:t>19</w:t>
            </w:r>
          </w:p>
        </w:tc>
        <w:tc>
          <w:tcPr>
            <w:tcW w:w="1709" w:type="dxa"/>
          </w:tcPr>
          <w:p w14:paraId="49992657" w14:textId="1D7A5F05" w:rsidR="000171E2" w:rsidRPr="002A3E10" w:rsidRDefault="000171E2" w:rsidP="002A3E10">
            <w:pPr>
              <w:rPr>
                <w:rFonts w:ascii="Calibri" w:eastAsia="Aptos" w:hAnsi="Calibri" w:cs="Calibri"/>
              </w:rPr>
            </w:pPr>
            <w:r w:rsidRPr="002A3E10">
              <w:rPr>
                <w:rFonts w:ascii="Calibri" w:eastAsia="Aptos" w:hAnsi="Calibri" w:cs="Calibri"/>
              </w:rPr>
              <w:t>Career in social care</w:t>
            </w:r>
          </w:p>
        </w:tc>
        <w:tc>
          <w:tcPr>
            <w:tcW w:w="2039" w:type="dxa"/>
          </w:tcPr>
          <w:p w14:paraId="1360A65C" w14:textId="77777777" w:rsidR="000171E2" w:rsidRPr="002A3E10" w:rsidRDefault="000171E2" w:rsidP="002A3E10">
            <w:pPr>
              <w:rPr>
                <w:rFonts w:ascii="Calibri" w:eastAsia="Aptos" w:hAnsi="Calibri" w:cs="Calibri"/>
              </w:rPr>
            </w:pPr>
            <w:r w:rsidRPr="002A3E10">
              <w:rPr>
                <w:rFonts w:ascii="Calibri" w:eastAsia="Aptos" w:hAnsi="Calibri" w:cs="Calibri"/>
              </w:rPr>
              <w:t>PGCE</w:t>
            </w:r>
          </w:p>
        </w:tc>
      </w:tr>
      <w:tr w:rsidR="000171E2" w:rsidRPr="002A3E10" w14:paraId="64EBB5B0" w14:textId="77777777" w:rsidTr="00C1612E">
        <w:trPr>
          <w:trHeight w:val="796"/>
        </w:trPr>
        <w:tc>
          <w:tcPr>
            <w:tcW w:w="1365" w:type="dxa"/>
          </w:tcPr>
          <w:p w14:paraId="4D19D190" w14:textId="77777777" w:rsidR="000171E2" w:rsidRPr="002A3E10" w:rsidRDefault="000171E2" w:rsidP="002A3E10">
            <w:pPr>
              <w:rPr>
                <w:rFonts w:ascii="Calibri" w:eastAsia="Aptos" w:hAnsi="Calibri" w:cs="Calibri"/>
              </w:rPr>
            </w:pPr>
            <w:r w:rsidRPr="002A3E10">
              <w:rPr>
                <w:rFonts w:ascii="Calibri" w:eastAsia="Aptos" w:hAnsi="Calibri" w:cs="Calibri"/>
              </w:rPr>
              <w:t>4.</w:t>
            </w:r>
          </w:p>
        </w:tc>
        <w:tc>
          <w:tcPr>
            <w:tcW w:w="1469" w:type="dxa"/>
          </w:tcPr>
          <w:p w14:paraId="728964E4" w14:textId="77777777" w:rsidR="000171E2" w:rsidRPr="002A3E10" w:rsidRDefault="000171E2" w:rsidP="002A3E10">
            <w:pPr>
              <w:rPr>
                <w:rFonts w:ascii="Calibri" w:eastAsia="Aptos" w:hAnsi="Calibri" w:cs="Calibri"/>
              </w:rPr>
            </w:pPr>
            <w:r w:rsidRPr="002A3E10">
              <w:rPr>
                <w:rFonts w:ascii="Calibri" w:eastAsia="Aptos" w:hAnsi="Calibri" w:cs="Calibri"/>
              </w:rPr>
              <w:t>Jenko</w:t>
            </w:r>
          </w:p>
        </w:tc>
        <w:tc>
          <w:tcPr>
            <w:tcW w:w="989" w:type="dxa"/>
          </w:tcPr>
          <w:p w14:paraId="1BF06808" w14:textId="77777777" w:rsidR="000171E2" w:rsidRPr="002A3E10" w:rsidRDefault="000171E2" w:rsidP="002A3E10">
            <w:pPr>
              <w:rPr>
                <w:rFonts w:ascii="Calibri" w:eastAsia="Aptos" w:hAnsi="Calibri" w:cs="Calibri"/>
              </w:rPr>
            </w:pPr>
            <w:r w:rsidRPr="002A3E10">
              <w:rPr>
                <w:rFonts w:ascii="Calibri" w:eastAsia="Aptos" w:hAnsi="Calibri" w:cs="Calibri"/>
              </w:rPr>
              <w:t>M</w:t>
            </w:r>
          </w:p>
        </w:tc>
        <w:tc>
          <w:tcPr>
            <w:tcW w:w="1445" w:type="dxa"/>
          </w:tcPr>
          <w:p w14:paraId="70D3AF47" w14:textId="77777777" w:rsidR="000171E2" w:rsidRPr="002A3E10" w:rsidRDefault="000171E2" w:rsidP="002A3E10">
            <w:pPr>
              <w:rPr>
                <w:rFonts w:ascii="Calibri" w:eastAsia="Aptos" w:hAnsi="Calibri" w:cs="Calibri"/>
              </w:rPr>
            </w:pPr>
            <w:r w:rsidRPr="002A3E10">
              <w:rPr>
                <w:rFonts w:ascii="Calibri" w:eastAsia="Aptos" w:hAnsi="Calibri" w:cs="Calibri"/>
              </w:rPr>
              <w:t>9</w:t>
            </w:r>
          </w:p>
        </w:tc>
        <w:tc>
          <w:tcPr>
            <w:tcW w:w="1709" w:type="dxa"/>
          </w:tcPr>
          <w:p w14:paraId="03F835BA" w14:textId="1058106A" w:rsidR="000171E2" w:rsidRPr="002A3E10" w:rsidRDefault="000171E2" w:rsidP="002A3E10">
            <w:pPr>
              <w:rPr>
                <w:rFonts w:ascii="Calibri" w:eastAsia="Aptos" w:hAnsi="Calibri" w:cs="Calibri"/>
              </w:rPr>
            </w:pPr>
            <w:r w:rsidRPr="002A3E10">
              <w:rPr>
                <w:rFonts w:ascii="Calibri" w:eastAsia="Aptos" w:hAnsi="Calibri" w:cs="Calibri"/>
              </w:rPr>
              <w:t>Police officer</w:t>
            </w:r>
          </w:p>
        </w:tc>
        <w:tc>
          <w:tcPr>
            <w:tcW w:w="2039" w:type="dxa"/>
          </w:tcPr>
          <w:p w14:paraId="6431C8A8" w14:textId="77777777" w:rsidR="000171E2" w:rsidRPr="002A3E10" w:rsidRDefault="000171E2" w:rsidP="002A3E10">
            <w:pPr>
              <w:rPr>
                <w:rFonts w:ascii="Calibri" w:eastAsia="Aptos" w:hAnsi="Calibri" w:cs="Calibri"/>
              </w:rPr>
            </w:pPr>
            <w:r w:rsidRPr="002A3E10">
              <w:rPr>
                <w:rFonts w:ascii="Calibri" w:eastAsia="Aptos" w:hAnsi="Calibri" w:cs="Calibri"/>
              </w:rPr>
              <w:t>BA in Education Studies</w:t>
            </w:r>
          </w:p>
        </w:tc>
      </w:tr>
      <w:tr w:rsidR="000171E2" w:rsidRPr="002A3E10" w14:paraId="314ECEB4" w14:textId="77777777" w:rsidTr="00C1612E">
        <w:trPr>
          <w:trHeight w:val="757"/>
        </w:trPr>
        <w:tc>
          <w:tcPr>
            <w:tcW w:w="1365" w:type="dxa"/>
          </w:tcPr>
          <w:p w14:paraId="41A606EA" w14:textId="77777777" w:rsidR="000171E2" w:rsidRPr="002A3E10" w:rsidRDefault="000171E2" w:rsidP="002A3E10">
            <w:pPr>
              <w:rPr>
                <w:rFonts w:ascii="Calibri" w:eastAsia="Aptos" w:hAnsi="Calibri" w:cs="Calibri"/>
              </w:rPr>
            </w:pPr>
            <w:r w:rsidRPr="002A3E10">
              <w:rPr>
                <w:rFonts w:ascii="Calibri" w:eastAsia="Aptos" w:hAnsi="Calibri" w:cs="Calibri"/>
              </w:rPr>
              <w:t>5.</w:t>
            </w:r>
          </w:p>
        </w:tc>
        <w:tc>
          <w:tcPr>
            <w:tcW w:w="1469" w:type="dxa"/>
          </w:tcPr>
          <w:p w14:paraId="19642104" w14:textId="77777777" w:rsidR="000171E2" w:rsidRPr="002A3E10" w:rsidRDefault="000171E2" w:rsidP="002A3E10">
            <w:pPr>
              <w:rPr>
                <w:rFonts w:ascii="Calibri" w:eastAsia="Aptos" w:hAnsi="Calibri" w:cs="Calibri"/>
              </w:rPr>
            </w:pPr>
            <w:r w:rsidRPr="002A3E10">
              <w:rPr>
                <w:rFonts w:ascii="Calibri" w:eastAsia="Aptos" w:hAnsi="Calibri" w:cs="Calibri"/>
              </w:rPr>
              <w:t>Mo</w:t>
            </w:r>
          </w:p>
        </w:tc>
        <w:tc>
          <w:tcPr>
            <w:tcW w:w="989" w:type="dxa"/>
          </w:tcPr>
          <w:p w14:paraId="31536069"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66A65A55" w14:textId="77777777" w:rsidR="000171E2" w:rsidRPr="002A3E10" w:rsidRDefault="000171E2" w:rsidP="002A3E10">
            <w:pPr>
              <w:rPr>
                <w:rFonts w:ascii="Calibri" w:eastAsia="Aptos" w:hAnsi="Calibri" w:cs="Calibri"/>
              </w:rPr>
            </w:pPr>
            <w:r w:rsidRPr="002A3E10">
              <w:rPr>
                <w:rFonts w:ascii="Calibri" w:eastAsia="Aptos" w:hAnsi="Calibri" w:cs="Calibri"/>
              </w:rPr>
              <w:t xml:space="preserve">4 </w:t>
            </w:r>
          </w:p>
        </w:tc>
        <w:tc>
          <w:tcPr>
            <w:tcW w:w="1709" w:type="dxa"/>
          </w:tcPr>
          <w:p w14:paraId="16E465F1" w14:textId="072819C8" w:rsidR="000171E2" w:rsidRPr="002A3E10" w:rsidRDefault="008B15A7" w:rsidP="002A3E10">
            <w:pPr>
              <w:rPr>
                <w:rFonts w:ascii="Calibri" w:eastAsia="Aptos" w:hAnsi="Calibri" w:cs="Calibri"/>
              </w:rPr>
            </w:pPr>
            <w:r>
              <w:rPr>
                <w:rFonts w:ascii="Calibri" w:eastAsia="Aptos" w:hAnsi="Calibri" w:cs="Calibri"/>
              </w:rPr>
              <w:t>S</w:t>
            </w:r>
            <w:r w:rsidR="000171E2" w:rsidRPr="002A3E10">
              <w:rPr>
                <w:rFonts w:ascii="Calibri" w:eastAsia="Aptos" w:hAnsi="Calibri" w:cs="Calibri"/>
              </w:rPr>
              <w:t>econdary school teacher then HE lecturer</w:t>
            </w:r>
          </w:p>
        </w:tc>
        <w:tc>
          <w:tcPr>
            <w:tcW w:w="2039" w:type="dxa"/>
          </w:tcPr>
          <w:p w14:paraId="53279A14" w14:textId="77777777" w:rsidR="000171E2" w:rsidRPr="002A3E10" w:rsidRDefault="000171E2" w:rsidP="002A3E10">
            <w:pPr>
              <w:rPr>
                <w:rFonts w:ascii="Calibri" w:eastAsia="Aptos" w:hAnsi="Calibri" w:cs="Calibri"/>
              </w:rPr>
            </w:pPr>
            <w:r w:rsidRPr="002A3E10">
              <w:rPr>
                <w:rFonts w:ascii="Calibri" w:eastAsia="Aptos" w:hAnsi="Calibri" w:cs="Calibri"/>
              </w:rPr>
              <w:t>Not stated</w:t>
            </w:r>
          </w:p>
        </w:tc>
      </w:tr>
      <w:tr w:rsidR="000171E2" w:rsidRPr="002A3E10" w14:paraId="298497EE" w14:textId="77777777" w:rsidTr="00C1612E">
        <w:trPr>
          <w:trHeight w:val="796"/>
        </w:trPr>
        <w:tc>
          <w:tcPr>
            <w:tcW w:w="1365" w:type="dxa"/>
          </w:tcPr>
          <w:p w14:paraId="375C9646" w14:textId="77777777" w:rsidR="000171E2" w:rsidRPr="002A3E10" w:rsidRDefault="000171E2" w:rsidP="002A3E10">
            <w:pPr>
              <w:rPr>
                <w:rFonts w:ascii="Calibri" w:eastAsia="Aptos" w:hAnsi="Calibri" w:cs="Calibri"/>
              </w:rPr>
            </w:pPr>
            <w:r w:rsidRPr="002A3E10">
              <w:rPr>
                <w:rFonts w:ascii="Calibri" w:eastAsia="Aptos" w:hAnsi="Calibri" w:cs="Calibri"/>
              </w:rPr>
              <w:t>6.</w:t>
            </w:r>
          </w:p>
        </w:tc>
        <w:tc>
          <w:tcPr>
            <w:tcW w:w="1469" w:type="dxa"/>
          </w:tcPr>
          <w:p w14:paraId="75FDCED2" w14:textId="77777777" w:rsidR="000171E2" w:rsidRPr="002A3E10" w:rsidRDefault="000171E2" w:rsidP="002A3E10">
            <w:pPr>
              <w:rPr>
                <w:rFonts w:ascii="Calibri" w:eastAsia="Aptos" w:hAnsi="Calibri" w:cs="Calibri"/>
              </w:rPr>
            </w:pPr>
            <w:r w:rsidRPr="002A3E10">
              <w:rPr>
                <w:rFonts w:ascii="Calibri" w:eastAsia="Aptos" w:hAnsi="Calibri" w:cs="Calibri"/>
              </w:rPr>
              <w:t>Sophie</w:t>
            </w:r>
          </w:p>
        </w:tc>
        <w:tc>
          <w:tcPr>
            <w:tcW w:w="989" w:type="dxa"/>
          </w:tcPr>
          <w:p w14:paraId="24F454DD"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4C685E74" w14:textId="77777777" w:rsidR="000171E2" w:rsidRPr="002A3E10" w:rsidRDefault="000171E2" w:rsidP="002A3E10">
            <w:pPr>
              <w:rPr>
                <w:rFonts w:ascii="Calibri" w:eastAsia="Aptos" w:hAnsi="Calibri" w:cs="Calibri"/>
              </w:rPr>
            </w:pPr>
            <w:r w:rsidRPr="002A3E10">
              <w:rPr>
                <w:rFonts w:ascii="Calibri" w:eastAsia="Aptos" w:hAnsi="Calibri" w:cs="Calibri"/>
              </w:rPr>
              <w:t xml:space="preserve">6 </w:t>
            </w:r>
          </w:p>
        </w:tc>
        <w:tc>
          <w:tcPr>
            <w:tcW w:w="1709" w:type="dxa"/>
          </w:tcPr>
          <w:p w14:paraId="5AFC5C82" w14:textId="2E0852AA" w:rsidR="000171E2" w:rsidRPr="002A3E10" w:rsidRDefault="000171E2" w:rsidP="002A3E10">
            <w:pPr>
              <w:rPr>
                <w:rFonts w:ascii="Calibri" w:eastAsia="Aptos" w:hAnsi="Calibri" w:cs="Calibri"/>
              </w:rPr>
            </w:pPr>
            <w:r w:rsidRPr="002A3E10">
              <w:rPr>
                <w:rFonts w:ascii="Calibri" w:eastAsia="Aptos" w:hAnsi="Calibri" w:cs="Calibri"/>
              </w:rPr>
              <w:t>Private sector</w:t>
            </w:r>
            <w:r w:rsidR="008D79F8">
              <w:rPr>
                <w:rFonts w:ascii="Calibri" w:eastAsia="Aptos" w:hAnsi="Calibri" w:cs="Calibri"/>
              </w:rPr>
              <w:t xml:space="preserve"> and</w:t>
            </w:r>
            <w:r w:rsidRPr="002A3E10">
              <w:rPr>
                <w:rFonts w:ascii="Calibri" w:eastAsia="Aptos" w:hAnsi="Calibri" w:cs="Calibri"/>
              </w:rPr>
              <w:t xml:space="preserve"> </w:t>
            </w:r>
            <w:r w:rsidR="00957162" w:rsidRPr="002A3E10">
              <w:rPr>
                <w:rFonts w:ascii="Calibri" w:eastAsia="Aptos" w:hAnsi="Calibri" w:cs="Calibri"/>
              </w:rPr>
              <w:t>NHS practice</w:t>
            </w:r>
            <w:r w:rsidRPr="002A3E10">
              <w:rPr>
                <w:rFonts w:ascii="Calibri" w:eastAsia="Aptos" w:hAnsi="Calibri" w:cs="Calibri"/>
              </w:rPr>
              <w:t xml:space="preserve"> educator</w:t>
            </w:r>
          </w:p>
        </w:tc>
        <w:tc>
          <w:tcPr>
            <w:tcW w:w="2039" w:type="dxa"/>
          </w:tcPr>
          <w:p w14:paraId="1E75D54C" w14:textId="77777777" w:rsidR="000171E2" w:rsidRPr="002A3E10" w:rsidRDefault="000171E2" w:rsidP="002A3E10">
            <w:pPr>
              <w:rPr>
                <w:rFonts w:ascii="Calibri" w:eastAsia="Aptos" w:hAnsi="Calibri" w:cs="Calibri"/>
              </w:rPr>
            </w:pPr>
            <w:r w:rsidRPr="002A3E10">
              <w:rPr>
                <w:rFonts w:ascii="Calibri" w:eastAsia="Aptos" w:hAnsi="Calibri" w:cs="Calibri"/>
              </w:rPr>
              <w:t>Teaching in HE Certificate</w:t>
            </w:r>
          </w:p>
        </w:tc>
      </w:tr>
      <w:tr w:rsidR="000171E2" w:rsidRPr="002A3E10" w14:paraId="50E5C579" w14:textId="77777777" w:rsidTr="00C1612E">
        <w:trPr>
          <w:trHeight w:val="796"/>
        </w:trPr>
        <w:tc>
          <w:tcPr>
            <w:tcW w:w="1365" w:type="dxa"/>
          </w:tcPr>
          <w:p w14:paraId="5EC55EB3" w14:textId="77777777" w:rsidR="000171E2" w:rsidRPr="002A3E10" w:rsidRDefault="000171E2" w:rsidP="002A3E10">
            <w:pPr>
              <w:rPr>
                <w:rFonts w:ascii="Calibri" w:eastAsia="Aptos" w:hAnsi="Calibri" w:cs="Calibri"/>
              </w:rPr>
            </w:pPr>
            <w:r w:rsidRPr="002A3E10">
              <w:rPr>
                <w:rFonts w:ascii="Calibri" w:eastAsia="Aptos" w:hAnsi="Calibri" w:cs="Calibri"/>
              </w:rPr>
              <w:lastRenderedPageBreak/>
              <w:t>7.</w:t>
            </w:r>
          </w:p>
        </w:tc>
        <w:tc>
          <w:tcPr>
            <w:tcW w:w="1469" w:type="dxa"/>
          </w:tcPr>
          <w:p w14:paraId="54CEDFAE" w14:textId="77777777" w:rsidR="000171E2" w:rsidRPr="002A3E10" w:rsidRDefault="000171E2" w:rsidP="002A3E10">
            <w:pPr>
              <w:rPr>
                <w:rFonts w:ascii="Calibri" w:eastAsia="Aptos" w:hAnsi="Calibri" w:cs="Calibri"/>
              </w:rPr>
            </w:pPr>
            <w:r w:rsidRPr="002A3E10">
              <w:rPr>
                <w:rFonts w:ascii="Calibri" w:eastAsia="Aptos" w:hAnsi="Calibri" w:cs="Calibri"/>
              </w:rPr>
              <w:t>Laura</w:t>
            </w:r>
          </w:p>
        </w:tc>
        <w:tc>
          <w:tcPr>
            <w:tcW w:w="989" w:type="dxa"/>
          </w:tcPr>
          <w:p w14:paraId="1F67EA35"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7090BE7B" w14:textId="77777777" w:rsidR="000171E2" w:rsidRPr="002A3E10" w:rsidRDefault="000171E2" w:rsidP="002A3E10">
            <w:pPr>
              <w:rPr>
                <w:rFonts w:ascii="Calibri" w:eastAsia="Aptos" w:hAnsi="Calibri" w:cs="Calibri"/>
              </w:rPr>
            </w:pPr>
            <w:r w:rsidRPr="002A3E10">
              <w:rPr>
                <w:rFonts w:ascii="Calibri" w:eastAsia="Aptos" w:hAnsi="Calibri" w:cs="Calibri"/>
              </w:rPr>
              <w:t>10</w:t>
            </w:r>
          </w:p>
        </w:tc>
        <w:tc>
          <w:tcPr>
            <w:tcW w:w="1709" w:type="dxa"/>
          </w:tcPr>
          <w:p w14:paraId="7BE85C9B" w14:textId="42BF92FE" w:rsidR="000171E2" w:rsidRPr="002A3E10" w:rsidRDefault="000171E2" w:rsidP="002A3E10">
            <w:pPr>
              <w:rPr>
                <w:rFonts w:ascii="Calibri" w:eastAsia="Aptos" w:hAnsi="Calibri" w:cs="Calibri"/>
              </w:rPr>
            </w:pPr>
            <w:r w:rsidRPr="002A3E10">
              <w:rPr>
                <w:rFonts w:ascii="Calibri" w:eastAsia="Aptos" w:hAnsi="Calibri" w:cs="Calibri"/>
              </w:rPr>
              <w:t>Practitioner</w:t>
            </w:r>
            <w:r w:rsidR="008D79F8">
              <w:rPr>
                <w:rFonts w:ascii="Calibri" w:eastAsia="Aptos" w:hAnsi="Calibri" w:cs="Calibri"/>
              </w:rPr>
              <w:t>.</w:t>
            </w:r>
          </w:p>
        </w:tc>
        <w:tc>
          <w:tcPr>
            <w:tcW w:w="2039" w:type="dxa"/>
          </w:tcPr>
          <w:p w14:paraId="1C35A41E" w14:textId="77777777" w:rsidR="000171E2" w:rsidRPr="002A3E10" w:rsidRDefault="000171E2" w:rsidP="002A3E10">
            <w:pPr>
              <w:rPr>
                <w:rFonts w:ascii="Calibri" w:eastAsia="Aptos" w:hAnsi="Calibri" w:cs="Calibri"/>
              </w:rPr>
            </w:pPr>
            <w:r w:rsidRPr="002A3E10">
              <w:rPr>
                <w:rFonts w:ascii="Calibri" w:eastAsia="Aptos" w:hAnsi="Calibri" w:cs="Calibri"/>
              </w:rPr>
              <w:t>PGCE</w:t>
            </w:r>
          </w:p>
        </w:tc>
      </w:tr>
      <w:tr w:rsidR="000171E2" w:rsidRPr="002A3E10" w14:paraId="20F2C13A" w14:textId="77777777" w:rsidTr="00C1612E">
        <w:trPr>
          <w:trHeight w:val="796"/>
        </w:trPr>
        <w:tc>
          <w:tcPr>
            <w:tcW w:w="1365" w:type="dxa"/>
          </w:tcPr>
          <w:p w14:paraId="19D5A41A" w14:textId="77777777" w:rsidR="000171E2" w:rsidRPr="002A3E10" w:rsidRDefault="000171E2" w:rsidP="002A3E10">
            <w:pPr>
              <w:rPr>
                <w:rFonts w:ascii="Calibri" w:eastAsia="Aptos" w:hAnsi="Calibri" w:cs="Calibri"/>
              </w:rPr>
            </w:pPr>
            <w:r w:rsidRPr="002A3E10">
              <w:rPr>
                <w:rFonts w:ascii="Calibri" w:eastAsia="Aptos" w:hAnsi="Calibri" w:cs="Calibri"/>
              </w:rPr>
              <w:t>8.</w:t>
            </w:r>
          </w:p>
        </w:tc>
        <w:tc>
          <w:tcPr>
            <w:tcW w:w="1469" w:type="dxa"/>
          </w:tcPr>
          <w:p w14:paraId="34053790" w14:textId="77777777" w:rsidR="000171E2" w:rsidRPr="002A3E10" w:rsidRDefault="000171E2" w:rsidP="002A3E10">
            <w:pPr>
              <w:rPr>
                <w:rFonts w:ascii="Calibri" w:eastAsia="Aptos" w:hAnsi="Calibri" w:cs="Calibri"/>
              </w:rPr>
            </w:pPr>
            <w:r w:rsidRPr="002A3E10">
              <w:rPr>
                <w:rFonts w:ascii="Calibri" w:eastAsia="Aptos" w:hAnsi="Calibri" w:cs="Calibri"/>
              </w:rPr>
              <w:t>Fred</w:t>
            </w:r>
          </w:p>
        </w:tc>
        <w:tc>
          <w:tcPr>
            <w:tcW w:w="989" w:type="dxa"/>
          </w:tcPr>
          <w:p w14:paraId="4731590B" w14:textId="77777777" w:rsidR="000171E2" w:rsidRPr="002A3E10" w:rsidRDefault="000171E2" w:rsidP="002A3E10">
            <w:pPr>
              <w:rPr>
                <w:rFonts w:ascii="Calibri" w:eastAsia="Aptos" w:hAnsi="Calibri" w:cs="Calibri"/>
              </w:rPr>
            </w:pPr>
            <w:r w:rsidRPr="002A3E10">
              <w:rPr>
                <w:rFonts w:ascii="Calibri" w:eastAsia="Aptos" w:hAnsi="Calibri" w:cs="Calibri"/>
              </w:rPr>
              <w:t>M</w:t>
            </w:r>
          </w:p>
        </w:tc>
        <w:tc>
          <w:tcPr>
            <w:tcW w:w="1445" w:type="dxa"/>
          </w:tcPr>
          <w:p w14:paraId="4B31CAA5" w14:textId="77777777" w:rsidR="000171E2" w:rsidRPr="002A3E10" w:rsidRDefault="000171E2" w:rsidP="002A3E10">
            <w:pPr>
              <w:rPr>
                <w:rFonts w:ascii="Calibri" w:eastAsia="Aptos" w:hAnsi="Calibri" w:cs="Calibri"/>
              </w:rPr>
            </w:pPr>
            <w:r w:rsidRPr="002A3E10">
              <w:rPr>
                <w:rFonts w:ascii="Calibri" w:eastAsia="Aptos" w:hAnsi="Calibri" w:cs="Calibri"/>
              </w:rPr>
              <w:t xml:space="preserve">5 </w:t>
            </w:r>
          </w:p>
        </w:tc>
        <w:tc>
          <w:tcPr>
            <w:tcW w:w="1709" w:type="dxa"/>
          </w:tcPr>
          <w:p w14:paraId="5037F900" w14:textId="77777777" w:rsidR="000171E2" w:rsidRPr="002A3E10" w:rsidRDefault="000171E2" w:rsidP="002A3E10">
            <w:pPr>
              <w:rPr>
                <w:rFonts w:ascii="Calibri" w:eastAsia="Aptos" w:hAnsi="Calibri" w:cs="Calibri"/>
              </w:rPr>
            </w:pPr>
            <w:r w:rsidRPr="002A3E10">
              <w:rPr>
                <w:rFonts w:ascii="Calibri" w:eastAsia="Aptos" w:hAnsi="Calibri" w:cs="Calibri"/>
              </w:rPr>
              <w:t>Experience in education = 15 years</w:t>
            </w:r>
          </w:p>
        </w:tc>
        <w:tc>
          <w:tcPr>
            <w:tcW w:w="2039" w:type="dxa"/>
          </w:tcPr>
          <w:p w14:paraId="0E5865C5" w14:textId="77777777" w:rsidR="000171E2" w:rsidRPr="002A3E10" w:rsidRDefault="000171E2" w:rsidP="00495434">
            <w:pPr>
              <w:numPr>
                <w:ilvl w:val="0"/>
                <w:numId w:val="4"/>
              </w:numPr>
              <w:rPr>
                <w:rFonts w:ascii="Calibri" w:eastAsia="Aptos" w:hAnsi="Calibri" w:cs="Calibri"/>
              </w:rPr>
            </w:pPr>
            <w:r w:rsidRPr="002A3E10">
              <w:rPr>
                <w:rFonts w:ascii="Calibri" w:eastAsia="Aptos" w:hAnsi="Calibri" w:cs="Calibri"/>
              </w:rPr>
              <w:t>Europe based education qualification (not stated)</w:t>
            </w:r>
          </w:p>
          <w:p w14:paraId="7044F833" w14:textId="77777777" w:rsidR="000171E2" w:rsidRPr="002A3E10" w:rsidRDefault="000171E2" w:rsidP="00495434">
            <w:pPr>
              <w:numPr>
                <w:ilvl w:val="0"/>
                <w:numId w:val="4"/>
              </w:numPr>
              <w:rPr>
                <w:rFonts w:ascii="Calibri" w:eastAsia="Aptos" w:hAnsi="Calibri" w:cs="Calibri"/>
              </w:rPr>
            </w:pPr>
            <w:r w:rsidRPr="002A3E10">
              <w:rPr>
                <w:rFonts w:ascii="Calibri" w:eastAsia="Aptos" w:hAnsi="Calibri" w:cs="Calibri"/>
              </w:rPr>
              <w:t>CPAD</w:t>
            </w:r>
          </w:p>
        </w:tc>
      </w:tr>
      <w:tr w:rsidR="000171E2" w:rsidRPr="002A3E10" w14:paraId="38C9C6D3" w14:textId="77777777" w:rsidTr="00C1612E">
        <w:trPr>
          <w:trHeight w:val="796"/>
        </w:trPr>
        <w:tc>
          <w:tcPr>
            <w:tcW w:w="1365" w:type="dxa"/>
          </w:tcPr>
          <w:p w14:paraId="1BEB9BEC" w14:textId="77777777" w:rsidR="000171E2" w:rsidRPr="002A3E10" w:rsidRDefault="000171E2" w:rsidP="002A3E10">
            <w:pPr>
              <w:rPr>
                <w:rFonts w:ascii="Calibri" w:eastAsia="Aptos" w:hAnsi="Calibri" w:cs="Calibri"/>
              </w:rPr>
            </w:pPr>
            <w:r w:rsidRPr="002A3E10">
              <w:rPr>
                <w:rFonts w:ascii="Calibri" w:eastAsia="Aptos" w:hAnsi="Calibri" w:cs="Calibri"/>
              </w:rPr>
              <w:t>9.</w:t>
            </w:r>
          </w:p>
        </w:tc>
        <w:tc>
          <w:tcPr>
            <w:tcW w:w="1469" w:type="dxa"/>
          </w:tcPr>
          <w:p w14:paraId="38C97C02" w14:textId="77777777" w:rsidR="000171E2" w:rsidRPr="002A3E10" w:rsidRDefault="000171E2" w:rsidP="002A3E10">
            <w:pPr>
              <w:rPr>
                <w:rFonts w:ascii="Calibri" w:eastAsia="Aptos" w:hAnsi="Calibri" w:cs="Calibri"/>
              </w:rPr>
            </w:pPr>
            <w:r w:rsidRPr="002A3E10">
              <w:rPr>
                <w:rFonts w:ascii="Calibri" w:eastAsia="Aptos" w:hAnsi="Calibri" w:cs="Calibri"/>
              </w:rPr>
              <w:t>Dana</w:t>
            </w:r>
          </w:p>
        </w:tc>
        <w:tc>
          <w:tcPr>
            <w:tcW w:w="989" w:type="dxa"/>
          </w:tcPr>
          <w:p w14:paraId="24A73950" w14:textId="77777777" w:rsidR="000171E2" w:rsidRPr="002A3E10" w:rsidRDefault="000171E2" w:rsidP="002A3E10">
            <w:pPr>
              <w:rPr>
                <w:rFonts w:ascii="Calibri" w:eastAsia="Aptos" w:hAnsi="Calibri" w:cs="Calibri"/>
              </w:rPr>
            </w:pPr>
            <w:r w:rsidRPr="002A3E10">
              <w:rPr>
                <w:rFonts w:ascii="Calibri" w:eastAsia="Aptos" w:hAnsi="Calibri" w:cs="Calibri"/>
              </w:rPr>
              <w:t>F</w:t>
            </w:r>
          </w:p>
        </w:tc>
        <w:tc>
          <w:tcPr>
            <w:tcW w:w="1445" w:type="dxa"/>
          </w:tcPr>
          <w:p w14:paraId="3E4E6AB5" w14:textId="77777777" w:rsidR="000171E2" w:rsidRPr="002A3E10" w:rsidRDefault="000171E2" w:rsidP="002A3E10">
            <w:pPr>
              <w:rPr>
                <w:rFonts w:ascii="Calibri" w:eastAsia="Aptos" w:hAnsi="Calibri" w:cs="Calibri"/>
              </w:rPr>
            </w:pPr>
            <w:r w:rsidRPr="002A3E10">
              <w:rPr>
                <w:rFonts w:ascii="Calibri" w:eastAsia="Aptos" w:hAnsi="Calibri" w:cs="Calibri"/>
              </w:rPr>
              <w:t>5</w:t>
            </w:r>
          </w:p>
        </w:tc>
        <w:tc>
          <w:tcPr>
            <w:tcW w:w="1709" w:type="dxa"/>
          </w:tcPr>
          <w:p w14:paraId="616087E1" w14:textId="77777777" w:rsidR="000171E2" w:rsidRPr="002A3E10" w:rsidRDefault="000171E2" w:rsidP="002A3E10">
            <w:pPr>
              <w:rPr>
                <w:rFonts w:ascii="Calibri" w:eastAsia="Aptos" w:hAnsi="Calibri" w:cs="Calibri"/>
              </w:rPr>
            </w:pPr>
            <w:r w:rsidRPr="002A3E10">
              <w:rPr>
                <w:rFonts w:ascii="Calibri" w:eastAsia="Aptos" w:hAnsi="Calibri" w:cs="Calibri"/>
              </w:rPr>
              <w:t>Experience in education = 15 years</w:t>
            </w:r>
          </w:p>
        </w:tc>
        <w:tc>
          <w:tcPr>
            <w:tcW w:w="2039" w:type="dxa"/>
          </w:tcPr>
          <w:p w14:paraId="4F49B2AE" w14:textId="77777777" w:rsidR="000171E2" w:rsidRPr="002A3E10" w:rsidRDefault="000171E2" w:rsidP="00495434">
            <w:pPr>
              <w:numPr>
                <w:ilvl w:val="0"/>
                <w:numId w:val="5"/>
              </w:numPr>
              <w:rPr>
                <w:rFonts w:ascii="Calibri" w:eastAsia="Aptos" w:hAnsi="Calibri" w:cs="Calibri"/>
              </w:rPr>
            </w:pPr>
            <w:r w:rsidRPr="002A3E10">
              <w:rPr>
                <w:rFonts w:ascii="Calibri" w:eastAsia="Aptos" w:hAnsi="Calibri" w:cs="Calibri"/>
              </w:rPr>
              <w:t>Europe based education qualification (not stated)</w:t>
            </w:r>
          </w:p>
          <w:p w14:paraId="5958A549" w14:textId="77777777" w:rsidR="000171E2" w:rsidRPr="002A3E10" w:rsidRDefault="000171E2" w:rsidP="00495434">
            <w:pPr>
              <w:numPr>
                <w:ilvl w:val="0"/>
                <w:numId w:val="5"/>
              </w:numPr>
              <w:rPr>
                <w:rFonts w:ascii="Calibri" w:eastAsia="Aptos" w:hAnsi="Calibri" w:cs="Calibri"/>
              </w:rPr>
            </w:pPr>
            <w:r w:rsidRPr="002A3E10">
              <w:rPr>
                <w:rFonts w:ascii="Calibri" w:eastAsia="Aptos" w:hAnsi="Calibri" w:cs="Calibri"/>
              </w:rPr>
              <w:t>CPAD</w:t>
            </w:r>
          </w:p>
        </w:tc>
      </w:tr>
      <w:bookmarkEnd w:id="62"/>
      <w:bookmarkEnd w:id="63"/>
    </w:tbl>
    <w:p w14:paraId="2FDD564F" w14:textId="77777777" w:rsidR="000171E2" w:rsidRDefault="000171E2" w:rsidP="002A3E10">
      <w:pPr>
        <w:spacing w:before="120"/>
        <w:rPr>
          <w:rFonts w:ascii="Calibri" w:eastAsia="Constantia" w:hAnsi="Calibri" w:cs="Calibri"/>
          <w:b/>
          <w:bCs/>
          <w:sz w:val="24"/>
          <w:szCs w:val="24"/>
        </w:rPr>
      </w:pPr>
    </w:p>
    <w:p w14:paraId="5944DD61" w14:textId="4A76E9C6" w:rsidR="000171E2" w:rsidRPr="002A3E10" w:rsidRDefault="000171E2" w:rsidP="002A3E10">
      <w:pPr>
        <w:spacing w:before="120"/>
        <w:rPr>
          <w:rFonts w:ascii="Calibri" w:eastAsia="Constantia" w:hAnsi="Calibri" w:cs="Calibri"/>
          <w:color w:val="FF0000"/>
          <w:sz w:val="24"/>
          <w:szCs w:val="24"/>
          <w:lang w:val="en-US"/>
        </w:rPr>
      </w:pPr>
      <w:r w:rsidRPr="002A3E10">
        <w:rPr>
          <w:rFonts w:ascii="Calibri" w:eastAsia="Constantia" w:hAnsi="Calibri" w:cs="Calibri"/>
          <w:b/>
          <w:bCs/>
          <w:sz w:val="24"/>
          <w:szCs w:val="24"/>
        </w:rPr>
        <w:t>Limitations</w:t>
      </w:r>
      <w:r w:rsidRPr="002A3E10">
        <w:rPr>
          <w:rFonts w:ascii="Calibri" w:eastAsia="Constantia" w:hAnsi="Calibri" w:cs="Calibri"/>
          <w:i/>
          <w:iCs/>
          <w:sz w:val="24"/>
          <w:szCs w:val="24"/>
        </w:rPr>
        <w:t xml:space="preserve"> </w:t>
      </w:r>
    </w:p>
    <w:p w14:paraId="41EDB36C" w14:textId="639E7AA7" w:rsidR="000171E2" w:rsidRPr="002A3E10" w:rsidRDefault="000171E2" w:rsidP="00E21691">
      <w:pPr>
        <w:spacing w:before="120" w:line="360" w:lineRule="auto"/>
        <w:rPr>
          <w:rFonts w:ascii="Calibri" w:eastAsia="Constantia" w:hAnsi="Calibri" w:cs="Calibri"/>
          <w:sz w:val="24"/>
          <w:szCs w:val="24"/>
          <w:lang w:val="en-US"/>
        </w:rPr>
      </w:pPr>
      <w:r w:rsidRPr="002A3E10">
        <w:rPr>
          <w:rFonts w:ascii="Calibri" w:eastAsia="Constantia" w:hAnsi="Calibri" w:cs="Calibri"/>
          <w:sz w:val="24"/>
          <w:szCs w:val="24"/>
          <w:lang w:val="en-US"/>
        </w:rPr>
        <w:t xml:space="preserve">The process of </w:t>
      </w:r>
      <w:r>
        <w:rPr>
          <w:rFonts w:ascii="Calibri" w:eastAsia="Constantia" w:hAnsi="Calibri" w:cs="Calibri"/>
          <w:sz w:val="24"/>
          <w:szCs w:val="24"/>
          <w:lang w:val="en-US"/>
        </w:rPr>
        <w:t xml:space="preserve">TA </w:t>
      </w:r>
      <w:r w:rsidRPr="002A3E10">
        <w:rPr>
          <w:rFonts w:ascii="Calibri" w:eastAsia="Constantia" w:hAnsi="Calibri" w:cs="Calibri"/>
          <w:sz w:val="24"/>
          <w:szCs w:val="24"/>
          <w:lang w:val="en-US"/>
        </w:rPr>
        <w:t>demands a lot from the researcher. Thoughtful engagement, working through iterations systematically, clarity of themes and providing sufficient and distinctive quotations are part of its practice</w:t>
      </w:r>
      <w:r w:rsidR="008D5620">
        <w:rPr>
          <w:rFonts w:ascii="Calibri" w:eastAsia="Constantia" w:hAnsi="Calibri" w:cs="Calibri"/>
          <w:sz w:val="24"/>
          <w:szCs w:val="24"/>
          <w:lang w:val="en-US"/>
        </w:rPr>
        <w:t>,</w:t>
      </w:r>
      <w:r w:rsidRPr="002A3E10">
        <w:rPr>
          <w:rFonts w:ascii="Calibri" w:eastAsia="Constantia" w:hAnsi="Calibri" w:cs="Calibri"/>
          <w:sz w:val="24"/>
          <w:szCs w:val="24"/>
          <w:lang w:val="en-US"/>
        </w:rPr>
        <w:t xml:space="preserve"> and require rigor (Finlay, 2021)</w:t>
      </w:r>
      <w:r>
        <w:rPr>
          <w:rFonts w:ascii="Calibri" w:eastAsia="Constantia" w:hAnsi="Calibri" w:cs="Calibri"/>
          <w:sz w:val="24"/>
          <w:szCs w:val="24"/>
          <w:lang w:val="en-US"/>
        </w:rPr>
        <w:t>.</w:t>
      </w:r>
      <w:r w:rsidRPr="002A3E10">
        <w:rPr>
          <w:rFonts w:ascii="Calibri" w:eastAsia="Constantia" w:hAnsi="Calibri" w:cs="Calibri"/>
          <w:sz w:val="24"/>
          <w:szCs w:val="24"/>
          <w:lang w:val="en-US"/>
        </w:rPr>
        <w:t xml:space="preserve"> Given that a neophyte researcher may be unsure of what constitutes “sufficient”, th</w:t>
      </w:r>
      <w:r>
        <w:rPr>
          <w:rFonts w:ascii="Calibri" w:eastAsia="Constantia" w:hAnsi="Calibri" w:cs="Calibri"/>
          <w:sz w:val="24"/>
          <w:szCs w:val="24"/>
          <w:lang w:val="en-US"/>
        </w:rPr>
        <w:t>is</w:t>
      </w:r>
      <w:r w:rsidRPr="002A3E10">
        <w:rPr>
          <w:rFonts w:ascii="Calibri" w:eastAsia="Constantia" w:hAnsi="Calibri" w:cs="Calibri"/>
          <w:sz w:val="24"/>
          <w:szCs w:val="24"/>
          <w:lang w:val="en-US"/>
        </w:rPr>
        <w:t xml:space="preserve"> process requires strong holding. </w:t>
      </w:r>
      <w:r>
        <w:rPr>
          <w:rFonts w:ascii="Calibri" w:eastAsia="Constantia" w:hAnsi="Calibri" w:cs="Calibri"/>
          <w:sz w:val="24"/>
          <w:szCs w:val="24"/>
          <w:lang w:val="en-US"/>
        </w:rPr>
        <w:t>Furthermore, t</w:t>
      </w:r>
      <w:r w:rsidRPr="002A3E10">
        <w:rPr>
          <w:rFonts w:ascii="Calibri" w:eastAsia="Constantia" w:hAnsi="Calibri" w:cs="Calibri"/>
          <w:sz w:val="24"/>
          <w:szCs w:val="24"/>
          <w:lang w:val="en-US"/>
        </w:rPr>
        <w:t>he researcher’s bias contains personal inferences that can result in blindness to the explicit, implicit and latent content of the data, and the data may be unconvincing and weak (Javadi and Zarea, 2016). Judicious preparation is required before the data analysis begins (Braun and Clarke, 2006) and an ongoing reflexive dialogue throughout the data analysis is recommended (</w:t>
      </w:r>
      <w:r w:rsidR="00AB1ADC">
        <w:rPr>
          <w:rFonts w:ascii="Calibri" w:eastAsia="Constantia" w:hAnsi="Calibri" w:cs="Calibri"/>
          <w:sz w:val="24"/>
          <w:szCs w:val="24"/>
          <w:lang w:val="en-US"/>
        </w:rPr>
        <w:t>ibid.</w:t>
      </w:r>
      <w:r w:rsidRPr="002A3E10">
        <w:rPr>
          <w:rFonts w:ascii="Calibri" w:eastAsia="Constantia" w:hAnsi="Calibri" w:cs="Calibri"/>
          <w:sz w:val="24"/>
          <w:szCs w:val="24"/>
          <w:lang w:val="en-US"/>
        </w:rPr>
        <w:t xml:space="preserve">). </w:t>
      </w:r>
      <w:r>
        <w:rPr>
          <w:rFonts w:ascii="Calibri" w:eastAsia="Constantia" w:hAnsi="Calibri" w:cs="Calibri"/>
          <w:sz w:val="24"/>
          <w:szCs w:val="24"/>
          <w:lang w:val="en-US"/>
        </w:rPr>
        <w:t xml:space="preserve">To mitigate against the limitations of TA, </w:t>
      </w:r>
      <w:r w:rsidRPr="002A3E10">
        <w:rPr>
          <w:rFonts w:ascii="Calibri" w:eastAsia="Constantia" w:hAnsi="Calibri" w:cs="Calibri"/>
          <w:sz w:val="24"/>
          <w:szCs w:val="24"/>
          <w:lang w:val="en-US"/>
        </w:rPr>
        <w:t xml:space="preserve">I reflected upon any dilemmas, bias and feelings experienced </w:t>
      </w:r>
      <w:r>
        <w:rPr>
          <w:rFonts w:ascii="Calibri" w:eastAsia="Constantia" w:hAnsi="Calibri" w:cs="Calibri"/>
          <w:sz w:val="24"/>
          <w:szCs w:val="24"/>
          <w:lang w:val="en-US"/>
        </w:rPr>
        <w:t xml:space="preserve">in </w:t>
      </w:r>
      <w:r w:rsidRPr="002A3E10">
        <w:rPr>
          <w:rFonts w:ascii="Calibri" w:eastAsia="Constantia" w:hAnsi="Calibri" w:cs="Calibri"/>
          <w:sz w:val="24"/>
          <w:szCs w:val="24"/>
          <w:lang w:val="en-US"/>
        </w:rPr>
        <w:t>research supervis</w:t>
      </w:r>
      <w:r>
        <w:rPr>
          <w:rFonts w:ascii="Calibri" w:eastAsia="Constantia" w:hAnsi="Calibri" w:cs="Calibri"/>
          <w:sz w:val="24"/>
          <w:szCs w:val="24"/>
          <w:lang w:val="en-US"/>
        </w:rPr>
        <w:t>ion</w:t>
      </w:r>
      <w:r w:rsidRPr="002A3E10">
        <w:rPr>
          <w:rFonts w:ascii="Calibri" w:eastAsia="Constantia" w:hAnsi="Calibri" w:cs="Calibri"/>
          <w:sz w:val="24"/>
          <w:szCs w:val="24"/>
          <w:lang w:val="en-US"/>
        </w:rPr>
        <w:t xml:space="preserve">. </w:t>
      </w:r>
    </w:p>
    <w:p w14:paraId="57090043" w14:textId="77777777" w:rsidR="000171E2" w:rsidRPr="002A3E10" w:rsidRDefault="000171E2" w:rsidP="00E21691">
      <w:pPr>
        <w:spacing w:line="360" w:lineRule="auto"/>
        <w:rPr>
          <w:rFonts w:ascii="Calibri" w:eastAsia="Calibri" w:hAnsi="Calibri" w:cs="Calibri"/>
          <w:b/>
          <w:bCs/>
          <w:sz w:val="24"/>
          <w:szCs w:val="24"/>
          <w:lang w:val="en-US"/>
        </w:rPr>
      </w:pPr>
      <w:r>
        <w:rPr>
          <w:rFonts w:ascii="Calibri" w:eastAsia="Calibri" w:hAnsi="Calibri" w:cs="Calibri"/>
          <w:b/>
          <w:bCs/>
          <w:sz w:val="24"/>
          <w:szCs w:val="24"/>
          <w:lang w:val="en-US"/>
        </w:rPr>
        <w:t>Manual analysis</w:t>
      </w:r>
    </w:p>
    <w:p w14:paraId="0F5BF5DE" w14:textId="75F73604" w:rsidR="000171E2" w:rsidRDefault="000171E2" w:rsidP="00E21691">
      <w:pPr>
        <w:spacing w:line="360" w:lineRule="auto"/>
        <w:rPr>
          <w:rFonts w:ascii="Calibri" w:eastAsia="Calibri" w:hAnsi="Calibri" w:cs="Calibri"/>
          <w:sz w:val="24"/>
          <w:szCs w:val="24"/>
          <w:lang w:val="en-US"/>
        </w:rPr>
      </w:pPr>
      <w:r>
        <w:rPr>
          <w:rFonts w:ascii="Calibri" w:eastAsia="Calibri" w:hAnsi="Calibri" w:cs="Calibri"/>
          <w:sz w:val="24"/>
          <w:szCs w:val="24"/>
          <w:lang w:val="en-US"/>
        </w:rPr>
        <w:t>T</w:t>
      </w:r>
      <w:r w:rsidRPr="002A3E10">
        <w:rPr>
          <w:rFonts w:ascii="Calibri" w:eastAsia="Calibri" w:hAnsi="Calibri" w:cs="Calibri"/>
          <w:sz w:val="24"/>
          <w:szCs w:val="24"/>
          <w:lang w:val="en-US"/>
        </w:rPr>
        <w:t>here are benefits to using a computer software program such as time saving and assistance with the initial coding and categorizing (</w:t>
      </w:r>
      <w:r w:rsidRPr="00EB31D5">
        <w:rPr>
          <w:rFonts w:ascii="Calibri" w:eastAsia="Calibri" w:hAnsi="Calibri" w:cs="Calibri"/>
          <w:sz w:val="24"/>
          <w:szCs w:val="24"/>
          <w:lang w:val="en-US"/>
        </w:rPr>
        <w:t xml:space="preserve">Seale, </w:t>
      </w:r>
      <w:r w:rsidRPr="002A3E10">
        <w:rPr>
          <w:rFonts w:ascii="Calibri" w:eastAsia="Calibri" w:hAnsi="Calibri" w:cs="Calibri"/>
          <w:sz w:val="24"/>
          <w:szCs w:val="24"/>
          <w:lang w:val="en-US"/>
        </w:rPr>
        <w:t>200</w:t>
      </w:r>
      <w:r>
        <w:rPr>
          <w:rFonts w:ascii="Calibri" w:eastAsia="Calibri" w:hAnsi="Calibri" w:cs="Calibri"/>
          <w:sz w:val="24"/>
          <w:szCs w:val="24"/>
          <w:lang w:val="en-US"/>
        </w:rPr>
        <w:t>4</w:t>
      </w:r>
      <w:r w:rsidRPr="002A3E10">
        <w:rPr>
          <w:rFonts w:ascii="Calibri" w:eastAsia="Calibri" w:hAnsi="Calibri" w:cs="Calibri"/>
          <w:sz w:val="24"/>
          <w:szCs w:val="24"/>
          <w:lang w:val="en-US"/>
        </w:rPr>
        <w:t xml:space="preserve">) </w:t>
      </w:r>
      <w:r>
        <w:rPr>
          <w:rFonts w:ascii="Calibri" w:eastAsia="Calibri" w:hAnsi="Calibri" w:cs="Calibri"/>
          <w:sz w:val="24"/>
          <w:szCs w:val="24"/>
        </w:rPr>
        <w:t>however,</w:t>
      </w:r>
      <w:r w:rsidRPr="00E915B3">
        <w:rPr>
          <w:rFonts w:ascii="Calibri" w:eastAsia="Calibri" w:hAnsi="Calibri" w:cs="Calibri"/>
          <w:sz w:val="24"/>
          <w:szCs w:val="24"/>
        </w:rPr>
        <w:t xml:space="preserve"> technology cannot substitute for the researcher's insight (Gibbs, 2007)</w:t>
      </w:r>
      <w:r>
        <w:rPr>
          <w:rFonts w:ascii="Calibri" w:eastAsia="Calibri" w:hAnsi="Calibri" w:cs="Calibri"/>
          <w:sz w:val="24"/>
          <w:szCs w:val="24"/>
        </w:rPr>
        <w:t xml:space="preserve">. </w:t>
      </w:r>
      <w:r w:rsidRPr="002A3E10">
        <w:rPr>
          <w:rFonts w:ascii="Calibri" w:eastAsia="Calibri" w:hAnsi="Calibri" w:cs="Calibri"/>
          <w:sz w:val="24"/>
          <w:szCs w:val="24"/>
          <w:lang w:val="en-US"/>
        </w:rPr>
        <w:t>I resisted using Computer-Assisted Qualitative Data Analysis Software (CAQDAS)</w:t>
      </w:r>
      <w:r>
        <w:rPr>
          <w:rFonts w:ascii="Calibri" w:eastAsia="Calibri" w:hAnsi="Calibri" w:cs="Calibri"/>
          <w:sz w:val="24"/>
          <w:szCs w:val="24"/>
          <w:lang w:val="en-US"/>
        </w:rPr>
        <w:t xml:space="preserve"> as </w:t>
      </w:r>
      <w:r w:rsidRPr="002A3E10">
        <w:rPr>
          <w:rFonts w:ascii="Calibri" w:eastAsia="Calibri" w:hAnsi="Calibri" w:cs="Calibri"/>
          <w:sz w:val="24"/>
          <w:szCs w:val="24"/>
          <w:lang w:val="en-US"/>
        </w:rPr>
        <w:t xml:space="preserve">I felt a manual analysis would allow me to follow the </w:t>
      </w:r>
      <w:r w:rsidR="00881422">
        <w:rPr>
          <w:rFonts w:ascii="Calibri" w:eastAsia="Calibri" w:hAnsi="Calibri" w:cs="Calibri"/>
          <w:sz w:val="24"/>
          <w:szCs w:val="24"/>
          <w:lang w:val="en-US"/>
        </w:rPr>
        <w:t xml:space="preserve">cadence </w:t>
      </w:r>
      <w:r>
        <w:rPr>
          <w:rFonts w:ascii="Calibri" w:eastAsia="Calibri" w:hAnsi="Calibri" w:cs="Calibri"/>
          <w:sz w:val="24"/>
          <w:szCs w:val="24"/>
          <w:lang w:val="en-US"/>
        </w:rPr>
        <w:t xml:space="preserve">and “feel” </w:t>
      </w:r>
      <w:r w:rsidRPr="002A3E10">
        <w:rPr>
          <w:rFonts w:ascii="Calibri" w:eastAsia="Calibri" w:hAnsi="Calibri" w:cs="Calibri"/>
          <w:sz w:val="24"/>
          <w:szCs w:val="24"/>
          <w:lang w:val="en-US"/>
        </w:rPr>
        <w:t xml:space="preserve">of the participants’ stories, help to personally identify themes and generate new stories within the data. Manual analysis enables the larger picture and smaller stories nested within it to be seen organically as a process, stories which </w:t>
      </w:r>
      <w:r w:rsidRPr="002A3E10">
        <w:rPr>
          <w:rFonts w:ascii="Calibri" w:eastAsia="Calibri" w:hAnsi="Calibri" w:cs="Calibri"/>
          <w:sz w:val="24"/>
          <w:szCs w:val="24"/>
        </w:rPr>
        <w:t xml:space="preserve">“may be revealing” </w:t>
      </w:r>
      <w:r w:rsidRPr="002A3E10">
        <w:rPr>
          <w:rFonts w:ascii="Calibri" w:eastAsia="Calibri" w:hAnsi="Calibri" w:cs="Calibri"/>
          <w:sz w:val="24"/>
          <w:szCs w:val="24"/>
        </w:rPr>
        <w:lastRenderedPageBreak/>
        <w:t>(Braun and Clarke, 2006, p. 27)</w:t>
      </w:r>
      <w:r w:rsidRPr="002A3E10">
        <w:rPr>
          <w:rFonts w:ascii="Calibri" w:eastAsia="Calibri" w:hAnsi="Calibri" w:cs="Calibri"/>
          <w:sz w:val="24"/>
          <w:szCs w:val="24"/>
          <w:lang w:val="en-US"/>
        </w:rPr>
        <w:t>. Since process features greatly in this study, manual analysis was an appropriate choice.</w:t>
      </w:r>
    </w:p>
    <w:p w14:paraId="55F3EBDC" w14:textId="77777777" w:rsidR="000171E2" w:rsidRPr="006F0073" w:rsidRDefault="000171E2" w:rsidP="00E21691">
      <w:pPr>
        <w:spacing w:line="360" w:lineRule="auto"/>
        <w:rPr>
          <w:rFonts w:ascii="Calibri" w:eastAsia="Calibri" w:hAnsi="Calibri" w:cs="Calibri"/>
          <w:b/>
          <w:bCs/>
          <w:sz w:val="24"/>
          <w:szCs w:val="24"/>
          <w:lang w:val="en-US"/>
        </w:rPr>
      </w:pPr>
      <w:r w:rsidRPr="006F0073">
        <w:rPr>
          <w:rFonts w:ascii="Calibri" w:eastAsia="Calibri" w:hAnsi="Calibri" w:cs="Calibri"/>
          <w:b/>
          <w:bCs/>
          <w:sz w:val="24"/>
          <w:szCs w:val="24"/>
          <w:lang w:val="en-US"/>
        </w:rPr>
        <w:t>TA as a journey</w:t>
      </w:r>
    </w:p>
    <w:p w14:paraId="1984A86B" w14:textId="0D55FC6A" w:rsidR="00387FF7" w:rsidRPr="00925789" w:rsidRDefault="000171E2" w:rsidP="00E21691">
      <w:pPr>
        <w:spacing w:line="360" w:lineRule="auto"/>
        <w:rPr>
          <w:rFonts w:ascii="Calibri" w:eastAsia="Calibri" w:hAnsi="Calibri" w:cs="Calibri"/>
          <w:sz w:val="24"/>
          <w:szCs w:val="24"/>
          <w:lang w:val="en-US"/>
        </w:rPr>
      </w:pPr>
      <w:r>
        <w:rPr>
          <w:rFonts w:ascii="Calibri" w:eastAsia="Calibri" w:hAnsi="Calibri" w:cs="Calibri"/>
          <w:sz w:val="24"/>
          <w:szCs w:val="24"/>
        </w:rPr>
        <w:t>A</w:t>
      </w:r>
      <w:r w:rsidRPr="002A3E10">
        <w:rPr>
          <w:rFonts w:ascii="Calibri" w:eastAsia="Calibri" w:hAnsi="Calibri" w:cs="Calibri"/>
          <w:sz w:val="24"/>
          <w:szCs w:val="24"/>
        </w:rPr>
        <w:t>ccording to Hollway and Jefferson (2013)</w:t>
      </w:r>
      <w:r w:rsidRPr="002A3E10">
        <w:rPr>
          <w:rFonts w:ascii="Calibri" w:eastAsia="Calibri" w:hAnsi="Calibri" w:cs="Calibri"/>
          <w:sz w:val="24"/>
          <w:szCs w:val="24"/>
          <w:lang w:val="en-US"/>
        </w:rPr>
        <w:t xml:space="preserve"> </w:t>
      </w:r>
      <w:r w:rsidRPr="002A3E10">
        <w:rPr>
          <w:rFonts w:ascii="Calibri" w:eastAsia="Calibri" w:hAnsi="Calibri" w:cs="Calibri"/>
          <w:sz w:val="24"/>
          <w:szCs w:val="24"/>
        </w:rPr>
        <w:t>“the whole is greater than the sum of its parts” (p. 64)</w:t>
      </w:r>
      <w:r>
        <w:rPr>
          <w:rFonts w:ascii="Calibri" w:eastAsia="Calibri" w:hAnsi="Calibri" w:cs="Calibri"/>
          <w:sz w:val="24"/>
          <w:szCs w:val="24"/>
        </w:rPr>
        <w:t>. I</w:t>
      </w:r>
      <w:r w:rsidRPr="002A3E10">
        <w:rPr>
          <w:rFonts w:ascii="Calibri" w:eastAsia="Calibri" w:hAnsi="Calibri" w:cs="Calibri"/>
          <w:sz w:val="24"/>
          <w:szCs w:val="24"/>
        </w:rPr>
        <w:t xml:space="preserve">n </w:t>
      </w:r>
      <w:r>
        <w:rPr>
          <w:rFonts w:ascii="Calibri" w:eastAsia="Calibri" w:hAnsi="Calibri" w:cs="Calibri"/>
          <w:sz w:val="24"/>
          <w:szCs w:val="24"/>
        </w:rPr>
        <w:t>TA</w:t>
      </w:r>
      <w:r w:rsidRPr="002A3E10">
        <w:rPr>
          <w:rFonts w:ascii="Calibri" w:eastAsia="Calibri" w:hAnsi="Calibri" w:cs="Calibri"/>
          <w:sz w:val="24"/>
          <w:szCs w:val="24"/>
        </w:rPr>
        <w:t xml:space="preserve"> the whole of the researcher, the participants, their voices, their stories and the</w:t>
      </w:r>
      <w:r>
        <w:rPr>
          <w:rFonts w:ascii="Calibri" w:eastAsia="Calibri" w:hAnsi="Calibri" w:cs="Calibri"/>
          <w:sz w:val="24"/>
          <w:szCs w:val="24"/>
        </w:rPr>
        <w:t>ir context</w:t>
      </w:r>
      <w:r w:rsidRPr="002A3E10">
        <w:rPr>
          <w:rFonts w:ascii="Calibri" w:eastAsia="Calibri" w:hAnsi="Calibri" w:cs="Calibri"/>
          <w:sz w:val="24"/>
          <w:szCs w:val="24"/>
        </w:rPr>
        <w:t xml:space="preserve"> together with the overview </w:t>
      </w:r>
      <w:r w:rsidRPr="002A3E10">
        <w:rPr>
          <w:rFonts w:ascii="Calibri" w:eastAsia="Calibri" w:hAnsi="Calibri" w:cs="Calibri"/>
          <w:i/>
          <w:iCs/>
          <w:sz w:val="24"/>
          <w:szCs w:val="24"/>
        </w:rPr>
        <w:t xml:space="preserve">and </w:t>
      </w:r>
      <w:r w:rsidRPr="002A3E10">
        <w:rPr>
          <w:rFonts w:ascii="Calibri" w:eastAsia="Calibri" w:hAnsi="Calibri" w:cs="Calibri"/>
          <w:sz w:val="24"/>
          <w:szCs w:val="24"/>
        </w:rPr>
        <w:t xml:space="preserve">the detail of the data collected are included. In addition, TA facilitates and enables new stories to emerge from the </w:t>
      </w:r>
      <w:r>
        <w:rPr>
          <w:rFonts w:ascii="Calibri" w:eastAsia="Calibri" w:hAnsi="Calibri" w:cs="Calibri"/>
          <w:sz w:val="24"/>
          <w:szCs w:val="24"/>
        </w:rPr>
        <w:t xml:space="preserve">researcher’s </w:t>
      </w:r>
      <w:r w:rsidRPr="002A3E10">
        <w:rPr>
          <w:rFonts w:ascii="Calibri" w:eastAsia="Calibri" w:hAnsi="Calibri" w:cs="Calibri"/>
          <w:sz w:val="24"/>
          <w:szCs w:val="24"/>
        </w:rPr>
        <w:t xml:space="preserve">insights </w:t>
      </w:r>
      <w:r>
        <w:rPr>
          <w:rFonts w:ascii="Calibri" w:eastAsia="Calibri" w:hAnsi="Calibri" w:cs="Calibri"/>
          <w:sz w:val="24"/>
          <w:szCs w:val="24"/>
        </w:rPr>
        <w:t xml:space="preserve">and </w:t>
      </w:r>
      <w:r w:rsidRPr="002A3E10">
        <w:rPr>
          <w:rFonts w:ascii="Calibri" w:eastAsia="Calibri" w:hAnsi="Calibri" w:cs="Calibri"/>
          <w:sz w:val="24"/>
          <w:szCs w:val="24"/>
        </w:rPr>
        <w:t>is a creative endeavour that allows for the birthing of a new story. The process is so much more than an analysis of themes</w:t>
      </w:r>
      <w:r w:rsidR="00720A13">
        <w:rPr>
          <w:rFonts w:ascii="Calibri" w:eastAsia="Calibri" w:hAnsi="Calibri" w:cs="Calibri"/>
          <w:sz w:val="24"/>
          <w:szCs w:val="24"/>
        </w:rPr>
        <w:t>,</w:t>
      </w:r>
      <w:r w:rsidRPr="002A3E10">
        <w:rPr>
          <w:rFonts w:ascii="Calibri" w:eastAsia="Calibri" w:hAnsi="Calibri" w:cs="Calibri"/>
          <w:sz w:val="24"/>
          <w:szCs w:val="24"/>
        </w:rPr>
        <w:t xml:space="preserve"> it is a journey that requires of the researcher attunement (Erskine, 1993), learning by doing (Dewey, 1938), experiential learning (Kolb, 1984), a capacity for concern (Winnicott, 1963) for the participants and their stor</w:t>
      </w:r>
      <w:r w:rsidR="003658E7">
        <w:rPr>
          <w:rFonts w:ascii="Calibri" w:eastAsia="Calibri" w:hAnsi="Calibri" w:cs="Calibri"/>
          <w:sz w:val="24"/>
          <w:szCs w:val="24"/>
        </w:rPr>
        <w:t xml:space="preserve">ies </w:t>
      </w:r>
      <w:r w:rsidRPr="002A3E10">
        <w:rPr>
          <w:rFonts w:ascii="Calibri" w:eastAsia="Calibri" w:hAnsi="Calibri" w:cs="Calibri"/>
          <w:sz w:val="24"/>
          <w:szCs w:val="24"/>
        </w:rPr>
        <w:t>and a willingness to let the stories in the data actualise (Maslow, 1943), individuate (Jung, 1959)</w:t>
      </w:r>
      <w:r>
        <w:rPr>
          <w:rFonts w:ascii="Calibri" w:eastAsia="Calibri" w:hAnsi="Calibri" w:cs="Calibri"/>
          <w:sz w:val="24"/>
          <w:szCs w:val="24"/>
        </w:rPr>
        <w:t>, breathe (Frank, 2010)</w:t>
      </w:r>
      <w:r w:rsidRPr="002A3E10">
        <w:rPr>
          <w:rFonts w:ascii="Calibri" w:eastAsia="Calibri" w:hAnsi="Calibri" w:cs="Calibri"/>
          <w:sz w:val="24"/>
          <w:szCs w:val="24"/>
        </w:rPr>
        <w:t xml:space="preserve"> and come to life. </w:t>
      </w:r>
    </w:p>
    <w:p w14:paraId="3180905A" w14:textId="6A354AD4" w:rsidR="000171E2" w:rsidRPr="002A3E10" w:rsidRDefault="000171E2" w:rsidP="00E21691">
      <w:pPr>
        <w:spacing w:line="360" w:lineRule="auto"/>
        <w:rPr>
          <w:rFonts w:ascii="Calibri" w:eastAsia="Calibri" w:hAnsi="Calibri" w:cs="Times New Roman"/>
          <w:b/>
          <w:bCs/>
          <w:sz w:val="24"/>
          <w:szCs w:val="24"/>
        </w:rPr>
      </w:pPr>
      <w:r w:rsidRPr="002A3E10">
        <w:rPr>
          <w:rFonts w:ascii="Calibri" w:eastAsia="Calibri" w:hAnsi="Calibri" w:cs="Times New Roman"/>
          <w:b/>
          <w:bCs/>
          <w:sz w:val="24"/>
          <w:szCs w:val="24"/>
        </w:rPr>
        <w:t>Review</w:t>
      </w:r>
    </w:p>
    <w:bookmarkEnd w:id="61"/>
    <w:p w14:paraId="2C2EA556" w14:textId="14965A0B" w:rsidR="000171E2" w:rsidRPr="001600EE" w:rsidRDefault="000171E2" w:rsidP="00E21691">
      <w:pPr>
        <w:spacing w:line="360" w:lineRule="auto"/>
        <w:rPr>
          <w:rFonts w:ascii="Calibri" w:eastAsia="Calibri" w:hAnsi="Calibri" w:cs="Times New Roman"/>
          <w:sz w:val="24"/>
          <w:szCs w:val="24"/>
        </w:rPr>
      </w:pPr>
      <w:r w:rsidRPr="002A3E10">
        <w:rPr>
          <w:rFonts w:ascii="Calibri" w:eastAsia="Calibri" w:hAnsi="Calibri" w:cs="Times New Roman"/>
          <w:sz w:val="24"/>
          <w:szCs w:val="24"/>
        </w:rPr>
        <w:t>Beginning with the research aims and questions, a qualitative methodological approach was argued for based on the nature of the study, epistemological and ontological positionalit</w:t>
      </w:r>
      <w:r>
        <w:rPr>
          <w:rFonts w:ascii="Calibri" w:eastAsia="Calibri" w:hAnsi="Calibri" w:cs="Times New Roman"/>
          <w:sz w:val="24"/>
          <w:szCs w:val="24"/>
        </w:rPr>
        <w:t xml:space="preserve">ies </w:t>
      </w:r>
      <w:r w:rsidRPr="002A3E10">
        <w:rPr>
          <w:rFonts w:ascii="Calibri" w:eastAsia="Calibri" w:hAnsi="Calibri" w:cs="Times New Roman"/>
          <w:sz w:val="24"/>
          <w:szCs w:val="24"/>
        </w:rPr>
        <w:t>and the methods used. The data analysis instrument was critically examined, reflected upon</w:t>
      </w:r>
      <w:r w:rsidR="00975C59">
        <w:rPr>
          <w:rFonts w:ascii="Calibri" w:eastAsia="Calibri" w:hAnsi="Calibri" w:cs="Times New Roman"/>
          <w:sz w:val="24"/>
          <w:szCs w:val="24"/>
        </w:rPr>
        <w:t xml:space="preserve"> and</w:t>
      </w:r>
      <w:r w:rsidRPr="002A3E10">
        <w:rPr>
          <w:rFonts w:ascii="Calibri" w:eastAsia="Calibri" w:hAnsi="Calibri" w:cs="Times New Roman"/>
          <w:sz w:val="24"/>
          <w:szCs w:val="24"/>
        </w:rPr>
        <w:t xml:space="preserve"> justified</w:t>
      </w:r>
      <w:r w:rsidR="00975C59">
        <w:rPr>
          <w:rFonts w:ascii="Calibri" w:eastAsia="Calibri" w:hAnsi="Calibri" w:cs="Times New Roman"/>
          <w:sz w:val="24"/>
          <w:szCs w:val="24"/>
        </w:rPr>
        <w:t>,</w:t>
      </w:r>
      <w:r w:rsidRPr="002A3E10">
        <w:rPr>
          <w:rFonts w:ascii="Calibri" w:eastAsia="Calibri" w:hAnsi="Calibri" w:cs="Times New Roman"/>
          <w:sz w:val="24"/>
          <w:szCs w:val="24"/>
        </w:rPr>
        <w:t xml:space="preserve"> and limitations were woven into the fabric of each section. Reflections on ethics ensured the ethicality and validity of this study and therein acted as an overall safeguarding mechanism. </w:t>
      </w:r>
      <w:r>
        <w:rPr>
          <w:rFonts w:ascii="Calibri" w:eastAsia="Calibri" w:hAnsi="Calibri" w:cs="Times New Roman"/>
          <w:sz w:val="24"/>
          <w:szCs w:val="24"/>
        </w:rPr>
        <w:t xml:space="preserve">A short reflective piece acts as a bridge to </w:t>
      </w:r>
      <w:r w:rsidR="007D5D96">
        <w:rPr>
          <w:rFonts w:ascii="Calibri" w:eastAsia="Calibri" w:hAnsi="Calibri" w:cs="Times New Roman"/>
          <w:sz w:val="24"/>
          <w:szCs w:val="24"/>
        </w:rPr>
        <w:t>C</w:t>
      </w:r>
      <w:r>
        <w:rPr>
          <w:rFonts w:ascii="Calibri" w:eastAsia="Calibri" w:hAnsi="Calibri" w:cs="Times New Roman"/>
          <w:sz w:val="24"/>
          <w:szCs w:val="24"/>
        </w:rPr>
        <w:t xml:space="preserve">hapter </w:t>
      </w:r>
      <w:r w:rsidR="007D5D96">
        <w:rPr>
          <w:rFonts w:ascii="Calibri" w:eastAsia="Calibri" w:hAnsi="Calibri" w:cs="Times New Roman"/>
          <w:sz w:val="24"/>
          <w:szCs w:val="24"/>
        </w:rPr>
        <w:t>Five</w:t>
      </w:r>
      <w:r>
        <w:rPr>
          <w:rFonts w:ascii="Calibri" w:eastAsia="Calibri" w:hAnsi="Calibri" w:cs="Times New Roman"/>
          <w:sz w:val="24"/>
          <w:szCs w:val="24"/>
        </w:rPr>
        <w:t xml:space="preserve"> where the data analysis </w:t>
      </w:r>
      <w:r w:rsidR="00A678DF">
        <w:rPr>
          <w:rFonts w:ascii="Calibri" w:eastAsia="Calibri" w:hAnsi="Calibri" w:cs="Times New Roman"/>
          <w:sz w:val="24"/>
          <w:szCs w:val="24"/>
        </w:rPr>
        <w:t>method</w:t>
      </w:r>
      <w:r>
        <w:rPr>
          <w:rFonts w:ascii="Calibri" w:eastAsia="Calibri" w:hAnsi="Calibri" w:cs="Times New Roman"/>
          <w:sz w:val="24"/>
          <w:szCs w:val="24"/>
        </w:rPr>
        <w:t xml:space="preserve"> is applied.</w:t>
      </w:r>
    </w:p>
    <w:p w14:paraId="1489A983" w14:textId="77777777" w:rsidR="000171E2" w:rsidRDefault="000171E2" w:rsidP="00E21691">
      <w:pPr>
        <w:spacing w:line="360" w:lineRule="auto"/>
        <w:rPr>
          <w:sz w:val="24"/>
          <w:szCs w:val="24"/>
        </w:rPr>
      </w:pPr>
    </w:p>
    <w:p w14:paraId="48AB606B" w14:textId="77777777" w:rsidR="00F76EF3" w:rsidRDefault="00F76EF3" w:rsidP="00702632">
      <w:pPr>
        <w:rPr>
          <w:rFonts w:ascii="Calibri" w:hAnsi="Calibri" w:cs="Calibri"/>
          <w:b/>
          <w:bCs/>
          <w:sz w:val="24"/>
          <w:szCs w:val="24"/>
        </w:rPr>
      </w:pPr>
    </w:p>
    <w:p w14:paraId="1C3C6841" w14:textId="77777777" w:rsidR="00702632" w:rsidRDefault="00702632" w:rsidP="00702632">
      <w:pPr>
        <w:rPr>
          <w:rFonts w:ascii="Calibri" w:hAnsi="Calibri" w:cs="Calibri"/>
          <w:b/>
          <w:bCs/>
          <w:sz w:val="24"/>
          <w:szCs w:val="24"/>
        </w:rPr>
      </w:pPr>
    </w:p>
    <w:p w14:paraId="70A6A88C" w14:textId="77777777" w:rsidR="00F76EF3" w:rsidRDefault="00F76EF3" w:rsidP="00B10698">
      <w:pPr>
        <w:ind w:left="2880" w:firstLine="720"/>
        <w:rPr>
          <w:rFonts w:ascii="Calibri" w:hAnsi="Calibri" w:cs="Calibri"/>
          <w:b/>
          <w:bCs/>
          <w:sz w:val="24"/>
          <w:szCs w:val="24"/>
        </w:rPr>
      </w:pPr>
    </w:p>
    <w:p w14:paraId="695DFBD0" w14:textId="77777777" w:rsidR="00897228" w:rsidRDefault="00897228" w:rsidP="00B10698">
      <w:pPr>
        <w:ind w:left="2880" w:firstLine="720"/>
        <w:rPr>
          <w:rFonts w:ascii="Calibri" w:hAnsi="Calibri" w:cs="Calibri"/>
          <w:b/>
          <w:bCs/>
          <w:sz w:val="24"/>
          <w:szCs w:val="24"/>
        </w:rPr>
      </w:pPr>
    </w:p>
    <w:p w14:paraId="6624B740" w14:textId="77777777" w:rsidR="00897228" w:rsidRDefault="00897228" w:rsidP="00B10698">
      <w:pPr>
        <w:ind w:left="2880" w:firstLine="720"/>
        <w:rPr>
          <w:rFonts w:ascii="Calibri" w:hAnsi="Calibri" w:cs="Calibri"/>
          <w:b/>
          <w:bCs/>
          <w:sz w:val="24"/>
          <w:szCs w:val="24"/>
        </w:rPr>
      </w:pPr>
    </w:p>
    <w:p w14:paraId="55F5D548" w14:textId="77777777" w:rsidR="00F76EF3" w:rsidRDefault="00F76EF3" w:rsidP="00B10698">
      <w:pPr>
        <w:ind w:left="2880" w:firstLine="720"/>
        <w:rPr>
          <w:rFonts w:ascii="Calibri" w:hAnsi="Calibri" w:cs="Calibri"/>
          <w:b/>
          <w:bCs/>
          <w:sz w:val="24"/>
          <w:szCs w:val="24"/>
        </w:rPr>
      </w:pPr>
    </w:p>
    <w:p w14:paraId="2912C447" w14:textId="449CFF2A" w:rsidR="00B10698" w:rsidRPr="00442060" w:rsidRDefault="00B10698" w:rsidP="00B10698">
      <w:pPr>
        <w:ind w:left="2880" w:firstLine="720"/>
        <w:rPr>
          <w:rFonts w:ascii="Calibri" w:hAnsi="Calibri" w:cs="Calibri"/>
          <w:b/>
          <w:bCs/>
          <w:sz w:val="28"/>
          <w:szCs w:val="28"/>
        </w:rPr>
      </w:pPr>
      <w:r w:rsidRPr="00442060">
        <w:rPr>
          <w:rFonts w:ascii="Calibri" w:hAnsi="Calibri" w:cs="Calibri"/>
          <w:b/>
          <w:bCs/>
          <w:sz w:val="28"/>
          <w:szCs w:val="28"/>
        </w:rPr>
        <w:lastRenderedPageBreak/>
        <w:t xml:space="preserve">Reflections </w:t>
      </w:r>
    </w:p>
    <w:p w14:paraId="72EF9042" w14:textId="77777777" w:rsidR="00D654B0" w:rsidRDefault="00D654B0" w:rsidP="00B51CA5">
      <w:pPr>
        <w:ind w:left="720"/>
        <w:rPr>
          <w:rFonts w:ascii="Calibri" w:hAnsi="Calibri" w:cs="Calibri"/>
        </w:rPr>
      </w:pPr>
    </w:p>
    <w:p w14:paraId="50009037" w14:textId="47390E8A" w:rsidR="00B10698" w:rsidRPr="00B51CA5" w:rsidRDefault="00B10698" w:rsidP="00B51CA5">
      <w:pPr>
        <w:ind w:left="720"/>
        <w:rPr>
          <w:rFonts w:ascii="Calibri" w:hAnsi="Calibri" w:cs="Calibri"/>
        </w:rPr>
      </w:pPr>
      <w:r w:rsidRPr="00B51CA5">
        <w:rPr>
          <w:rFonts w:ascii="Calibri" w:hAnsi="Calibri" w:cs="Calibri"/>
        </w:rPr>
        <w:t>Method in psychology must not hinder love from working, and we are foolish to decry as inferior the very means by which love understands. If we have not understood personifying, it is because the main tradition has always tried to explain it rather than understand it.</w:t>
      </w:r>
    </w:p>
    <w:p w14:paraId="40A95F34" w14:textId="77777777" w:rsidR="00B10698" w:rsidRPr="00D55B4E" w:rsidRDefault="00B10698" w:rsidP="004E6EFA">
      <w:pPr>
        <w:spacing w:line="360" w:lineRule="auto"/>
        <w:ind w:left="72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(Hillman, 1975, p.15)</w:t>
      </w:r>
    </w:p>
    <w:p w14:paraId="6109B876" w14:textId="77777777" w:rsidR="00D654B0" w:rsidRDefault="00D654B0" w:rsidP="00827AF6">
      <w:pPr>
        <w:spacing w:line="360" w:lineRule="auto"/>
        <w:rPr>
          <w:rFonts w:ascii="Calibri" w:hAnsi="Calibri" w:cs="Calibri"/>
          <w:sz w:val="24"/>
          <w:szCs w:val="24"/>
        </w:rPr>
      </w:pPr>
    </w:p>
    <w:p w14:paraId="3CB623D5" w14:textId="6B7E22CB" w:rsidR="00B10698" w:rsidRDefault="00B10698" w:rsidP="00827AF6">
      <w:pPr>
        <w:spacing w:line="360" w:lineRule="auto"/>
        <w:rPr>
          <w:rFonts w:ascii="Calibri" w:hAnsi="Calibri" w:cs="Calibri"/>
          <w:sz w:val="24"/>
          <w:szCs w:val="24"/>
        </w:rPr>
      </w:pPr>
      <w:r>
        <w:rPr>
          <w:rFonts w:ascii="Calibri" w:hAnsi="Calibri" w:cs="Calibri"/>
          <w:sz w:val="24"/>
          <w:szCs w:val="24"/>
        </w:rPr>
        <w:t>When deciding upon a research methodology, as with all the other chapters, personifying</w:t>
      </w:r>
      <w:r w:rsidR="00AC329E">
        <w:rPr>
          <w:rFonts w:ascii="Calibri" w:hAnsi="Calibri" w:cs="Calibri"/>
          <w:sz w:val="24"/>
          <w:szCs w:val="24"/>
        </w:rPr>
        <w:t xml:space="preserve">, </w:t>
      </w:r>
      <w:r>
        <w:rPr>
          <w:rFonts w:ascii="Calibri" w:hAnsi="Calibri" w:cs="Calibri"/>
          <w:sz w:val="24"/>
          <w:szCs w:val="24"/>
        </w:rPr>
        <w:t xml:space="preserve">love, passion, curiosity, creativity, a capacity for concern </w:t>
      </w:r>
      <w:r w:rsidR="000D23F0">
        <w:rPr>
          <w:rFonts w:ascii="Calibri" w:hAnsi="Calibri" w:cs="Calibri"/>
          <w:sz w:val="24"/>
          <w:szCs w:val="24"/>
        </w:rPr>
        <w:t xml:space="preserve">(Winnicott, 1963) </w:t>
      </w:r>
      <w:r>
        <w:rPr>
          <w:rFonts w:ascii="Calibri" w:hAnsi="Calibri" w:cs="Calibri"/>
          <w:sz w:val="24"/>
          <w:szCs w:val="24"/>
        </w:rPr>
        <w:t>and holding</w:t>
      </w:r>
      <w:r w:rsidR="000D23F0">
        <w:rPr>
          <w:rFonts w:ascii="Calibri" w:hAnsi="Calibri" w:cs="Calibri"/>
          <w:sz w:val="24"/>
          <w:szCs w:val="24"/>
        </w:rPr>
        <w:t xml:space="preserve"> (Winnicott, 1965)</w:t>
      </w:r>
      <w:r>
        <w:rPr>
          <w:rFonts w:ascii="Calibri" w:hAnsi="Calibri" w:cs="Calibri"/>
          <w:sz w:val="24"/>
          <w:szCs w:val="24"/>
        </w:rPr>
        <w:t xml:space="preserve"> beckoned. Being passionate about the energy of groups and well-versed in safely holding teaching spaces, my original choice of method was a two-stage instrument. I proposed firstly presenting a workshop to current trainee teachers on the subject of holding</w:t>
      </w:r>
      <w:r w:rsidR="00312D8B">
        <w:rPr>
          <w:rFonts w:ascii="Calibri" w:hAnsi="Calibri" w:cs="Calibri"/>
          <w:sz w:val="24"/>
          <w:szCs w:val="24"/>
        </w:rPr>
        <w:t xml:space="preserve"> (Winnicott, 1965)</w:t>
      </w:r>
      <w:r>
        <w:rPr>
          <w:rFonts w:ascii="Calibri" w:hAnsi="Calibri" w:cs="Calibri"/>
          <w:sz w:val="24"/>
          <w:szCs w:val="24"/>
        </w:rPr>
        <w:t xml:space="preserve">. Stage II comprised my facilitating a focus group with these participants </w:t>
      </w:r>
      <w:r w:rsidRPr="00C94274">
        <w:rPr>
          <w:rFonts w:ascii="Calibri" w:hAnsi="Calibri" w:cs="Calibri"/>
          <w:sz w:val="24"/>
          <w:szCs w:val="24"/>
        </w:rPr>
        <w:t xml:space="preserve">to </w:t>
      </w:r>
      <w:r>
        <w:rPr>
          <w:rFonts w:ascii="Calibri" w:hAnsi="Calibri" w:cs="Calibri"/>
          <w:sz w:val="24"/>
          <w:szCs w:val="24"/>
        </w:rPr>
        <w:t>discuss</w:t>
      </w:r>
      <w:r w:rsidRPr="00C94274">
        <w:rPr>
          <w:rFonts w:ascii="Calibri" w:hAnsi="Calibri" w:cs="Calibri"/>
          <w:sz w:val="24"/>
          <w:szCs w:val="24"/>
        </w:rPr>
        <w:t xml:space="preserve"> how</w:t>
      </w:r>
      <w:r>
        <w:rPr>
          <w:rFonts w:ascii="Calibri" w:hAnsi="Calibri" w:cs="Calibri"/>
          <w:sz w:val="24"/>
          <w:szCs w:val="24"/>
        </w:rPr>
        <w:t>/if</w:t>
      </w:r>
      <w:r w:rsidRPr="00C94274">
        <w:rPr>
          <w:rFonts w:ascii="Calibri" w:hAnsi="Calibri" w:cs="Calibri"/>
          <w:sz w:val="24"/>
          <w:szCs w:val="24"/>
        </w:rPr>
        <w:t xml:space="preserve"> th</w:t>
      </w:r>
      <w:r>
        <w:rPr>
          <w:rFonts w:ascii="Calibri" w:hAnsi="Calibri" w:cs="Calibri"/>
          <w:sz w:val="24"/>
          <w:szCs w:val="24"/>
        </w:rPr>
        <w:t xml:space="preserve">is concept informed </w:t>
      </w:r>
      <w:r w:rsidRPr="00C94274">
        <w:rPr>
          <w:rFonts w:ascii="Calibri" w:hAnsi="Calibri" w:cs="Calibri"/>
          <w:sz w:val="24"/>
          <w:szCs w:val="24"/>
        </w:rPr>
        <w:t>their teaching practice.</w:t>
      </w:r>
      <w:r>
        <w:rPr>
          <w:rFonts w:ascii="Calibri" w:hAnsi="Calibri" w:cs="Calibri"/>
          <w:sz w:val="24"/>
          <w:szCs w:val="24"/>
        </w:rPr>
        <w:t xml:space="preserve"> When meeting my principal research supervisor for the first time, I was informed that I would struggle to gain ethical approval due to these methods being seen as conducting a therapeutic intervention</w:t>
      </w:r>
      <w:r w:rsidR="003F3342">
        <w:rPr>
          <w:rFonts w:ascii="Calibri" w:hAnsi="Calibri" w:cs="Calibri"/>
          <w:sz w:val="24"/>
          <w:szCs w:val="24"/>
        </w:rPr>
        <w:t xml:space="preserve"> (Schultz, 2022b)</w:t>
      </w:r>
      <w:r>
        <w:rPr>
          <w:rFonts w:ascii="Calibri" w:hAnsi="Calibri" w:cs="Calibri"/>
          <w:sz w:val="24"/>
          <w:szCs w:val="24"/>
        </w:rPr>
        <w:t>. My supervisor proposed semi-structured interviews with a narrative focus as an accepted exploratory method. This sudden change resulted in fear, confusion and disappointment and led to reflections about my research, my inexperience and vulnerability as a researcher, the nature of research, the ethical approval process and research instruments.</w:t>
      </w:r>
    </w:p>
    <w:p w14:paraId="32898955" w14:textId="440A2990" w:rsidR="00B10698" w:rsidRDefault="00B10698" w:rsidP="00827AF6">
      <w:pPr>
        <w:spacing w:line="360" w:lineRule="auto"/>
        <w:rPr>
          <w:rFonts w:ascii="Calibri" w:hAnsi="Calibri" w:cs="Calibri"/>
          <w:sz w:val="24"/>
          <w:szCs w:val="24"/>
        </w:rPr>
      </w:pPr>
      <w:r>
        <w:rPr>
          <w:rFonts w:ascii="Calibri" w:hAnsi="Calibri" w:cs="Calibri"/>
          <w:sz w:val="24"/>
          <w:szCs w:val="24"/>
        </w:rPr>
        <w:t xml:space="preserve">I am reminded of the fairy tale </w:t>
      </w:r>
      <w:r w:rsidRPr="00FF5C25">
        <w:rPr>
          <w:rFonts w:ascii="Calibri" w:hAnsi="Calibri" w:cs="Calibri"/>
          <w:sz w:val="24"/>
          <w:szCs w:val="24"/>
        </w:rPr>
        <w:t>Cinderella</w:t>
      </w:r>
      <w:r>
        <w:rPr>
          <w:rFonts w:ascii="Calibri" w:hAnsi="Calibri" w:cs="Calibri"/>
          <w:sz w:val="24"/>
          <w:szCs w:val="24"/>
        </w:rPr>
        <w:t xml:space="preserve"> (Grimm</w:t>
      </w:r>
      <w:r w:rsidR="0048501D">
        <w:rPr>
          <w:rFonts w:ascii="Calibri" w:hAnsi="Calibri" w:cs="Calibri"/>
          <w:sz w:val="24"/>
          <w:szCs w:val="24"/>
        </w:rPr>
        <w:t xml:space="preserve"> and Grimm</w:t>
      </w:r>
      <w:r w:rsidR="005E67C4">
        <w:rPr>
          <w:rFonts w:ascii="Calibri" w:hAnsi="Calibri" w:cs="Calibri"/>
          <w:sz w:val="24"/>
          <w:szCs w:val="24"/>
        </w:rPr>
        <w:t xml:space="preserve">, </w:t>
      </w:r>
      <w:r>
        <w:rPr>
          <w:rFonts w:ascii="Calibri" w:hAnsi="Calibri" w:cs="Calibri"/>
          <w:sz w:val="24"/>
          <w:szCs w:val="24"/>
        </w:rPr>
        <w:t>1869)</w:t>
      </w:r>
      <w:r w:rsidR="0081618F">
        <w:rPr>
          <w:rFonts w:ascii="Calibri" w:hAnsi="Calibri" w:cs="Calibri"/>
          <w:sz w:val="24"/>
          <w:szCs w:val="24"/>
        </w:rPr>
        <w:t>. In the tale</w:t>
      </w:r>
      <w:r w:rsidR="007B7124">
        <w:rPr>
          <w:rFonts w:ascii="Calibri" w:hAnsi="Calibri" w:cs="Calibri"/>
          <w:sz w:val="24"/>
          <w:szCs w:val="24"/>
        </w:rPr>
        <w:t xml:space="preserve">, </w:t>
      </w:r>
      <w:r>
        <w:rPr>
          <w:rFonts w:ascii="Calibri" w:hAnsi="Calibri" w:cs="Calibri"/>
          <w:sz w:val="24"/>
          <w:szCs w:val="24"/>
        </w:rPr>
        <w:t>the stepsisters and stepmother threw dried lentils and peas into the ashes on the kitchen hearth and ordered Cinderella to separate them out within a specified time limit. Only then would she be allowed to go to the ball. Two white pigeons, some turtle doves then a whole swarm of birds helped her in this task, yet her entry to the ball remained barred by being set further seemingly impossible tasks (</w:t>
      </w:r>
      <w:r w:rsidR="00AB1ADC">
        <w:rPr>
          <w:rFonts w:ascii="Calibri" w:hAnsi="Calibri" w:cs="Calibri"/>
          <w:sz w:val="24"/>
          <w:szCs w:val="24"/>
        </w:rPr>
        <w:t>ibid.</w:t>
      </w:r>
      <w:r>
        <w:rPr>
          <w:rFonts w:ascii="Calibri" w:hAnsi="Calibri" w:cs="Calibri"/>
          <w:sz w:val="24"/>
          <w:szCs w:val="24"/>
        </w:rPr>
        <w:t xml:space="preserve">). From a position of naivety as a </w:t>
      </w:r>
      <w:r w:rsidR="008E40E7">
        <w:rPr>
          <w:rFonts w:ascii="Calibri" w:hAnsi="Calibri" w:cs="Calibri"/>
          <w:sz w:val="24"/>
          <w:szCs w:val="24"/>
        </w:rPr>
        <w:t>researcher,</w:t>
      </w:r>
      <w:r>
        <w:rPr>
          <w:rFonts w:ascii="Calibri" w:hAnsi="Calibri" w:cs="Calibri"/>
          <w:sz w:val="24"/>
          <w:szCs w:val="24"/>
        </w:rPr>
        <w:t xml:space="preserve"> I assumed that my experience as a psychotherapist, teacher and group facilitator would provide automatic entrance to the research ball. Although not conducting a therapeutic intervention, by introducing a Winnicottian concept it was feared and speculated that boundaries would be compromised. Now more experienced as a researcher, in future I </w:t>
      </w:r>
      <w:r>
        <w:rPr>
          <w:rFonts w:ascii="Calibri" w:hAnsi="Calibri" w:cs="Calibri"/>
          <w:sz w:val="24"/>
          <w:szCs w:val="24"/>
        </w:rPr>
        <w:lastRenderedPageBreak/>
        <w:t xml:space="preserve">would find a legitimate and ethical way of using focussed group conversations to research the notion of teacher support/holding. </w:t>
      </w:r>
    </w:p>
    <w:p w14:paraId="61664B62" w14:textId="2271FE74" w:rsidR="00B10698" w:rsidRDefault="00B10698" w:rsidP="00827AF6">
      <w:pPr>
        <w:spacing w:line="360" w:lineRule="auto"/>
        <w:rPr>
          <w:rFonts w:ascii="Calibri" w:hAnsi="Calibri" w:cs="Calibri"/>
          <w:sz w:val="24"/>
          <w:szCs w:val="24"/>
        </w:rPr>
      </w:pPr>
      <w:r>
        <w:rPr>
          <w:rFonts w:ascii="Calibri" w:hAnsi="Calibri" w:cs="Calibri"/>
          <w:sz w:val="24"/>
          <w:szCs w:val="24"/>
        </w:rPr>
        <w:t xml:space="preserve">In the song </w:t>
      </w:r>
      <w:r w:rsidRPr="00A70986">
        <w:rPr>
          <w:rFonts w:ascii="Calibri" w:hAnsi="Calibri" w:cs="Calibri"/>
          <w:i/>
          <w:iCs/>
          <w:sz w:val="24"/>
          <w:szCs w:val="24"/>
        </w:rPr>
        <w:t xml:space="preserve">Ironic </w:t>
      </w:r>
      <w:r>
        <w:rPr>
          <w:rFonts w:ascii="Calibri" w:hAnsi="Calibri" w:cs="Calibri"/>
          <w:sz w:val="24"/>
          <w:szCs w:val="24"/>
        </w:rPr>
        <w:t>(Ballard and Morissette, 1995) Morissette reflects on sudden and unexpected life events: “Well</w:t>
      </w:r>
      <w:r w:rsidR="008026CE">
        <w:rPr>
          <w:rFonts w:ascii="Calibri" w:hAnsi="Calibri" w:cs="Calibri"/>
          <w:sz w:val="24"/>
          <w:szCs w:val="24"/>
        </w:rPr>
        <w:t>,</w:t>
      </w:r>
      <w:r>
        <w:rPr>
          <w:rFonts w:ascii="Calibri" w:hAnsi="Calibri" w:cs="Calibri"/>
          <w:sz w:val="24"/>
          <w:szCs w:val="24"/>
        </w:rPr>
        <w:t xml:space="preserve"> life has a funny way of sneaking up on you, when you think everything’s okay”, ending with “Life has a funny, funny way of helping you out…”. Although initially seeing the rejection of the first research instrument as “a death row pardon ten minutes too late” (</w:t>
      </w:r>
      <w:r w:rsidR="00AB1ADC">
        <w:rPr>
          <w:rFonts w:ascii="Calibri" w:hAnsi="Calibri" w:cs="Calibri"/>
          <w:sz w:val="24"/>
          <w:szCs w:val="24"/>
        </w:rPr>
        <w:t>ibid.</w:t>
      </w:r>
      <w:r>
        <w:rPr>
          <w:rFonts w:ascii="Calibri" w:hAnsi="Calibri" w:cs="Calibri"/>
          <w:sz w:val="24"/>
          <w:szCs w:val="24"/>
        </w:rPr>
        <w:t xml:space="preserve">), my supervisor, as a fairy god person trope, was helping to separate </w:t>
      </w:r>
      <w:r w:rsidR="008026CE">
        <w:rPr>
          <w:rFonts w:ascii="Calibri" w:hAnsi="Calibri" w:cs="Calibri"/>
          <w:sz w:val="24"/>
          <w:szCs w:val="24"/>
        </w:rPr>
        <w:t>t</w:t>
      </w:r>
      <w:r>
        <w:rPr>
          <w:rFonts w:ascii="Calibri" w:hAnsi="Calibri" w:cs="Calibri"/>
          <w:sz w:val="24"/>
          <w:szCs w:val="24"/>
        </w:rPr>
        <w:t>he lentils from the peas and keep potential obstacles out of my research pathway.</w:t>
      </w:r>
    </w:p>
    <w:p w14:paraId="679B8854" w14:textId="77777777" w:rsidR="001872B0" w:rsidRDefault="001872B0" w:rsidP="00827AF6">
      <w:pPr>
        <w:spacing w:line="360" w:lineRule="auto"/>
        <w:rPr>
          <w:rFonts w:ascii="Calibri" w:hAnsi="Calibri" w:cs="Calibri"/>
          <w:sz w:val="24"/>
          <w:szCs w:val="24"/>
        </w:rPr>
      </w:pPr>
    </w:p>
    <w:p w14:paraId="612CEDD2" w14:textId="77777777" w:rsidR="001872B0" w:rsidRDefault="001872B0" w:rsidP="00827AF6">
      <w:pPr>
        <w:spacing w:line="360" w:lineRule="auto"/>
        <w:rPr>
          <w:rFonts w:ascii="Calibri" w:hAnsi="Calibri" w:cs="Calibri"/>
          <w:sz w:val="24"/>
          <w:szCs w:val="24"/>
        </w:rPr>
      </w:pPr>
    </w:p>
    <w:p w14:paraId="5A656DD6" w14:textId="77777777" w:rsidR="001872B0" w:rsidRDefault="001872B0" w:rsidP="00827AF6">
      <w:pPr>
        <w:spacing w:line="360" w:lineRule="auto"/>
        <w:rPr>
          <w:rFonts w:ascii="Calibri" w:hAnsi="Calibri" w:cs="Calibri"/>
          <w:sz w:val="24"/>
          <w:szCs w:val="24"/>
        </w:rPr>
      </w:pPr>
    </w:p>
    <w:p w14:paraId="576E8BE4" w14:textId="77777777" w:rsidR="001872B0" w:rsidRDefault="001872B0" w:rsidP="00827AF6">
      <w:pPr>
        <w:spacing w:line="360" w:lineRule="auto"/>
        <w:rPr>
          <w:rFonts w:ascii="Calibri" w:hAnsi="Calibri" w:cs="Calibri"/>
          <w:sz w:val="24"/>
          <w:szCs w:val="24"/>
        </w:rPr>
      </w:pPr>
    </w:p>
    <w:p w14:paraId="6C6580E0" w14:textId="77777777" w:rsidR="001872B0" w:rsidRDefault="001872B0" w:rsidP="00827AF6">
      <w:pPr>
        <w:spacing w:line="360" w:lineRule="auto"/>
        <w:rPr>
          <w:rFonts w:ascii="Calibri" w:hAnsi="Calibri" w:cs="Calibri"/>
          <w:sz w:val="24"/>
          <w:szCs w:val="24"/>
        </w:rPr>
      </w:pPr>
    </w:p>
    <w:p w14:paraId="6F4F51E3" w14:textId="77777777" w:rsidR="001872B0" w:rsidRDefault="001872B0" w:rsidP="00827AF6">
      <w:pPr>
        <w:spacing w:line="360" w:lineRule="auto"/>
        <w:rPr>
          <w:rFonts w:ascii="Calibri" w:hAnsi="Calibri" w:cs="Calibri"/>
          <w:sz w:val="24"/>
          <w:szCs w:val="24"/>
        </w:rPr>
      </w:pPr>
    </w:p>
    <w:p w14:paraId="577F2F1B" w14:textId="77777777" w:rsidR="001872B0" w:rsidRDefault="001872B0" w:rsidP="00827AF6">
      <w:pPr>
        <w:spacing w:line="360" w:lineRule="auto"/>
        <w:rPr>
          <w:rFonts w:ascii="Calibri" w:hAnsi="Calibri" w:cs="Calibri"/>
          <w:sz w:val="24"/>
          <w:szCs w:val="24"/>
        </w:rPr>
      </w:pPr>
    </w:p>
    <w:p w14:paraId="2050B661" w14:textId="77777777" w:rsidR="001872B0" w:rsidRDefault="001872B0" w:rsidP="00827AF6">
      <w:pPr>
        <w:spacing w:line="360" w:lineRule="auto"/>
        <w:rPr>
          <w:rFonts w:ascii="Calibri" w:hAnsi="Calibri" w:cs="Calibri"/>
          <w:sz w:val="24"/>
          <w:szCs w:val="24"/>
        </w:rPr>
      </w:pPr>
    </w:p>
    <w:p w14:paraId="3F6CC7BF" w14:textId="77777777" w:rsidR="001872B0" w:rsidRDefault="001872B0" w:rsidP="00827AF6">
      <w:pPr>
        <w:spacing w:line="360" w:lineRule="auto"/>
        <w:rPr>
          <w:rFonts w:ascii="Calibri" w:hAnsi="Calibri" w:cs="Calibri"/>
          <w:sz w:val="24"/>
          <w:szCs w:val="24"/>
        </w:rPr>
      </w:pPr>
    </w:p>
    <w:p w14:paraId="3578565B" w14:textId="77777777" w:rsidR="001872B0" w:rsidRDefault="001872B0" w:rsidP="00827AF6">
      <w:pPr>
        <w:spacing w:line="360" w:lineRule="auto"/>
        <w:rPr>
          <w:rFonts w:ascii="Calibri" w:hAnsi="Calibri" w:cs="Calibri"/>
          <w:sz w:val="24"/>
          <w:szCs w:val="24"/>
        </w:rPr>
      </w:pPr>
    </w:p>
    <w:p w14:paraId="5D445157" w14:textId="77777777" w:rsidR="001872B0" w:rsidRDefault="001872B0" w:rsidP="00827AF6">
      <w:pPr>
        <w:spacing w:line="360" w:lineRule="auto"/>
        <w:rPr>
          <w:rFonts w:ascii="Calibri" w:hAnsi="Calibri" w:cs="Calibri"/>
          <w:sz w:val="24"/>
          <w:szCs w:val="24"/>
        </w:rPr>
      </w:pPr>
    </w:p>
    <w:p w14:paraId="66B5FF6B" w14:textId="77777777" w:rsidR="001872B0" w:rsidRDefault="001872B0" w:rsidP="00827AF6">
      <w:pPr>
        <w:spacing w:line="360" w:lineRule="auto"/>
        <w:rPr>
          <w:rFonts w:ascii="Calibri" w:hAnsi="Calibri" w:cs="Calibri"/>
          <w:sz w:val="24"/>
          <w:szCs w:val="24"/>
        </w:rPr>
      </w:pPr>
    </w:p>
    <w:p w14:paraId="034032F0" w14:textId="77777777" w:rsidR="001872B0" w:rsidRDefault="001872B0" w:rsidP="00827AF6">
      <w:pPr>
        <w:spacing w:line="360" w:lineRule="auto"/>
        <w:rPr>
          <w:rFonts w:ascii="Calibri" w:hAnsi="Calibri" w:cs="Calibri"/>
          <w:sz w:val="24"/>
          <w:szCs w:val="24"/>
        </w:rPr>
      </w:pPr>
    </w:p>
    <w:p w14:paraId="746FDA4B" w14:textId="77777777" w:rsidR="001872B0" w:rsidRDefault="001872B0" w:rsidP="00827AF6">
      <w:pPr>
        <w:spacing w:line="360" w:lineRule="auto"/>
        <w:rPr>
          <w:rFonts w:ascii="Calibri" w:hAnsi="Calibri" w:cs="Calibri"/>
          <w:sz w:val="24"/>
          <w:szCs w:val="24"/>
        </w:rPr>
      </w:pPr>
    </w:p>
    <w:p w14:paraId="477EE6A7" w14:textId="77777777" w:rsidR="00600862" w:rsidRDefault="00600862" w:rsidP="00600862">
      <w:pPr>
        <w:rPr>
          <w:rFonts w:ascii="Calibri" w:hAnsi="Calibri" w:cs="Calibri"/>
          <w:sz w:val="72"/>
          <w:szCs w:val="72"/>
        </w:rPr>
      </w:pPr>
      <w:bookmarkStart w:id="64" w:name="_Hlk196128959"/>
      <w:bookmarkEnd w:id="64"/>
    </w:p>
    <w:p w14:paraId="3A86E584" w14:textId="77777777" w:rsidR="00A27C05" w:rsidRDefault="00A27C05" w:rsidP="00600862">
      <w:pPr>
        <w:ind w:left="1440" w:firstLine="720"/>
        <w:rPr>
          <w:rFonts w:ascii="Calibri" w:hAnsi="Calibri" w:cs="Calibri"/>
          <w:sz w:val="56"/>
          <w:szCs w:val="56"/>
        </w:rPr>
      </w:pPr>
    </w:p>
    <w:p w14:paraId="34ACDE7F" w14:textId="77777777" w:rsidR="00A27C05" w:rsidRDefault="00A27C05" w:rsidP="00600862">
      <w:pPr>
        <w:ind w:left="1440" w:firstLine="720"/>
        <w:rPr>
          <w:rFonts w:ascii="Calibri" w:hAnsi="Calibri" w:cs="Calibri"/>
          <w:sz w:val="56"/>
          <w:szCs w:val="56"/>
        </w:rPr>
      </w:pPr>
    </w:p>
    <w:p w14:paraId="4C5D8F8E" w14:textId="77777777" w:rsidR="00A27C05" w:rsidRDefault="00A27C05" w:rsidP="00600862">
      <w:pPr>
        <w:ind w:left="1440" w:firstLine="720"/>
        <w:rPr>
          <w:rFonts w:ascii="Calibri" w:hAnsi="Calibri" w:cs="Calibri"/>
          <w:sz w:val="56"/>
          <w:szCs w:val="56"/>
        </w:rPr>
      </w:pPr>
    </w:p>
    <w:p w14:paraId="4229377C" w14:textId="77777777" w:rsidR="00A27C05" w:rsidRDefault="00A27C05" w:rsidP="00600862">
      <w:pPr>
        <w:ind w:left="1440" w:firstLine="720"/>
        <w:rPr>
          <w:rFonts w:ascii="Calibri" w:hAnsi="Calibri" w:cs="Calibri"/>
          <w:sz w:val="56"/>
          <w:szCs w:val="56"/>
        </w:rPr>
      </w:pPr>
    </w:p>
    <w:p w14:paraId="0652B8C2" w14:textId="77777777" w:rsidR="00A27C05" w:rsidRDefault="00A27C05" w:rsidP="00600862">
      <w:pPr>
        <w:ind w:left="1440" w:firstLine="720"/>
        <w:rPr>
          <w:rFonts w:ascii="Calibri" w:hAnsi="Calibri" w:cs="Calibri"/>
          <w:sz w:val="56"/>
          <w:szCs w:val="56"/>
        </w:rPr>
      </w:pPr>
    </w:p>
    <w:p w14:paraId="526AD6BB" w14:textId="77777777" w:rsidR="00A27C05" w:rsidRDefault="00A27C05" w:rsidP="00547168">
      <w:pPr>
        <w:rPr>
          <w:rFonts w:ascii="Calibri" w:hAnsi="Calibri" w:cs="Calibri"/>
          <w:sz w:val="56"/>
          <w:szCs w:val="56"/>
        </w:rPr>
      </w:pPr>
    </w:p>
    <w:p w14:paraId="77BA3544" w14:textId="79266E85" w:rsidR="00A832D7" w:rsidRDefault="00333E55" w:rsidP="00600862">
      <w:pPr>
        <w:ind w:left="1440" w:firstLine="720"/>
        <w:rPr>
          <w:rFonts w:ascii="Calibri" w:hAnsi="Calibri" w:cs="Calibri"/>
          <w:sz w:val="56"/>
          <w:szCs w:val="56"/>
        </w:rPr>
      </w:pPr>
      <w:r>
        <w:rPr>
          <w:rFonts w:ascii="Calibri" w:hAnsi="Calibri" w:cs="Calibri"/>
          <w:sz w:val="56"/>
          <w:szCs w:val="56"/>
        </w:rPr>
        <w:t>Chapter</w:t>
      </w:r>
      <w:r w:rsidR="00235FF3">
        <w:rPr>
          <w:rFonts w:ascii="Calibri" w:hAnsi="Calibri" w:cs="Calibri"/>
          <w:sz w:val="56"/>
          <w:szCs w:val="56"/>
        </w:rPr>
        <w:t>s</w:t>
      </w:r>
      <w:r>
        <w:rPr>
          <w:rFonts w:ascii="Calibri" w:hAnsi="Calibri" w:cs="Calibri"/>
          <w:sz w:val="56"/>
          <w:szCs w:val="56"/>
        </w:rPr>
        <w:t xml:space="preserve"> Five</w:t>
      </w:r>
      <w:r w:rsidR="00235FF3">
        <w:rPr>
          <w:rFonts w:ascii="Calibri" w:hAnsi="Calibri" w:cs="Calibri"/>
          <w:sz w:val="56"/>
          <w:szCs w:val="56"/>
        </w:rPr>
        <w:t xml:space="preserve"> - Eight</w:t>
      </w:r>
      <w:r>
        <w:rPr>
          <w:rFonts w:ascii="Calibri" w:hAnsi="Calibri" w:cs="Calibri"/>
          <w:sz w:val="56"/>
          <w:szCs w:val="56"/>
        </w:rPr>
        <w:t xml:space="preserve">: </w:t>
      </w:r>
    </w:p>
    <w:p w14:paraId="7780D8BE" w14:textId="6BB721DB" w:rsidR="001872B0" w:rsidRPr="00333E55" w:rsidRDefault="00FB4A23" w:rsidP="00A832D7">
      <w:pPr>
        <w:ind w:left="1440" w:firstLine="720"/>
        <w:rPr>
          <w:rFonts w:ascii="Calibri" w:hAnsi="Calibri" w:cs="Calibri"/>
          <w:sz w:val="56"/>
          <w:szCs w:val="56"/>
        </w:rPr>
      </w:pPr>
      <w:r>
        <w:rPr>
          <w:rFonts w:ascii="Calibri" w:hAnsi="Calibri" w:cs="Calibri"/>
          <w:sz w:val="56"/>
          <w:szCs w:val="56"/>
        </w:rPr>
        <w:t xml:space="preserve">    </w:t>
      </w:r>
      <w:r w:rsidR="001872B0" w:rsidRPr="00333E55">
        <w:rPr>
          <w:rFonts w:ascii="Calibri" w:hAnsi="Calibri" w:cs="Calibri"/>
          <w:sz w:val="56"/>
          <w:szCs w:val="56"/>
        </w:rPr>
        <w:t>The Conquest</w:t>
      </w:r>
    </w:p>
    <w:p w14:paraId="2507F63F" w14:textId="77777777" w:rsidR="001872B0" w:rsidRDefault="001872B0" w:rsidP="0041158B">
      <w:pPr>
        <w:jc w:val="center"/>
        <w:rPr>
          <w:rFonts w:ascii="Calibri" w:hAnsi="Calibri" w:cs="Calibri"/>
          <w:sz w:val="32"/>
          <w:szCs w:val="32"/>
        </w:rPr>
      </w:pPr>
    </w:p>
    <w:p w14:paraId="3D7EA73A" w14:textId="77777777" w:rsidR="001872B0" w:rsidRDefault="001872B0" w:rsidP="0041158B">
      <w:pPr>
        <w:jc w:val="center"/>
        <w:rPr>
          <w:rFonts w:ascii="Calibri" w:hAnsi="Calibri" w:cs="Calibri"/>
          <w:sz w:val="32"/>
          <w:szCs w:val="32"/>
        </w:rPr>
      </w:pPr>
    </w:p>
    <w:p w14:paraId="3EE23BD4" w14:textId="77777777" w:rsidR="001872B0" w:rsidRDefault="001872B0" w:rsidP="0041158B">
      <w:pPr>
        <w:jc w:val="center"/>
        <w:rPr>
          <w:rFonts w:ascii="Calibri" w:hAnsi="Calibri" w:cs="Calibri"/>
          <w:sz w:val="32"/>
          <w:szCs w:val="32"/>
        </w:rPr>
      </w:pPr>
    </w:p>
    <w:p w14:paraId="081E131A" w14:textId="77777777" w:rsidR="001872B0" w:rsidRDefault="001872B0" w:rsidP="0041158B">
      <w:pPr>
        <w:jc w:val="center"/>
        <w:rPr>
          <w:rFonts w:ascii="Calibri" w:hAnsi="Calibri" w:cs="Calibri"/>
          <w:sz w:val="32"/>
          <w:szCs w:val="32"/>
        </w:rPr>
      </w:pPr>
    </w:p>
    <w:p w14:paraId="04CF932E" w14:textId="77777777" w:rsidR="001872B0" w:rsidRDefault="001872B0" w:rsidP="0041158B">
      <w:pPr>
        <w:jc w:val="center"/>
        <w:rPr>
          <w:rFonts w:ascii="Calibri" w:hAnsi="Calibri" w:cs="Calibri"/>
          <w:sz w:val="32"/>
          <w:szCs w:val="32"/>
        </w:rPr>
      </w:pPr>
    </w:p>
    <w:p w14:paraId="2A4E112C" w14:textId="77777777" w:rsidR="001872B0" w:rsidRDefault="001872B0" w:rsidP="0041158B">
      <w:pPr>
        <w:jc w:val="center"/>
        <w:rPr>
          <w:rFonts w:ascii="Calibri" w:hAnsi="Calibri" w:cs="Calibri"/>
          <w:sz w:val="32"/>
          <w:szCs w:val="32"/>
        </w:rPr>
      </w:pPr>
    </w:p>
    <w:p w14:paraId="1526D39D" w14:textId="77777777" w:rsidR="008138F7" w:rsidRDefault="008138F7" w:rsidP="0041158B">
      <w:pPr>
        <w:jc w:val="center"/>
        <w:rPr>
          <w:rFonts w:ascii="Calibri" w:hAnsi="Calibri" w:cs="Calibri"/>
          <w:sz w:val="32"/>
          <w:szCs w:val="32"/>
        </w:rPr>
      </w:pPr>
    </w:p>
    <w:p w14:paraId="08D7DF66" w14:textId="77777777" w:rsidR="008138F7" w:rsidRDefault="008138F7" w:rsidP="0041158B">
      <w:pPr>
        <w:jc w:val="center"/>
        <w:rPr>
          <w:rFonts w:ascii="Calibri" w:hAnsi="Calibri" w:cs="Calibri"/>
          <w:sz w:val="32"/>
          <w:szCs w:val="32"/>
        </w:rPr>
      </w:pPr>
    </w:p>
    <w:p w14:paraId="642C1900" w14:textId="77777777" w:rsidR="001872B0" w:rsidRDefault="001872B0" w:rsidP="00BF61A6">
      <w:pPr>
        <w:rPr>
          <w:rFonts w:ascii="Calibri" w:hAnsi="Calibri" w:cs="Calibri"/>
          <w:sz w:val="32"/>
          <w:szCs w:val="32"/>
        </w:rPr>
      </w:pPr>
    </w:p>
    <w:p w14:paraId="16B5E08C" w14:textId="77777777" w:rsidR="00A56E0C" w:rsidRDefault="00A56E0C" w:rsidP="00BF61A6">
      <w:pPr>
        <w:rPr>
          <w:rFonts w:ascii="Calibri" w:hAnsi="Calibri" w:cs="Calibri"/>
          <w:sz w:val="32"/>
          <w:szCs w:val="32"/>
        </w:rPr>
      </w:pPr>
    </w:p>
    <w:p w14:paraId="35A3B962" w14:textId="77777777" w:rsidR="00A56E0C" w:rsidRDefault="00A56E0C" w:rsidP="00BF61A6">
      <w:pPr>
        <w:rPr>
          <w:rFonts w:ascii="Calibri" w:hAnsi="Calibri" w:cs="Calibri"/>
          <w:sz w:val="32"/>
          <w:szCs w:val="32"/>
        </w:rPr>
      </w:pPr>
    </w:p>
    <w:p w14:paraId="6E5922D1" w14:textId="77777777" w:rsidR="0025158B" w:rsidRDefault="0025158B">
      <w:pPr>
        <w:rPr>
          <w:rFonts w:ascii="Calibri" w:hAnsi="Calibri" w:cs="Calibri"/>
          <w:sz w:val="24"/>
          <w:szCs w:val="24"/>
        </w:rPr>
      </w:pPr>
    </w:p>
    <w:p w14:paraId="4ED82136" w14:textId="703488A9" w:rsidR="001872B0" w:rsidRPr="00A27C05" w:rsidRDefault="00A042CD" w:rsidP="00B11FC7">
      <w:pPr>
        <w:ind w:left="1440" w:firstLine="720"/>
        <w:rPr>
          <w:rFonts w:ascii="Calibri" w:hAnsi="Calibri" w:cs="Calibri"/>
          <w:b/>
          <w:bCs/>
          <w:sz w:val="28"/>
          <w:szCs w:val="28"/>
        </w:rPr>
      </w:pPr>
      <w:r>
        <w:rPr>
          <w:rFonts w:ascii="Calibri" w:hAnsi="Calibri" w:cs="Calibri"/>
          <w:b/>
          <w:bCs/>
          <w:sz w:val="28"/>
          <w:szCs w:val="28"/>
        </w:rPr>
        <w:lastRenderedPageBreak/>
        <w:t xml:space="preserve">      </w:t>
      </w:r>
      <w:r w:rsidR="001872B0" w:rsidRPr="00A27C05">
        <w:rPr>
          <w:rFonts w:ascii="Calibri" w:hAnsi="Calibri" w:cs="Calibri"/>
          <w:b/>
          <w:bCs/>
          <w:sz w:val="28"/>
          <w:szCs w:val="28"/>
        </w:rPr>
        <w:t xml:space="preserve">Chapter </w:t>
      </w:r>
      <w:r w:rsidR="007D5D96" w:rsidRPr="00A27C05">
        <w:rPr>
          <w:rFonts w:ascii="Calibri" w:hAnsi="Calibri" w:cs="Calibri"/>
          <w:b/>
          <w:bCs/>
          <w:sz w:val="28"/>
          <w:szCs w:val="28"/>
        </w:rPr>
        <w:t>Five</w:t>
      </w:r>
      <w:r w:rsidR="001872B0" w:rsidRPr="00A27C05">
        <w:rPr>
          <w:rFonts w:ascii="Calibri" w:hAnsi="Calibri" w:cs="Calibri"/>
          <w:b/>
          <w:bCs/>
          <w:sz w:val="28"/>
          <w:szCs w:val="28"/>
        </w:rPr>
        <w:t>: Analysis</w:t>
      </w:r>
      <w:r w:rsidR="007130CF" w:rsidRPr="00A27C05">
        <w:rPr>
          <w:rFonts w:ascii="Calibri" w:hAnsi="Calibri" w:cs="Calibri"/>
          <w:b/>
          <w:bCs/>
          <w:sz w:val="28"/>
          <w:szCs w:val="28"/>
        </w:rPr>
        <w:t xml:space="preserve"> (Part One)</w:t>
      </w:r>
    </w:p>
    <w:p w14:paraId="0242804C" w14:textId="77777777" w:rsidR="00A27C05" w:rsidRDefault="00A27C05">
      <w:pPr>
        <w:rPr>
          <w:rFonts w:ascii="Calibri" w:hAnsi="Calibri" w:cs="Calibri"/>
          <w:b/>
          <w:bCs/>
          <w:sz w:val="24"/>
          <w:szCs w:val="24"/>
        </w:rPr>
      </w:pPr>
    </w:p>
    <w:p w14:paraId="547EF6FF" w14:textId="6F5A9CE9" w:rsidR="001872B0" w:rsidRPr="00B262E6" w:rsidRDefault="001872B0">
      <w:pPr>
        <w:rPr>
          <w:rFonts w:ascii="Calibri" w:hAnsi="Calibri" w:cs="Calibri"/>
          <w:b/>
          <w:bCs/>
          <w:sz w:val="24"/>
          <w:szCs w:val="24"/>
        </w:rPr>
      </w:pPr>
      <w:r w:rsidRPr="00B262E6">
        <w:rPr>
          <w:rFonts w:ascii="Calibri" w:hAnsi="Calibri" w:cs="Calibri"/>
          <w:b/>
          <w:bCs/>
          <w:sz w:val="24"/>
          <w:szCs w:val="24"/>
        </w:rPr>
        <w:t>Introduction</w:t>
      </w:r>
      <w:r>
        <w:rPr>
          <w:rFonts w:ascii="Calibri" w:hAnsi="Calibri" w:cs="Calibri"/>
          <w:b/>
          <w:bCs/>
          <w:sz w:val="24"/>
          <w:szCs w:val="24"/>
        </w:rPr>
        <w:t xml:space="preserve"> </w:t>
      </w:r>
    </w:p>
    <w:p w14:paraId="25D6816F" w14:textId="054F7EDF" w:rsidR="001872B0" w:rsidRDefault="001872B0" w:rsidP="00CB19BF">
      <w:pPr>
        <w:spacing w:line="360" w:lineRule="auto"/>
        <w:rPr>
          <w:rFonts w:ascii="Calibri" w:eastAsia="Calibri" w:hAnsi="Calibri" w:cs="Times New Roman"/>
          <w:sz w:val="24"/>
          <w:szCs w:val="24"/>
        </w:rPr>
      </w:pPr>
      <w:r>
        <w:rPr>
          <w:rFonts w:ascii="Calibri" w:eastAsia="Calibri" w:hAnsi="Calibri" w:cs="Times New Roman"/>
          <w:sz w:val="24"/>
          <w:szCs w:val="24"/>
        </w:rPr>
        <w:t xml:space="preserve">In the song </w:t>
      </w:r>
      <w:r w:rsidRPr="008F1AF6">
        <w:rPr>
          <w:rFonts w:ascii="Calibri" w:eastAsia="Calibri" w:hAnsi="Calibri" w:cs="Times New Roman"/>
          <w:i/>
          <w:iCs/>
          <w:sz w:val="24"/>
          <w:szCs w:val="24"/>
        </w:rPr>
        <w:t>Anthem</w:t>
      </w:r>
      <w:r>
        <w:rPr>
          <w:rFonts w:ascii="Calibri" w:eastAsia="Calibri" w:hAnsi="Calibri" w:cs="Times New Roman"/>
          <w:sz w:val="24"/>
          <w:szCs w:val="24"/>
        </w:rPr>
        <w:t xml:space="preserve"> Leanard Cohen (1992) declares: “</w:t>
      </w:r>
      <w:r w:rsidRPr="00F849AB">
        <w:rPr>
          <w:rFonts w:ascii="Calibri" w:eastAsia="Calibri" w:hAnsi="Calibri" w:cs="Times New Roman"/>
          <w:sz w:val="24"/>
          <w:szCs w:val="24"/>
        </w:rPr>
        <w:t>Forget your perfect offering</w:t>
      </w:r>
      <w:r>
        <w:rPr>
          <w:rFonts w:ascii="Calibri" w:eastAsia="Calibri" w:hAnsi="Calibri" w:cs="Times New Roman"/>
          <w:sz w:val="24"/>
          <w:szCs w:val="24"/>
        </w:rPr>
        <w:t xml:space="preserve">; </w:t>
      </w:r>
      <w:r w:rsidRPr="00F849AB">
        <w:rPr>
          <w:rFonts w:ascii="Calibri" w:eastAsia="Calibri" w:hAnsi="Calibri" w:cs="Times New Roman"/>
          <w:sz w:val="24"/>
          <w:szCs w:val="24"/>
        </w:rPr>
        <w:t>There is a crack, a crack in everything</w:t>
      </w:r>
      <w:r>
        <w:rPr>
          <w:rFonts w:ascii="Calibri" w:eastAsia="Calibri" w:hAnsi="Calibri" w:cs="Times New Roman"/>
          <w:sz w:val="24"/>
          <w:szCs w:val="24"/>
        </w:rPr>
        <w:t xml:space="preserve">; </w:t>
      </w:r>
      <w:r w:rsidRPr="00F849AB">
        <w:rPr>
          <w:rFonts w:ascii="Calibri" w:eastAsia="Calibri" w:hAnsi="Calibri" w:cs="Times New Roman"/>
          <w:sz w:val="24"/>
          <w:szCs w:val="24"/>
        </w:rPr>
        <w:t>That’s how the light gets in</w:t>
      </w:r>
      <w:r>
        <w:rPr>
          <w:rFonts w:ascii="Calibri" w:eastAsia="Calibri" w:hAnsi="Calibri" w:cs="Times New Roman"/>
          <w:sz w:val="24"/>
          <w:szCs w:val="24"/>
        </w:rPr>
        <w:t xml:space="preserve">”. </w:t>
      </w:r>
      <w:r w:rsidRPr="00FD030B">
        <w:rPr>
          <w:rFonts w:ascii="Calibri" w:eastAsia="Calibri" w:hAnsi="Calibri" w:cs="Times New Roman"/>
          <w:sz w:val="24"/>
          <w:szCs w:val="24"/>
        </w:rPr>
        <w:t>I</w:t>
      </w:r>
      <w:r>
        <w:rPr>
          <w:rFonts w:ascii="Calibri" w:eastAsia="Calibri" w:hAnsi="Calibri" w:cs="Times New Roman"/>
          <w:sz w:val="24"/>
          <w:szCs w:val="24"/>
        </w:rPr>
        <w:t xml:space="preserve">n this chapter it is intended that the findings from the research interviews will shine a light on some of the cracks/gaps in the literature and provide answers to the research questions. Furthermore, this chapter provides an in-depth analysis of </w:t>
      </w:r>
      <w:r w:rsidR="005F34B8">
        <w:rPr>
          <w:rFonts w:ascii="Calibri" w:eastAsia="Calibri" w:hAnsi="Calibri" w:cs="Times New Roman"/>
          <w:sz w:val="24"/>
          <w:szCs w:val="24"/>
        </w:rPr>
        <w:t xml:space="preserve">participants’ </w:t>
      </w:r>
      <w:r w:rsidRPr="003F6E44">
        <w:rPr>
          <w:rFonts w:ascii="Calibri" w:eastAsia="Calibri" w:hAnsi="Calibri" w:cs="Times New Roman"/>
          <w:sz w:val="24"/>
          <w:szCs w:val="24"/>
        </w:rPr>
        <w:t>lived</w:t>
      </w:r>
      <w:r>
        <w:rPr>
          <w:rFonts w:ascii="Calibri" w:eastAsia="Calibri" w:hAnsi="Calibri" w:cs="Times New Roman"/>
          <w:sz w:val="24"/>
          <w:szCs w:val="24"/>
        </w:rPr>
        <w:t xml:space="preserve"> experience</w:t>
      </w:r>
      <w:r w:rsidR="005F34B8">
        <w:rPr>
          <w:rFonts w:ascii="Calibri" w:eastAsia="Calibri" w:hAnsi="Calibri" w:cs="Times New Roman"/>
          <w:sz w:val="24"/>
          <w:szCs w:val="24"/>
        </w:rPr>
        <w:t>s</w:t>
      </w:r>
      <w:r>
        <w:rPr>
          <w:rFonts w:ascii="Calibri" w:eastAsia="Calibri" w:hAnsi="Calibri" w:cs="Times New Roman"/>
          <w:sz w:val="24"/>
          <w:szCs w:val="24"/>
        </w:rPr>
        <w:t xml:space="preserve"> of their </w:t>
      </w:r>
      <w:r w:rsidRPr="003F6E44">
        <w:rPr>
          <w:rFonts w:ascii="Calibri" w:eastAsia="Calibri" w:hAnsi="Calibri" w:cs="Times New Roman"/>
          <w:sz w:val="24"/>
          <w:szCs w:val="24"/>
        </w:rPr>
        <w:t>training and practice journeys</w:t>
      </w:r>
      <w:r>
        <w:rPr>
          <w:rFonts w:ascii="Calibri" w:eastAsia="Calibri" w:hAnsi="Calibri" w:cs="Times New Roman"/>
          <w:sz w:val="24"/>
          <w:szCs w:val="24"/>
        </w:rPr>
        <w:t xml:space="preserve">, </w:t>
      </w:r>
      <w:r w:rsidRPr="00FD030B">
        <w:rPr>
          <w:rFonts w:ascii="Calibri" w:eastAsia="Calibri" w:hAnsi="Calibri" w:cs="Times New Roman"/>
          <w:sz w:val="24"/>
          <w:szCs w:val="24"/>
        </w:rPr>
        <w:t xml:space="preserve">seeking </w:t>
      </w:r>
      <w:r>
        <w:rPr>
          <w:rFonts w:ascii="Calibri" w:eastAsia="Calibri" w:hAnsi="Calibri" w:cs="Times New Roman"/>
          <w:sz w:val="24"/>
          <w:szCs w:val="24"/>
        </w:rPr>
        <w:t xml:space="preserve">to link </w:t>
      </w:r>
      <w:r w:rsidRPr="00FD030B">
        <w:rPr>
          <w:rFonts w:ascii="Calibri" w:eastAsia="Calibri" w:hAnsi="Calibri" w:cs="Times New Roman"/>
          <w:sz w:val="24"/>
          <w:szCs w:val="24"/>
        </w:rPr>
        <w:t>the components in the</w:t>
      </w:r>
      <w:r>
        <w:rPr>
          <w:rFonts w:ascii="Calibri" w:eastAsia="Calibri" w:hAnsi="Calibri" w:cs="Times New Roman"/>
          <w:sz w:val="24"/>
          <w:szCs w:val="24"/>
        </w:rPr>
        <w:t xml:space="preserve">ir </w:t>
      </w:r>
      <w:r w:rsidRPr="00FD030B">
        <w:rPr>
          <w:rFonts w:ascii="Calibri" w:eastAsia="Calibri" w:hAnsi="Calibri" w:cs="Times New Roman"/>
          <w:sz w:val="24"/>
          <w:szCs w:val="24"/>
        </w:rPr>
        <w:t>stories (Brown and Danaher, 2019)</w:t>
      </w:r>
      <w:r>
        <w:rPr>
          <w:rFonts w:ascii="Calibri" w:eastAsia="Calibri" w:hAnsi="Calibri" w:cs="Times New Roman"/>
          <w:sz w:val="24"/>
          <w:szCs w:val="24"/>
        </w:rPr>
        <w:t xml:space="preserve"> </w:t>
      </w:r>
      <w:r w:rsidRPr="00FD030B">
        <w:rPr>
          <w:rFonts w:ascii="Calibri" w:eastAsia="Calibri" w:hAnsi="Calibri" w:cs="Times New Roman"/>
          <w:sz w:val="24"/>
          <w:szCs w:val="24"/>
        </w:rPr>
        <w:t>in time and meaning (Anderson and Kirkpatrick, 2016)</w:t>
      </w:r>
      <w:r>
        <w:rPr>
          <w:rFonts w:ascii="Calibri" w:eastAsia="Calibri" w:hAnsi="Calibri" w:cs="Times New Roman"/>
          <w:sz w:val="24"/>
          <w:szCs w:val="24"/>
        </w:rPr>
        <w:t xml:space="preserve"> by utilising a depth pedagogy conceptual framework</w:t>
      </w:r>
      <w:r w:rsidRPr="00FD030B">
        <w:rPr>
          <w:rFonts w:ascii="Calibri" w:eastAsia="Calibri" w:hAnsi="Calibri" w:cs="Times New Roman"/>
          <w:sz w:val="24"/>
          <w:szCs w:val="24"/>
        </w:rPr>
        <w:t xml:space="preserve">. </w:t>
      </w:r>
    </w:p>
    <w:p w14:paraId="31304F46" w14:textId="75B6353B" w:rsidR="001872B0" w:rsidRDefault="001872B0" w:rsidP="00CB19BF">
      <w:pPr>
        <w:spacing w:line="360" w:lineRule="auto"/>
        <w:rPr>
          <w:rFonts w:ascii="Calibri" w:hAnsi="Calibri" w:cs="Calibri"/>
          <w:sz w:val="24"/>
          <w:szCs w:val="24"/>
          <w:lang w:val="en-US"/>
        </w:rPr>
      </w:pPr>
      <w:r>
        <w:rPr>
          <w:rFonts w:ascii="Calibri" w:hAnsi="Calibri" w:cs="Calibri"/>
          <w:sz w:val="24"/>
          <w:szCs w:val="24"/>
        </w:rPr>
        <w:t>B</w:t>
      </w:r>
      <w:r w:rsidRPr="00E318B1">
        <w:rPr>
          <w:rFonts w:ascii="Calibri" w:hAnsi="Calibri" w:cs="Calibri"/>
          <w:sz w:val="24"/>
          <w:szCs w:val="24"/>
        </w:rPr>
        <w:t>egin</w:t>
      </w:r>
      <w:r>
        <w:rPr>
          <w:rFonts w:ascii="Calibri" w:hAnsi="Calibri" w:cs="Calibri"/>
          <w:sz w:val="24"/>
          <w:szCs w:val="24"/>
        </w:rPr>
        <w:t>ning</w:t>
      </w:r>
      <w:r w:rsidRPr="00E318B1">
        <w:rPr>
          <w:rFonts w:ascii="Calibri" w:hAnsi="Calibri" w:cs="Calibri"/>
          <w:sz w:val="24"/>
          <w:szCs w:val="24"/>
        </w:rPr>
        <w:t xml:space="preserve"> with </w:t>
      </w:r>
      <w:r>
        <w:rPr>
          <w:rFonts w:ascii="Calibri" w:hAnsi="Calibri" w:cs="Calibri"/>
          <w:sz w:val="24"/>
          <w:szCs w:val="24"/>
        </w:rPr>
        <w:t xml:space="preserve">a reminder of the research questions (see Table </w:t>
      </w:r>
      <w:r w:rsidR="009E7885">
        <w:rPr>
          <w:rFonts w:ascii="Calibri" w:hAnsi="Calibri" w:cs="Calibri"/>
          <w:sz w:val="24"/>
          <w:szCs w:val="24"/>
        </w:rPr>
        <w:t>9</w:t>
      </w:r>
      <w:r>
        <w:rPr>
          <w:rFonts w:ascii="Calibri" w:hAnsi="Calibri" w:cs="Calibri"/>
          <w:sz w:val="24"/>
          <w:szCs w:val="24"/>
        </w:rPr>
        <w:t>),</w:t>
      </w:r>
      <w:r w:rsidRPr="005C623B">
        <w:rPr>
          <w:rFonts w:ascii="Calibri" w:hAnsi="Calibri" w:cs="Calibri"/>
          <w:sz w:val="24"/>
          <w:szCs w:val="24"/>
        </w:rPr>
        <w:t xml:space="preserve"> </w:t>
      </w:r>
      <w:r>
        <w:rPr>
          <w:rFonts w:ascii="Calibri" w:hAnsi="Calibri" w:cs="Calibri"/>
          <w:sz w:val="24"/>
          <w:szCs w:val="24"/>
        </w:rPr>
        <w:t>I provide an explanation of the process</w:t>
      </w:r>
      <w:r w:rsidRPr="005C623B">
        <w:rPr>
          <w:rFonts w:ascii="Calibri" w:hAnsi="Calibri" w:cs="Calibri"/>
          <w:sz w:val="24"/>
          <w:szCs w:val="24"/>
        </w:rPr>
        <w:t xml:space="preserve"> </w:t>
      </w:r>
      <w:r>
        <w:rPr>
          <w:rFonts w:ascii="Calibri" w:hAnsi="Calibri" w:cs="Calibri"/>
          <w:sz w:val="24"/>
          <w:szCs w:val="24"/>
        </w:rPr>
        <w:t xml:space="preserve">of creating </w:t>
      </w:r>
      <w:r w:rsidRPr="005C623B">
        <w:rPr>
          <w:rFonts w:ascii="Calibri" w:hAnsi="Calibri" w:cs="Calibri"/>
          <w:sz w:val="24"/>
          <w:szCs w:val="24"/>
        </w:rPr>
        <w:t xml:space="preserve">a </w:t>
      </w:r>
      <w:r>
        <w:rPr>
          <w:rFonts w:ascii="Calibri" w:hAnsi="Calibri" w:cs="Calibri"/>
          <w:sz w:val="24"/>
          <w:szCs w:val="24"/>
        </w:rPr>
        <w:t xml:space="preserve">coding </w:t>
      </w:r>
      <w:r w:rsidRPr="005C623B">
        <w:rPr>
          <w:rFonts w:ascii="Calibri" w:hAnsi="Calibri" w:cs="Calibri"/>
          <w:sz w:val="24"/>
          <w:szCs w:val="24"/>
        </w:rPr>
        <w:t xml:space="preserve">template </w:t>
      </w:r>
      <w:r>
        <w:rPr>
          <w:rFonts w:ascii="Calibri" w:hAnsi="Calibri" w:cs="Calibri"/>
          <w:sz w:val="24"/>
          <w:szCs w:val="24"/>
        </w:rPr>
        <w:t xml:space="preserve">used </w:t>
      </w:r>
      <w:r w:rsidRPr="005C623B">
        <w:rPr>
          <w:rFonts w:ascii="Calibri" w:hAnsi="Calibri" w:cs="Calibri"/>
          <w:sz w:val="24"/>
          <w:szCs w:val="24"/>
        </w:rPr>
        <w:t xml:space="preserve">to </w:t>
      </w:r>
      <w:r>
        <w:rPr>
          <w:rFonts w:ascii="Calibri" w:hAnsi="Calibri" w:cs="Calibri"/>
          <w:sz w:val="24"/>
          <w:szCs w:val="24"/>
        </w:rPr>
        <w:t xml:space="preserve">analyse </w:t>
      </w:r>
      <w:r w:rsidRPr="005C623B">
        <w:rPr>
          <w:rFonts w:ascii="Calibri" w:hAnsi="Calibri" w:cs="Calibri"/>
          <w:sz w:val="24"/>
          <w:szCs w:val="24"/>
        </w:rPr>
        <w:t xml:space="preserve">the </w:t>
      </w:r>
      <w:r>
        <w:rPr>
          <w:rFonts w:ascii="Calibri" w:hAnsi="Calibri" w:cs="Calibri"/>
          <w:sz w:val="24"/>
          <w:szCs w:val="24"/>
        </w:rPr>
        <w:t>participants</w:t>
      </w:r>
      <w:r w:rsidR="00B162D5">
        <w:rPr>
          <w:rFonts w:ascii="Calibri" w:hAnsi="Calibri" w:cs="Calibri"/>
          <w:sz w:val="24"/>
          <w:szCs w:val="24"/>
        </w:rPr>
        <w:t xml:space="preserve">’ </w:t>
      </w:r>
      <w:r w:rsidRPr="005C623B">
        <w:rPr>
          <w:rFonts w:ascii="Calibri" w:hAnsi="Calibri" w:cs="Calibri"/>
          <w:sz w:val="24"/>
          <w:szCs w:val="24"/>
        </w:rPr>
        <w:t>stories.</w:t>
      </w:r>
      <w:r w:rsidRPr="00080C29">
        <w:rPr>
          <w:rFonts w:ascii="Calibri" w:hAnsi="Calibri" w:cs="Calibri"/>
          <w:color w:val="FF0000"/>
          <w:sz w:val="24"/>
          <w:szCs w:val="24"/>
        </w:rPr>
        <w:t xml:space="preserve"> </w:t>
      </w:r>
      <w:r w:rsidRPr="006A53E4">
        <w:rPr>
          <w:rFonts w:ascii="Calibri" w:hAnsi="Calibri" w:cs="Calibri"/>
          <w:sz w:val="24"/>
          <w:szCs w:val="24"/>
        </w:rPr>
        <w:t xml:space="preserve">By utilising </w:t>
      </w:r>
      <w:r w:rsidRPr="006A53E4">
        <w:rPr>
          <w:rFonts w:ascii="Calibri" w:hAnsi="Calibri" w:cs="Calibri"/>
          <w:sz w:val="24"/>
          <w:szCs w:val="24"/>
          <w:lang w:val="en-US"/>
        </w:rPr>
        <w:t xml:space="preserve">Braun and Clarke’s (2006) thematic analysis </w:t>
      </w:r>
      <w:r>
        <w:rPr>
          <w:rFonts w:ascii="Calibri" w:hAnsi="Calibri" w:cs="Calibri"/>
          <w:sz w:val="24"/>
          <w:szCs w:val="24"/>
          <w:lang w:val="en-US"/>
        </w:rPr>
        <w:t xml:space="preserve">(Appendix </w:t>
      </w:r>
      <w:r w:rsidR="00D0714A">
        <w:rPr>
          <w:rFonts w:ascii="Calibri" w:hAnsi="Calibri" w:cs="Calibri"/>
          <w:sz w:val="24"/>
          <w:szCs w:val="24"/>
          <w:lang w:val="en-US"/>
        </w:rPr>
        <w:t>J</w:t>
      </w:r>
      <w:r>
        <w:rPr>
          <w:rFonts w:ascii="Calibri" w:hAnsi="Calibri" w:cs="Calibri"/>
          <w:sz w:val="24"/>
          <w:szCs w:val="24"/>
          <w:lang w:val="en-US"/>
        </w:rPr>
        <w:t xml:space="preserve">) the data was </w:t>
      </w:r>
      <w:r w:rsidRPr="006A53E4">
        <w:rPr>
          <w:rFonts w:ascii="Calibri" w:hAnsi="Calibri" w:cs="Calibri"/>
          <w:sz w:val="24"/>
          <w:szCs w:val="24"/>
          <w:lang w:val="en-US"/>
        </w:rPr>
        <w:t>actively explor</w:t>
      </w:r>
      <w:r>
        <w:rPr>
          <w:rFonts w:ascii="Calibri" w:hAnsi="Calibri" w:cs="Calibri"/>
          <w:sz w:val="24"/>
          <w:szCs w:val="24"/>
          <w:lang w:val="en-US"/>
        </w:rPr>
        <w:t xml:space="preserve">ed, </w:t>
      </w:r>
      <w:r w:rsidRPr="006A53E4">
        <w:rPr>
          <w:rFonts w:ascii="Calibri" w:hAnsi="Calibri" w:cs="Calibri"/>
          <w:sz w:val="24"/>
          <w:szCs w:val="24"/>
          <w:lang w:val="en-US"/>
        </w:rPr>
        <w:t>analyze</w:t>
      </w:r>
      <w:r>
        <w:rPr>
          <w:rFonts w:ascii="Calibri" w:hAnsi="Calibri" w:cs="Calibri"/>
          <w:sz w:val="24"/>
          <w:szCs w:val="24"/>
          <w:lang w:val="en-US"/>
        </w:rPr>
        <w:t>d</w:t>
      </w:r>
      <w:r w:rsidRPr="006A53E4">
        <w:rPr>
          <w:rFonts w:ascii="Calibri" w:hAnsi="Calibri" w:cs="Calibri"/>
          <w:sz w:val="24"/>
          <w:szCs w:val="24"/>
          <w:lang w:val="en-US"/>
        </w:rPr>
        <w:t xml:space="preserve"> </w:t>
      </w:r>
      <w:r>
        <w:rPr>
          <w:rFonts w:ascii="Calibri" w:hAnsi="Calibri" w:cs="Calibri"/>
          <w:sz w:val="24"/>
          <w:szCs w:val="24"/>
          <w:lang w:val="en-US"/>
        </w:rPr>
        <w:t xml:space="preserve">and organized under each research question in turn. Chapter </w:t>
      </w:r>
      <w:r w:rsidR="006554EC">
        <w:rPr>
          <w:rFonts w:ascii="Calibri" w:hAnsi="Calibri" w:cs="Calibri"/>
          <w:sz w:val="24"/>
          <w:szCs w:val="24"/>
          <w:lang w:val="en-US"/>
        </w:rPr>
        <w:t>F</w:t>
      </w:r>
      <w:r w:rsidR="00502730">
        <w:rPr>
          <w:rFonts w:ascii="Calibri" w:hAnsi="Calibri" w:cs="Calibri"/>
          <w:sz w:val="24"/>
          <w:szCs w:val="24"/>
          <w:lang w:val="en-US"/>
        </w:rPr>
        <w:t>ive</w:t>
      </w:r>
      <w:r>
        <w:rPr>
          <w:rFonts w:ascii="Calibri" w:hAnsi="Calibri" w:cs="Calibri"/>
          <w:sz w:val="24"/>
          <w:szCs w:val="24"/>
          <w:lang w:val="en-US"/>
        </w:rPr>
        <w:t xml:space="preserve"> relates to research question 1; </w:t>
      </w:r>
      <w:r w:rsidR="006554EC">
        <w:rPr>
          <w:rFonts w:ascii="Calibri" w:hAnsi="Calibri" w:cs="Calibri"/>
          <w:sz w:val="24"/>
          <w:szCs w:val="24"/>
          <w:lang w:val="en-US"/>
        </w:rPr>
        <w:t>C</w:t>
      </w:r>
      <w:r>
        <w:rPr>
          <w:rFonts w:ascii="Calibri" w:hAnsi="Calibri" w:cs="Calibri"/>
          <w:sz w:val="24"/>
          <w:szCs w:val="24"/>
          <w:lang w:val="en-US"/>
        </w:rPr>
        <w:t xml:space="preserve">hapter </w:t>
      </w:r>
      <w:r w:rsidR="006554EC">
        <w:rPr>
          <w:rFonts w:ascii="Calibri" w:hAnsi="Calibri" w:cs="Calibri"/>
          <w:sz w:val="24"/>
          <w:szCs w:val="24"/>
          <w:lang w:val="en-US"/>
        </w:rPr>
        <w:t>S</w:t>
      </w:r>
      <w:r w:rsidR="007826D6">
        <w:rPr>
          <w:rFonts w:ascii="Calibri" w:hAnsi="Calibri" w:cs="Calibri"/>
          <w:sz w:val="24"/>
          <w:szCs w:val="24"/>
          <w:lang w:val="en-US"/>
        </w:rPr>
        <w:t>ix</w:t>
      </w:r>
      <w:r>
        <w:rPr>
          <w:rFonts w:ascii="Calibri" w:hAnsi="Calibri" w:cs="Calibri"/>
          <w:sz w:val="24"/>
          <w:szCs w:val="24"/>
          <w:lang w:val="en-US"/>
        </w:rPr>
        <w:t xml:space="preserve"> research question 2, and </w:t>
      </w:r>
      <w:r w:rsidR="006554EC">
        <w:rPr>
          <w:rFonts w:ascii="Calibri" w:hAnsi="Calibri" w:cs="Calibri"/>
          <w:sz w:val="24"/>
          <w:szCs w:val="24"/>
          <w:lang w:val="en-US"/>
        </w:rPr>
        <w:t>C</w:t>
      </w:r>
      <w:r>
        <w:rPr>
          <w:rFonts w:ascii="Calibri" w:hAnsi="Calibri" w:cs="Calibri"/>
          <w:sz w:val="24"/>
          <w:szCs w:val="24"/>
          <w:lang w:val="en-US"/>
        </w:rPr>
        <w:t xml:space="preserve">hapter </w:t>
      </w:r>
      <w:r w:rsidR="006554EC">
        <w:rPr>
          <w:rFonts w:ascii="Calibri" w:hAnsi="Calibri" w:cs="Calibri"/>
          <w:sz w:val="24"/>
          <w:szCs w:val="24"/>
          <w:lang w:val="en-US"/>
        </w:rPr>
        <w:t>S</w:t>
      </w:r>
      <w:r w:rsidR="00502730">
        <w:rPr>
          <w:rFonts w:ascii="Calibri" w:hAnsi="Calibri" w:cs="Calibri"/>
          <w:sz w:val="24"/>
          <w:szCs w:val="24"/>
          <w:lang w:val="en-US"/>
        </w:rPr>
        <w:t>even</w:t>
      </w:r>
      <w:r>
        <w:rPr>
          <w:rFonts w:ascii="Calibri" w:hAnsi="Calibri" w:cs="Calibri"/>
          <w:sz w:val="24"/>
          <w:szCs w:val="24"/>
          <w:lang w:val="en-US"/>
        </w:rPr>
        <w:t xml:space="preserve"> research question 3.  A separate discussion section (</w:t>
      </w:r>
      <w:r w:rsidR="006554EC">
        <w:rPr>
          <w:rFonts w:ascii="Calibri" w:hAnsi="Calibri" w:cs="Calibri"/>
          <w:sz w:val="24"/>
          <w:szCs w:val="24"/>
          <w:lang w:val="en-US"/>
        </w:rPr>
        <w:t>C</w:t>
      </w:r>
      <w:r>
        <w:rPr>
          <w:rFonts w:ascii="Calibri" w:hAnsi="Calibri" w:cs="Calibri"/>
          <w:sz w:val="24"/>
          <w:szCs w:val="24"/>
          <w:lang w:val="en-US"/>
        </w:rPr>
        <w:t xml:space="preserve">hapter </w:t>
      </w:r>
      <w:r w:rsidR="006554EC">
        <w:rPr>
          <w:rFonts w:ascii="Calibri" w:hAnsi="Calibri" w:cs="Calibri"/>
          <w:sz w:val="24"/>
          <w:szCs w:val="24"/>
          <w:lang w:val="en-US"/>
        </w:rPr>
        <w:t>E</w:t>
      </w:r>
      <w:r w:rsidR="00502730">
        <w:rPr>
          <w:rFonts w:ascii="Calibri" w:hAnsi="Calibri" w:cs="Calibri"/>
          <w:sz w:val="24"/>
          <w:szCs w:val="24"/>
          <w:lang w:val="en-US"/>
        </w:rPr>
        <w:t>ight</w:t>
      </w:r>
      <w:r>
        <w:rPr>
          <w:rFonts w:ascii="Calibri" w:hAnsi="Calibri" w:cs="Calibri"/>
          <w:sz w:val="24"/>
          <w:szCs w:val="24"/>
          <w:lang w:val="en-US"/>
        </w:rPr>
        <w:t xml:space="preserve">) will focus on the implication of the findings as applied to the overall story. </w:t>
      </w:r>
    </w:p>
    <w:p w14:paraId="255E0301" w14:textId="1AB29786" w:rsidR="001872B0" w:rsidRPr="009E7885" w:rsidRDefault="001872B0" w:rsidP="007F296B">
      <w:pPr>
        <w:ind w:left="2880"/>
        <w:rPr>
          <w:rFonts w:ascii="Calibri" w:hAnsi="Calibri" w:cs="Calibri"/>
          <w:i/>
          <w:iCs/>
          <w:sz w:val="24"/>
          <w:szCs w:val="24"/>
        </w:rPr>
      </w:pPr>
      <w:r w:rsidRPr="009E7885">
        <w:rPr>
          <w:rFonts w:ascii="Calibri" w:hAnsi="Calibri" w:cs="Calibri"/>
          <w:i/>
          <w:iCs/>
          <w:sz w:val="24"/>
          <w:szCs w:val="24"/>
        </w:rPr>
        <w:t>Table</w:t>
      </w:r>
      <w:r w:rsidR="009E7885" w:rsidRPr="009E7885">
        <w:rPr>
          <w:rFonts w:ascii="Calibri" w:hAnsi="Calibri" w:cs="Calibri"/>
          <w:i/>
          <w:iCs/>
          <w:sz w:val="24"/>
          <w:szCs w:val="24"/>
        </w:rPr>
        <w:t xml:space="preserve"> 9</w:t>
      </w:r>
      <w:r w:rsidRPr="009E7885">
        <w:rPr>
          <w:rFonts w:ascii="Calibri" w:hAnsi="Calibri" w:cs="Calibri"/>
          <w:i/>
          <w:iCs/>
          <w:sz w:val="24"/>
          <w:szCs w:val="24"/>
        </w:rPr>
        <w:t xml:space="preserve">: Research questions </w:t>
      </w:r>
    </w:p>
    <w:tbl>
      <w:tblPr>
        <w:tblStyle w:val="TableGrid"/>
        <w:tblW w:w="9209" w:type="dxa"/>
        <w:tblLook w:val="04A0" w:firstRow="1" w:lastRow="0" w:firstColumn="1" w:lastColumn="0" w:noHBand="0" w:noVBand="1"/>
      </w:tblPr>
      <w:tblGrid>
        <w:gridCol w:w="9209"/>
      </w:tblGrid>
      <w:tr w:rsidR="001872B0" w14:paraId="7BFDF347" w14:textId="77777777" w:rsidTr="00A11AD7">
        <w:trPr>
          <w:trHeight w:val="473"/>
        </w:trPr>
        <w:tc>
          <w:tcPr>
            <w:tcW w:w="9209" w:type="dxa"/>
          </w:tcPr>
          <w:p w14:paraId="22A5F749" w14:textId="77777777" w:rsidR="001872B0" w:rsidRPr="009C4C0C" w:rsidRDefault="001872B0" w:rsidP="009C4C0C">
            <w:pPr>
              <w:rPr>
                <w:rFonts w:ascii="Calibri" w:hAnsi="Calibri" w:cs="Calibri"/>
                <w:b/>
                <w:bCs/>
                <w:sz w:val="24"/>
                <w:szCs w:val="24"/>
              </w:rPr>
            </w:pPr>
            <w:r>
              <w:rPr>
                <w:rFonts w:ascii="Calibri" w:hAnsi="Calibri" w:cs="Calibri"/>
                <w:b/>
                <w:bCs/>
                <w:sz w:val="24"/>
                <w:szCs w:val="24"/>
              </w:rPr>
              <w:t xml:space="preserve">                                                                </w:t>
            </w:r>
            <w:r w:rsidRPr="009C4C0C">
              <w:rPr>
                <w:rFonts w:ascii="Calibri" w:hAnsi="Calibri" w:cs="Calibri"/>
                <w:b/>
                <w:bCs/>
                <w:sz w:val="24"/>
                <w:szCs w:val="24"/>
              </w:rPr>
              <w:t xml:space="preserve">Research </w:t>
            </w:r>
            <w:r>
              <w:rPr>
                <w:rFonts w:ascii="Calibri" w:hAnsi="Calibri" w:cs="Calibri"/>
                <w:b/>
                <w:bCs/>
                <w:sz w:val="24"/>
                <w:szCs w:val="24"/>
              </w:rPr>
              <w:t>questions</w:t>
            </w:r>
          </w:p>
          <w:p w14:paraId="540C6EA8" w14:textId="77777777" w:rsidR="001872B0" w:rsidRDefault="001872B0" w:rsidP="00017CEE">
            <w:pPr>
              <w:rPr>
                <w:rFonts w:ascii="Calibri" w:hAnsi="Calibri" w:cs="Calibri"/>
                <w:sz w:val="24"/>
                <w:szCs w:val="24"/>
                <w:lang w:val="en-US"/>
              </w:rPr>
            </w:pPr>
          </w:p>
        </w:tc>
      </w:tr>
      <w:tr w:rsidR="001872B0" w14:paraId="695C09BE" w14:textId="77777777" w:rsidTr="00542110">
        <w:trPr>
          <w:trHeight w:val="719"/>
        </w:trPr>
        <w:tc>
          <w:tcPr>
            <w:tcW w:w="9209" w:type="dxa"/>
          </w:tcPr>
          <w:p w14:paraId="161CC91D" w14:textId="6017B9CA" w:rsidR="001872B0" w:rsidRPr="00A11AD7" w:rsidRDefault="001872B0" w:rsidP="00A11AD7">
            <w:pPr>
              <w:pStyle w:val="ListParagraph"/>
              <w:numPr>
                <w:ilvl w:val="0"/>
                <w:numId w:val="9"/>
              </w:numPr>
              <w:spacing w:after="0" w:line="240" w:lineRule="auto"/>
              <w:rPr>
                <w:rFonts w:ascii="Calibri" w:hAnsi="Calibri" w:cs="Calibri"/>
                <w:lang w:val="en-US"/>
              </w:rPr>
            </w:pPr>
            <w:bookmarkStart w:id="65" w:name="_Hlk213322075"/>
            <w:r w:rsidRPr="00A11AD7">
              <w:rPr>
                <w:rFonts w:ascii="Calibri" w:hAnsi="Calibri" w:cs="Calibri"/>
                <w:lang w:val="en-US"/>
              </w:rPr>
              <w:t>What are the experiences, perspectives, and reflections of HE teachers on their teaching, and teacher training journeys?</w:t>
            </w:r>
            <w:bookmarkEnd w:id="65"/>
          </w:p>
        </w:tc>
      </w:tr>
      <w:tr w:rsidR="001872B0" w14:paraId="7F3BFFD5" w14:textId="77777777" w:rsidTr="00542110">
        <w:trPr>
          <w:trHeight w:val="719"/>
        </w:trPr>
        <w:tc>
          <w:tcPr>
            <w:tcW w:w="9209" w:type="dxa"/>
          </w:tcPr>
          <w:p w14:paraId="0AEE9E4F" w14:textId="746136E2" w:rsidR="00542110" w:rsidRPr="00542110" w:rsidRDefault="001872B0" w:rsidP="00542110">
            <w:pPr>
              <w:pStyle w:val="ListParagraph"/>
              <w:numPr>
                <w:ilvl w:val="0"/>
                <w:numId w:val="9"/>
              </w:numPr>
              <w:spacing w:after="0" w:line="240" w:lineRule="auto"/>
              <w:rPr>
                <w:rFonts w:ascii="Calibri" w:hAnsi="Calibri" w:cs="Calibri"/>
                <w:lang w:val="en-US"/>
              </w:rPr>
            </w:pPr>
            <w:bookmarkStart w:id="66" w:name="_Hlk211077595"/>
            <w:r w:rsidRPr="006A411E">
              <w:rPr>
                <w:rFonts w:ascii="Calibri" w:hAnsi="Calibri" w:cs="Calibri"/>
                <w:lang w:val="en-US"/>
              </w:rPr>
              <w:t>What role does reflective practice play in the teaching practices of HE teachers?</w:t>
            </w:r>
          </w:p>
        </w:tc>
      </w:tr>
      <w:bookmarkEnd w:id="66"/>
      <w:tr w:rsidR="001872B0" w14:paraId="1644CC6F" w14:textId="77777777" w:rsidTr="001A4F2B">
        <w:trPr>
          <w:trHeight w:val="969"/>
        </w:trPr>
        <w:tc>
          <w:tcPr>
            <w:tcW w:w="9209" w:type="dxa"/>
          </w:tcPr>
          <w:p w14:paraId="3BD284FE" w14:textId="7F560054" w:rsidR="001872B0" w:rsidRPr="00203BF1" w:rsidRDefault="00802252" w:rsidP="00495434">
            <w:pPr>
              <w:pStyle w:val="ListParagraph"/>
              <w:numPr>
                <w:ilvl w:val="0"/>
                <w:numId w:val="9"/>
              </w:numPr>
              <w:spacing w:after="0" w:line="240" w:lineRule="auto"/>
              <w:rPr>
                <w:rFonts w:ascii="Calibri" w:hAnsi="Calibri" w:cs="Calibri"/>
                <w:lang w:val="en-US"/>
              </w:rPr>
            </w:pPr>
            <w:r>
              <w:rPr>
                <w:rFonts w:ascii="Calibri" w:hAnsi="Calibri" w:cs="Calibri"/>
                <w:lang w:val="en-US"/>
              </w:rPr>
              <w:t>How can HE teachers make use of Winnicott’s concept of holding?</w:t>
            </w:r>
          </w:p>
        </w:tc>
      </w:tr>
    </w:tbl>
    <w:p w14:paraId="68636EBA" w14:textId="77777777" w:rsidR="001872B0" w:rsidRDefault="001872B0" w:rsidP="00310D2F">
      <w:pPr>
        <w:rPr>
          <w:rFonts w:ascii="Calibri" w:hAnsi="Calibri" w:cs="Calibri"/>
          <w:b/>
          <w:bCs/>
          <w:sz w:val="24"/>
          <w:szCs w:val="24"/>
        </w:rPr>
      </w:pPr>
    </w:p>
    <w:p w14:paraId="499BBC72" w14:textId="77777777" w:rsidR="001872B0" w:rsidRDefault="001872B0" w:rsidP="00310D2F">
      <w:pPr>
        <w:rPr>
          <w:rFonts w:ascii="Calibri" w:hAnsi="Calibri" w:cs="Calibri"/>
          <w:b/>
          <w:bCs/>
          <w:sz w:val="24"/>
          <w:szCs w:val="24"/>
        </w:rPr>
      </w:pPr>
      <w:r w:rsidRPr="00F84553">
        <w:rPr>
          <w:rFonts w:ascii="Calibri" w:hAnsi="Calibri" w:cs="Calibri"/>
          <w:b/>
          <w:bCs/>
          <w:sz w:val="24"/>
          <w:szCs w:val="24"/>
        </w:rPr>
        <w:t>Data Analysis Process</w:t>
      </w:r>
    </w:p>
    <w:p w14:paraId="71C4C44A" w14:textId="71A26C86" w:rsidR="001872B0" w:rsidRPr="00310D2F" w:rsidRDefault="001872B0" w:rsidP="00E203AA">
      <w:pPr>
        <w:spacing w:line="360" w:lineRule="auto"/>
        <w:rPr>
          <w:rFonts w:ascii="Calibri" w:hAnsi="Calibri" w:cs="Calibri"/>
          <w:sz w:val="24"/>
          <w:szCs w:val="24"/>
        </w:rPr>
      </w:pPr>
      <w:r>
        <w:rPr>
          <w:rFonts w:ascii="Calibri" w:hAnsi="Calibri" w:cs="Calibri"/>
          <w:sz w:val="24"/>
          <w:szCs w:val="24"/>
        </w:rPr>
        <w:t xml:space="preserve">As a guide for the reader, Figure </w:t>
      </w:r>
      <w:r w:rsidR="00FD0D85">
        <w:rPr>
          <w:rFonts w:ascii="Calibri" w:hAnsi="Calibri" w:cs="Calibri"/>
          <w:sz w:val="24"/>
          <w:szCs w:val="24"/>
        </w:rPr>
        <w:t>5</w:t>
      </w:r>
      <w:r>
        <w:rPr>
          <w:rFonts w:ascii="Calibri" w:hAnsi="Calibri" w:cs="Calibri"/>
          <w:sz w:val="24"/>
          <w:szCs w:val="24"/>
        </w:rPr>
        <w:t xml:space="preserve"> </w:t>
      </w:r>
      <w:r w:rsidR="001A4F2B">
        <w:rPr>
          <w:rFonts w:ascii="Calibri" w:hAnsi="Calibri" w:cs="Calibri"/>
          <w:sz w:val="24"/>
          <w:szCs w:val="24"/>
        </w:rPr>
        <w:t xml:space="preserve">(p.130) </w:t>
      </w:r>
      <w:r>
        <w:rPr>
          <w:rFonts w:ascii="Calibri" w:hAnsi="Calibri" w:cs="Calibri"/>
          <w:sz w:val="24"/>
          <w:szCs w:val="24"/>
        </w:rPr>
        <w:t>delineates the final coding template that emerged from analysing the data:</w:t>
      </w:r>
    </w:p>
    <w:p w14:paraId="24AB3402" w14:textId="77777777" w:rsidR="001872B0" w:rsidRDefault="001872B0">
      <w:pPr>
        <w:rPr>
          <w:rFonts w:ascii="Calibri" w:hAnsi="Calibri" w:cs="Calibri"/>
          <w:lang w:val="en-US"/>
        </w:rPr>
      </w:pPr>
      <w:r>
        <w:rPr>
          <w:rFonts w:ascii="Calibri" w:eastAsia="Aptos" w:hAnsi="Calibri" w:cs="Calibri"/>
          <w:noProof/>
          <w:sz w:val="24"/>
          <w:szCs w:val="24"/>
        </w:rPr>
        <w:lastRenderedPageBreak/>
        <mc:AlternateContent>
          <mc:Choice Requires="wps">
            <w:drawing>
              <wp:anchor distT="0" distB="0" distL="114300" distR="114300" simplePos="0" relativeHeight="251637760" behindDoc="0" locked="0" layoutInCell="1" allowOverlap="1" wp14:anchorId="691CCC0B" wp14:editId="3F11F0AE">
                <wp:simplePos x="0" y="0"/>
                <wp:positionH relativeFrom="column">
                  <wp:posOffset>2209800</wp:posOffset>
                </wp:positionH>
                <wp:positionV relativeFrom="paragraph">
                  <wp:posOffset>2331720</wp:posOffset>
                </wp:positionV>
                <wp:extent cx="1249680" cy="647700"/>
                <wp:effectExtent l="0" t="0" r="26670" b="19050"/>
                <wp:wrapNone/>
                <wp:docPr id="738799503" name="Text Box 1"/>
                <wp:cNvGraphicFramePr/>
                <a:graphic xmlns:a="http://schemas.openxmlformats.org/drawingml/2006/main">
                  <a:graphicData uri="http://schemas.microsoft.com/office/word/2010/wordprocessingShape">
                    <wps:wsp>
                      <wps:cNvSpPr txBox="1"/>
                      <wps:spPr>
                        <a:xfrm>
                          <a:off x="0" y="0"/>
                          <a:ext cx="1249680" cy="647700"/>
                        </a:xfrm>
                        <a:prstGeom prst="rect">
                          <a:avLst/>
                        </a:prstGeom>
                        <a:solidFill>
                          <a:schemeClr val="lt1"/>
                        </a:solidFill>
                        <a:ln w="6350">
                          <a:solidFill>
                            <a:prstClr val="black"/>
                          </a:solidFill>
                        </a:ln>
                      </wps:spPr>
                      <wps:txbx>
                        <w:txbxContent>
                          <w:p w14:paraId="3D8B1908" w14:textId="7DB399EE" w:rsidR="001872B0" w:rsidRPr="00CC1C92" w:rsidRDefault="001872B0">
                            <w:r w:rsidRPr="00CC1C92">
                              <w:rPr>
                                <w:rFonts w:ascii="Calibri" w:eastAsia="Aptos" w:hAnsi="Calibri" w:cs="Calibri"/>
                              </w:rPr>
                              <w:t>Teacher identity</w:t>
                            </w:r>
                            <w:r w:rsidR="00FC6394">
                              <w:rPr>
                                <w:rFonts w:ascii="Calibri" w:eastAsia="Aptos" w:hAnsi="Calibri" w:cs="Calibri"/>
                              </w:rPr>
                              <w:t xml:space="preserve"> </w:t>
                            </w:r>
                            <w:r w:rsidRPr="00CC1C92">
                              <w:rPr>
                                <w:rFonts w:ascii="Calibri" w:eastAsia="Aptos" w:hAnsi="Calibri" w:cs="Calibri"/>
                              </w:rPr>
                              <w:t>-    the “so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CCC0B" id="_x0000_t202" coordsize="21600,21600" o:spt="202" path="m,l,21600r21600,l21600,xe">
                <v:stroke joinstyle="miter"/>
                <v:path gradientshapeok="t" o:connecttype="rect"/>
              </v:shapetype>
              <v:shape id="Text Box 1" o:spid="_x0000_s1026" type="#_x0000_t202" style="position:absolute;margin-left:174pt;margin-top:183.6pt;width:98.4pt;height: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" fillcolor="white [3201]" strokeweight=".5pt">
                <v:textbox>
                  <w:txbxContent>
                    <w:p w14:paraId="3D8B1908" w14:textId="7DB399EE" w:rsidR="001872B0" w:rsidRPr="00CC1C92" w:rsidRDefault="001872B0">
                      <w:r w:rsidRPr="00CC1C92">
                        <w:rPr>
                          <w:rFonts w:ascii="Calibri" w:eastAsia="Aptos" w:hAnsi="Calibri" w:cs="Calibri"/>
                        </w:rPr>
                        <w:t>Teacher identity</w:t>
                      </w:r>
                      <w:r w:rsidR="00FC6394">
                        <w:rPr>
                          <w:rFonts w:ascii="Calibri" w:eastAsia="Aptos" w:hAnsi="Calibri" w:cs="Calibri"/>
                        </w:rPr>
                        <w:t xml:space="preserve"> </w:t>
                      </w:r>
                      <w:r w:rsidRPr="00CC1C92">
                        <w:rPr>
                          <w:rFonts w:ascii="Calibri" w:eastAsia="Aptos" w:hAnsi="Calibri" w:cs="Calibri"/>
                        </w:rPr>
                        <w:t>-    the “so what?”</w:t>
                      </w:r>
                    </w:p>
                  </w:txbxContent>
                </v:textbox>
              </v:shape>
            </w:pict>
          </mc:Fallback>
        </mc:AlternateContent>
      </w:r>
      <w:r w:rsidRPr="007F6DFF">
        <w:rPr>
          <w:rFonts w:ascii="Calibri" w:eastAsia="Aptos" w:hAnsi="Calibri" w:cs="Calibri"/>
          <w:noProof/>
          <w:sz w:val="24"/>
          <w:szCs w:val="24"/>
        </w:rPr>
        <w:drawing>
          <wp:inline distT="0" distB="0" distL="0" distR="0" wp14:anchorId="1A29115E" wp14:editId="286476C2">
            <wp:extent cx="5654040" cy="4175760"/>
            <wp:effectExtent l="38100" t="0" r="3810" b="0"/>
            <wp:docPr id="542043093"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6F70492" w14:textId="31E674B7" w:rsidR="001872B0" w:rsidRPr="00FD0D85" w:rsidRDefault="001872B0" w:rsidP="002A6BF0">
      <w:pPr>
        <w:ind w:left="2160" w:firstLine="720"/>
        <w:rPr>
          <w:rFonts w:ascii="Calibri" w:hAnsi="Calibri" w:cs="Calibri"/>
          <w:i/>
          <w:iCs/>
          <w:sz w:val="24"/>
          <w:szCs w:val="24"/>
          <w:lang w:val="en-US"/>
        </w:rPr>
      </w:pPr>
      <w:r w:rsidRPr="00FD0D85">
        <w:rPr>
          <w:rFonts w:ascii="Calibri" w:hAnsi="Calibri" w:cs="Calibri"/>
          <w:i/>
          <w:iCs/>
          <w:sz w:val="24"/>
          <w:szCs w:val="24"/>
          <w:lang w:val="en-US"/>
        </w:rPr>
        <w:t xml:space="preserve">Figure </w:t>
      </w:r>
      <w:r w:rsidR="00FD0D85">
        <w:rPr>
          <w:rFonts w:ascii="Calibri" w:hAnsi="Calibri" w:cs="Calibri"/>
          <w:i/>
          <w:iCs/>
          <w:sz w:val="24"/>
          <w:szCs w:val="24"/>
          <w:lang w:val="en-US"/>
        </w:rPr>
        <w:t>5</w:t>
      </w:r>
      <w:r w:rsidRPr="00FD0D85">
        <w:rPr>
          <w:rFonts w:ascii="Calibri" w:hAnsi="Calibri" w:cs="Calibri"/>
          <w:i/>
          <w:iCs/>
          <w:sz w:val="24"/>
          <w:szCs w:val="24"/>
          <w:lang w:val="en-US"/>
        </w:rPr>
        <w:t>: Final coding template</w:t>
      </w:r>
    </w:p>
    <w:p w14:paraId="7B2B84FC" w14:textId="77777777" w:rsidR="003102B0" w:rsidRDefault="003102B0" w:rsidP="008F78EC">
      <w:pPr>
        <w:rPr>
          <w:rFonts w:ascii="Calibri" w:hAnsi="Calibri" w:cs="Calibri"/>
          <w:b/>
          <w:bCs/>
          <w:sz w:val="24"/>
          <w:szCs w:val="24"/>
          <w:lang w:val="en-US"/>
        </w:rPr>
      </w:pPr>
    </w:p>
    <w:p w14:paraId="41C6CE78" w14:textId="616F054F" w:rsidR="001872B0" w:rsidRPr="008E1AFD" w:rsidRDefault="001872B0" w:rsidP="008F78EC">
      <w:pPr>
        <w:rPr>
          <w:rFonts w:ascii="Calibri" w:hAnsi="Calibri" w:cs="Calibri"/>
          <w:b/>
          <w:bCs/>
          <w:sz w:val="24"/>
          <w:szCs w:val="24"/>
          <w:lang w:val="en-US"/>
        </w:rPr>
      </w:pPr>
      <w:r w:rsidRPr="008E1AFD">
        <w:rPr>
          <w:rFonts w:ascii="Calibri" w:hAnsi="Calibri" w:cs="Calibri"/>
          <w:b/>
          <w:bCs/>
          <w:sz w:val="24"/>
          <w:szCs w:val="24"/>
          <w:lang w:val="en-US"/>
        </w:rPr>
        <w:t>Coding and themes</w:t>
      </w:r>
    </w:p>
    <w:p w14:paraId="602555AD" w14:textId="5E3E810C" w:rsidR="00DD27B4" w:rsidRDefault="001872B0" w:rsidP="00CB19BF">
      <w:pPr>
        <w:spacing w:line="360" w:lineRule="auto"/>
        <w:rPr>
          <w:rFonts w:ascii="Calibri" w:hAnsi="Calibri" w:cs="Calibri"/>
          <w:sz w:val="24"/>
          <w:szCs w:val="24"/>
          <w:lang w:val="en-US"/>
        </w:rPr>
      </w:pPr>
      <w:r>
        <w:rPr>
          <w:rFonts w:ascii="Calibri" w:hAnsi="Calibri" w:cs="Calibri"/>
          <w:sz w:val="24"/>
          <w:szCs w:val="24"/>
        </w:rPr>
        <w:t xml:space="preserve">The overarching code of </w:t>
      </w:r>
      <w:r w:rsidRPr="00CB6A36">
        <w:rPr>
          <w:rFonts w:ascii="Calibri" w:hAnsi="Calibri" w:cs="Calibri"/>
          <w:sz w:val="24"/>
          <w:szCs w:val="24"/>
        </w:rPr>
        <w:t>temporal curiosity (Le Cunff, 2024</w:t>
      </w:r>
      <w:r>
        <w:rPr>
          <w:rFonts w:ascii="Calibri" w:hAnsi="Calibri" w:cs="Calibri"/>
          <w:sz w:val="24"/>
          <w:szCs w:val="24"/>
        </w:rPr>
        <w:t>;</w:t>
      </w:r>
      <w:r w:rsidRPr="008D4447">
        <w:rPr>
          <w:rFonts w:ascii="Calibri" w:hAnsi="Calibri" w:cs="Calibri"/>
          <w:sz w:val="24"/>
          <w:szCs w:val="24"/>
        </w:rPr>
        <w:t xml:space="preserve"> Shipp </w:t>
      </w:r>
      <w:r w:rsidR="00FB3A6E" w:rsidRPr="00FB3A6E">
        <w:rPr>
          <w:rFonts w:ascii="Calibri" w:hAnsi="Calibri" w:cs="Calibri"/>
          <w:i/>
          <w:sz w:val="24"/>
          <w:szCs w:val="24"/>
        </w:rPr>
        <w:t>et al.</w:t>
      </w:r>
      <w:r w:rsidRPr="008D4447">
        <w:rPr>
          <w:rFonts w:ascii="Calibri" w:hAnsi="Calibri" w:cs="Calibri"/>
          <w:sz w:val="24"/>
          <w:szCs w:val="24"/>
        </w:rPr>
        <w:t>, 2009</w:t>
      </w:r>
      <w:r w:rsidRPr="00CB6A36">
        <w:rPr>
          <w:rFonts w:ascii="Calibri" w:hAnsi="Calibri" w:cs="Calibri"/>
          <w:sz w:val="24"/>
          <w:szCs w:val="24"/>
        </w:rPr>
        <w:t>) captures the idea that subjective experience incorporates</w:t>
      </w:r>
      <w:r>
        <w:rPr>
          <w:rFonts w:ascii="Calibri" w:hAnsi="Calibri" w:cs="Calibri"/>
          <w:sz w:val="24"/>
          <w:szCs w:val="24"/>
        </w:rPr>
        <w:t xml:space="preserve"> </w:t>
      </w:r>
      <w:r w:rsidRPr="00CB6A36">
        <w:rPr>
          <w:rFonts w:ascii="Calibri" w:hAnsi="Calibri" w:cs="Calibri"/>
          <w:sz w:val="24"/>
          <w:szCs w:val="24"/>
        </w:rPr>
        <w:t>the past, present and future</w:t>
      </w:r>
      <w:r>
        <w:rPr>
          <w:rFonts w:ascii="Calibri" w:hAnsi="Calibri" w:cs="Calibri"/>
          <w:sz w:val="24"/>
          <w:szCs w:val="24"/>
        </w:rPr>
        <w:t xml:space="preserve">. </w:t>
      </w:r>
      <w:r>
        <w:rPr>
          <w:rFonts w:ascii="Calibri" w:hAnsi="Calibri" w:cs="Calibri"/>
          <w:sz w:val="24"/>
          <w:szCs w:val="24"/>
          <w:lang w:val="en-US"/>
        </w:rPr>
        <w:t xml:space="preserve">It serves the purpose of naming and anchoring the emerging coding and themes and, much like the kingdom in a fairytale, is mentioned in passing but remembered as background context. </w:t>
      </w:r>
      <w:r w:rsidRPr="008F78EC">
        <w:rPr>
          <w:rFonts w:ascii="Calibri" w:hAnsi="Calibri" w:cs="Calibri"/>
          <w:sz w:val="24"/>
          <w:szCs w:val="24"/>
          <w:lang w:val="en-US"/>
        </w:rPr>
        <w:t xml:space="preserve">The emergent </w:t>
      </w:r>
      <w:r>
        <w:rPr>
          <w:rFonts w:ascii="Calibri" w:hAnsi="Calibri" w:cs="Calibri"/>
          <w:sz w:val="24"/>
          <w:szCs w:val="24"/>
          <w:lang w:val="en-US"/>
        </w:rPr>
        <w:t xml:space="preserve">coding and </w:t>
      </w:r>
      <w:r w:rsidRPr="008F78EC">
        <w:rPr>
          <w:rFonts w:ascii="Calibri" w:hAnsi="Calibri" w:cs="Calibri"/>
          <w:sz w:val="24"/>
          <w:szCs w:val="24"/>
          <w:lang w:val="en-US"/>
        </w:rPr>
        <w:t>themes were as follows</w:t>
      </w:r>
      <w:r>
        <w:rPr>
          <w:rFonts w:ascii="Calibri" w:hAnsi="Calibri" w:cs="Calibri"/>
          <w:sz w:val="24"/>
          <w:szCs w:val="24"/>
          <w:lang w:val="en-US"/>
        </w:rPr>
        <w:t xml:space="preserve"> (Tabl</w:t>
      </w:r>
      <w:r w:rsidR="00AD6651">
        <w:rPr>
          <w:rFonts w:ascii="Calibri" w:hAnsi="Calibri" w:cs="Calibri"/>
          <w:sz w:val="24"/>
          <w:szCs w:val="24"/>
          <w:lang w:val="en-US"/>
        </w:rPr>
        <w:t>e 10</w:t>
      </w:r>
      <w:r w:rsidR="001A4F2B">
        <w:rPr>
          <w:rFonts w:ascii="Calibri" w:hAnsi="Calibri" w:cs="Calibri"/>
          <w:sz w:val="24"/>
          <w:szCs w:val="24"/>
          <w:lang w:val="en-US"/>
        </w:rPr>
        <w:t>, p.132</w:t>
      </w:r>
      <w:r>
        <w:rPr>
          <w:rFonts w:ascii="Calibri" w:hAnsi="Calibri" w:cs="Calibri"/>
          <w:sz w:val="24"/>
          <w:szCs w:val="24"/>
          <w:lang w:val="en-US"/>
        </w:rPr>
        <w:t>)</w:t>
      </w:r>
      <w:r w:rsidRPr="008F78EC">
        <w:rPr>
          <w:rFonts w:ascii="Calibri" w:hAnsi="Calibri" w:cs="Calibri"/>
          <w:sz w:val="24"/>
          <w:szCs w:val="24"/>
          <w:lang w:val="en-US"/>
        </w:rPr>
        <w:t xml:space="preserve">: </w:t>
      </w:r>
    </w:p>
    <w:p w14:paraId="3F27C22C" w14:textId="77777777" w:rsidR="00B23402" w:rsidRDefault="00B23402" w:rsidP="00CB19BF">
      <w:pPr>
        <w:spacing w:line="360" w:lineRule="auto"/>
        <w:rPr>
          <w:rFonts w:ascii="Calibri" w:hAnsi="Calibri" w:cs="Calibri"/>
          <w:sz w:val="24"/>
          <w:szCs w:val="24"/>
          <w:lang w:val="en-US"/>
        </w:rPr>
      </w:pPr>
    </w:p>
    <w:p w14:paraId="0387C2EA" w14:textId="77777777" w:rsidR="00B23402" w:rsidRDefault="00B23402" w:rsidP="00CB19BF">
      <w:pPr>
        <w:spacing w:line="360" w:lineRule="auto"/>
        <w:rPr>
          <w:rFonts w:ascii="Calibri" w:hAnsi="Calibri" w:cs="Calibri"/>
          <w:sz w:val="24"/>
          <w:szCs w:val="24"/>
          <w:lang w:val="en-US"/>
        </w:rPr>
      </w:pPr>
    </w:p>
    <w:p w14:paraId="0C83CA31" w14:textId="77777777" w:rsidR="00B23402" w:rsidRDefault="00B23402" w:rsidP="00CB19BF">
      <w:pPr>
        <w:spacing w:line="360" w:lineRule="auto"/>
        <w:rPr>
          <w:rFonts w:ascii="Calibri" w:hAnsi="Calibri" w:cs="Calibri"/>
          <w:sz w:val="24"/>
          <w:szCs w:val="24"/>
          <w:lang w:val="en-US"/>
        </w:rPr>
      </w:pPr>
    </w:p>
    <w:p w14:paraId="4AA56BB3" w14:textId="77777777" w:rsidR="001A4F2B" w:rsidRDefault="001A4F2B" w:rsidP="00CB19BF">
      <w:pPr>
        <w:spacing w:line="360" w:lineRule="auto"/>
        <w:rPr>
          <w:rFonts w:ascii="Calibri" w:hAnsi="Calibri" w:cs="Calibri"/>
          <w:sz w:val="24"/>
          <w:szCs w:val="24"/>
          <w:lang w:val="en-US"/>
        </w:rPr>
      </w:pPr>
    </w:p>
    <w:p w14:paraId="42747941" w14:textId="77777777" w:rsidR="00B23402" w:rsidRPr="00F647CD" w:rsidRDefault="00B23402" w:rsidP="00CB19BF">
      <w:pPr>
        <w:spacing w:line="360" w:lineRule="auto"/>
        <w:rPr>
          <w:rFonts w:ascii="Calibri" w:hAnsi="Calibri" w:cs="Calibri"/>
          <w:sz w:val="24"/>
          <w:szCs w:val="24"/>
          <w:lang w:val="en-US"/>
        </w:rPr>
      </w:pPr>
    </w:p>
    <w:p w14:paraId="25A0F88F" w14:textId="5F8E5476" w:rsidR="001872B0" w:rsidRPr="00DD27B4" w:rsidRDefault="001872B0" w:rsidP="002A6BF0">
      <w:pPr>
        <w:ind w:left="1440" w:firstLine="720"/>
        <w:rPr>
          <w:rFonts w:ascii="Calibri" w:hAnsi="Calibri" w:cs="Calibri"/>
          <w:i/>
          <w:iCs/>
          <w:sz w:val="24"/>
          <w:szCs w:val="24"/>
        </w:rPr>
      </w:pPr>
      <w:r w:rsidRPr="00DD27B4">
        <w:rPr>
          <w:rFonts w:ascii="Calibri" w:hAnsi="Calibri" w:cs="Calibri"/>
          <w:i/>
          <w:iCs/>
          <w:sz w:val="24"/>
          <w:szCs w:val="24"/>
        </w:rPr>
        <w:lastRenderedPageBreak/>
        <w:t>Table 1</w:t>
      </w:r>
      <w:r w:rsidR="00DD27B4">
        <w:rPr>
          <w:rFonts w:ascii="Calibri" w:hAnsi="Calibri" w:cs="Calibri"/>
          <w:i/>
          <w:iCs/>
          <w:sz w:val="24"/>
          <w:szCs w:val="24"/>
        </w:rPr>
        <w:t>0</w:t>
      </w:r>
      <w:r w:rsidRPr="00DD27B4">
        <w:rPr>
          <w:rFonts w:ascii="Calibri" w:hAnsi="Calibri" w:cs="Calibri"/>
          <w:i/>
          <w:iCs/>
          <w:sz w:val="24"/>
          <w:szCs w:val="24"/>
        </w:rPr>
        <w:t>: Coding, themes and subthemes</w:t>
      </w:r>
    </w:p>
    <w:tbl>
      <w:tblPr>
        <w:tblStyle w:val="LightShading-Accent1"/>
        <w:tblW w:w="4889" w:type="pct"/>
        <w:tblLook w:val="0660" w:firstRow="1" w:lastRow="1" w:firstColumn="0" w:lastColumn="0" w:noHBand="1" w:noVBand="1"/>
      </w:tblPr>
      <w:tblGrid>
        <w:gridCol w:w="2204"/>
        <w:gridCol w:w="2207"/>
        <w:gridCol w:w="2208"/>
        <w:gridCol w:w="2207"/>
      </w:tblGrid>
      <w:tr w:rsidR="001872B0" w14:paraId="1167CE33" w14:textId="77777777" w:rsidTr="00B23402">
        <w:trPr>
          <w:cnfStyle w:val="100000000000" w:firstRow="1" w:lastRow="0" w:firstColumn="0" w:lastColumn="0" w:oddVBand="0" w:evenVBand="0" w:oddHBand="0" w:evenHBand="0" w:firstRowFirstColumn="0" w:firstRowLastColumn="0" w:lastRowFirstColumn="0" w:lastRowLastColumn="0"/>
          <w:trHeight w:val="11257"/>
        </w:trPr>
        <w:tc>
          <w:tcPr>
            <w:tcW w:w="1249" w:type="pct"/>
          </w:tcPr>
          <w:p w14:paraId="2B6C50BB" w14:textId="77777777" w:rsidR="001872B0" w:rsidRDefault="001872B0">
            <w:pPr>
              <w:rPr>
                <w:rFonts w:ascii="Calibri" w:hAnsi="Calibri" w:cs="Calibri"/>
                <w:b w:val="0"/>
                <w:bCs w:val="0"/>
                <w:sz w:val="20"/>
                <w:szCs w:val="20"/>
              </w:rPr>
            </w:pPr>
            <w:r w:rsidRPr="006760B9">
              <w:rPr>
                <w:rFonts w:ascii="Calibri" w:hAnsi="Calibri" w:cs="Calibri"/>
                <w:b w:val="0"/>
                <w:bCs w:val="0"/>
                <w:sz w:val="20"/>
                <w:szCs w:val="20"/>
              </w:rPr>
              <w:t xml:space="preserve">      </w:t>
            </w:r>
          </w:p>
          <w:p w14:paraId="7561EB0D" w14:textId="77777777" w:rsidR="001872B0" w:rsidRPr="00D962AB" w:rsidRDefault="001872B0">
            <w:pPr>
              <w:rPr>
                <w:rFonts w:ascii="Calibri" w:hAnsi="Calibri" w:cs="Calibri"/>
                <w:sz w:val="20"/>
                <w:szCs w:val="20"/>
              </w:rPr>
            </w:pPr>
            <w:r w:rsidRPr="00D962AB">
              <w:rPr>
                <w:rFonts w:ascii="Calibri" w:hAnsi="Calibri" w:cs="Calibri"/>
                <w:sz w:val="20"/>
                <w:szCs w:val="20"/>
              </w:rPr>
              <w:t>Coding</w:t>
            </w:r>
          </w:p>
          <w:p w14:paraId="488338C0" w14:textId="77777777" w:rsidR="001872B0" w:rsidRPr="006760B9" w:rsidRDefault="001872B0">
            <w:pPr>
              <w:rPr>
                <w:rFonts w:ascii="Calibri" w:hAnsi="Calibri" w:cs="Calibri"/>
                <w:sz w:val="20"/>
                <w:szCs w:val="20"/>
              </w:rPr>
            </w:pPr>
          </w:p>
          <w:p w14:paraId="6D24EE4C" w14:textId="77777777" w:rsidR="001872B0" w:rsidRDefault="001872B0">
            <w:pPr>
              <w:rPr>
                <w:rFonts w:ascii="Calibri" w:hAnsi="Calibri" w:cs="Calibri"/>
                <w:sz w:val="20"/>
                <w:szCs w:val="20"/>
              </w:rPr>
            </w:pPr>
            <w:r w:rsidRPr="006760B9">
              <w:rPr>
                <w:rFonts w:ascii="Calibri" w:hAnsi="Calibri" w:cs="Calibri"/>
                <w:b w:val="0"/>
                <w:bCs w:val="0"/>
                <w:sz w:val="20"/>
                <w:szCs w:val="20"/>
              </w:rPr>
              <w:t xml:space="preserve"> </w:t>
            </w:r>
          </w:p>
          <w:p w14:paraId="3CD6BD90" w14:textId="77777777" w:rsidR="001872B0" w:rsidRPr="0022600A" w:rsidRDefault="001872B0" w:rsidP="00495434">
            <w:pPr>
              <w:pStyle w:val="ListParagraph"/>
              <w:numPr>
                <w:ilvl w:val="0"/>
                <w:numId w:val="8"/>
              </w:numPr>
              <w:spacing w:after="0" w:line="240" w:lineRule="auto"/>
              <w:rPr>
                <w:rFonts w:ascii="Calibri" w:hAnsi="Calibri" w:cs="Calibri"/>
                <w:b w:val="0"/>
                <w:bCs w:val="0"/>
                <w:sz w:val="20"/>
                <w:szCs w:val="20"/>
              </w:rPr>
            </w:pPr>
            <w:r w:rsidRPr="0022600A">
              <w:rPr>
                <w:rFonts w:ascii="Calibri" w:hAnsi="Calibri" w:cs="Calibri"/>
                <w:b w:val="0"/>
                <w:bCs w:val="0"/>
                <w:sz w:val="20"/>
                <w:szCs w:val="20"/>
              </w:rPr>
              <w:t xml:space="preserve">The teacher training journey- </w:t>
            </w:r>
            <w:r>
              <w:rPr>
                <w:rFonts w:ascii="Calibri" w:hAnsi="Calibri" w:cs="Calibri"/>
                <w:b w:val="0"/>
                <w:bCs w:val="0"/>
                <w:sz w:val="20"/>
                <w:szCs w:val="20"/>
              </w:rPr>
              <w:t>the “</w:t>
            </w:r>
            <w:r w:rsidRPr="0022600A">
              <w:rPr>
                <w:rFonts w:ascii="Calibri" w:hAnsi="Calibri" w:cs="Calibri"/>
                <w:b w:val="0"/>
                <w:bCs w:val="0"/>
                <w:sz w:val="20"/>
                <w:szCs w:val="20"/>
              </w:rPr>
              <w:t>what</w:t>
            </w:r>
            <w:r>
              <w:rPr>
                <w:rFonts w:ascii="Calibri" w:hAnsi="Calibri" w:cs="Calibri"/>
                <w:b w:val="0"/>
                <w:bCs w:val="0"/>
                <w:sz w:val="20"/>
                <w:szCs w:val="20"/>
              </w:rPr>
              <w:t>”</w:t>
            </w:r>
            <w:r w:rsidRPr="0022600A">
              <w:rPr>
                <w:rFonts w:ascii="Calibri" w:hAnsi="Calibri" w:cs="Calibri"/>
                <w:b w:val="0"/>
                <w:bCs w:val="0"/>
                <w:sz w:val="20"/>
                <w:szCs w:val="20"/>
              </w:rPr>
              <w:t>?</w:t>
            </w:r>
          </w:p>
          <w:p w14:paraId="15332325" w14:textId="77777777" w:rsidR="001872B0" w:rsidRDefault="001872B0" w:rsidP="00DE3F83">
            <w:pPr>
              <w:ind w:left="360"/>
              <w:rPr>
                <w:rFonts w:ascii="Calibri" w:hAnsi="Calibri" w:cs="Calibri"/>
                <w:b w:val="0"/>
                <w:bCs w:val="0"/>
                <w:sz w:val="20"/>
                <w:szCs w:val="20"/>
              </w:rPr>
            </w:pPr>
          </w:p>
          <w:p w14:paraId="65D7F025" w14:textId="77777777" w:rsidR="001872B0" w:rsidRDefault="001872B0" w:rsidP="00DE3F83">
            <w:pPr>
              <w:ind w:left="360"/>
              <w:rPr>
                <w:rFonts w:ascii="Calibri" w:hAnsi="Calibri" w:cs="Calibri"/>
                <w:b w:val="0"/>
                <w:bCs w:val="0"/>
                <w:sz w:val="20"/>
                <w:szCs w:val="20"/>
              </w:rPr>
            </w:pPr>
          </w:p>
          <w:p w14:paraId="2824B401" w14:textId="77777777" w:rsidR="001872B0" w:rsidRDefault="001872B0" w:rsidP="00DE3F83">
            <w:pPr>
              <w:ind w:left="360"/>
              <w:rPr>
                <w:rFonts w:ascii="Calibri" w:hAnsi="Calibri" w:cs="Calibri"/>
                <w:b w:val="0"/>
                <w:bCs w:val="0"/>
                <w:sz w:val="20"/>
                <w:szCs w:val="20"/>
              </w:rPr>
            </w:pPr>
          </w:p>
          <w:p w14:paraId="231A47CE" w14:textId="77777777" w:rsidR="001872B0" w:rsidRDefault="001872B0" w:rsidP="00DE3F83">
            <w:pPr>
              <w:ind w:left="360"/>
              <w:rPr>
                <w:rFonts w:ascii="Calibri" w:hAnsi="Calibri" w:cs="Calibri"/>
                <w:b w:val="0"/>
                <w:bCs w:val="0"/>
                <w:sz w:val="20"/>
                <w:szCs w:val="20"/>
              </w:rPr>
            </w:pPr>
          </w:p>
          <w:p w14:paraId="42418194" w14:textId="77777777" w:rsidR="001872B0" w:rsidRDefault="001872B0" w:rsidP="00DE3F83">
            <w:pPr>
              <w:ind w:left="360"/>
              <w:rPr>
                <w:rFonts w:ascii="Calibri" w:hAnsi="Calibri" w:cs="Calibri"/>
                <w:b w:val="0"/>
                <w:bCs w:val="0"/>
                <w:sz w:val="20"/>
                <w:szCs w:val="20"/>
              </w:rPr>
            </w:pPr>
          </w:p>
          <w:p w14:paraId="6614D923" w14:textId="77777777" w:rsidR="001872B0" w:rsidRDefault="001872B0" w:rsidP="00DE3F83">
            <w:pPr>
              <w:ind w:left="360"/>
              <w:rPr>
                <w:rFonts w:ascii="Calibri" w:hAnsi="Calibri" w:cs="Calibri"/>
                <w:b w:val="0"/>
                <w:bCs w:val="0"/>
                <w:sz w:val="20"/>
                <w:szCs w:val="20"/>
              </w:rPr>
            </w:pPr>
          </w:p>
          <w:p w14:paraId="48DB13C4" w14:textId="77777777" w:rsidR="001872B0" w:rsidRDefault="001872B0" w:rsidP="00DE3F83">
            <w:pPr>
              <w:ind w:left="360"/>
              <w:rPr>
                <w:rFonts w:ascii="Calibri" w:hAnsi="Calibri" w:cs="Calibri"/>
                <w:b w:val="0"/>
                <w:bCs w:val="0"/>
                <w:sz w:val="20"/>
                <w:szCs w:val="20"/>
              </w:rPr>
            </w:pPr>
          </w:p>
          <w:p w14:paraId="1792304E" w14:textId="77777777" w:rsidR="001872B0" w:rsidRDefault="001872B0" w:rsidP="00DE3F83">
            <w:pPr>
              <w:ind w:left="360"/>
              <w:rPr>
                <w:rFonts w:ascii="Calibri" w:hAnsi="Calibri" w:cs="Calibri"/>
                <w:b w:val="0"/>
                <w:bCs w:val="0"/>
                <w:sz w:val="20"/>
                <w:szCs w:val="20"/>
              </w:rPr>
            </w:pPr>
          </w:p>
          <w:p w14:paraId="5E53DB9A" w14:textId="77777777" w:rsidR="001872B0" w:rsidRDefault="001872B0" w:rsidP="00DE3F83">
            <w:pPr>
              <w:ind w:left="360"/>
              <w:rPr>
                <w:rFonts w:ascii="Calibri" w:hAnsi="Calibri" w:cs="Calibri"/>
                <w:b w:val="0"/>
                <w:bCs w:val="0"/>
                <w:sz w:val="20"/>
                <w:szCs w:val="20"/>
              </w:rPr>
            </w:pPr>
          </w:p>
          <w:p w14:paraId="521C96C9" w14:textId="77777777" w:rsidR="001872B0" w:rsidRDefault="001872B0" w:rsidP="00DE3F83">
            <w:pPr>
              <w:ind w:left="360"/>
              <w:rPr>
                <w:rFonts w:ascii="Calibri" w:hAnsi="Calibri" w:cs="Calibri"/>
                <w:b w:val="0"/>
                <w:bCs w:val="0"/>
                <w:sz w:val="20"/>
                <w:szCs w:val="20"/>
              </w:rPr>
            </w:pPr>
          </w:p>
          <w:p w14:paraId="2DD16FD1" w14:textId="77777777" w:rsidR="001872B0" w:rsidRDefault="001872B0" w:rsidP="00DE3F83">
            <w:pPr>
              <w:ind w:left="360"/>
              <w:rPr>
                <w:rFonts w:ascii="Calibri" w:hAnsi="Calibri" w:cs="Calibri"/>
                <w:b w:val="0"/>
                <w:bCs w:val="0"/>
                <w:sz w:val="20"/>
                <w:szCs w:val="20"/>
              </w:rPr>
            </w:pPr>
          </w:p>
          <w:p w14:paraId="56BB73C0" w14:textId="77777777" w:rsidR="001872B0" w:rsidRDefault="001872B0" w:rsidP="00DE3F83">
            <w:pPr>
              <w:ind w:left="360"/>
              <w:rPr>
                <w:rFonts w:ascii="Calibri" w:hAnsi="Calibri" w:cs="Calibri"/>
                <w:b w:val="0"/>
                <w:bCs w:val="0"/>
                <w:sz w:val="20"/>
                <w:szCs w:val="20"/>
              </w:rPr>
            </w:pPr>
          </w:p>
          <w:p w14:paraId="705469E2" w14:textId="77777777" w:rsidR="001872B0" w:rsidRDefault="001872B0" w:rsidP="00DE3F83">
            <w:pPr>
              <w:ind w:left="360"/>
              <w:rPr>
                <w:rFonts w:ascii="Calibri" w:hAnsi="Calibri" w:cs="Calibri"/>
                <w:b w:val="0"/>
                <w:bCs w:val="0"/>
                <w:sz w:val="20"/>
                <w:szCs w:val="20"/>
              </w:rPr>
            </w:pPr>
          </w:p>
          <w:p w14:paraId="716EFAD6" w14:textId="77777777" w:rsidR="001872B0" w:rsidRDefault="001872B0" w:rsidP="00DE3F83">
            <w:pPr>
              <w:ind w:left="360"/>
              <w:rPr>
                <w:rFonts w:ascii="Calibri" w:hAnsi="Calibri" w:cs="Calibri"/>
                <w:b w:val="0"/>
                <w:bCs w:val="0"/>
                <w:sz w:val="20"/>
                <w:szCs w:val="20"/>
              </w:rPr>
            </w:pPr>
          </w:p>
          <w:p w14:paraId="4999C7C5" w14:textId="77777777" w:rsidR="001872B0" w:rsidRPr="00DE3F83" w:rsidRDefault="001872B0" w:rsidP="00DE3F83">
            <w:pPr>
              <w:ind w:left="360"/>
              <w:rPr>
                <w:rFonts w:ascii="Calibri" w:hAnsi="Calibri" w:cs="Calibri"/>
                <w:sz w:val="20"/>
                <w:szCs w:val="20"/>
              </w:rPr>
            </w:pPr>
          </w:p>
          <w:p w14:paraId="2B91BD4A" w14:textId="77777777" w:rsidR="001872B0" w:rsidRPr="00DE3F83" w:rsidRDefault="001872B0" w:rsidP="00495434">
            <w:pPr>
              <w:pStyle w:val="ListParagraph"/>
              <w:numPr>
                <w:ilvl w:val="0"/>
                <w:numId w:val="8"/>
              </w:numPr>
              <w:spacing w:after="0" w:line="240" w:lineRule="auto"/>
              <w:rPr>
                <w:rFonts w:ascii="Calibri" w:hAnsi="Calibri" w:cs="Calibri"/>
                <w:b w:val="0"/>
                <w:bCs w:val="0"/>
                <w:sz w:val="20"/>
                <w:szCs w:val="20"/>
              </w:rPr>
            </w:pPr>
            <w:r w:rsidRPr="00DE3F83">
              <w:rPr>
                <w:rFonts w:ascii="Calibri" w:hAnsi="Calibri" w:cs="Calibri"/>
                <w:b w:val="0"/>
                <w:bCs w:val="0"/>
                <w:sz w:val="20"/>
                <w:szCs w:val="20"/>
              </w:rPr>
              <w:t>So what?</w:t>
            </w:r>
          </w:p>
          <w:p w14:paraId="111788DE" w14:textId="77777777" w:rsidR="001872B0" w:rsidRDefault="001872B0" w:rsidP="00DE3F83">
            <w:pPr>
              <w:rPr>
                <w:rFonts w:ascii="Calibri" w:hAnsi="Calibri" w:cs="Calibri"/>
                <w:b w:val="0"/>
                <w:bCs w:val="0"/>
                <w:sz w:val="20"/>
                <w:szCs w:val="20"/>
              </w:rPr>
            </w:pPr>
          </w:p>
          <w:p w14:paraId="4EEA5CFA" w14:textId="77777777" w:rsidR="001872B0" w:rsidRDefault="001872B0" w:rsidP="00DE3F83">
            <w:pPr>
              <w:rPr>
                <w:rFonts w:ascii="Calibri" w:hAnsi="Calibri" w:cs="Calibri"/>
                <w:b w:val="0"/>
                <w:bCs w:val="0"/>
                <w:sz w:val="20"/>
                <w:szCs w:val="20"/>
              </w:rPr>
            </w:pPr>
          </w:p>
          <w:p w14:paraId="0FFDC2BB" w14:textId="77777777" w:rsidR="001872B0" w:rsidRDefault="001872B0" w:rsidP="00DE3F83">
            <w:pPr>
              <w:rPr>
                <w:rFonts w:ascii="Calibri" w:hAnsi="Calibri" w:cs="Calibri"/>
                <w:b w:val="0"/>
                <w:bCs w:val="0"/>
                <w:sz w:val="20"/>
                <w:szCs w:val="20"/>
              </w:rPr>
            </w:pPr>
          </w:p>
          <w:p w14:paraId="15244698" w14:textId="77777777" w:rsidR="001872B0" w:rsidRDefault="001872B0" w:rsidP="00DE3F83">
            <w:pPr>
              <w:rPr>
                <w:rFonts w:ascii="Calibri" w:hAnsi="Calibri" w:cs="Calibri"/>
                <w:b w:val="0"/>
                <w:bCs w:val="0"/>
                <w:sz w:val="20"/>
                <w:szCs w:val="20"/>
              </w:rPr>
            </w:pPr>
          </w:p>
          <w:p w14:paraId="2BB4F3B6" w14:textId="77777777" w:rsidR="001872B0" w:rsidRDefault="001872B0" w:rsidP="00DE3F83">
            <w:pPr>
              <w:rPr>
                <w:rFonts w:ascii="Calibri" w:hAnsi="Calibri" w:cs="Calibri"/>
                <w:b w:val="0"/>
                <w:bCs w:val="0"/>
                <w:sz w:val="20"/>
                <w:szCs w:val="20"/>
              </w:rPr>
            </w:pPr>
          </w:p>
          <w:p w14:paraId="57F65353" w14:textId="77777777" w:rsidR="001872B0" w:rsidRDefault="001872B0" w:rsidP="00DE3F83">
            <w:pPr>
              <w:rPr>
                <w:rFonts w:ascii="Calibri" w:hAnsi="Calibri" w:cs="Calibri"/>
                <w:b w:val="0"/>
                <w:bCs w:val="0"/>
                <w:sz w:val="20"/>
                <w:szCs w:val="20"/>
              </w:rPr>
            </w:pPr>
          </w:p>
          <w:p w14:paraId="1FE77890" w14:textId="77777777" w:rsidR="001872B0" w:rsidRDefault="001872B0" w:rsidP="00DE3F83">
            <w:pPr>
              <w:rPr>
                <w:rFonts w:ascii="Calibri" w:hAnsi="Calibri" w:cs="Calibri"/>
                <w:b w:val="0"/>
                <w:bCs w:val="0"/>
                <w:sz w:val="20"/>
                <w:szCs w:val="20"/>
              </w:rPr>
            </w:pPr>
          </w:p>
          <w:p w14:paraId="0E08E4E3" w14:textId="77777777" w:rsidR="001872B0" w:rsidRDefault="001872B0" w:rsidP="00DE3F83">
            <w:pPr>
              <w:rPr>
                <w:rFonts w:ascii="Calibri" w:hAnsi="Calibri" w:cs="Calibri"/>
                <w:b w:val="0"/>
                <w:bCs w:val="0"/>
                <w:sz w:val="20"/>
                <w:szCs w:val="20"/>
              </w:rPr>
            </w:pPr>
          </w:p>
          <w:p w14:paraId="06419144" w14:textId="77777777" w:rsidR="001872B0" w:rsidRPr="00DE3F83" w:rsidRDefault="001872B0" w:rsidP="00DE3F83">
            <w:pPr>
              <w:rPr>
                <w:rFonts w:ascii="Calibri" w:hAnsi="Calibri" w:cs="Calibri"/>
                <w:sz w:val="20"/>
                <w:szCs w:val="20"/>
              </w:rPr>
            </w:pPr>
          </w:p>
          <w:p w14:paraId="1C6E850B" w14:textId="77777777" w:rsidR="001872B0" w:rsidRPr="00DE3F83" w:rsidRDefault="001872B0" w:rsidP="00495434">
            <w:pPr>
              <w:pStyle w:val="ListParagraph"/>
              <w:numPr>
                <w:ilvl w:val="0"/>
                <w:numId w:val="8"/>
              </w:numPr>
              <w:spacing w:after="0" w:line="240" w:lineRule="auto"/>
              <w:rPr>
                <w:rFonts w:ascii="Calibri" w:hAnsi="Calibri" w:cs="Calibri"/>
                <w:b w:val="0"/>
                <w:bCs w:val="0"/>
                <w:sz w:val="20"/>
                <w:szCs w:val="20"/>
              </w:rPr>
            </w:pPr>
            <w:r>
              <w:rPr>
                <w:rFonts w:ascii="Calibri" w:hAnsi="Calibri" w:cs="Calibri"/>
                <w:b w:val="0"/>
                <w:bCs w:val="0"/>
                <w:sz w:val="20"/>
                <w:szCs w:val="20"/>
              </w:rPr>
              <w:t>Now what?</w:t>
            </w:r>
          </w:p>
          <w:p w14:paraId="56F2B855" w14:textId="77777777" w:rsidR="001872B0" w:rsidRPr="006760B9" w:rsidRDefault="001872B0">
            <w:pPr>
              <w:rPr>
                <w:rFonts w:ascii="Calibri" w:hAnsi="Calibri" w:cs="Calibri"/>
                <w:b w:val="0"/>
                <w:bCs w:val="0"/>
                <w:sz w:val="20"/>
                <w:szCs w:val="20"/>
              </w:rPr>
            </w:pPr>
          </w:p>
          <w:p w14:paraId="38967DB4" w14:textId="77777777" w:rsidR="001872B0" w:rsidRPr="006760B9" w:rsidRDefault="001872B0">
            <w:pPr>
              <w:rPr>
                <w:rFonts w:ascii="Calibri" w:hAnsi="Calibri" w:cs="Calibri"/>
                <w:b w:val="0"/>
                <w:bCs w:val="0"/>
                <w:sz w:val="20"/>
                <w:szCs w:val="20"/>
              </w:rPr>
            </w:pPr>
          </w:p>
          <w:p w14:paraId="006140A8" w14:textId="77777777" w:rsidR="001872B0" w:rsidRPr="006760B9" w:rsidRDefault="001872B0">
            <w:pPr>
              <w:rPr>
                <w:rFonts w:ascii="Calibri" w:hAnsi="Calibri" w:cs="Calibri"/>
                <w:b w:val="0"/>
                <w:bCs w:val="0"/>
                <w:sz w:val="20"/>
                <w:szCs w:val="20"/>
              </w:rPr>
            </w:pPr>
          </w:p>
          <w:p w14:paraId="2DFA0D7A" w14:textId="77777777" w:rsidR="001872B0" w:rsidRPr="006760B9" w:rsidRDefault="001872B0">
            <w:pPr>
              <w:rPr>
                <w:rFonts w:ascii="Calibri" w:hAnsi="Calibri" w:cs="Calibri"/>
                <w:b w:val="0"/>
                <w:bCs w:val="0"/>
                <w:sz w:val="20"/>
                <w:szCs w:val="20"/>
              </w:rPr>
            </w:pPr>
          </w:p>
          <w:p w14:paraId="6CE3CDBF" w14:textId="77777777" w:rsidR="001872B0" w:rsidRPr="006760B9" w:rsidRDefault="001872B0">
            <w:pPr>
              <w:rPr>
                <w:rFonts w:ascii="Calibri" w:hAnsi="Calibri" w:cs="Calibri"/>
                <w:b w:val="0"/>
                <w:bCs w:val="0"/>
                <w:sz w:val="20"/>
                <w:szCs w:val="20"/>
              </w:rPr>
            </w:pPr>
          </w:p>
          <w:p w14:paraId="7A590B19" w14:textId="77777777" w:rsidR="001872B0" w:rsidRPr="006760B9" w:rsidRDefault="001872B0">
            <w:pPr>
              <w:rPr>
                <w:rFonts w:ascii="Calibri" w:hAnsi="Calibri" w:cs="Calibri"/>
                <w:b w:val="0"/>
                <w:bCs w:val="0"/>
                <w:sz w:val="20"/>
                <w:szCs w:val="20"/>
              </w:rPr>
            </w:pPr>
          </w:p>
          <w:p w14:paraId="450BC1E2" w14:textId="77777777" w:rsidR="001872B0" w:rsidRPr="006760B9" w:rsidRDefault="001872B0">
            <w:pPr>
              <w:rPr>
                <w:rFonts w:ascii="Calibri" w:hAnsi="Calibri" w:cs="Calibri"/>
                <w:b w:val="0"/>
                <w:bCs w:val="0"/>
                <w:sz w:val="20"/>
                <w:szCs w:val="20"/>
              </w:rPr>
            </w:pPr>
          </w:p>
        </w:tc>
        <w:tc>
          <w:tcPr>
            <w:tcW w:w="1250" w:type="pct"/>
          </w:tcPr>
          <w:p w14:paraId="6F19C20E" w14:textId="77777777" w:rsidR="001872B0" w:rsidRPr="006760B9" w:rsidRDefault="001872B0">
            <w:pPr>
              <w:rPr>
                <w:rFonts w:ascii="Calibri" w:hAnsi="Calibri" w:cs="Calibri"/>
                <w:sz w:val="20"/>
                <w:szCs w:val="20"/>
              </w:rPr>
            </w:pPr>
            <w:r w:rsidRPr="006760B9">
              <w:rPr>
                <w:rFonts w:ascii="Calibri" w:hAnsi="Calibri" w:cs="Calibri"/>
                <w:b w:val="0"/>
                <w:bCs w:val="0"/>
                <w:sz w:val="20"/>
                <w:szCs w:val="20"/>
              </w:rPr>
              <w:t xml:space="preserve">        </w:t>
            </w:r>
          </w:p>
          <w:p w14:paraId="4A3693D0" w14:textId="77777777" w:rsidR="001872B0" w:rsidRPr="00D962AB" w:rsidRDefault="001872B0">
            <w:pPr>
              <w:rPr>
                <w:rFonts w:ascii="Calibri" w:hAnsi="Calibri" w:cs="Calibri"/>
                <w:sz w:val="20"/>
                <w:szCs w:val="20"/>
              </w:rPr>
            </w:pPr>
            <w:r w:rsidRPr="006760B9">
              <w:rPr>
                <w:rFonts w:ascii="Calibri" w:hAnsi="Calibri" w:cs="Calibri"/>
                <w:b w:val="0"/>
                <w:bCs w:val="0"/>
                <w:sz w:val="20"/>
                <w:szCs w:val="20"/>
              </w:rPr>
              <w:t xml:space="preserve"> </w:t>
            </w:r>
            <w:r w:rsidRPr="00D962AB">
              <w:rPr>
                <w:rFonts w:ascii="Calibri" w:hAnsi="Calibri" w:cs="Calibri"/>
                <w:sz w:val="20"/>
                <w:szCs w:val="20"/>
              </w:rPr>
              <w:t xml:space="preserve"> Themes</w:t>
            </w:r>
          </w:p>
          <w:p w14:paraId="2AD16ECD" w14:textId="77777777" w:rsidR="001872B0" w:rsidRPr="006760B9" w:rsidRDefault="001872B0">
            <w:pPr>
              <w:rPr>
                <w:rFonts w:ascii="Calibri" w:hAnsi="Calibri" w:cs="Calibri"/>
                <w:sz w:val="20"/>
                <w:szCs w:val="20"/>
              </w:rPr>
            </w:pPr>
          </w:p>
          <w:p w14:paraId="3F9478F4" w14:textId="77777777" w:rsidR="001872B0" w:rsidRDefault="001872B0">
            <w:pPr>
              <w:rPr>
                <w:rFonts w:ascii="Calibri" w:hAnsi="Calibri" w:cs="Calibri"/>
                <w:sz w:val="20"/>
                <w:szCs w:val="20"/>
              </w:rPr>
            </w:pPr>
            <w:r w:rsidRPr="006760B9">
              <w:rPr>
                <w:rFonts w:ascii="Calibri" w:hAnsi="Calibri" w:cs="Calibri"/>
                <w:b w:val="0"/>
                <w:bCs w:val="0"/>
                <w:sz w:val="20"/>
                <w:szCs w:val="20"/>
              </w:rPr>
              <w:t xml:space="preserve">   </w:t>
            </w:r>
          </w:p>
          <w:p w14:paraId="3DF0F13F" w14:textId="58757C7C" w:rsidR="001872B0" w:rsidRPr="006760B9" w:rsidRDefault="001872B0">
            <w:pPr>
              <w:rPr>
                <w:rFonts w:ascii="Calibri" w:hAnsi="Calibri" w:cs="Calibri"/>
                <w:sz w:val="20"/>
                <w:szCs w:val="20"/>
              </w:rPr>
            </w:pPr>
            <w:r>
              <w:rPr>
                <w:rFonts w:ascii="Calibri" w:hAnsi="Calibri" w:cs="Calibri"/>
                <w:b w:val="0"/>
                <w:bCs w:val="0"/>
                <w:sz w:val="20"/>
                <w:szCs w:val="20"/>
              </w:rPr>
              <w:t>Theme</w:t>
            </w:r>
            <w:r w:rsidR="00840E00">
              <w:rPr>
                <w:rFonts w:ascii="Calibri" w:hAnsi="Calibri" w:cs="Calibri"/>
                <w:b w:val="0"/>
                <w:bCs w:val="0"/>
                <w:sz w:val="20"/>
                <w:szCs w:val="20"/>
              </w:rPr>
              <w:t xml:space="preserve"> </w:t>
            </w:r>
            <w:r>
              <w:rPr>
                <w:rFonts w:ascii="Calibri" w:hAnsi="Calibri" w:cs="Calibri"/>
                <w:b w:val="0"/>
                <w:bCs w:val="0"/>
                <w:sz w:val="20"/>
                <w:szCs w:val="20"/>
              </w:rPr>
              <w:t xml:space="preserve">1: </w:t>
            </w:r>
            <w:r w:rsidRPr="006760B9">
              <w:rPr>
                <w:rFonts w:ascii="Calibri" w:hAnsi="Calibri" w:cs="Calibri"/>
                <w:b w:val="0"/>
                <w:bCs w:val="0"/>
                <w:sz w:val="20"/>
                <w:szCs w:val="20"/>
              </w:rPr>
              <w:t xml:space="preserve">Into the </w:t>
            </w:r>
            <w:r>
              <w:rPr>
                <w:rFonts w:ascii="Calibri" w:hAnsi="Calibri" w:cs="Calibri"/>
                <w:b w:val="0"/>
                <w:bCs w:val="0"/>
                <w:sz w:val="20"/>
                <w:szCs w:val="20"/>
              </w:rPr>
              <w:t xml:space="preserve">        </w:t>
            </w:r>
            <w:r w:rsidRPr="006760B9">
              <w:rPr>
                <w:rFonts w:ascii="Calibri" w:hAnsi="Calibri" w:cs="Calibri"/>
                <w:b w:val="0"/>
                <w:bCs w:val="0"/>
                <w:sz w:val="20"/>
                <w:szCs w:val="20"/>
              </w:rPr>
              <w:t>Woods</w:t>
            </w:r>
          </w:p>
          <w:p w14:paraId="5F63D819" w14:textId="77777777" w:rsidR="001872B0" w:rsidRPr="006760B9" w:rsidRDefault="001872B0">
            <w:pPr>
              <w:rPr>
                <w:rFonts w:ascii="Calibri" w:hAnsi="Calibri" w:cs="Calibri"/>
                <w:sz w:val="20"/>
                <w:szCs w:val="20"/>
              </w:rPr>
            </w:pPr>
          </w:p>
          <w:p w14:paraId="14662B99" w14:textId="77777777" w:rsidR="001872B0" w:rsidRPr="006760B9" w:rsidRDefault="001872B0">
            <w:pPr>
              <w:rPr>
                <w:rFonts w:ascii="Calibri" w:hAnsi="Calibri" w:cs="Calibri"/>
                <w:sz w:val="20"/>
                <w:szCs w:val="20"/>
              </w:rPr>
            </w:pPr>
          </w:p>
          <w:p w14:paraId="2EA3515E" w14:textId="77777777" w:rsidR="001872B0" w:rsidRPr="006760B9" w:rsidRDefault="001872B0">
            <w:pPr>
              <w:rPr>
                <w:rFonts w:ascii="Calibri" w:hAnsi="Calibri" w:cs="Calibri"/>
                <w:sz w:val="20"/>
                <w:szCs w:val="20"/>
              </w:rPr>
            </w:pPr>
          </w:p>
          <w:p w14:paraId="4A75533F" w14:textId="77777777" w:rsidR="001872B0" w:rsidRPr="006760B9" w:rsidRDefault="001872B0">
            <w:pPr>
              <w:rPr>
                <w:rFonts w:ascii="Calibri" w:hAnsi="Calibri" w:cs="Calibri"/>
                <w:sz w:val="20"/>
                <w:szCs w:val="20"/>
              </w:rPr>
            </w:pPr>
          </w:p>
          <w:p w14:paraId="12077866" w14:textId="77777777" w:rsidR="001872B0" w:rsidRPr="006760B9" w:rsidRDefault="001872B0">
            <w:pPr>
              <w:rPr>
                <w:rFonts w:ascii="Calibri" w:hAnsi="Calibri" w:cs="Calibri"/>
                <w:sz w:val="20"/>
                <w:szCs w:val="20"/>
              </w:rPr>
            </w:pPr>
            <w:r w:rsidRPr="006760B9">
              <w:rPr>
                <w:rFonts w:ascii="Calibri" w:hAnsi="Calibri" w:cs="Calibri"/>
                <w:b w:val="0"/>
                <w:bCs w:val="0"/>
                <w:sz w:val="20"/>
                <w:szCs w:val="20"/>
              </w:rPr>
              <w:t xml:space="preserve">    </w:t>
            </w:r>
          </w:p>
          <w:p w14:paraId="43A292BB" w14:textId="77777777" w:rsidR="001872B0" w:rsidRPr="006760B9" w:rsidRDefault="001872B0">
            <w:pPr>
              <w:rPr>
                <w:rFonts w:ascii="Calibri" w:hAnsi="Calibri" w:cs="Calibri"/>
                <w:sz w:val="20"/>
                <w:szCs w:val="20"/>
              </w:rPr>
            </w:pPr>
          </w:p>
          <w:p w14:paraId="4EE3FA2E" w14:textId="77777777" w:rsidR="001872B0" w:rsidRPr="006760B9" w:rsidRDefault="001872B0">
            <w:pPr>
              <w:rPr>
                <w:rFonts w:ascii="Calibri" w:hAnsi="Calibri" w:cs="Calibri"/>
                <w:sz w:val="20"/>
                <w:szCs w:val="20"/>
              </w:rPr>
            </w:pPr>
          </w:p>
          <w:p w14:paraId="1B01A648" w14:textId="77777777" w:rsidR="001872B0" w:rsidRPr="006760B9" w:rsidRDefault="001872B0">
            <w:pPr>
              <w:rPr>
                <w:rFonts w:ascii="Calibri" w:hAnsi="Calibri" w:cs="Calibri"/>
                <w:sz w:val="20"/>
                <w:szCs w:val="20"/>
              </w:rPr>
            </w:pPr>
          </w:p>
          <w:p w14:paraId="2954DD64" w14:textId="77777777" w:rsidR="001872B0" w:rsidRPr="006760B9" w:rsidRDefault="001872B0">
            <w:pPr>
              <w:rPr>
                <w:rFonts w:ascii="Calibri" w:hAnsi="Calibri" w:cs="Calibri"/>
                <w:sz w:val="20"/>
                <w:szCs w:val="20"/>
              </w:rPr>
            </w:pPr>
          </w:p>
          <w:p w14:paraId="37BE18E0" w14:textId="77777777" w:rsidR="001872B0" w:rsidRPr="00BC27B4" w:rsidRDefault="001872B0">
            <w:pPr>
              <w:rPr>
                <w:rFonts w:ascii="Calibri" w:hAnsi="Calibri" w:cs="Calibri"/>
                <w:sz w:val="20"/>
                <w:szCs w:val="20"/>
              </w:rPr>
            </w:pPr>
            <w:r>
              <w:rPr>
                <w:rFonts w:ascii="Calibri" w:hAnsi="Calibri" w:cs="Calibri"/>
                <w:b w:val="0"/>
                <w:bCs w:val="0"/>
                <w:sz w:val="20"/>
                <w:szCs w:val="20"/>
              </w:rPr>
              <w:t xml:space="preserve">Theme 2: </w:t>
            </w:r>
            <w:r w:rsidRPr="006760B9">
              <w:rPr>
                <w:rFonts w:ascii="Calibri" w:hAnsi="Calibri" w:cs="Calibri"/>
                <w:b w:val="0"/>
                <w:bCs w:val="0"/>
                <w:sz w:val="20"/>
                <w:szCs w:val="20"/>
              </w:rPr>
              <w:t xml:space="preserve">Guardian of the </w:t>
            </w:r>
          </w:p>
          <w:p w14:paraId="12CD1129" w14:textId="77777777" w:rsidR="001872B0" w:rsidRDefault="001872B0">
            <w:pPr>
              <w:rPr>
                <w:rFonts w:ascii="Calibri" w:hAnsi="Calibri" w:cs="Calibri"/>
                <w:sz w:val="20"/>
                <w:szCs w:val="20"/>
              </w:rPr>
            </w:pPr>
            <w:r w:rsidRPr="006760B9">
              <w:rPr>
                <w:rFonts w:ascii="Calibri" w:hAnsi="Calibri" w:cs="Calibri"/>
                <w:b w:val="0"/>
                <w:bCs w:val="0"/>
                <w:sz w:val="20"/>
                <w:szCs w:val="20"/>
              </w:rPr>
              <w:t>Threshold</w:t>
            </w:r>
          </w:p>
          <w:p w14:paraId="601805D1" w14:textId="77777777" w:rsidR="001872B0" w:rsidRDefault="001872B0">
            <w:pPr>
              <w:rPr>
                <w:rFonts w:ascii="Calibri" w:hAnsi="Calibri" w:cs="Calibri"/>
                <w:b w:val="0"/>
                <w:bCs w:val="0"/>
                <w:sz w:val="20"/>
                <w:szCs w:val="20"/>
              </w:rPr>
            </w:pPr>
          </w:p>
          <w:p w14:paraId="14A41E69" w14:textId="77777777" w:rsidR="001872B0" w:rsidRDefault="001872B0">
            <w:pPr>
              <w:rPr>
                <w:rFonts w:ascii="Calibri" w:hAnsi="Calibri" w:cs="Calibri"/>
                <w:b w:val="0"/>
                <w:bCs w:val="0"/>
                <w:sz w:val="20"/>
                <w:szCs w:val="20"/>
              </w:rPr>
            </w:pPr>
          </w:p>
          <w:p w14:paraId="772F62CE" w14:textId="77777777" w:rsidR="001872B0" w:rsidRDefault="001872B0">
            <w:pPr>
              <w:rPr>
                <w:rFonts w:ascii="Calibri" w:hAnsi="Calibri" w:cs="Calibri"/>
                <w:b w:val="0"/>
                <w:bCs w:val="0"/>
                <w:sz w:val="20"/>
                <w:szCs w:val="20"/>
              </w:rPr>
            </w:pPr>
          </w:p>
          <w:p w14:paraId="6FEE6FAB" w14:textId="77777777" w:rsidR="001872B0" w:rsidRDefault="001872B0">
            <w:pPr>
              <w:rPr>
                <w:rFonts w:ascii="Calibri" w:hAnsi="Calibri" w:cs="Calibri"/>
                <w:b w:val="0"/>
                <w:bCs w:val="0"/>
                <w:sz w:val="20"/>
                <w:szCs w:val="20"/>
              </w:rPr>
            </w:pPr>
          </w:p>
          <w:p w14:paraId="293EF69F" w14:textId="77777777" w:rsidR="001872B0" w:rsidRDefault="001872B0">
            <w:pPr>
              <w:rPr>
                <w:rFonts w:ascii="Calibri" w:hAnsi="Calibri" w:cs="Calibri"/>
                <w:sz w:val="20"/>
                <w:szCs w:val="20"/>
              </w:rPr>
            </w:pPr>
          </w:p>
          <w:p w14:paraId="6F880335" w14:textId="705118D2" w:rsidR="001872B0" w:rsidRDefault="001872B0">
            <w:pPr>
              <w:rPr>
                <w:rFonts w:ascii="Calibri" w:hAnsi="Calibri" w:cs="Calibri"/>
                <w:sz w:val="20"/>
                <w:szCs w:val="20"/>
              </w:rPr>
            </w:pPr>
            <w:r>
              <w:rPr>
                <w:rFonts w:ascii="Calibri" w:hAnsi="Calibri" w:cs="Calibri"/>
                <w:b w:val="0"/>
                <w:bCs w:val="0"/>
                <w:sz w:val="20"/>
                <w:szCs w:val="20"/>
              </w:rPr>
              <w:t xml:space="preserve">Theme 3: </w:t>
            </w:r>
            <w:r w:rsidRPr="00415EC4">
              <w:rPr>
                <w:rFonts w:ascii="Calibri" w:hAnsi="Calibri" w:cs="Calibri"/>
                <w:b w:val="0"/>
                <w:bCs w:val="0"/>
                <w:sz w:val="20"/>
                <w:szCs w:val="20"/>
              </w:rPr>
              <w:t xml:space="preserve">Mirror, </w:t>
            </w:r>
            <w:r>
              <w:rPr>
                <w:rFonts w:ascii="Calibri" w:hAnsi="Calibri" w:cs="Calibri"/>
                <w:b w:val="0"/>
                <w:bCs w:val="0"/>
                <w:sz w:val="20"/>
                <w:szCs w:val="20"/>
              </w:rPr>
              <w:t>M</w:t>
            </w:r>
            <w:r w:rsidRPr="00415EC4">
              <w:rPr>
                <w:rFonts w:ascii="Calibri" w:hAnsi="Calibri" w:cs="Calibri"/>
                <w:b w:val="0"/>
                <w:bCs w:val="0"/>
                <w:sz w:val="20"/>
                <w:szCs w:val="20"/>
              </w:rPr>
              <w:t xml:space="preserve">irror on the </w:t>
            </w:r>
            <w:r>
              <w:rPr>
                <w:rFonts w:ascii="Calibri" w:hAnsi="Calibri" w:cs="Calibri"/>
                <w:b w:val="0"/>
                <w:bCs w:val="0"/>
                <w:sz w:val="20"/>
                <w:szCs w:val="20"/>
              </w:rPr>
              <w:t>W</w:t>
            </w:r>
            <w:r w:rsidRPr="00415EC4">
              <w:rPr>
                <w:rFonts w:ascii="Calibri" w:hAnsi="Calibri" w:cs="Calibri"/>
                <w:b w:val="0"/>
                <w:bCs w:val="0"/>
                <w:sz w:val="20"/>
                <w:szCs w:val="20"/>
              </w:rPr>
              <w:t>all</w:t>
            </w:r>
          </w:p>
          <w:p w14:paraId="4FEFF31A" w14:textId="77777777" w:rsidR="001872B0" w:rsidRDefault="001872B0">
            <w:pPr>
              <w:rPr>
                <w:rFonts w:ascii="Calibri" w:hAnsi="Calibri" w:cs="Calibri"/>
                <w:sz w:val="20"/>
                <w:szCs w:val="20"/>
              </w:rPr>
            </w:pPr>
          </w:p>
          <w:p w14:paraId="434E072F" w14:textId="77777777" w:rsidR="001872B0" w:rsidRDefault="001872B0">
            <w:pPr>
              <w:rPr>
                <w:rFonts w:ascii="Calibri" w:hAnsi="Calibri" w:cs="Calibri"/>
                <w:sz w:val="20"/>
                <w:szCs w:val="20"/>
              </w:rPr>
            </w:pPr>
          </w:p>
          <w:p w14:paraId="23766EA4" w14:textId="77777777" w:rsidR="001872B0" w:rsidRDefault="001872B0">
            <w:pPr>
              <w:rPr>
                <w:rFonts w:ascii="Calibri" w:hAnsi="Calibri" w:cs="Calibri"/>
                <w:sz w:val="20"/>
                <w:szCs w:val="20"/>
              </w:rPr>
            </w:pPr>
          </w:p>
          <w:p w14:paraId="117F57E2" w14:textId="77777777" w:rsidR="001872B0" w:rsidRDefault="001872B0">
            <w:pPr>
              <w:rPr>
                <w:rFonts w:ascii="Calibri" w:hAnsi="Calibri" w:cs="Calibri"/>
                <w:sz w:val="20"/>
                <w:szCs w:val="20"/>
              </w:rPr>
            </w:pPr>
          </w:p>
          <w:p w14:paraId="5D5B2575" w14:textId="77777777" w:rsidR="001872B0" w:rsidRDefault="001872B0">
            <w:pPr>
              <w:rPr>
                <w:rFonts w:ascii="Calibri" w:hAnsi="Calibri" w:cs="Calibri"/>
                <w:sz w:val="20"/>
                <w:szCs w:val="20"/>
              </w:rPr>
            </w:pPr>
          </w:p>
          <w:p w14:paraId="0CB8E7BA" w14:textId="77777777" w:rsidR="001872B0" w:rsidRDefault="001872B0">
            <w:pPr>
              <w:rPr>
                <w:rFonts w:ascii="Calibri" w:hAnsi="Calibri" w:cs="Calibri"/>
                <w:sz w:val="20"/>
                <w:szCs w:val="20"/>
              </w:rPr>
            </w:pPr>
          </w:p>
          <w:p w14:paraId="2C9E8577" w14:textId="77777777" w:rsidR="001872B0" w:rsidRDefault="001872B0">
            <w:pPr>
              <w:rPr>
                <w:rFonts w:ascii="Calibri" w:hAnsi="Calibri" w:cs="Calibri"/>
                <w:sz w:val="20"/>
                <w:szCs w:val="20"/>
              </w:rPr>
            </w:pPr>
          </w:p>
          <w:p w14:paraId="5872F73A" w14:textId="77777777" w:rsidR="001872B0" w:rsidRDefault="001872B0">
            <w:pPr>
              <w:rPr>
                <w:rFonts w:ascii="Calibri" w:hAnsi="Calibri" w:cs="Calibri"/>
                <w:sz w:val="20"/>
                <w:szCs w:val="20"/>
              </w:rPr>
            </w:pPr>
          </w:p>
          <w:p w14:paraId="4D835379" w14:textId="77777777" w:rsidR="001872B0" w:rsidRPr="00415EC4" w:rsidRDefault="001872B0">
            <w:pPr>
              <w:rPr>
                <w:rFonts w:ascii="Calibri" w:hAnsi="Calibri" w:cs="Calibri"/>
                <w:b w:val="0"/>
                <w:bCs w:val="0"/>
                <w:sz w:val="20"/>
                <w:szCs w:val="20"/>
              </w:rPr>
            </w:pPr>
            <w:r>
              <w:rPr>
                <w:rFonts w:ascii="Calibri" w:hAnsi="Calibri" w:cs="Calibri"/>
                <w:b w:val="0"/>
                <w:bCs w:val="0"/>
                <w:sz w:val="20"/>
                <w:szCs w:val="20"/>
              </w:rPr>
              <w:t>Theme 4: The Return</w:t>
            </w:r>
          </w:p>
          <w:p w14:paraId="422615E9" w14:textId="77777777" w:rsidR="001872B0" w:rsidRPr="006760B9" w:rsidRDefault="001872B0">
            <w:pPr>
              <w:rPr>
                <w:rFonts w:ascii="Calibri" w:hAnsi="Calibri" w:cs="Calibri"/>
                <w:sz w:val="20"/>
                <w:szCs w:val="20"/>
              </w:rPr>
            </w:pPr>
          </w:p>
          <w:p w14:paraId="4A235406" w14:textId="77777777" w:rsidR="001872B0" w:rsidRPr="006760B9" w:rsidRDefault="001872B0">
            <w:pPr>
              <w:rPr>
                <w:rFonts w:ascii="Calibri" w:hAnsi="Calibri" w:cs="Calibri"/>
                <w:sz w:val="20"/>
                <w:szCs w:val="20"/>
              </w:rPr>
            </w:pPr>
          </w:p>
          <w:p w14:paraId="485B55DA" w14:textId="77777777" w:rsidR="001872B0" w:rsidRPr="006760B9" w:rsidRDefault="001872B0">
            <w:pPr>
              <w:rPr>
                <w:rFonts w:ascii="Calibri" w:hAnsi="Calibri" w:cs="Calibri"/>
                <w:sz w:val="20"/>
                <w:szCs w:val="20"/>
              </w:rPr>
            </w:pPr>
          </w:p>
          <w:p w14:paraId="72F966B5" w14:textId="77777777" w:rsidR="001872B0" w:rsidRPr="006760B9" w:rsidRDefault="001872B0">
            <w:pPr>
              <w:rPr>
                <w:rFonts w:ascii="Calibri" w:hAnsi="Calibri" w:cs="Calibri"/>
                <w:sz w:val="20"/>
                <w:szCs w:val="20"/>
              </w:rPr>
            </w:pPr>
          </w:p>
          <w:p w14:paraId="64E617C7" w14:textId="77777777" w:rsidR="001872B0" w:rsidRPr="006760B9" w:rsidRDefault="001872B0">
            <w:pPr>
              <w:rPr>
                <w:rFonts w:ascii="Calibri" w:hAnsi="Calibri" w:cs="Calibri"/>
                <w:sz w:val="20"/>
                <w:szCs w:val="20"/>
              </w:rPr>
            </w:pPr>
          </w:p>
          <w:p w14:paraId="6A2B0807" w14:textId="77777777" w:rsidR="001872B0" w:rsidRPr="006760B9" w:rsidRDefault="001872B0">
            <w:pPr>
              <w:rPr>
                <w:rFonts w:ascii="Calibri" w:hAnsi="Calibri" w:cs="Calibri"/>
                <w:sz w:val="20"/>
                <w:szCs w:val="20"/>
              </w:rPr>
            </w:pPr>
          </w:p>
          <w:p w14:paraId="0FDFF37A" w14:textId="77777777" w:rsidR="001872B0" w:rsidRPr="00E80AD7" w:rsidRDefault="001872B0">
            <w:pPr>
              <w:rPr>
                <w:rFonts w:ascii="Calibri" w:hAnsi="Calibri" w:cs="Calibri"/>
                <w:b w:val="0"/>
                <w:bCs w:val="0"/>
                <w:sz w:val="20"/>
                <w:szCs w:val="20"/>
              </w:rPr>
            </w:pPr>
            <w:r>
              <w:rPr>
                <w:rFonts w:ascii="Calibri" w:hAnsi="Calibri" w:cs="Calibri"/>
                <w:b w:val="0"/>
                <w:bCs w:val="0"/>
                <w:sz w:val="20"/>
                <w:szCs w:val="20"/>
              </w:rPr>
              <w:t xml:space="preserve">                                                                    </w:t>
            </w:r>
          </w:p>
          <w:p w14:paraId="121DE7E3" w14:textId="77777777" w:rsidR="001872B0" w:rsidRPr="006760B9" w:rsidRDefault="001872B0">
            <w:pPr>
              <w:rPr>
                <w:rFonts w:ascii="Calibri" w:hAnsi="Calibri" w:cs="Calibri"/>
                <w:sz w:val="20"/>
                <w:szCs w:val="20"/>
              </w:rPr>
            </w:pPr>
          </w:p>
          <w:p w14:paraId="2055AA5C" w14:textId="77777777" w:rsidR="001872B0" w:rsidRPr="006760B9" w:rsidRDefault="001872B0">
            <w:pPr>
              <w:rPr>
                <w:rFonts w:ascii="Calibri" w:hAnsi="Calibri" w:cs="Calibri"/>
                <w:sz w:val="20"/>
                <w:szCs w:val="20"/>
              </w:rPr>
            </w:pPr>
          </w:p>
          <w:p w14:paraId="11755C6C" w14:textId="77777777" w:rsidR="001872B0" w:rsidRPr="006760B9" w:rsidRDefault="001872B0">
            <w:pPr>
              <w:rPr>
                <w:rFonts w:ascii="Calibri" w:hAnsi="Calibri" w:cs="Calibri"/>
                <w:sz w:val="20"/>
                <w:szCs w:val="20"/>
              </w:rPr>
            </w:pPr>
          </w:p>
          <w:p w14:paraId="5E675C45" w14:textId="77777777" w:rsidR="001872B0" w:rsidRPr="006760B9" w:rsidRDefault="001872B0">
            <w:pPr>
              <w:rPr>
                <w:rFonts w:ascii="Calibri" w:hAnsi="Calibri" w:cs="Calibri"/>
                <w:sz w:val="20"/>
                <w:szCs w:val="20"/>
              </w:rPr>
            </w:pPr>
          </w:p>
          <w:p w14:paraId="3E4BB662" w14:textId="77777777" w:rsidR="001872B0" w:rsidRPr="006760B9" w:rsidRDefault="001872B0">
            <w:pPr>
              <w:rPr>
                <w:rFonts w:ascii="Calibri" w:hAnsi="Calibri" w:cs="Calibri"/>
                <w:sz w:val="20"/>
                <w:szCs w:val="20"/>
              </w:rPr>
            </w:pPr>
          </w:p>
          <w:p w14:paraId="79A095FB" w14:textId="77777777" w:rsidR="001872B0" w:rsidRPr="006760B9" w:rsidRDefault="001872B0">
            <w:pPr>
              <w:rPr>
                <w:rFonts w:ascii="Calibri" w:hAnsi="Calibri" w:cs="Calibri"/>
                <w:b w:val="0"/>
                <w:bCs w:val="0"/>
                <w:sz w:val="20"/>
                <w:szCs w:val="20"/>
              </w:rPr>
            </w:pPr>
          </w:p>
        </w:tc>
        <w:tc>
          <w:tcPr>
            <w:tcW w:w="1251" w:type="pct"/>
          </w:tcPr>
          <w:p w14:paraId="20A6A9DC" w14:textId="77777777" w:rsidR="001872B0" w:rsidRPr="006760B9" w:rsidRDefault="001872B0">
            <w:pPr>
              <w:rPr>
                <w:rFonts w:ascii="Calibri" w:hAnsi="Calibri" w:cs="Calibri"/>
                <w:sz w:val="20"/>
                <w:szCs w:val="20"/>
              </w:rPr>
            </w:pPr>
            <w:r w:rsidRPr="006760B9">
              <w:rPr>
                <w:rFonts w:ascii="Calibri" w:hAnsi="Calibri" w:cs="Calibri"/>
                <w:b w:val="0"/>
                <w:bCs w:val="0"/>
                <w:sz w:val="20"/>
                <w:szCs w:val="20"/>
              </w:rPr>
              <w:t xml:space="preserve">        </w:t>
            </w:r>
          </w:p>
          <w:p w14:paraId="34CF1126" w14:textId="77777777" w:rsidR="001872B0" w:rsidRPr="00D962AB" w:rsidRDefault="001872B0">
            <w:pPr>
              <w:rPr>
                <w:rFonts w:ascii="Calibri" w:hAnsi="Calibri" w:cs="Calibri"/>
                <w:sz w:val="20"/>
                <w:szCs w:val="20"/>
              </w:rPr>
            </w:pPr>
            <w:r w:rsidRPr="006760B9">
              <w:rPr>
                <w:rFonts w:ascii="Calibri" w:hAnsi="Calibri" w:cs="Calibri"/>
                <w:b w:val="0"/>
                <w:bCs w:val="0"/>
                <w:sz w:val="20"/>
                <w:szCs w:val="20"/>
              </w:rPr>
              <w:t xml:space="preserve">   </w:t>
            </w:r>
            <w:r w:rsidRPr="00D962AB">
              <w:rPr>
                <w:rFonts w:ascii="Calibri" w:hAnsi="Calibri" w:cs="Calibri"/>
                <w:sz w:val="20"/>
                <w:szCs w:val="20"/>
              </w:rPr>
              <w:t xml:space="preserve"> Subthemes</w:t>
            </w:r>
            <w:r>
              <w:rPr>
                <w:rFonts w:ascii="Calibri" w:hAnsi="Calibri" w:cs="Calibri"/>
                <w:sz w:val="20"/>
                <w:szCs w:val="20"/>
              </w:rPr>
              <w:t xml:space="preserve">                              </w:t>
            </w:r>
          </w:p>
          <w:p w14:paraId="06D1A970" w14:textId="77777777" w:rsidR="001872B0" w:rsidRPr="006760B9" w:rsidRDefault="001872B0">
            <w:pPr>
              <w:rPr>
                <w:rFonts w:ascii="Calibri" w:hAnsi="Calibri" w:cs="Calibri"/>
                <w:sz w:val="20"/>
                <w:szCs w:val="20"/>
              </w:rPr>
            </w:pPr>
          </w:p>
          <w:p w14:paraId="345DDDDE" w14:textId="77777777" w:rsidR="001872B0" w:rsidRPr="00834B35" w:rsidRDefault="001872B0" w:rsidP="00834B35">
            <w:pPr>
              <w:rPr>
                <w:rFonts w:ascii="Calibri" w:hAnsi="Calibri" w:cs="Calibri"/>
                <w:sz w:val="20"/>
                <w:szCs w:val="20"/>
              </w:rPr>
            </w:pPr>
          </w:p>
          <w:p w14:paraId="10155FA0" w14:textId="77777777" w:rsidR="001872B0" w:rsidRPr="0022600A" w:rsidRDefault="001872B0" w:rsidP="00A87CB4">
            <w:pPr>
              <w:rPr>
                <w:rFonts w:ascii="Calibri" w:hAnsi="Calibri" w:cs="Calibri"/>
                <w:b w:val="0"/>
                <w:bCs w:val="0"/>
                <w:sz w:val="20"/>
                <w:szCs w:val="20"/>
              </w:rPr>
            </w:pPr>
            <w:r w:rsidRPr="0022600A">
              <w:rPr>
                <w:rFonts w:ascii="Calibri" w:hAnsi="Calibri" w:cs="Calibri"/>
                <w:b w:val="0"/>
                <w:bCs w:val="0"/>
                <w:sz w:val="20"/>
                <w:szCs w:val="20"/>
              </w:rPr>
              <w:t xml:space="preserve">First obstacle                                                       </w:t>
            </w:r>
          </w:p>
          <w:p w14:paraId="1F0225AA" w14:textId="77777777" w:rsidR="001872B0" w:rsidRPr="0022600A" w:rsidRDefault="001872B0" w:rsidP="00FB6A3B">
            <w:pPr>
              <w:rPr>
                <w:rFonts w:ascii="Calibri" w:hAnsi="Calibri" w:cs="Calibri"/>
                <w:b w:val="0"/>
                <w:bCs w:val="0"/>
                <w:sz w:val="20"/>
                <w:szCs w:val="20"/>
              </w:rPr>
            </w:pPr>
            <w:r w:rsidRPr="0022600A">
              <w:rPr>
                <w:rFonts w:ascii="Calibri" w:hAnsi="Calibri" w:cs="Calibri"/>
                <w:b w:val="0"/>
                <w:bCs w:val="0"/>
                <w:sz w:val="20"/>
                <w:szCs w:val="20"/>
              </w:rPr>
              <w:t>Role of the teacher</w:t>
            </w:r>
          </w:p>
          <w:p w14:paraId="306BA880" w14:textId="77777777" w:rsidR="001872B0" w:rsidRPr="0022600A" w:rsidRDefault="001872B0" w:rsidP="00FB6A3B">
            <w:pPr>
              <w:rPr>
                <w:rFonts w:ascii="Calibri" w:hAnsi="Calibri" w:cs="Calibri"/>
                <w:b w:val="0"/>
                <w:bCs w:val="0"/>
                <w:sz w:val="20"/>
                <w:szCs w:val="20"/>
              </w:rPr>
            </w:pPr>
            <w:r w:rsidRPr="0022600A">
              <w:rPr>
                <w:rFonts w:ascii="Calibri" w:hAnsi="Calibri" w:cs="Calibri"/>
                <w:b w:val="0"/>
                <w:bCs w:val="0"/>
                <w:sz w:val="20"/>
                <w:szCs w:val="20"/>
              </w:rPr>
              <w:t>Support</w:t>
            </w:r>
          </w:p>
          <w:p w14:paraId="2D2C03C1" w14:textId="77777777" w:rsidR="001872B0" w:rsidRPr="0022600A" w:rsidRDefault="001872B0" w:rsidP="00FB6A3B">
            <w:pPr>
              <w:rPr>
                <w:rFonts w:ascii="Calibri" w:hAnsi="Calibri" w:cs="Calibri"/>
                <w:b w:val="0"/>
                <w:bCs w:val="0"/>
                <w:sz w:val="20"/>
                <w:szCs w:val="20"/>
              </w:rPr>
            </w:pPr>
            <w:r w:rsidRPr="0022600A">
              <w:rPr>
                <w:rFonts w:ascii="Calibri" w:hAnsi="Calibri" w:cs="Calibri"/>
                <w:b w:val="0"/>
                <w:bCs w:val="0"/>
                <w:sz w:val="20"/>
                <w:szCs w:val="20"/>
              </w:rPr>
              <w:t>The magical tool</w:t>
            </w:r>
          </w:p>
          <w:p w14:paraId="0C98C102" w14:textId="77777777" w:rsidR="001872B0" w:rsidRPr="0022600A" w:rsidRDefault="001872B0" w:rsidP="00B90E43">
            <w:pPr>
              <w:rPr>
                <w:rFonts w:ascii="Calibri" w:hAnsi="Calibri" w:cs="Calibri"/>
                <w:b w:val="0"/>
                <w:bCs w:val="0"/>
                <w:sz w:val="20"/>
                <w:szCs w:val="20"/>
              </w:rPr>
            </w:pPr>
            <w:r w:rsidRPr="0022600A">
              <w:rPr>
                <w:rFonts w:ascii="Calibri" w:hAnsi="Calibri" w:cs="Calibri"/>
                <w:b w:val="0"/>
                <w:bCs w:val="0"/>
                <w:sz w:val="20"/>
                <w:szCs w:val="20"/>
              </w:rPr>
              <w:t>Teaching as    emotional practice</w:t>
            </w:r>
          </w:p>
          <w:p w14:paraId="5B311E8D" w14:textId="77777777" w:rsidR="001872B0" w:rsidRPr="007B05E5" w:rsidRDefault="001872B0" w:rsidP="007B05E5">
            <w:pPr>
              <w:rPr>
                <w:rFonts w:ascii="Calibri" w:hAnsi="Calibri" w:cs="Calibri"/>
                <w:sz w:val="20"/>
                <w:szCs w:val="20"/>
              </w:rPr>
            </w:pPr>
          </w:p>
          <w:p w14:paraId="066DE33D" w14:textId="77777777" w:rsidR="001872B0" w:rsidRDefault="001872B0" w:rsidP="00136AEA">
            <w:pPr>
              <w:rPr>
                <w:rFonts w:ascii="Calibri" w:hAnsi="Calibri" w:cs="Calibri"/>
                <w:b w:val="0"/>
                <w:bCs w:val="0"/>
                <w:sz w:val="20"/>
                <w:szCs w:val="20"/>
              </w:rPr>
            </w:pPr>
          </w:p>
          <w:p w14:paraId="3A2D1144" w14:textId="77777777" w:rsidR="001872B0" w:rsidRDefault="001872B0" w:rsidP="00B92793">
            <w:pPr>
              <w:rPr>
                <w:rFonts w:ascii="Calibri" w:hAnsi="Calibri" w:cs="Calibri"/>
                <w:b w:val="0"/>
                <w:bCs w:val="0"/>
                <w:sz w:val="20"/>
                <w:szCs w:val="20"/>
              </w:rPr>
            </w:pPr>
          </w:p>
          <w:p w14:paraId="671D914F" w14:textId="77777777" w:rsidR="00834B35" w:rsidRDefault="00834B35" w:rsidP="00B92793">
            <w:pPr>
              <w:rPr>
                <w:rFonts w:ascii="Calibri" w:hAnsi="Calibri" w:cs="Calibri"/>
                <w:sz w:val="20"/>
                <w:szCs w:val="20"/>
              </w:rPr>
            </w:pPr>
          </w:p>
          <w:p w14:paraId="6DFC36CA" w14:textId="77777777" w:rsidR="001872B0" w:rsidRDefault="001872B0" w:rsidP="00B92793">
            <w:pPr>
              <w:rPr>
                <w:rFonts w:ascii="Calibri" w:hAnsi="Calibri" w:cs="Calibri"/>
                <w:sz w:val="20"/>
                <w:szCs w:val="20"/>
              </w:rPr>
            </w:pPr>
          </w:p>
          <w:p w14:paraId="7FCEE275" w14:textId="77777777" w:rsidR="001872B0" w:rsidRPr="0022600A" w:rsidRDefault="001872B0" w:rsidP="00B92793">
            <w:pPr>
              <w:rPr>
                <w:rFonts w:ascii="Calibri" w:hAnsi="Calibri" w:cs="Calibri"/>
                <w:b w:val="0"/>
                <w:bCs w:val="0"/>
                <w:sz w:val="20"/>
                <w:szCs w:val="20"/>
              </w:rPr>
            </w:pPr>
            <w:r w:rsidRPr="0022600A">
              <w:rPr>
                <w:rFonts w:ascii="Calibri" w:hAnsi="Calibri" w:cs="Calibri"/>
                <w:b w:val="0"/>
                <w:bCs w:val="0"/>
                <w:sz w:val="20"/>
                <w:szCs w:val="20"/>
              </w:rPr>
              <w:t>People: people who need people</w:t>
            </w:r>
          </w:p>
          <w:p w14:paraId="3ED2A51B" w14:textId="77777777" w:rsidR="001872B0" w:rsidRPr="0022600A" w:rsidRDefault="001872B0" w:rsidP="00B92793">
            <w:pPr>
              <w:rPr>
                <w:rFonts w:ascii="Calibri" w:hAnsi="Calibri" w:cs="Calibri"/>
                <w:b w:val="0"/>
                <w:bCs w:val="0"/>
                <w:sz w:val="20"/>
                <w:szCs w:val="20"/>
              </w:rPr>
            </w:pPr>
            <w:r w:rsidRPr="0022600A">
              <w:rPr>
                <w:rFonts w:ascii="Calibri" w:hAnsi="Calibri" w:cs="Calibri"/>
                <w:b w:val="0"/>
                <w:bCs w:val="0"/>
                <w:sz w:val="20"/>
                <w:szCs w:val="20"/>
              </w:rPr>
              <w:t>A lack of emotional support</w:t>
            </w:r>
          </w:p>
          <w:p w14:paraId="3214C75D" w14:textId="77777777" w:rsidR="001872B0" w:rsidRDefault="001872B0" w:rsidP="00415EC4">
            <w:pPr>
              <w:rPr>
                <w:rFonts w:ascii="Calibri" w:hAnsi="Calibri" w:cs="Calibri"/>
                <w:b w:val="0"/>
                <w:bCs w:val="0"/>
                <w:sz w:val="20"/>
                <w:szCs w:val="20"/>
              </w:rPr>
            </w:pPr>
          </w:p>
          <w:p w14:paraId="62310A5B" w14:textId="77777777" w:rsidR="001872B0" w:rsidRDefault="001872B0" w:rsidP="00415EC4">
            <w:pPr>
              <w:rPr>
                <w:rFonts w:ascii="Calibri" w:hAnsi="Calibri" w:cs="Calibri"/>
                <w:b w:val="0"/>
                <w:bCs w:val="0"/>
                <w:sz w:val="20"/>
                <w:szCs w:val="20"/>
              </w:rPr>
            </w:pPr>
          </w:p>
          <w:p w14:paraId="0E674185" w14:textId="77777777" w:rsidR="001872B0" w:rsidRPr="00AB6638" w:rsidRDefault="001872B0" w:rsidP="00AB6638">
            <w:pPr>
              <w:rPr>
                <w:rFonts w:ascii="Calibri" w:hAnsi="Calibri" w:cs="Calibri"/>
                <w:sz w:val="20"/>
                <w:szCs w:val="20"/>
              </w:rPr>
            </w:pPr>
          </w:p>
          <w:p w14:paraId="2A49337B" w14:textId="77777777" w:rsidR="001872B0" w:rsidRPr="00AB6638" w:rsidRDefault="001872B0" w:rsidP="00AB6638">
            <w:pPr>
              <w:rPr>
                <w:rFonts w:ascii="Calibri" w:hAnsi="Calibri" w:cs="Calibri"/>
                <w:sz w:val="20"/>
                <w:szCs w:val="20"/>
              </w:rPr>
            </w:pPr>
          </w:p>
          <w:p w14:paraId="5548B6F2" w14:textId="77777777" w:rsidR="001872B0" w:rsidRPr="00D736E0" w:rsidRDefault="001872B0" w:rsidP="00AB6638">
            <w:pPr>
              <w:rPr>
                <w:rFonts w:ascii="Calibri" w:hAnsi="Calibri" w:cs="Calibri"/>
                <w:b w:val="0"/>
                <w:bCs w:val="0"/>
                <w:sz w:val="20"/>
                <w:szCs w:val="20"/>
              </w:rPr>
            </w:pPr>
            <w:r w:rsidRPr="00D736E0">
              <w:rPr>
                <w:rFonts w:ascii="Calibri" w:hAnsi="Calibri" w:cs="Calibri"/>
                <w:b w:val="0"/>
                <w:bCs w:val="0"/>
                <w:sz w:val="20"/>
                <w:szCs w:val="20"/>
              </w:rPr>
              <w:t>A tool</w:t>
            </w:r>
            <w:r>
              <w:rPr>
                <w:rFonts w:ascii="Calibri" w:hAnsi="Calibri" w:cs="Calibri"/>
                <w:b w:val="0"/>
                <w:bCs w:val="0"/>
                <w:sz w:val="20"/>
                <w:szCs w:val="20"/>
              </w:rPr>
              <w:t xml:space="preserve">                           </w:t>
            </w:r>
          </w:p>
          <w:p w14:paraId="619F43C5" w14:textId="77777777" w:rsidR="001872B0" w:rsidRPr="00D736E0" w:rsidRDefault="001872B0" w:rsidP="00D736E0">
            <w:pPr>
              <w:rPr>
                <w:rFonts w:ascii="Calibri" w:hAnsi="Calibri" w:cs="Calibri"/>
                <w:b w:val="0"/>
                <w:bCs w:val="0"/>
                <w:sz w:val="20"/>
                <w:szCs w:val="20"/>
              </w:rPr>
            </w:pPr>
            <w:r w:rsidRPr="00D736E0">
              <w:rPr>
                <w:rFonts w:ascii="Calibri" w:hAnsi="Calibri" w:cs="Calibri"/>
                <w:b w:val="0"/>
                <w:bCs w:val="0"/>
                <w:sz w:val="20"/>
                <w:szCs w:val="20"/>
              </w:rPr>
              <w:t>Attitudes to reflective practice</w:t>
            </w:r>
          </w:p>
          <w:p w14:paraId="35F7BEF3" w14:textId="77777777" w:rsidR="001872B0" w:rsidRPr="00D736E0" w:rsidRDefault="001872B0" w:rsidP="00D736E0">
            <w:pPr>
              <w:rPr>
                <w:rFonts w:ascii="Calibri" w:hAnsi="Calibri" w:cs="Calibri"/>
                <w:b w:val="0"/>
                <w:bCs w:val="0"/>
                <w:sz w:val="20"/>
                <w:szCs w:val="20"/>
              </w:rPr>
            </w:pPr>
            <w:r w:rsidRPr="00D736E0">
              <w:rPr>
                <w:rFonts w:ascii="Calibri" w:hAnsi="Calibri" w:cs="Calibri"/>
                <w:b w:val="0"/>
                <w:bCs w:val="0"/>
                <w:sz w:val="20"/>
                <w:szCs w:val="20"/>
              </w:rPr>
              <w:t>Reflection for improvement</w:t>
            </w:r>
          </w:p>
          <w:p w14:paraId="7C6536B5" w14:textId="77777777" w:rsidR="001872B0" w:rsidRPr="00D736E0" w:rsidRDefault="001872B0" w:rsidP="00D736E0">
            <w:pPr>
              <w:rPr>
                <w:rFonts w:ascii="Calibri" w:hAnsi="Calibri" w:cs="Calibri"/>
                <w:b w:val="0"/>
                <w:bCs w:val="0"/>
                <w:sz w:val="20"/>
                <w:szCs w:val="20"/>
              </w:rPr>
            </w:pPr>
            <w:r w:rsidRPr="00D736E0">
              <w:rPr>
                <w:rFonts w:ascii="Calibri" w:hAnsi="Calibri" w:cs="Calibri"/>
                <w:b w:val="0"/>
                <w:bCs w:val="0"/>
                <w:sz w:val="20"/>
                <w:szCs w:val="20"/>
              </w:rPr>
              <w:t>Dialogue</w:t>
            </w:r>
          </w:p>
          <w:p w14:paraId="51F0B411" w14:textId="77777777" w:rsidR="001872B0" w:rsidRPr="00333CA1" w:rsidRDefault="001872B0" w:rsidP="00333CA1">
            <w:pPr>
              <w:pStyle w:val="ListParagraph"/>
              <w:ind w:left="756"/>
              <w:rPr>
                <w:rFonts w:ascii="Calibri" w:hAnsi="Calibri" w:cs="Calibri"/>
                <w:sz w:val="20"/>
                <w:szCs w:val="20"/>
              </w:rPr>
            </w:pPr>
          </w:p>
          <w:p w14:paraId="0E96D98B" w14:textId="77777777" w:rsidR="001872B0" w:rsidRDefault="001872B0" w:rsidP="00E80AD7">
            <w:pPr>
              <w:rPr>
                <w:rFonts w:ascii="Calibri" w:hAnsi="Calibri" w:cs="Calibri"/>
                <w:sz w:val="20"/>
                <w:szCs w:val="20"/>
              </w:rPr>
            </w:pPr>
          </w:p>
          <w:p w14:paraId="03F94223" w14:textId="77777777" w:rsidR="00834B35" w:rsidRDefault="00834B35" w:rsidP="00E80AD7">
            <w:pPr>
              <w:rPr>
                <w:rFonts w:ascii="Calibri" w:hAnsi="Calibri" w:cs="Calibri"/>
                <w:b w:val="0"/>
                <w:bCs w:val="0"/>
                <w:sz w:val="20"/>
                <w:szCs w:val="20"/>
              </w:rPr>
            </w:pPr>
          </w:p>
          <w:p w14:paraId="4C246883" w14:textId="77777777" w:rsidR="001872B0" w:rsidRPr="00A827CD" w:rsidRDefault="001872B0" w:rsidP="00E80AD7">
            <w:pPr>
              <w:rPr>
                <w:rFonts w:ascii="Calibri" w:hAnsi="Calibri" w:cs="Calibri"/>
                <w:b w:val="0"/>
                <w:bCs w:val="0"/>
                <w:sz w:val="20"/>
                <w:szCs w:val="20"/>
              </w:rPr>
            </w:pPr>
            <w:r w:rsidRPr="00A827CD">
              <w:rPr>
                <w:rFonts w:ascii="Calibri" w:hAnsi="Calibri" w:cs="Calibri"/>
                <w:b w:val="0"/>
                <w:bCs w:val="0"/>
                <w:sz w:val="20"/>
                <w:szCs w:val="20"/>
              </w:rPr>
              <w:t>Reflections on the task</w:t>
            </w:r>
          </w:p>
          <w:p w14:paraId="2BCA3A37" w14:textId="77777777" w:rsidR="001872B0" w:rsidRPr="00A827CD" w:rsidRDefault="001872B0" w:rsidP="00E80AD7">
            <w:pPr>
              <w:rPr>
                <w:rFonts w:ascii="Calibri" w:hAnsi="Calibri" w:cs="Calibri"/>
                <w:b w:val="0"/>
                <w:bCs w:val="0"/>
                <w:sz w:val="20"/>
                <w:szCs w:val="20"/>
              </w:rPr>
            </w:pPr>
            <w:r w:rsidRPr="00A827CD">
              <w:rPr>
                <w:rFonts w:ascii="Calibri" w:hAnsi="Calibri" w:cs="Calibri"/>
                <w:b w:val="0"/>
                <w:bCs w:val="0"/>
                <w:sz w:val="20"/>
                <w:szCs w:val="20"/>
              </w:rPr>
              <w:t>Gathering and reflecting</w:t>
            </w:r>
          </w:p>
          <w:p w14:paraId="0828148B" w14:textId="77777777" w:rsidR="001872B0" w:rsidRPr="00A827CD" w:rsidRDefault="001872B0" w:rsidP="00E80AD7">
            <w:pPr>
              <w:rPr>
                <w:rFonts w:ascii="Calibri" w:hAnsi="Calibri" w:cs="Calibri"/>
                <w:b w:val="0"/>
                <w:bCs w:val="0"/>
                <w:sz w:val="20"/>
                <w:szCs w:val="20"/>
              </w:rPr>
            </w:pPr>
            <w:r w:rsidRPr="00A827CD">
              <w:rPr>
                <w:rFonts w:ascii="Calibri" w:hAnsi="Calibri" w:cs="Calibri"/>
                <w:b w:val="0"/>
                <w:bCs w:val="0"/>
                <w:sz w:val="20"/>
                <w:szCs w:val="20"/>
              </w:rPr>
              <w:t>Reflecting on being held by the interviewer</w:t>
            </w:r>
          </w:p>
          <w:p w14:paraId="04A8D3B2" w14:textId="77777777" w:rsidR="001872B0" w:rsidRPr="00E80AD7" w:rsidRDefault="001872B0" w:rsidP="00E80AD7">
            <w:pPr>
              <w:rPr>
                <w:rFonts w:ascii="Calibri" w:hAnsi="Calibri" w:cs="Calibri"/>
                <w:sz w:val="20"/>
                <w:szCs w:val="20"/>
              </w:rPr>
            </w:pPr>
            <w:r w:rsidRPr="00A827CD">
              <w:rPr>
                <w:rFonts w:ascii="Calibri" w:hAnsi="Calibri" w:cs="Calibri"/>
                <w:b w:val="0"/>
                <w:bCs w:val="0"/>
                <w:sz w:val="20"/>
                <w:szCs w:val="20"/>
              </w:rPr>
              <w:t>Participants’ closing reflections</w:t>
            </w:r>
          </w:p>
        </w:tc>
        <w:tc>
          <w:tcPr>
            <w:tcW w:w="1251" w:type="pct"/>
          </w:tcPr>
          <w:p w14:paraId="5BCDF3CF" w14:textId="77777777" w:rsidR="001872B0" w:rsidRDefault="001872B0">
            <w:pPr>
              <w:rPr>
                <w:rFonts w:ascii="Calibri" w:hAnsi="Calibri" w:cs="Calibri"/>
                <w:b w:val="0"/>
                <w:bCs w:val="0"/>
                <w:sz w:val="20"/>
                <w:szCs w:val="20"/>
              </w:rPr>
            </w:pPr>
          </w:p>
          <w:p w14:paraId="070F231F" w14:textId="77777777" w:rsidR="001872B0" w:rsidRDefault="001872B0">
            <w:pPr>
              <w:rPr>
                <w:rFonts w:ascii="Calibri" w:hAnsi="Calibri" w:cs="Calibri"/>
                <w:b w:val="0"/>
                <w:bCs w:val="0"/>
                <w:sz w:val="20"/>
                <w:szCs w:val="20"/>
              </w:rPr>
            </w:pPr>
            <w:r>
              <w:rPr>
                <w:rFonts w:ascii="Calibri" w:hAnsi="Calibri" w:cs="Calibri"/>
                <w:sz w:val="20"/>
                <w:szCs w:val="20"/>
              </w:rPr>
              <w:t xml:space="preserve">Chapter and Research Question addressed: </w:t>
            </w:r>
          </w:p>
          <w:p w14:paraId="6AC30459" w14:textId="77777777" w:rsidR="001872B0" w:rsidRDefault="001872B0">
            <w:pPr>
              <w:rPr>
                <w:rFonts w:ascii="Calibri" w:hAnsi="Calibri" w:cs="Calibri"/>
                <w:b w:val="0"/>
                <w:bCs w:val="0"/>
                <w:sz w:val="20"/>
                <w:szCs w:val="20"/>
              </w:rPr>
            </w:pPr>
          </w:p>
          <w:p w14:paraId="568AAAFD" w14:textId="205BF397" w:rsidR="001872B0" w:rsidRDefault="001872B0">
            <w:pPr>
              <w:rPr>
                <w:rFonts w:ascii="Calibri" w:hAnsi="Calibri" w:cs="Calibri"/>
                <w:sz w:val="20"/>
                <w:szCs w:val="20"/>
              </w:rPr>
            </w:pPr>
            <w:r w:rsidRPr="0022600A">
              <w:rPr>
                <w:rFonts w:ascii="Calibri" w:hAnsi="Calibri" w:cs="Calibri"/>
                <w:b w:val="0"/>
                <w:bCs w:val="0"/>
                <w:sz w:val="20"/>
                <w:szCs w:val="20"/>
              </w:rPr>
              <w:t xml:space="preserve">Chapter </w:t>
            </w:r>
            <w:r w:rsidR="00FD62FB">
              <w:rPr>
                <w:rFonts w:ascii="Calibri" w:hAnsi="Calibri" w:cs="Calibri"/>
                <w:b w:val="0"/>
                <w:bCs w:val="0"/>
                <w:sz w:val="20"/>
                <w:szCs w:val="20"/>
              </w:rPr>
              <w:t>Five</w:t>
            </w:r>
            <w:r w:rsidRPr="0022600A">
              <w:rPr>
                <w:rFonts w:ascii="Calibri" w:hAnsi="Calibri" w:cs="Calibri"/>
                <w:b w:val="0"/>
                <w:bCs w:val="0"/>
                <w:sz w:val="20"/>
                <w:szCs w:val="20"/>
              </w:rPr>
              <w:t>: Research Question 1</w:t>
            </w:r>
          </w:p>
          <w:p w14:paraId="20CE91E4" w14:textId="77777777" w:rsidR="001872B0" w:rsidRDefault="001872B0">
            <w:pPr>
              <w:rPr>
                <w:rFonts w:ascii="Calibri" w:hAnsi="Calibri" w:cs="Calibri"/>
                <w:sz w:val="20"/>
                <w:szCs w:val="20"/>
              </w:rPr>
            </w:pPr>
          </w:p>
          <w:p w14:paraId="2FBF9379" w14:textId="77777777" w:rsidR="001872B0" w:rsidRDefault="001872B0">
            <w:pPr>
              <w:rPr>
                <w:rFonts w:ascii="Calibri" w:hAnsi="Calibri" w:cs="Calibri"/>
                <w:sz w:val="20"/>
                <w:szCs w:val="20"/>
              </w:rPr>
            </w:pPr>
          </w:p>
          <w:p w14:paraId="638952E9" w14:textId="77777777" w:rsidR="001872B0" w:rsidRDefault="001872B0">
            <w:pPr>
              <w:rPr>
                <w:rFonts w:ascii="Calibri" w:hAnsi="Calibri" w:cs="Calibri"/>
                <w:sz w:val="20"/>
                <w:szCs w:val="20"/>
              </w:rPr>
            </w:pPr>
          </w:p>
          <w:p w14:paraId="263E9933" w14:textId="77777777" w:rsidR="001872B0" w:rsidRDefault="001872B0">
            <w:pPr>
              <w:rPr>
                <w:rFonts w:ascii="Calibri" w:hAnsi="Calibri" w:cs="Calibri"/>
                <w:sz w:val="20"/>
                <w:szCs w:val="20"/>
              </w:rPr>
            </w:pPr>
          </w:p>
          <w:p w14:paraId="4A880A3A" w14:textId="77777777" w:rsidR="001872B0" w:rsidRDefault="001872B0">
            <w:pPr>
              <w:rPr>
                <w:rFonts w:ascii="Calibri" w:hAnsi="Calibri" w:cs="Calibri"/>
                <w:sz w:val="20"/>
                <w:szCs w:val="20"/>
              </w:rPr>
            </w:pPr>
          </w:p>
          <w:p w14:paraId="5FFD1E99" w14:textId="77777777" w:rsidR="001872B0" w:rsidRDefault="001872B0">
            <w:pPr>
              <w:rPr>
                <w:rFonts w:ascii="Calibri" w:hAnsi="Calibri" w:cs="Calibri"/>
                <w:sz w:val="20"/>
                <w:szCs w:val="20"/>
              </w:rPr>
            </w:pPr>
          </w:p>
          <w:p w14:paraId="0C8BB105" w14:textId="77777777" w:rsidR="001872B0" w:rsidRDefault="001872B0">
            <w:pPr>
              <w:rPr>
                <w:rFonts w:ascii="Calibri" w:hAnsi="Calibri" w:cs="Calibri"/>
                <w:sz w:val="20"/>
                <w:szCs w:val="20"/>
              </w:rPr>
            </w:pPr>
          </w:p>
          <w:p w14:paraId="6612D3B2" w14:textId="77777777" w:rsidR="001872B0" w:rsidRDefault="001872B0">
            <w:pPr>
              <w:rPr>
                <w:rFonts w:ascii="Calibri" w:hAnsi="Calibri" w:cs="Calibri"/>
                <w:sz w:val="20"/>
                <w:szCs w:val="20"/>
              </w:rPr>
            </w:pPr>
          </w:p>
          <w:p w14:paraId="7B504D6B" w14:textId="77777777" w:rsidR="001872B0" w:rsidRDefault="001872B0">
            <w:pPr>
              <w:rPr>
                <w:rFonts w:ascii="Calibri" w:hAnsi="Calibri" w:cs="Calibri"/>
                <w:sz w:val="20"/>
                <w:szCs w:val="20"/>
              </w:rPr>
            </w:pPr>
          </w:p>
          <w:p w14:paraId="52B70871" w14:textId="77777777" w:rsidR="001872B0" w:rsidRDefault="001872B0">
            <w:pPr>
              <w:rPr>
                <w:rFonts w:ascii="Calibri" w:hAnsi="Calibri" w:cs="Calibri"/>
                <w:b w:val="0"/>
                <w:bCs w:val="0"/>
                <w:sz w:val="20"/>
                <w:szCs w:val="20"/>
              </w:rPr>
            </w:pPr>
          </w:p>
          <w:p w14:paraId="52CBB995" w14:textId="77777777" w:rsidR="001872B0" w:rsidRDefault="001872B0">
            <w:pPr>
              <w:rPr>
                <w:rFonts w:ascii="Calibri" w:hAnsi="Calibri" w:cs="Calibri"/>
                <w:b w:val="0"/>
                <w:bCs w:val="0"/>
                <w:sz w:val="20"/>
                <w:szCs w:val="20"/>
              </w:rPr>
            </w:pPr>
          </w:p>
          <w:p w14:paraId="6C9B5D7F" w14:textId="77777777" w:rsidR="001872B0" w:rsidRDefault="001872B0">
            <w:pPr>
              <w:rPr>
                <w:rFonts w:ascii="Calibri" w:hAnsi="Calibri" w:cs="Calibri"/>
                <w:b w:val="0"/>
                <w:bCs w:val="0"/>
                <w:sz w:val="20"/>
                <w:szCs w:val="20"/>
              </w:rPr>
            </w:pPr>
          </w:p>
          <w:p w14:paraId="1F5EBF35" w14:textId="77777777" w:rsidR="001872B0" w:rsidRDefault="001872B0">
            <w:pPr>
              <w:rPr>
                <w:rFonts w:ascii="Calibri" w:hAnsi="Calibri" w:cs="Calibri"/>
                <w:b w:val="0"/>
                <w:bCs w:val="0"/>
                <w:sz w:val="20"/>
                <w:szCs w:val="20"/>
              </w:rPr>
            </w:pPr>
          </w:p>
          <w:p w14:paraId="10DA27A7" w14:textId="77777777" w:rsidR="001872B0" w:rsidRDefault="001872B0">
            <w:pPr>
              <w:rPr>
                <w:rFonts w:ascii="Calibri" w:hAnsi="Calibri" w:cs="Calibri"/>
                <w:b w:val="0"/>
                <w:bCs w:val="0"/>
                <w:sz w:val="20"/>
                <w:szCs w:val="20"/>
              </w:rPr>
            </w:pPr>
          </w:p>
          <w:p w14:paraId="1C2FEB84" w14:textId="77777777" w:rsidR="001872B0" w:rsidRDefault="001872B0">
            <w:pPr>
              <w:rPr>
                <w:rFonts w:ascii="Calibri" w:hAnsi="Calibri" w:cs="Calibri"/>
                <w:b w:val="0"/>
                <w:bCs w:val="0"/>
                <w:sz w:val="20"/>
                <w:szCs w:val="20"/>
              </w:rPr>
            </w:pPr>
          </w:p>
          <w:p w14:paraId="756AE31E" w14:textId="77777777" w:rsidR="001872B0" w:rsidRDefault="001872B0">
            <w:pPr>
              <w:rPr>
                <w:rFonts w:ascii="Calibri" w:hAnsi="Calibri" w:cs="Calibri"/>
                <w:b w:val="0"/>
                <w:bCs w:val="0"/>
                <w:sz w:val="20"/>
                <w:szCs w:val="20"/>
              </w:rPr>
            </w:pPr>
          </w:p>
          <w:p w14:paraId="2097F0A2" w14:textId="77777777" w:rsidR="001872B0" w:rsidRDefault="001872B0">
            <w:pPr>
              <w:rPr>
                <w:rFonts w:ascii="Calibri" w:hAnsi="Calibri" w:cs="Calibri"/>
                <w:b w:val="0"/>
                <w:bCs w:val="0"/>
                <w:sz w:val="20"/>
                <w:szCs w:val="20"/>
              </w:rPr>
            </w:pPr>
          </w:p>
          <w:p w14:paraId="7FF73EB4" w14:textId="2F731986" w:rsidR="001872B0" w:rsidRDefault="001872B0">
            <w:pPr>
              <w:rPr>
                <w:rFonts w:ascii="Calibri" w:hAnsi="Calibri" w:cs="Calibri"/>
                <w:sz w:val="20"/>
                <w:szCs w:val="20"/>
              </w:rPr>
            </w:pPr>
            <w:r w:rsidRPr="00E80AD7">
              <w:rPr>
                <w:rFonts w:ascii="Calibri" w:hAnsi="Calibri" w:cs="Calibri"/>
                <w:b w:val="0"/>
                <w:bCs w:val="0"/>
                <w:sz w:val="20"/>
                <w:szCs w:val="20"/>
              </w:rPr>
              <w:t xml:space="preserve">Chapter </w:t>
            </w:r>
            <w:r w:rsidR="00FD62FB">
              <w:rPr>
                <w:rFonts w:ascii="Calibri" w:hAnsi="Calibri" w:cs="Calibri"/>
                <w:b w:val="0"/>
                <w:bCs w:val="0"/>
                <w:sz w:val="20"/>
                <w:szCs w:val="20"/>
              </w:rPr>
              <w:t>Six</w:t>
            </w:r>
            <w:r w:rsidRPr="00E80AD7">
              <w:rPr>
                <w:rFonts w:ascii="Calibri" w:hAnsi="Calibri" w:cs="Calibri"/>
                <w:b w:val="0"/>
                <w:bCs w:val="0"/>
                <w:sz w:val="20"/>
                <w:szCs w:val="20"/>
              </w:rPr>
              <w:t>: Research Question 2</w:t>
            </w:r>
          </w:p>
          <w:p w14:paraId="4B2D8703" w14:textId="77777777" w:rsidR="001872B0" w:rsidRDefault="001872B0">
            <w:pPr>
              <w:rPr>
                <w:rFonts w:ascii="Calibri" w:hAnsi="Calibri" w:cs="Calibri"/>
                <w:sz w:val="20"/>
                <w:szCs w:val="20"/>
              </w:rPr>
            </w:pPr>
          </w:p>
          <w:p w14:paraId="2CA14F3D" w14:textId="77777777" w:rsidR="001872B0" w:rsidRDefault="001872B0">
            <w:pPr>
              <w:rPr>
                <w:rFonts w:ascii="Calibri" w:hAnsi="Calibri" w:cs="Calibri"/>
                <w:sz w:val="20"/>
                <w:szCs w:val="20"/>
              </w:rPr>
            </w:pPr>
          </w:p>
          <w:p w14:paraId="4369A622" w14:textId="77777777" w:rsidR="001872B0" w:rsidRDefault="001872B0">
            <w:pPr>
              <w:rPr>
                <w:rFonts w:ascii="Calibri" w:hAnsi="Calibri" w:cs="Calibri"/>
                <w:sz w:val="20"/>
                <w:szCs w:val="20"/>
              </w:rPr>
            </w:pPr>
          </w:p>
          <w:p w14:paraId="4717516D" w14:textId="77777777" w:rsidR="001872B0" w:rsidRDefault="001872B0">
            <w:pPr>
              <w:rPr>
                <w:rFonts w:ascii="Calibri" w:hAnsi="Calibri" w:cs="Calibri"/>
                <w:sz w:val="20"/>
                <w:szCs w:val="20"/>
              </w:rPr>
            </w:pPr>
          </w:p>
          <w:p w14:paraId="649B8BBA" w14:textId="77777777" w:rsidR="001872B0" w:rsidRDefault="001872B0">
            <w:pPr>
              <w:rPr>
                <w:rFonts w:ascii="Calibri" w:hAnsi="Calibri" w:cs="Calibri"/>
                <w:sz w:val="20"/>
                <w:szCs w:val="20"/>
              </w:rPr>
            </w:pPr>
          </w:p>
          <w:p w14:paraId="3E4C4333" w14:textId="77777777" w:rsidR="001872B0" w:rsidRDefault="001872B0">
            <w:pPr>
              <w:rPr>
                <w:rFonts w:ascii="Calibri" w:hAnsi="Calibri" w:cs="Calibri"/>
                <w:sz w:val="20"/>
                <w:szCs w:val="20"/>
              </w:rPr>
            </w:pPr>
          </w:p>
          <w:p w14:paraId="0EBAD332" w14:textId="77777777" w:rsidR="001872B0" w:rsidRDefault="001872B0">
            <w:pPr>
              <w:rPr>
                <w:rFonts w:ascii="Calibri" w:hAnsi="Calibri" w:cs="Calibri"/>
                <w:sz w:val="20"/>
                <w:szCs w:val="20"/>
              </w:rPr>
            </w:pPr>
          </w:p>
          <w:p w14:paraId="3044EC92" w14:textId="77777777" w:rsidR="001872B0" w:rsidRDefault="001872B0">
            <w:pPr>
              <w:rPr>
                <w:rFonts w:ascii="Calibri" w:hAnsi="Calibri" w:cs="Calibri"/>
                <w:sz w:val="20"/>
                <w:szCs w:val="20"/>
              </w:rPr>
            </w:pPr>
          </w:p>
          <w:p w14:paraId="5F347AD9" w14:textId="7EBCAFA1" w:rsidR="001872B0" w:rsidRPr="00E80AD7" w:rsidRDefault="001872B0">
            <w:pPr>
              <w:rPr>
                <w:rFonts w:ascii="Calibri" w:hAnsi="Calibri" w:cs="Calibri"/>
                <w:b w:val="0"/>
                <w:bCs w:val="0"/>
                <w:sz w:val="20"/>
                <w:szCs w:val="20"/>
              </w:rPr>
            </w:pPr>
            <w:r>
              <w:rPr>
                <w:rFonts w:ascii="Calibri" w:hAnsi="Calibri" w:cs="Calibri"/>
                <w:b w:val="0"/>
                <w:bCs w:val="0"/>
                <w:sz w:val="20"/>
                <w:szCs w:val="20"/>
              </w:rPr>
              <w:t xml:space="preserve">Chapter </w:t>
            </w:r>
            <w:r w:rsidR="00FD62FB">
              <w:rPr>
                <w:rFonts w:ascii="Calibri" w:hAnsi="Calibri" w:cs="Calibri"/>
                <w:b w:val="0"/>
                <w:bCs w:val="0"/>
                <w:sz w:val="20"/>
                <w:szCs w:val="20"/>
              </w:rPr>
              <w:t>Seven</w:t>
            </w:r>
            <w:r>
              <w:rPr>
                <w:rFonts w:ascii="Calibri" w:hAnsi="Calibri" w:cs="Calibri"/>
                <w:b w:val="0"/>
                <w:bCs w:val="0"/>
                <w:sz w:val="20"/>
                <w:szCs w:val="20"/>
              </w:rPr>
              <w:t>: Research Question 3</w:t>
            </w:r>
            <w:r w:rsidRPr="00E80AD7">
              <w:rPr>
                <w:rFonts w:ascii="Calibri" w:hAnsi="Calibri" w:cs="Calibri"/>
                <w:b w:val="0"/>
                <w:bCs w:val="0"/>
                <w:sz w:val="20"/>
                <w:szCs w:val="20"/>
              </w:rPr>
              <w:t xml:space="preserve"> </w:t>
            </w:r>
          </w:p>
          <w:p w14:paraId="7B59C08D" w14:textId="77777777" w:rsidR="001872B0" w:rsidRDefault="001872B0">
            <w:pPr>
              <w:rPr>
                <w:rFonts w:ascii="Calibri" w:hAnsi="Calibri" w:cs="Calibri"/>
                <w:sz w:val="20"/>
                <w:szCs w:val="20"/>
              </w:rPr>
            </w:pPr>
          </w:p>
          <w:p w14:paraId="3D3CECBD" w14:textId="77777777" w:rsidR="001872B0" w:rsidRDefault="001872B0">
            <w:pPr>
              <w:rPr>
                <w:rFonts w:ascii="Calibri" w:hAnsi="Calibri" w:cs="Calibri"/>
                <w:sz w:val="20"/>
                <w:szCs w:val="20"/>
              </w:rPr>
            </w:pPr>
          </w:p>
          <w:p w14:paraId="6552F0E4" w14:textId="77777777" w:rsidR="001872B0" w:rsidRDefault="001872B0">
            <w:pPr>
              <w:rPr>
                <w:rFonts w:ascii="Calibri" w:hAnsi="Calibri" w:cs="Calibri"/>
                <w:sz w:val="20"/>
                <w:szCs w:val="20"/>
              </w:rPr>
            </w:pPr>
          </w:p>
          <w:p w14:paraId="39F039B0" w14:textId="77777777" w:rsidR="001872B0" w:rsidRDefault="001872B0">
            <w:pPr>
              <w:rPr>
                <w:rFonts w:ascii="Calibri" w:hAnsi="Calibri" w:cs="Calibri"/>
                <w:sz w:val="20"/>
                <w:szCs w:val="20"/>
              </w:rPr>
            </w:pPr>
          </w:p>
          <w:p w14:paraId="4FE1ED21" w14:textId="77777777" w:rsidR="001872B0" w:rsidRDefault="001872B0">
            <w:pPr>
              <w:rPr>
                <w:rFonts w:ascii="Calibri" w:hAnsi="Calibri" w:cs="Calibri"/>
                <w:sz w:val="20"/>
                <w:szCs w:val="20"/>
              </w:rPr>
            </w:pPr>
          </w:p>
          <w:p w14:paraId="2952DCD0" w14:textId="77777777" w:rsidR="001872B0" w:rsidRDefault="001872B0">
            <w:pPr>
              <w:rPr>
                <w:rFonts w:ascii="Calibri" w:hAnsi="Calibri" w:cs="Calibri"/>
                <w:sz w:val="20"/>
                <w:szCs w:val="20"/>
              </w:rPr>
            </w:pPr>
          </w:p>
          <w:p w14:paraId="6AEDD886" w14:textId="77777777" w:rsidR="001872B0" w:rsidRDefault="001872B0">
            <w:pPr>
              <w:rPr>
                <w:rFonts w:ascii="Calibri" w:hAnsi="Calibri" w:cs="Calibri"/>
                <w:sz w:val="20"/>
                <w:szCs w:val="20"/>
              </w:rPr>
            </w:pPr>
          </w:p>
          <w:p w14:paraId="41987907" w14:textId="77777777" w:rsidR="001872B0" w:rsidRPr="0022600A" w:rsidRDefault="001872B0">
            <w:pPr>
              <w:rPr>
                <w:rFonts w:ascii="Calibri" w:hAnsi="Calibri" w:cs="Calibri"/>
                <w:b w:val="0"/>
                <w:bCs w:val="0"/>
                <w:sz w:val="20"/>
                <w:szCs w:val="20"/>
              </w:rPr>
            </w:pPr>
          </w:p>
        </w:tc>
      </w:tr>
    </w:tbl>
    <w:p w14:paraId="750C5A0F" w14:textId="58F6EDD2" w:rsidR="001872B0" w:rsidRPr="00A5412E" w:rsidRDefault="001872B0" w:rsidP="00E026E6">
      <w:pPr>
        <w:spacing w:before="120" w:line="360" w:lineRule="auto"/>
        <w:rPr>
          <w:rFonts w:ascii="Calibri" w:eastAsia="Aptos" w:hAnsi="Calibri" w:cs="Calibri"/>
          <w:sz w:val="24"/>
          <w:szCs w:val="24"/>
        </w:rPr>
      </w:pPr>
      <w:r>
        <w:rPr>
          <w:rFonts w:ascii="Calibri" w:eastAsia="Aptos" w:hAnsi="Calibri" w:cs="Calibri"/>
          <w:sz w:val="24"/>
          <w:szCs w:val="24"/>
        </w:rPr>
        <w:t>As an advisory note for the reader participants’ direct quotations will be referenced by transcript number (T1= interview 1; T2= interview 2) followed by the page number and paragraph number. Due to the volume of transcript output</w:t>
      </w:r>
      <w:r w:rsidR="002C2A23">
        <w:rPr>
          <w:rFonts w:ascii="Calibri" w:eastAsia="Aptos" w:hAnsi="Calibri" w:cs="Calibri"/>
          <w:sz w:val="24"/>
          <w:szCs w:val="24"/>
        </w:rPr>
        <w:t xml:space="preserve"> and </w:t>
      </w:r>
      <w:r w:rsidR="00383BCD">
        <w:rPr>
          <w:rFonts w:ascii="Calibri" w:eastAsia="Aptos" w:hAnsi="Calibri" w:cs="Calibri"/>
          <w:sz w:val="24"/>
          <w:szCs w:val="24"/>
        </w:rPr>
        <w:t>concerns about specific confidentiality</w:t>
      </w:r>
      <w:r w:rsidR="00FD79A6">
        <w:rPr>
          <w:rFonts w:ascii="Calibri" w:eastAsia="Aptos" w:hAnsi="Calibri" w:cs="Calibri"/>
          <w:sz w:val="24"/>
          <w:szCs w:val="24"/>
        </w:rPr>
        <w:t xml:space="preserve"> matters</w:t>
      </w:r>
      <w:r>
        <w:rPr>
          <w:rFonts w:ascii="Calibri" w:eastAsia="Aptos" w:hAnsi="Calibri" w:cs="Calibri"/>
          <w:sz w:val="24"/>
          <w:szCs w:val="24"/>
        </w:rPr>
        <w:t xml:space="preserve">, a sample of </w:t>
      </w:r>
      <w:r w:rsidR="000B6F7A">
        <w:rPr>
          <w:rFonts w:ascii="Calibri" w:eastAsia="Aptos" w:hAnsi="Calibri" w:cs="Calibri"/>
          <w:sz w:val="24"/>
          <w:szCs w:val="24"/>
        </w:rPr>
        <w:t xml:space="preserve">a </w:t>
      </w:r>
      <w:r w:rsidR="00200057">
        <w:rPr>
          <w:rFonts w:ascii="Calibri" w:eastAsia="Aptos" w:hAnsi="Calibri" w:cs="Calibri"/>
          <w:sz w:val="24"/>
          <w:szCs w:val="24"/>
        </w:rPr>
        <w:t xml:space="preserve">coded </w:t>
      </w:r>
      <w:r>
        <w:rPr>
          <w:rFonts w:ascii="Calibri" w:eastAsia="Aptos" w:hAnsi="Calibri" w:cs="Calibri"/>
          <w:sz w:val="24"/>
          <w:szCs w:val="24"/>
        </w:rPr>
        <w:t xml:space="preserve">transcript will be offered (Appendix </w:t>
      </w:r>
      <w:r w:rsidR="0002087F">
        <w:rPr>
          <w:rFonts w:ascii="Calibri" w:eastAsia="Aptos" w:hAnsi="Calibri" w:cs="Calibri"/>
          <w:sz w:val="24"/>
          <w:szCs w:val="24"/>
        </w:rPr>
        <w:t>K</w:t>
      </w:r>
      <w:r>
        <w:rPr>
          <w:rFonts w:ascii="Calibri" w:eastAsia="Aptos" w:hAnsi="Calibri" w:cs="Calibri"/>
          <w:sz w:val="24"/>
          <w:szCs w:val="24"/>
        </w:rPr>
        <w:t>).</w:t>
      </w:r>
    </w:p>
    <w:p w14:paraId="75E7F0D3" w14:textId="77777777" w:rsidR="001872B0" w:rsidRDefault="001872B0" w:rsidP="00FA7DA7">
      <w:pPr>
        <w:spacing w:before="120"/>
        <w:rPr>
          <w:rFonts w:ascii="Calibri" w:eastAsia="Aptos" w:hAnsi="Calibri" w:cs="Calibri"/>
          <w:b/>
          <w:bCs/>
          <w:sz w:val="24"/>
          <w:szCs w:val="24"/>
        </w:rPr>
      </w:pPr>
      <w:r w:rsidRPr="001C05C1">
        <w:rPr>
          <w:rFonts w:ascii="Calibri" w:eastAsia="Aptos" w:hAnsi="Calibri" w:cs="Calibri"/>
          <w:b/>
          <w:bCs/>
          <w:sz w:val="24"/>
          <w:szCs w:val="24"/>
        </w:rPr>
        <w:lastRenderedPageBreak/>
        <w:t>Coding:</w:t>
      </w:r>
      <w:r>
        <w:rPr>
          <w:rFonts w:ascii="Calibri" w:eastAsia="Aptos" w:hAnsi="Calibri" w:cs="Calibri"/>
          <w:b/>
          <w:bCs/>
          <w:sz w:val="24"/>
          <w:szCs w:val="24"/>
        </w:rPr>
        <w:t xml:space="preserve"> The teacher training journey- the “what”? </w:t>
      </w:r>
    </w:p>
    <w:p w14:paraId="5E0EC6C3" w14:textId="77777777" w:rsidR="001872B0" w:rsidRDefault="001872B0" w:rsidP="00FA7DA7">
      <w:pPr>
        <w:spacing w:before="120"/>
        <w:rPr>
          <w:rFonts w:ascii="Calibri" w:eastAsia="Aptos" w:hAnsi="Calibri" w:cs="Calibri"/>
          <w:b/>
          <w:bCs/>
          <w:sz w:val="24"/>
          <w:szCs w:val="24"/>
        </w:rPr>
      </w:pPr>
      <w:r w:rsidRPr="00FB77E1">
        <w:rPr>
          <w:rFonts w:ascii="Calibri" w:eastAsia="Aptos" w:hAnsi="Calibri" w:cs="Calibri"/>
          <w:b/>
          <w:bCs/>
          <w:sz w:val="24"/>
          <w:szCs w:val="24"/>
        </w:rPr>
        <w:t>Theme 1: Into the Woods</w:t>
      </w:r>
    </w:p>
    <w:p w14:paraId="34DFD981" w14:textId="1E4B2A3B" w:rsidR="001872B0" w:rsidRPr="00B00D51" w:rsidRDefault="001872B0" w:rsidP="00B00D51">
      <w:pPr>
        <w:spacing w:after="0" w:line="360" w:lineRule="auto"/>
        <w:rPr>
          <w:rFonts w:ascii="Calibri" w:hAnsi="Calibri" w:cs="Calibri"/>
          <w:b/>
          <w:bCs/>
          <w:sz w:val="24"/>
          <w:szCs w:val="24"/>
          <w:lang w:val="en-US"/>
        </w:rPr>
      </w:pPr>
      <w:r w:rsidRPr="00814B68">
        <w:rPr>
          <w:rFonts w:ascii="Calibri" w:eastAsia="Aptos" w:hAnsi="Calibri" w:cs="Calibri"/>
          <w:b/>
          <w:bCs/>
          <w:sz w:val="24"/>
          <w:szCs w:val="24"/>
          <w:lang w:val="en-US"/>
        </w:rPr>
        <w:t xml:space="preserve">Research question 1: </w:t>
      </w:r>
      <w:r w:rsidRPr="00814B68">
        <w:rPr>
          <w:rFonts w:ascii="Calibri" w:hAnsi="Calibri" w:cs="Calibri"/>
          <w:b/>
          <w:bCs/>
          <w:sz w:val="24"/>
          <w:szCs w:val="24"/>
          <w:lang w:val="en-US"/>
        </w:rPr>
        <w:t xml:space="preserve">What are the experiences, perspectives, and reflections of HE </w:t>
      </w:r>
      <w:r>
        <w:rPr>
          <w:rFonts w:ascii="Calibri" w:hAnsi="Calibri" w:cs="Calibri"/>
          <w:b/>
          <w:bCs/>
          <w:sz w:val="24"/>
          <w:szCs w:val="24"/>
          <w:lang w:val="en-US"/>
        </w:rPr>
        <w:t xml:space="preserve">         </w:t>
      </w:r>
      <w:r w:rsidRPr="00814B68">
        <w:rPr>
          <w:rFonts w:ascii="Calibri" w:hAnsi="Calibri" w:cs="Calibri"/>
          <w:b/>
          <w:bCs/>
          <w:sz w:val="24"/>
          <w:szCs w:val="24"/>
          <w:lang w:val="en-US"/>
        </w:rPr>
        <w:t>teachers on their teaching, and teacher training journeys?</w:t>
      </w:r>
    </w:p>
    <w:p w14:paraId="448CF566" w14:textId="77777777" w:rsidR="00B00D51" w:rsidRDefault="00B00D51" w:rsidP="00736C86">
      <w:pPr>
        <w:spacing w:line="360" w:lineRule="auto"/>
        <w:rPr>
          <w:rFonts w:ascii="Calibri" w:eastAsia="Calibri" w:hAnsi="Calibri" w:cs="Times New Roman"/>
          <w:sz w:val="24"/>
          <w:szCs w:val="24"/>
          <w:lang w:val="en-US"/>
        </w:rPr>
      </w:pPr>
    </w:p>
    <w:p w14:paraId="0AA7F206" w14:textId="04D7A410" w:rsidR="001872B0" w:rsidRPr="00920E7C" w:rsidRDefault="001872B0" w:rsidP="00736C86">
      <w:pPr>
        <w:spacing w:line="360" w:lineRule="auto"/>
        <w:rPr>
          <w:rFonts w:ascii="Calibri" w:eastAsia="Calibri" w:hAnsi="Calibri" w:cs="Times New Roman"/>
          <w:sz w:val="24"/>
          <w:szCs w:val="24"/>
          <w:lang w:val="en-US"/>
        </w:rPr>
      </w:pPr>
      <w:r>
        <w:rPr>
          <w:rFonts w:ascii="Calibri" w:eastAsia="Calibri" w:hAnsi="Calibri" w:cs="Times New Roman"/>
          <w:sz w:val="24"/>
          <w:szCs w:val="24"/>
          <w:lang w:val="en-US"/>
        </w:rPr>
        <w:t xml:space="preserve">This theme, as with the ensuing themes, was reached inductively and deductively through a process of repeatedly reading the transcripts and listening to the interviews over a </w:t>
      </w:r>
      <w:r w:rsidR="002C3CD8">
        <w:rPr>
          <w:rFonts w:ascii="Calibri" w:eastAsia="Calibri" w:hAnsi="Calibri" w:cs="Times New Roman"/>
          <w:sz w:val="24"/>
          <w:szCs w:val="24"/>
          <w:lang w:val="en-US"/>
        </w:rPr>
        <w:t>six</w:t>
      </w:r>
      <w:r>
        <w:rPr>
          <w:rFonts w:ascii="Calibri" w:eastAsia="Calibri" w:hAnsi="Calibri" w:cs="Times New Roman"/>
          <w:sz w:val="24"/>
          <w:szCs w:val="24"/>
          <w:lang w:val="en-US"/>
        </w:rPr>
        <w:t>-month period. Denoting the crossing of the first threshold (Vogler, 1998) into the interview, the theme “Into the Woods” signifies the reader, the researcher and the participants are entering territory not yet known.</w:t>
      </w:r>
    </w:p>
    <w:p w14:paraId="67FC8095" w14:textId="77777777" w:rsidR="001872B0" w:rsidRPr="00AB3308" w:rsidRDefault="001872B0" w:rsidP="00736C86">
      <w:pPr>
        <w:spacing w:line="360" w:lineRule="auto"/>
        <w:ind w:firstLine="720"/>
        <w:rPr>
          <w:rFonts w:ascii="Calibri" w:hAnsi="Calibri" w:cs="Calibri"/>
          <w:b/>
          <w:bCs/>
          <w:i/>
          <w:iCs/>
          <w:sz w:val="24"/>
          <w:szCs w:val="24"/>
        </w:rPr>
      </w:pPr>
      <w:r w:rsidRPr="00AB3308">
        <w:rPr>
          <w:rFonts w:ascii="Calibri" w:hAnsi="Calibri" w:cs="Calibri"/>
          <w:b/>
          <w:bCs/>
          <w:i/>
          <w:iCs/>
          <w:sz w:val="24"/>
          <w:szCs w:val="24"/>
        </w:rPr>
        <w:t>Initiation</w:t>
      </w:r>
    </w:p>
    <w:p w14:paraId="5CDDBB01" w14:textId="77777777" w:rsidR="001872B0" w:rsidRPr="00E318B1" w:rsidRDefault="001872B0" w:rsidP="00736C86">
      <w:pPr>
        <w:spacing w:line="360" w:lineRule="auto"/>
        <w:rPr>
          <w:rFonts w:ascii="Calibri" w:hAnsi="Calibri" w:cs="Calibri"/>
          <w:sz w:val="24"/>
          <w:szCs w:val="24"/>
        </w:rPr>
      </w:pPr>
      <w:r>
        <w:rPr>
          <w:rFonts w:ascii="Calibri" w:hAnsi="Calibri" w:cs="Calibri"/>
          <w:sz w:val="24"/>
          <w:szCs w:val="24"/>
        </w:rPr>
        <w:t xml:space="preserve">Participants were asked about </w:t>
      </w:r>
      <w:r w:rsidRPr="00545742">
        <w:rPr>
          <w:rFonts w:ascii="Calibri" w:hAnsi="Calibri" w:cs="Calibri"/>
          <w:sz w:val="24"/>
          <w:szCs w:val="24"/>
        </w:rPr>
        <w:t>the</w:t>
      </w:r>
      <w:r>
        <w:rPr>
          <w:rFonts w:ascii="Calibri" w:hAnsi="Calibri" w:cs="Calibri"/>
          <w:sz w:val="24"/>
          <w:szCs w:val="24"/>
        </w:rPr>
        <w:t>ir</w:t>
      </w:r>
      <w:r w:rsidRPr="00545742">
        <w:rPr>
          <w:rFonts w:ascii="Calibri" w:hAnsi="Calibri" w:cs="Calibri"/>
          <w:sz w:val="24"/>
          <w:szCs w:val="24"/>
        </w:rPr>
        <w:t xml:space="preserve"> </w:t>
      </w:r>
      <w:r>
        <w:rPr>
          <w:rFonts w:ascii="Calibri" w:hAnsi="Calibri" w:cs="Calibri"/>
          <w:sz w:val="24"/>
          <w:szCs w:val="24"/>
        </w:rPr>
        <w:t xml:space="preserve">motivations for entering a teaching career. Miriam </w:t>
      </w:r>
      <w:r w:rsidRPr="00E318B1">
        <w:rPr>
          <w:rFonts w:ascii="Calibri" w:hAnsi="Calibri" w:cs="Calibri"/>
          <w:sz w:val="24"/>
          <w:szCs w:val="24"/>
        </w:rPr>
        <w:t xml:space="preserve">reported falling into teaching by accident when the training department at her university </w:t>
      </w:r>
      <w:r>
        <w:rPr>
          <w:rFonts w:ascii="Calibri" w:hAnsi="Calibri" w:cs="Calibri"/>
          <w:sz w:val="24"/>
          <w:szCs w:val="24"/>
        </w:rPr>
        <w:t xml:space="preserve">invited applications from </w:t>
      </w:r>
      <w:r w:rsidRPr="00E318B1">
        <w:rPr>
          <w:rFonts w:ascii="Calibri" w:hAnsi="Calibri" w:cs="Calibri"/>
          <w:sz w:val="24"/>
          <w:szCs w:val="24"/>
        </w:rPr>
        <w:t xml:space="preserve">staff to </w:t>
      </w:r>
      <w:r>
        <w:rPr>
          <w:rFonts w:ascii="Calibri" w:hAnsi="Calibri" w:cs="Calibri"/>
          <w:sz w:val="24"/>
          <w:szCs w:val="24"/>
        </w:rPr>
        <w:t xml:space="preserve">lecture </w:t>
      </w:r>
      <w:r w:rsidRPr="00E318B1">
        <w:rPr>
          <w:rFonts w:ascii="Calibri" w:hAnsi="Calibri" w:cs="Calibri"/>
          <w:sz w:val="24"/>
          <w:szCs w:val="24"/>
        </w:rPr>
        <w:t>on a newly created degree apprenticeship programme:</w:t>
      </w:r>
    </w:p>
    <w:p w14:paraId="415BFE43" w14:textId="77777777" w:rsidR="001872B0" w:rsidRPr="00DC6CFB" w:rsidRDefault="001872B0" w:rsidP="00DC6CFB">
      <w:pPr>
        <w:ind w:left="720"/>
        <w:rPr>
          <w:rFonts w:ascii="Calibri" w:hAnsi="Calibri" w:cs="Calibri"/>
          <w:i/>
          <w:iCs/>
          <w:sz w:val="24"/>
          <w:szCs w:val="24"/>
        </w:rPr>
      </w:pPr>
      <w:r w:rsidRPr="00DC6CFB">
        <w:rPr>
          <w:rFonts w:ascii="Calibri" w:hAnsi="Calibri" w:cs="Calibri"/>
          <w:i/>
          <w:iCs/>
          <w:sz w:val="24"/>
          <w:szCs w:val="24"/>
        </w:rPr>
        <w:t>So, I didn’t actually have any motivation at all. In fact, I was resistant to it, and I sort of got swept into it (Miriam, T1, p.1, par 6).</w:t>
      </w:r>
    </w:p>
    <w:p w14:paraId="01363592" w14:textId="40E63E6B" w:rsidR="001872B0" w:rsidRPr="00E318B1" w:rsidRDefault="001872B0" w:rsidP="00736C86">
      <w:pPr>
        <w:spacing w:line="360" w:lineRule="auto"/>
        <w:rPr>
          <w:rFonts w:ascii="Calibri" w:hAnsi="Calibri" w:cs="Calibri"/>
          <w:sz w:val="24"/>
          <w:szCs w:val="24"/>
        </w:rPr>
      </w:pPr>
      <w:r w:rsidRPr="00E318B1">
        <w:rPr>
          <w:rFonts w:ascii="Calibri" w:hAnsi="Calibri" w:cs="Calibri"/>
          <w:sz w:val="24"/>
          <w:szCs w:val="24"/>
        </w:rPr>
        <w:t xml:space="preserve">Liz, upon completing her PhD </w:t>
      </w:r>
      <w:r>
        <w:rPr>
          <w:rFonts w:ascii="Calibri" w:hAnsi="Calibri" w:cs="Calibri"/>
          <w:sz w:val="24"/>
          <w:szCs w:val="24"/>
        </w:rPr>
        <w:t xml:space="preserve">chose not </w:t>
      </w:r>
      <w:r w:rsidRPr="00E318B1">
        <w:rPr>
          <w:rFonts w:ascii="Calibri" w:hAnsi="Calibri" w:cs="Calibri"/>
          <w:sz w:val="24"/>
          <w:szCs w:val="24"/>
        </w:rPr>
        <w:t>to return to he</w:t>
      </w:r>
      <w:r>
        <w:rPr>
          <w:rFonts w:ascii="Calibri" w:hAnsi="Calibri" w:cs="Calibri"/>
          <w:sz w:val="24"/>
          <w:szCs w:val="24"/>
        </w:rPr>
        <w:t>r previous role in the NHS. U</w:t>
      </w:r>
      <w:r w:rsidRPr="00E318B1">
        <w:rPr>
          <w:rFonts w:ascii="Calibri" w:hAnsi="Calibri" w:cs="Calibri"/>
          <w:sz w:val="24"/>
          <w:szCs w:val="24"/>
        </w:rPr>
        <w:t xml:space="preserve">nsure of </w:t>
      </w:r>
      <w:r>
        <w:rPr>
          <w:rFonts w:ascii="Calibri" w:hAnsi="Calibri" w:cs="Calibri"/>
          <w:sz w:val="24"/>
          <w:szCs w:val="24"/>
        </w:rPr>
        <w:t>a career direction</w:t>
      </w:r>
      <w:r w:rsidRPr="00E318B1">
        <w:rPr>
          <w:rFonts w:ascii="Calibri" w:hAnsi="Calibri" w:cs="Calibri"/>
          <w:sz w:val="24"/>
          <w:szCs w:val="24"/>
        </w:rPr>
        <w:t>, becoming a teacher was a</w:t>
      </w:r>
      <w:r>
        <w:rPr>
          <w:rFonts w:ascii="Calibri" w:hAnsi="Calibri" w:cs="Calibri"/>
          <w:sz w:val="24"/>
          <w:szCs w:val="24"/>
        </w:rPr>
        <w:t xml:space="preserve"> </w:t>
      </w:r>
      <w:r w:rsidRPr="00E318B1">
        <w:rPr>
          <w:rFonts w:ascii="Calibri" w:hAnsi="Calibri" w:cs="Calibri"/>
          <w:sz w:val="24"/>
          <w:szCs w:val="24"/>
        </w:rPr>
        <w:t>choice</w:t>
      </w:r>
      <w:r>
        <w:rPr>
          <w:rFonts w:ascii="Calibri" w:hAnsi="Calibri" w:cs="Calibri"/>
          <w:sz w:val="24"/>
          <w:szCs w:val="24"/>
        </w:rPr>
        <w:t xml:space="preserve"> based on economic factors</w:t>
      </w:r>
      <w:r w:rsidRPr="00E318B1">
        <w:rPr>
          <w:rFonts w:ascii="Calibri" w:hAnsi="Calibri" w:cs="Calibri"/>
          <w:sz w:val="24"/>
          <w:szCs w:val="24"/>
        </w:rPr>
        <w:t>:</w:t>
      </w:r>
    </w:p>
    <w:p w14:paraId="17B1E4BA"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 probably fell into it rather than anything else because I needed the money, and I needed a job (Liz, T1, p.2, par 17).</w:t>
      </w:r>
    </w:p>
    <w:p w14:paraId="1EA08060" w14:textId="77777777" w:rsidR="001872B0" w:rsidRPr="00E318B1" w:rsidRDefault="001872B0" w:rsidP="00736C86">
      <w:pPr>
        <w:spacing w:line="360" w:lineRule="auto"/>
        <w:rPr>
          <w:rFonts w:ascii="Calibri" w:hAnsi="Calibri" w:cs="Calibri"/>
          <w:sz w:val="24"/>
          <w:szCs w:val="24"/>
        </w:rPr>
      </w:pPr>
      <w:r w:rsidRPr="00E318B1">
        <w:rPr>
          <w:rFonts w:ascii="Calibri" w:hAnsi="Calibri" w:cs="Calibri"/>
          <w:sz w:val="24"/>
          <w:szCs w:val="24"/>
        </w:rPr>
        <w:t xml:space="preserve">Sally came to teaching after a career in social care. After completion of a </w:t>
      </w:r>
      <w:r>
        <w:rPr>
          <w:rFonts w:ascii="Calibri" w:hAnsi="Calibri" w:cs="Calibri"/>
          <w:sz w:val="24"/>
          <w:szCs w:val="24"/>
        </w:rPr>
        <w:t>tertiary teaching</w:t>
      </w:r>
      <w:r w:rsidRPr="00E318B1">
        <w:rPr>
          <w:rFonts w:ascii="Calibri" w:hAnsi="Calibri" w:cs="Calibri"/>
          <w:sz w:val="24"/>
          <w:szCs w:val="24"/>
        </w:rPr>
        <w:t xml:space="preserve"> qualification, s</w:t>
      </w:r>
      <w:r>
        <w:rPr>
          <w:rFonts w:ascii="Calibri" w:hAnsi="Calibri" w:cs="Calibri"/>
          <w:sz w:val="24"/>
          <w:szCs w:val="24"/>
        </w:rPr>
        <w:t>he became</w:t>
      </w:r>
      <w:r w:rsidRPr="00E318B1">
        <w:rPr>
          <w:rFonts w:ascii="Calibri" w:hAnsi="Calibri" w:cs="Calibri"/>
          <w:sz w:val="24"/>
          <w:szCs w:val="24"/>
        </w:rPr>
        <w:t xml:space="preserve"> a lecturer in health and social care in FE</w:t>
      </w:r>
      <w:r>
        <w:rPr>
          <w:rFonts w:ascii="Calibri" w:hAnsi="Calibri" w:cs="Calibri"/>
          <w:sz w:val="24"/>
          <w:szCs w:val="24"/>
        </w:rPr>
        <w:t xml:space="preserve">, and then a </w:t>
      </w:r>
      <w:r w:rsidRPr="00E318B1">
        <w:rPr>
          <w:rFonts w:ascii="Calibri" w:hAnsi="Calibri" w:cs="Calibri"/>
          <w:sz w:val="24"/>
          <w:szCs w:val="24"/>
        </w:rPr>
        <w:t>university</w:t>
      </w:r>
      <w:r>
        <w:rPr>
          <w:rFonts w:ascii="Calibri" w:hAnsi="Calibri" w:cs="Calibri"/>
          <w:sz w:val="24"/>
          <w:szCs w:val="24"/>
        </w:rPr>
        <w:t xml:space="preserve"> lecturer:</w:t>
      </w:r>
    </w:p>
    <w:p w14:paraId="0E69A8D3"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I’ve gone on a bit of a winding road to get to becoming a teacher. When aged 12, a careers adviser thought I might make a very good teacher or a manager (Sally, T1, p. 2, par 7).</w:t>
      </w:r>
    </w:p>
    <w:p w14:paraId="1EE38DF7" w14:textId="77777777" w:rsidR="000A6328" w:rsidRDefault="000A6328" w:rsidP="00736C86">
      <w:pPr>
        <w:spacing w:line="360" w:lineRule="auto"/>
        <w:rPr>
          <w:rFonts w:ascii="Calibri" w:hAnsi="Calibri" w:cs="Calibri"/>
          <w:sz w:val="24"/>
          <w:szCs w:val="24"/>
        </w:rPr>
      </w:pPr>
    </w:p>
    <w:p w14:paraId="067E5C7E" w14:textId="29B8500B" w:rsidR="001872B0" w:rsidRPr="00E318B1" w:rsidRDefault="001872B0" w:rsidP="00736C86">
      <w:pPr>
        <w:spacing w:line="360" w:lineRule="auto"/>
        <w:rPr>
          <w:rFonts w:ascii="Calibri" w:hAnsi="Calibri" w:cs="Calibri"/>
          <w:sz w:val="24"/>
          <w:szCs w:val="24"/>
        </w:rPr>
      </w:pPr>
      <w:r>
        <w:rPr>
          <w:rFonts w:ascii="Calibri" w:hAnsi="Calibri" w:cs="Calibri"/>
          <w:sz w:val="24"/>
          <w:szCs w:val="24"/>
        </w:rPr>
        <w:lastRenderedPageBreak/>
        <w:t>A</w:t>
      </w:r>
      <w:r w:rsidRPr="00E318B1">
        <w:rPr>
          <w:rFonts w:ascii="Calibri" w:hAnsi="Calibri" w:cs="Calibri"/>
          <w:sz w:val="24"/>
          <w:szCs w:val="24"/>
        </w:rPr>
        <w:t xml:space="preserve"> trainer towards the end of his police career</w:t>
      </w:r>
      <w:r>
        <w:rPr>
          <w:rFonts w:ascii="Calibri" w:hAnsi="Calibri" w:cs="Calibri"/>
          <w:sz w:val="24"/>
          <w:szCs w:val="24"/>
        </w:rPr>
        <w:t>,</w:t>
      </w:r>
      <w:r w:rsidRPr="00E318B1">
        <w:rPr>
          <w:rFonts w:ascii="Calibri" w:hAnsi="Calibri" w:cs="Calibri"/>
          <w:sz w:val="24"/>
          <w:szCs w:val="24"/>
        </w:rPr>
        <w:t xml:space="preserve"> </w:t>
      </w:r>
      <w:r>
        <w:rPr>
          <w:rFonts w:ascii="Calibri" w:hAnsi="Calibri" w:cs="Calibri"/>
          <w:sz w:val="24"/>
          <w:szCs w:val="24"/>
        </w:rPr>
        <w:t>Jenko</w:t>
      </w:r>
      <w:r w:rsidRPr="00E318B1">
        <w:rPr>
          <w:rFonts w:ascii="Calibri" w:hAnsi="Calibri" w:cs="Calibri"/>
          <w:sz w:val="24"/>
          <w:szCs w:val="24"/>
        </w:rPr>
        <w:t xml:space="preserve"> </w:t>
      </w:r>
      <w:r>
        <w:rPr>
          <w:rFonts w:ascii="Calibri" w:hAnsi="Calibri" w:cs="Calibri"/>
          <w:sz w:val="24"/>
          <w:szCs w:val="24"/>
        </w:rPr>
        <w:t xml:space="preserve">was contemplating </w:t>
      </w:r>
      <w:r w:rsidRPr="00E318B1">
        <w:rPr>
          <w:rFonts w:ascii="Calibri" w:hAnsi="Calibri" w:cs="Calibri"/>
          <w:sz w:val="24"/>
          <w:szCs w:val="24"/>
        </w:rPr>
        <w:t>his next career steps</w:t>
      </w:r>
      <w:r>
        <w:rPr>
          <w:rFonts w:ascii="Calibri" w:hAnsi="Calibri" w:cs="Calibri"/>
          <w:sz w:val="24"/>
          <w:szCs w:val="24"/>
        </w:rPr>
        <w:t xml:space="preserve"> as he was nearing retirement:</w:t>
      </w:r>
    </w:p>
    <w:p w14:paraId="38AF0196"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 knew that I had to do something to get myself ready for the journey onwards outside, so from practitioner to academia was the normal route (Jenko, T1, p.2, par 11).</w:t>
      </w:r>
    </w:p>
    <w:p w14:paraId="2CDCB557" w14:textId="051A807A" w:rsidR="001872B0" w:rsidRPr="00E318B1" w:rsidRDefault="00F47749" w:rsidP="00736C86">
      <w:pPr>
        <w:spacing w:line="360" w:lineRule="auto"/>
        <w:rPr>
          <w:rFonts w:ascii="Calibri" w:hAnsi="Calibri" w:cs="Calibri"/>
          <w:sz w:val="24"/>
          <w:szCs w:val="24"/>
        </w:rPr>
      </w:pPr>
      <w:r>
        <w:rPr>
          <w:rFonts w:ascii="Calibri" w:hAnsi="Calibri" w:cs="Calibri"/>
          <w:sz w:val="24"/>
          <w:szCs w:val="24"/>
        </w:rPr>
        <w:t xml:space="preserve">For </w:t>
      </w:r>
      <w:r w:rsidR="001872B0" w:rsidRPr="00E318B1">
        <w:rPr>
          <w:rFonts w:ascii="Calibri" w:hAnsi="Calibri" w:cs="Calibri"/>
          <w:sz w:val="24"/>
          <w:szCs w:val="24"/>
        </w:rPr>
        <w:t>Mo</w:t>
      </w:r>
      <w:r w:rsidR="001872B0">
        <w:rPr>
          <w:rFonts w:ascii="Calibri" w:hAnsi="Calibri" w:cs="Calibri"/>
          <w:sz w:val="24"/>
          <w:szCs w:val="24"/>
        </w:rPr>
        <w:t xml:space="preserve"> teaching </w:t>
      </w:r>
      <w:r w:rsidR="001872B0" w:rsidRPr="00E318B1">
        <w:rPr>
          <w:rFonts w:ascii="Calibri" w:hAnsi="Calibri" w:cs="Calibri"/>
          <w:sz w:val="24"/>
          <w:szCs w:val="24"/>
        </w:rPr>
        <w:t xml:space="preserve">was a </w:t>
      </w:r>
      <w:r w:rsidR="00F974F9">
        <w:rPr>
          <w:rFonts w:ascii="Calibri" w:hAnsi="Calibri" w:cs="Calibri"/>
          <w:sz w:val="24"/>
          <w:szCs w:val="24"/>
        </w:rPr>
        <w:t xml:space="preserve">career </w:t>
      </w:r>
      <w:r w:rsidR="001872B0" w:rsidRPr="00E318B1">
        <w:rPr>
          <w:rFonts w:ascii="Calibri" w:hAnsi="Calibri" w:cs="Calibri"/>
          <w:sz w:val="24"/>
          <w:szCs w:val="24"/>
        </w:rPr>
        <w:t>choice based on family circumstances</w:t>
      </w:r>
      <w:r w:rsidR="001872B0">
        <w:rPr>
          <w:rFonts w:ascii="Calibri" w:hAnsi="Calibri" w:cs="Calibri"/>
          <w:sz w:val="24"/>
          <w:szCs w:val="24"/>
        </w:rPr>
        <w:t>:</w:t>
      </w:r>
    </w:p>
    <w:p w14:paraId="2A25A4AC"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It was a family driven reason/decision mostly. I just decided I needed something I could do around my children. I don’t think it was any more in depth than that at the time (Mo, T1, p. 2, par 10).</w:t>
      </w:r>
    </w:p>
    <w:p w14:paraId="012B1AB4" w14:textId="77777777" w:rsidR="001872B0" w:rsidRPr="00E318B1" w:rsidRDefault="001872B0" w:rsidP="00736C86">
      <w:pPr>
        <w:spacing w:line="360" w:lineRule="auto"/>
        <w:rPr>
          <w:rFonts w:ascii="Calibri" w:hAnsi="Calibri" w:cs="Calibri"/>
          <w:sz w:val="24"/>
          <w:szCs w:val="24"/>
        </w:rPr>
      </w:pPr>
      <w:r>
        <w:rPr>
          <w:rFonts w:ascii="Calibri" w:hAnsi="Calibri" w:cs="Calibri"/>
          <w:sz w:val="24"/>
          <w:szCs w:val="24"/>
        </w:rPr>
        <w:t>Having followed a career in the NHS and private sector as a health practitioner</w:t>
      </w:r>
      <w:r w:rsidRPr="00E318B1">
        <w:rPr>
          <w:rFonts w:ascii="Calibri" w:hAnsi="Calibri" w:cs="Calibri"/>
          <w:sz w:val="24"/>
          <w:szCs w:val="24"/>
        </w:rPr>
        <w:t xml:space="preserve">, </w:t>
      </w:r>
      <w:r>
        <w:rPr>
          <w:rFonts w:ascii="Calibri" w:hAnsi="Calibri" w:cs="Calibri"/>
          <w:sz w:val="24"/>
          <w:szCs w:val="24"/>
        </w:rPr>
        <w:t>for Sophie</w:t>
      </w:r>
      <w:r w:rsidRPr="00E318B1">
        <w:rPr>
          <w:rFonts w:ascii="Calibri" w:hAnsi="Calibri" w:cs="Calibri"/>
          <w:sz w:val="24"/>
          <w:szCs w:val="24"/>
        </w:rPr>
        <w:t xml:space="preserve"> </w:t>
      </w:r>
      <w:r>
        <w:rPr>
          <w:rFonts w:ascii="Calibri" w:hAnsi="Calibri" w:cs="Calibri"/>
          <w:sz w:val="24"/>
          <w:szCs w:val="24"/>
        </w:rPr>
        <w:t xml:space="preserve">teaching </w:t>
      </w:r>
      <w:r w:rsidRPr="00E318B1">
        <w:rPr>
          <w:rFonts w:ascii="Calibri" w:hAnsi="Calibri" w:cs="Calibri"/>
          <w:sz w:val="24"/>
          <w:szCs w:val="24"/>
        </w:rPr>
        <w:t xml:space="preserve">was a latent and dormant call: </w:t>
      </w:r>
    </w:p>
    <w:p w14:paraId="6DAC120D" w14:textId="4E2D1659"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Something that I used to do was to role-play when I was a child, either to be a nurse or a teacher but it was usually a teacher</w:t>
      </w:r>
      <w:r w:rsidR="005D1784">
        <w:rPr>
          <w:rFonts w:ascii="Calibri" w:hAnsi="Calibri" w:cs="Calibri"/>
          <w:i/>
          <w:iCs/>
          <w:sz w:val="24"/>
          <w:szCs w:val="24"/>
        </w:rPr>
        <w:t xml:space="preserve"> </w:t>
      </w:r>
      <w:r w:rsidR="002E3269">
        <w:rPr>
          <w:rFonts w:ascii="Calibri" w:hAnsi="Calibri" w:cs="Calibri"/>
          <w:i/>
          <w:iCs/>
          <w:sz w:val="24"/>
          <w:szCs w:val="24"/>
        </w:rPr>
        <w:t>[</w:t>
      </w:r>
      <w:r w:rsidRPr="007450DD">
        <w:rPr>
          <w:rFonts w:ascii="Calibri" w:hAnsi="Calibri" w:cs="Calibri"/>
          <w:i/>
          <w:iCs/>
          <w:sz w:val="24"/>
          <w:szCs w:val="24"/>
        </w:rPr>
        <w:t>…</w:t>
      </w:r>
      <w:r w:rsidR="002E3269">
        <w:rPr>
          <w:rFonts w:ascii="Calibri" w:hAnsi="Calibri" w:cs="Calibri"/>
          <w:i/>
          <w:iCs/>
          <w:sz w:val="24"/>
          <w:szCs w:val="24"/>
        </w:rPr>
        <w:t>]</w:t>
      </w:r>
      <w:r w:rsidR="00862B71">
        <w:rPr>
          <w:rFonts w:ascii="Calibri" w:hAnsi="Calibri" w:cs="Calibri"/>
          <w:i/>
          <w:iCs/>
          <w:sz w:val="24"/>
          <w:szCs w:val="24"/>
        </w:rPr>
        <w:t>s</w:t>
      </w:r>
      <w:r w:rsidRPr="007450DD">
        <w:rPr>
          <w:rFonts w:ascii="Calibri" w:hAnsi="Calibri" w:cs="Calibri"/>
          <w:i/>
          <w:iCs/>
          <w:sz w:val="24"/>
          <w:szCs w:val="24"/>
        </w:rPr>
        <w:t>o perhaps it could be traced right back to then, sort of probably aged five upwards (Sophie, T1, p2, par 5).</w:t>
      </w:r>
    </w:p>
    <w:p w14:paraId="7D3D726F" w14:textId="77777777" w:rsidR="001872B0" w:rsidRPr="00E318B1" w:rsidRDefault="001872B0" w:rsidP="00736C86">
      <w:pPr>
        <w:spacing w:line="360" w:lineRule="auto"/>
        <w:rPr>
          <w:rFonts w:ascii="Calibri" w:hAnsi="Calibri" w:cs="Calibri"/>
          <w:sz w:val="24"/>
          <w:szCs w:val="24"/>
        </w:rPr>
      </w:pPr>
      <w:r w:rsidRPr="00E318B1">
        <w:rPr>
          <w:rFonts w:ascii="Calibri" w:hAnsi="Calibri" w:cs="Calibri"/>
          <w:sz w:val="24"/>
          <w:szCs w:val="24"/>
        </w:rPr>
        <w:t xml:space="preserve">Fred had </w:t>
      </w:r>
      <w:r>
        <w:rPr>
          <w:rFonts w:ascii="Calibri" w:hAnsi="Calibri" w:cs="Calibri"/>
          <w:sz w:val="24"/>
          <w:szCs w:val="24"/>
        </w:rPr>
        <w:t>taught informally</w:t>
      </w:r>
      <w:r w:rsidRPr="00E318B1">
        <w:rPr>
          <w:rFonts w:ascii="Calibri" w:hAnsi="Calibri" w:cs="Calibri"/>
          <w:sz w:val="24"/>
          <w:szCs w:val="24"/>
        </w:rPr>
        <w:t xml:space="preserve"> in Europe in secondary school</w:t>
      </w:r>
      <w:r>
        <w:rPr>
          <w:rFonts w:ascii="Calibri" w:hAnsi="Calibri" w:cs="Calibri"/>
          <w:sz w:val="24"/>
          <w:szCs w:val="24"/>
        </w:rPr>
        <w:t xml:space="preserve">s </w:t>
      </w:r>
      <w:r w:rsidRPr="00E318B1">
        <w:rPr>
          <w:rFonts w:ascii="Calibri" w:hAnsi="Calibri" w:cs="Calibri"/>
          <w:sz w:val="24"/>
          <w:szCs w:val="24"/>
        </w:rPr>
        <w:t>as a student teacher</w:t>
      </w:r>
      <w:r>
        <w:rPr>
          <w:rFonts w:ascii="Calibri" w:hAnsi="Calibri" w:cs="Calibri"/>
          <w:sz w:val="24"/>
          <w:szCs w:val="24"/>
        </w:rPr>
        <w:t>:</w:t>
      </w:r>
      <w:r w:rsidRPr="00E318B1">
        <w:rPr>
          <w:rFonts w:ascii="Calibri" w:hAnsi="Calibri" w:cs="Calibri"/>
          <w:sz w:val="24"/>
          <w:szCs w:val="24"/>
        </w:rPr>
        <w:t xml:space="preserve"> </w:t>
      </w:r>
    </w:p>
    <w:p w14:paraId="395BFF7D"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It’s a very normal system that I think has some value because it changes the tone of voice; it gives an immediate cultural setting. It’s also a way of deepening your actual studies (Fred, T1, p. 2, par 7).</w:t>
      </w:r>
    </w:p>
    <w:p w14:paraId="19653F4C" w14:textId="77777777" w:rsidR="001872B0" w:rsidRPr="007450DD" w:rsidRDefault="001872B0" w:rsidP="007450DD">
      <w:pPr>
        <w:rPr>
          <w:rFonts w:ascii="Calibri" w:hAnsi="Calibri" w:cs="Calibri"/>
          <w:sz w:val="24"/>
          <w:szCs w:val="24"/>
        </w:rPr>
      </w:pPr>
      <w:r w:rsidRPr="007450DD">
        <w:rPr>
          <w:rFonts w:ascii="Calibri" w:hAnsi="Calibri" w:cs="Calibri"/>
          <w:sz w:val="24"/>
          <w:szCs w:val="24"/>
        </w:rPr>
        <w:t>Dana, also educated in a European setting, moved to the UK to pursue an academic career:</w:t>
      </w:r>
    </w:p>
    <w:p w14:paraId="5C39F4C4" w14:textId="77777777" w:rsidR="001872B0" w:rsidRPr="007450DD" w:rsidRDefault="001872B0" w:rsidP="007450DD">
      <w:pPr>
        <w:ind w:left="720"/>
        <w:rPr>
          <w:rFonts w:ascii="Calibri" w:hAnsi="Calibri" w:cs="Calibri"/>
          <w:i/>
          <w:iCs/>
          <w:sz w:val="24"/>
          <w:szCs w:val="24"/>
        </w:rPr>
      </w:pPr>
      <w:r w:rsidRPr="007450DD">
        <w:rPr>
          <w:rFonts w:ascii="Calibri" w:hAnsi="Calibri" w:cs="Calibri"/>
          <w:i/>
          <w:iCs/>
          <w:sz w:val="24"/>
          <w:szCs w:val="24"/>
        </w:rPr>
        <w:t>In my country-of-origin teaching and research belong together, you can’t wiggle yourself out of one or the other if you want to do an academic career (Dana, T1, p. 2, par 12).</w:t>
      </w:r>
    </w:p>
    <w:p w14:paraId="366FD8D9" w14:textId="77777777" w:rsidR="001872B0" w:rsidRPr="009208BF" w:rsidRDefault="001872B0" w:rsidP="00736C86">
      <w:pPr>
        <w:spacing w:line="360" w:lineRule="auto"/>
        <w:rPr>
          <w:rFonts w:ascii="Calibri" w:hAnsi="Calibri" w:cs="Calibri"/>
          <w:sz w:val="24"/>
          <w:szCs w:val="24"/>
        </w:rPr>
      </w:pPr>
      <w:r>
        <w:rPr>
          <w:rFonts w:ascii="Calibri" w:hAnsi="Calibri" w:cs="Calibri"/>
          <w:sz w:val="24"/>
          <w:szCs w:val="24"/>
        </w:rPr>
        <w:t>Laura experienced a technical issue at the beginning of the interview and the question of her motivation for becoming a teacher went unanswered.</w:t>
      </w:r>
    </w:p>
    <w:p w14:paraId="7BDEC7E8" w14:textId="15A325FF" w:rsidR="001872B0" w:rsidRPr="009364A0" w:rsidRDefault="001872B0" w:rsidP="00736C86">
      <w:pPr>
        <w:spacing w:line="360" w:lineRule="auto"/>
        <w:rPr>
          <w:rFonts w:ascii="Calibri" w:hAnsi="Calibri" w:cs="Calibri"/>
          <w:sz w:val="24"/>
          <w:szCs w:val="24"/>
        </w:rPr>
      </w:pPr>
      <w:r w:rsidRPr="004C2B72">
        <w:rPr>
          <w:rFonts w:ascii="Calibri" w:hAnsi="Calibri" w:cs="Calibri"/>
          <w:sz w:val="24"/>
          <w:szCs w:val="24"/>
        </w:rPr>
        <w:t>Hillman (1996/97) refers to a whisper experienced in childhood of future life choices as a “calling” (p.6)</w:t>
      </w:r>
      <w:r>
        <w:rPr>
          <w:rFonts w:ascii="Calibri" w:hAnsi="Calibri" w:cs="Calibri"/>
          <w:sz w:val="24"/>
          <w:szCs w:val="24"/>
        </w:rPr>
        <w:t xml:space="preserve"> and b</w:t>
      </w:r>
      <w:r w:rsidRPr="0040584B">
        <w:rPr>
          <w:rFonts w:ascii="Calibri" w:hAnsi="Calibri" w:cs="Calibri"/>
          <w:sz w:val="24"/>
          <w:szCs w:val="24"/>
        </w:rPr>
        <w:t xml:space="preserve">oth Sophie’s and Sally’s </w:t>
      </w:r>
      <w:r>
        <w:rPr>
          <w:rFonts w:ascii="Calibri" w:hAnsi="Calibri" w:cs="Calibri"/>
          <w:sz w:val="24"/>
          <w:szCs w:val="24"/>
        </w:rPr>
        <w:t xml:space="preserve">teaching </w:t>
      </w:r>
      <w:r w:rsidRPr="0040584B">
        <w:rPr>
          <w:rFonts w:ascii="Calibri" w:hAnsi="Calibri" w:cs="Calibri"/>
          <w:sz w:val="24"/>
          <w:szCs w:val="24"/>
        </w:rPr>
        <w:t xml:space="preserve">journeys </w:t>
      </w:r>
      <w:r>
        <w:rPr>
          <w:rFonts w:ascii="Calibri" w:hAnsi="Calibri" w:cs="Calibri"/>
          <w:sz w:val="24"/>
          <w:szCs w:val="24"/>
        </w:rPr>
        <w:t>involved a dormant calling from childhood whisperings suggesting that</w:t>
      </w:r>
      <w:r w:rsidRPr="0040584B">
        <w:rPr>
          <w:rFonts w:ascii="Calibri" w:hAnsi="Calibri" w:cs="Calibri"/>
          <w:sz w:val="24"/>
          <w:szCs w:val="24"/>
        </w:rPr>
        <w:t xml:space="preserve"> t</w:t>
      </w:r>
      <w:r>
        <w:rPr>
          <w:rFonts w:ascii="Calibri" w:hAnsi="Calibri" w:cs="Calibri"/>
          <w:sz w:val="24"/>
          <w:szCs w:val="24"/>
        </w:rPr>
        <w:t xml:space="preserve">hese, and previous </w:t>
      </w:r>
      <w:r w:rsidRPr="0040584B">
        <w:rPr>
          <w:rFonts w:ascii="Calibri" w:hAnsi="Calibri" w:cs="Calibri"/>
          <w:sz w:val="24"/>
          <w:szCs w:val="24"/>
        </w:rPr>
        <w:t>careers in the caring profession</w:t>
      </w:r>
      <w:r w:rsidR="00453D66">
        <w:rPr>
          <w:rFonts w:ascii="Calibri" w:hAnsi="Calibri" w:cs="Calibri"/>
          <w:sz w:val="24"/>
          <w:szCs w:val="24"/>
        </w:rPr>
        <w:t>s</w:t>
      </w:r>
      <w:r w:rsidRPr="0040584B">
        <w:rPr>
          <w:rFonts w:ascii="Calibri" w:hAnsi="Calibri" w:cs="Calibri"/>
          <w:sz w:val="24"/>
          <w:szCs w:val="24"/>
        </w:rPr>
        <w:t xml:space="preserve"> pave</w:t>
      </w:r>
      <w:r>
        <w:rPr>
          <w:rFonts w:ascii="Calibri" w:hAnsi="Calibri" w:cs="Calibri"/>
          <w:sz w:val="24"/>
          <w:szCs w:val="24"/>
        </w:rPr>
        <w:t>d</w:t>
      </w:r>
      <w:r w:rsidRPr="0040584B">
        <w:rPr>
          <w:rFonts w:ascii="Calibri" w:hAnsi="Calibri" w:cs="Calibri"/>
          <w:sz w:val="24"/>
          <w:szCs w:val="24"/>
        </w:rPr>
        <w:t xml:space="preserve"> the way for their latent career choice</w:t>
      </w:r>
      <w:r w:rsidR="00453D66">
        <w:rPr>
          <w:rFonts w:ascii="Calibri" w:hAnsi="Calibri" w:cs="Calibri"/>
          <w:sz w:val="24"/>
          <w:szCs w:val="24"/>
        </w:rPr>
        <w:t>s</w:t>
      </w:r>
      <w:r>
        <w:rPr>
          <w:rFonts w:ascii="Calibri" w:hAnsi="Calibri" w:cs="Calibri"/>
          <w:sz w:val="24"/>
          <w:szCs w:val="24"/>
        </w:rPr>
        <w:t>.</w:t>
      </w:r>
      <w:r w:rsidRPr="009364A0">
        <w:rPr>
          <w:rFonts w:ascii="Calibri" w:hAnsi="Calibri" w:cs="Calibri"/>
          <w:sz w:val="24"/>
          <w:szCs w:val="24"/>
        </w:rPr>
        <w:t xml:space="preserve"> </w:t>
      </w:r>
      <w:r>
        <w:rPr>
          <w:rFonts w:ascii="Calibri" w:hAnsi="Calibri" w:cs="Calibri"/>
          <w:sz w:val="24"/>
          <w:szCs w:val="24"/>
        </w:rPr>
        <w:t>Although a call to teach can be ignited by external factors, it is the voice of the teacher within that assents to an authentic calling: “</w:t>
      </w:r>
      <w:r w:rsidR="00F53F4E">
        <w:rPr>
          <w:rFonts w:ascii="Calibri" w:hAnsi="Calibri" w:cs="Calibri"/>
          <w:sz w:val="24"/>
          <w:szCs w:val="24"/>
        </w:rPr>
        <w:t>T</w:t>
      </w:r>
      <w:r>
        <w:rPr>
          <w:rFonts w:ascii="Calibri" w:hAnsi="Calibri" w:cs="Calibri"/>
          <w:sz w:val="24"/>
          <w:szCs w:val="24"/>
        </w:rPr>
        <w:t>he voice that invites me to honour the nature of my true self” (Palmer, 1998, p.29).</w:t>
      </w:r>
    </w:p>
    <w:p w14:paraId="2CA80FA3" w14:textId="04FBA0D0" w:rsidR="001872B0" w:rsidRDefault="001872B0" w:rsidP="00736C86">
      <w:pPr>
        <w:spacing w:line="360" w:lineRule="auto"/>
        <w:rPr>
          <w:rFonts w:ascii="Calibri" w:hAnsi="Calibri" w:cs="Calibri"/>
          <w:sz w:val="24"/>
          <w:szCs w:val="24"/>
        </w:rPr>
      </w:pPr>
      <w:r w:rsidRPr="00D90724">
        <w:rPr>
          <w:rFonts w:ascii="Calibri" w:hAnsi="Calibri" w:cs="Calibri"/>
          <w:sz w:val="24"/>
          <w:szCs w:val="24"/>
        </w:rPr>
        <w:lastRenderedPageBreak/>
        <w:t>Some participants were not</w:t>
      </w:r>
      <w:r>
        <w:rPr>
          <w:rFonts w:ascii="Calibri" w:hAnsi="Calibri" w:cs="Calibri"/>
          <w:sz w:val="24"/>
          <w:szCs w:val="24"/>
        </w:rPr>
        <w:t xml:space="preserve"> called to teaching</w:t>
      </w:r>
      <w:r w:rsidRPr="00D90724">
        <w:rPr>
          <w:rFonts w:ascii="Calibri" w:hAnsi="Calibri" w:cs="Calibri"/>
          <w:sz w:val="24"/>
          <w:szCs w:val="24"/>
        </w:rPr>
        <w:t xml:space="preserve">. For Jenko and Mo, a teaching career was a pragmatic choice, and for Fred and Dana a cultural expectation dictated their choice. Liz and Miriam were arguably </w:t>
      </w:r>
      <w:r>
        <w:rPr>
          <w:rFonts w:ascii="Calibri" w:hAnsi="Calibri" w:cs="Calibri"/>
          <w:sz w:val="24"/>
          <w:szCs w:val="24"/>
        </w:rPr>
        <w:t xml:space="preserve">drawn to </w:t>
      </w:r>
      <w:r w:rsidRPr="00D90724">
        <w:rPr>
          <w:rFonts w:ascii="Calibri" w:hAnsi="Calibri" w:cs="Calibri"/>
          <w:sz w:val="24"/>
          <w:szCs w:val="24"/>
        </w:rPr>
        <w:t xml:space="preserve">teaching by </w:t>
      </w:r>
      <w:r>
        <w:rPr>
          <w:rFonts w:ascii="Calibri" w:hAnsi="Calibri" w:cs="Calibri"/>
          <w:sz w:val="24"/>
          <w:szCs w:val="24"/>
        </w:rPr>
        <w:t xml:space="preserve">chance </w:t>
      </w:r>
      <w:r w:rsidRPr="00D90724">
        <w:rPr>
          <w:rFonts w:ascii="Calibri" w:hAnsi="Calibri" w:cs="Calibri"/>
          <w:sz w:val="24"/>
          <w:szCs w:val="24"/>
        </w:rPr>
        <w:t xml:space="preserve">circumstances. The findings suggest that </w:t>
      </w:r>
      <w:r>
        <w:rPr>
          <w:rFonts w:ascii="Calibri" w:hAnsi="Calibri" w:cs="Calibri"/>
          <w:sz w:val="24"/>
          <w:szCs w:val="24"/>
        </w:rPr>
        <w:t>chance</w:t>
      </w:r>
      <w:r w:rsidRPr="00D90724">
        <w:rPr>
          <w:rFonts w:ascii="Calibri" w:hAnsi="Calibri" w:cs="Calibri"/>
          <w:sz w:val="24"/>
          <w:szCs w:val="24"/>
        </w:rPr>
        <w:t>,</w:t>
      </w:r>
      <w:r>
        <w:rPr>
          <w:rFonts w:ascii="Calibri" w:hAnsi="Calibri" w:cs="Calibri"/>
          <w:sz w:val="24"/>
          <w:szCs w:val="24"/>
        </w:rPr>
        <w:t xml:space="preserve"> </w:t>
      </w:r>
      <w:r w:rsidRPr="00D90724">
        <w:rPr>
          <w:rFonts w:ascii="Calibri" w:hAnsi="Calibri" w:cs="Calibri"/>
          <w:sz w:val="24"/>
          <w:szCs w:val="24"/>
        </w:rPr>
        <w:t>circumstan</w:t>
      </w:r>
      <w:r w:rsidR="0000359C">
        <w:rPr>
          <w:rFonts w:ascii="Calibri" w:hAnsi="Calibri" w:cs="Calibri"/>
          <w:sz w:val="24"/>
          <w:szCs w:val="24"/>
        </w:rPr>
        <w:t>ces</w:t>
      </w:r>
      <w:r w:rsidRPr="00D90724">
        <w:rPr>
          <w:rFonts w:ascii="Calibri" w:hAnsi="Calibri" w:cs="Calibri"/>
          <w:sz w:val="24"/>
          <w:szCs w:val="24"/>
        </w:rPr>
        <w:t xml:space="preserve"> or personal choice played a part in the transition to teaching </w:t>
      </w:r>
      <w:r>
        <w:rPr>
          <w:rFonts w:ascii="Calibri" w:hAnsi="Calibri" w:cs="Calibri"/>
          <w:sz w:val="24"/>
          <w:szCs w:val="24"/>
        </w:rPr>
        <w:t xml:space="preserve">for some, whilst </w:t>
      </w:r>
      <w:r w:rsidRPr="00D90724">
        <w:rPr>
          <w:rFonts w:ascii="Calibri" w:hAnsi="Calibri" w:cs="Calibri"/>
          <w:sz w:val="24"/>
          <w:szCs w:val="24"/>
        </w:rPr>
        <w:t>for others</w:t>
      </w:r>
      <w:r w:rsidR="0000359C">
        <w:rPr>
          <w:rFonts w:ascii="Calibri" w:hAnsi="Calibri" w:cs="Calibri"/>
          <w:sz w:val="24"/>
          <w:szCs w:val="24"/>
        </w:rPr>
        <w:t>,</w:t>
      </w:r>
      <w:r w:rsidRPr="00D90724">
        <w:rPr>
          <w:rFonts w:ascii="Calibri" w:hAnsi="Calibri" w:cs="Calibri"/>
          <w:sz w:val="24"/>
          <w:szCs w:val="24"/>
        </w:rPr>
        <w:t xml:space="preserve"> </w:t>
      </w:r>
      <w:r>
        <w:rPr>
          <w:rFonts w:ascii="Calibri" w:hAnsi="Calibri" w:cs="Calibri"/>
          <w:sz w:val="24"/>
          <w:szCs w:val="24"/>
        </w:rPr>
        <w:t xml:space="preserve">such as </w:t>
      </w:r>
      <w:r w:rsidRPr="00D90724">
        <w:rPr>
          <w:rFonts w:ascii="Calibri" w:hAnsi="Calibri" w:cs="Calibri"/>
          <w:sz w:val="24"/>
          <w:szCs w:val="24"/>
        </w:rPr>
        <w:t>in the case of Fred and Dana</w:t>
      </w:r>
      <w:r w:rsidR="0000359C">
        <w:rPr>
          <w:rFonts w:ascii="Calibri" w:hAnsi="Calibri" w:cs="Calibri"/>
          <w:sz w:val="24"/>
          <w:szCs w:val="24"/>
        </w:rPr>
        <w:t>,</w:t>
      </w:r>
      <w:r w:rsidRPr="00D90724">
        <w:rPr>
          <w:rFonts w:ascii="Calibri" w:hAnsi="Calibri" w:cs="Calibri"/>
          <w:sz w:val="24"/>
          <w:szCs w:val="24"/>
        </w:rPr>
        <w:t xml:space="preserve"> their lived experiences accrued through their previous teaching experience</w:t>
      </w:r>
      <w:r>
        <w:rPr>
          <w:rFonts w:ascii="Calibri" w:hAnsi="Calibri" w:cs="Calibri"/>
          <w:sz w:val="24"/>
          <w:szCs w:val="24"/>
        </w:rPr>
        <w:t>s</w:t>
      </w:r>
      <w:r w:rsidRPr="00D90724">
        <w:rPr>
          <w:rFonts w:ascii="Calibri" w:hAnsi="Calibri" w:cs="Calibri"/>
          <w:sz w:val="24"/>
          <w:szCs w:val="24"/>
        </w:rPr>
        <w:t xml:space="preserve"> </w:t>
      </w:r>
      <w:r w:rsidR="00B64F39">
        <w:rPr>
          <w:rFonts w:ascii="Calibri" w:hAnsi="Calibri" w:cs="Calibri"/>
          <w:sz w:val="24"/>
          <w:szCs w:val="24"/>
        </w:rPr>
        <w:t xml:space="preserve">naturally </w:t>
      </w:r>
      <w:r>
        <w:rPr>
          <w:rFonts w:ascii="Calibri" w:hAnsi="Calibri" w:cs="Calibri"/>
          <w:sz w:val="24"/>
          <w:szCs w:val="24"/>
        </w:rPr>
        <w:t>drew them towards teaching</w:t>
      </w:r>
      <w:r w:rsidRPr="00D90724">
        <w:rPr>
          <w:rFonts w:ascii="Calibri" w:hAnsi="Calibri" w:cs="Calibri"/>
          <w:sz w:val="24"/>
          <w:szCs w:val="24"/>
        </w:rPr>
        <w:t xml:space="preserve">. </w:t>
      </w:r>
    </w:p>
    <w:p w14:paraId="466C9989" w14:textId="2D8FE693" w:rsidR="001872B0" w:rsidRPr="00F00A37" w:rsidRDefault="001872B0" w:rsidP="00736C86">
      <w:pPr>
        <w:spacing w:line="360" w:lineRule="auto"/>
        <w:rPr>
          <w:rFonts w:ascii="Calibri" w:hAnsi="Calibri" w:cs="Calibri"/>
          <w:color w:val="EE0000"/>
          <w:sz w:val="24"/>
          <w:szCs w:val="24"/>
        </w:rPr>
      </w:pPr>
      <w:r w:rsidRPr="00D811B4">
        <w:rPr>
          <w:rFonts w:ascii="Calibri" w:hAnsi="Calibri" w:cs="Calibri"/>
          <w:sz w:val="24"/>
          <w:szCs w:val="24"/>
        </w:rPr>
        <w:t>Ranging from synchronicity (Jung, 1960)</w:t>
      </w:r>
      <w:r>
        <w:rPr>
          <w:rFonts w:ascii="Calibri" w:hAnsi="Calibri" w:cs="Calibri"/>
          <w:sz w:val="24"/>
          <w:szCs w:val="24"/>
        </w:rPr>
        <w:t>,</w:t>
      </w:r>
      <w:r w:rsidRPr="00D811B4">
        <w:rPr>
          <w:rFonts w:ascii="Calibri" w:hAnsi="Calibri" w:cs="Calibri"/>
          <w:sz w:val="24"/>
          <w:szCs w:val="24"/>
        </w:rPr>
        <w:t xml:space="preserve"> to necessity</w:t>
      </w:r>
      <w:r>
        <w:rPr>
          <w:rFonts w:ascii="Calibri" w:hAnsi="Calibri" w:cs="Calibri"/>
          <w:sz w:val="24"/>
          <w:szCs w:val="24"/>
        </w:rPr>
        <w:t xml:space="preserve"> or </w:t>
      </w:r>
      <w:r w:rsidRPr="00D811B4">
        <w:rPr>
          <w:rFonts w:ascii="Calibri" w:hAnsi="Calibri" w:cs="Calibri"/>
          <w:sz w:val="24"/>
          <w:szCs w:val="24"/>
        </w:rPr>
        <w:t>cultural trajectory, the exposition of their teaching biographies encouraged biographical reflectivity (Mayes, 1998)</w:t>
      </w:r>
      <w:r>
        <w:rPr>
          <w:rFonts w:ascii="Calibri" w:hAnsi="Calibri" w:cs="Calibri"/>
          <w:sz w:val="24"/>
          <w:szCs w:val="24"/>
        </w:rPr>
        <w:t xml:space="preserve">, an essential self-examination process for those called to teach (Mayes, 2005). During the process </w:t>
      </w:r>
      <w:r w:rsidRPr="00D0377D">
        <w:rPr>
          <w:rFonts w:ascii="Calibri" w:hAnsi="Calibri" w:cs="Calibri"/>
          <w:sz w:val="24"/>
          <w:szCs w:val="24"/>
        </w:rPr>
        <w:t>a prospective teacher reflects on the part that personal needs, hopes, abilities and fears played in their decision to become a teacher, and if these issues change as they develop (Mayes, 2001).</w:t>
      </w:r>
      <w:r>
        <w:rPr>
          <w:rFonts w:ascii="Calibri" w:hAnsi="Calibri" w:cs="Calibri"/>
          <w:sz w:val="24"/>
          <w:szCs w:val="24"/>
        </w:rPr>
        <w:t xml:space="preserve"> It is a process of periodically examining, refining and articulating “anew their understanding of that calling” </w:t>
      </w:r>
      <w:r w:rsidR="00252341">
        <w:rPr>
          <w:rFonts w:ascii="Calibri" w:hAnsi="Calibri" w:cs="Calibri"/>
          <w:sz w:val="24"/>
          <w:szCs w:val="24"/>
        </w:rPr>
        <w:t>(</w:t>
      </w:r>
      <w:r>
        <w:rPr>
          <w:rFonts w:ascii="Calibri" w:hAnsi="Calibri" w:cs="Calibri"/>
          <w:sz w:val="24"/>
          <w:szCs w:val="24"/>
        </w:rPr>
        <w:t xml:space="preserve">p.329) in the service of personal and pedagogic growth. It requires </w:t>
      </w:r>
      <w:r w:rsidRPr="00D811B4">
        <w:rPr>
          <w:rFonts w:ascii="Calibri" w:hAnsi="Calibri" w:cs="Calibri"/>
          <w:sz w:val="24"/>
          <w:szCs w:val="24"/>
        </w:rPr>
        <w:t>“</w:t>
      </w:r>
      <w:r w:rsidRPr="00D811B4">
        <w:rPr>
          <w:rFonts w:ascii="Calibri" w:hAnsi="Calibri" w:cs="Calibri"/>
          <w:sz w:val="24"/>
          <w:szCs w:val="24"/>
          <w:lang w:val="en-US"/>
        </w:rPr>
        <w:t>self-reflexivity” (Bulkeley and Weldon, 2011, p.2)</w:t>
      </w:r>
      <w:r>
        <w:rPr>
          <w:rFonts w:ascii="Calibri" w:hAnsi="Calibri" w:cs="Calibri"/>
          <w:sz w:val="24"/>
          <w:szCs w:val="24"/>
          <w:lang w:val="en-US"/>
        </w:rPr>
        <w:t xml:space="preserve"> </w:t>
      </w:r>
      <w:r w:rsidRPr="00D811B4">
        <w:rPr>
          <w:rFonts w:ascii="Calibri" w:hAnsi="Calibri" w:cs="Calibri"/>
          <w:sz w:val="24"/>
          <w:szCs w:val="24"/>
          <w:lang w:val="en-US"/>
        </w:rPr>
        <w:t xml:space="preserve">and </w:t>
      </w:r>
      <w:r w:rsidRPr="00D811B4">
        <w:rPr>
          <w:rFonts w:ascii="Calibri" w:hAnsi="Calibri" w:cs="Calibri"/>
          <w:sz w:val="24"/>
          <w:szCs w:val="24"/>
        </w:rPr>
        <w:t xml:space="preserve">biological reflexivity (Ruokonen-Engler and Siouti, 2016). Biographical reflectivity therefore encompasses the entirety of a journey and is in keeping with </w:t>
      </w:r>
      <w:r>
        <w:rPr>
          <w:rFonts w:ascii="Calibri" w:hAnsi="Calibri" w:cs="Calibri"/>
          <w:sz w:val="24"/>
          <w:szCs w:val="24"/>
        </w:rPr>
        <w:t xml:space="preserve">the overarching code of professional curiosity and </w:t>
      </w:r>
      <w:r w:rsidRPr="00D811B4">
        <w:rPr>
          <w:rFonts w:ascii="Calibri" w:hAnsi="Calibri" w:cs="Calibri"/>
          <w:sz w:val="24"/>
          <w:szCs w:val="24"/>
        </w:rPr>
        <w:t xml:space="preserve">the </w:t>
      </w:r>
      <w:r>
        <w:rPr>
          <w:rFonts w:ascii="Calibri" w:hAnsi="Calibri" w:cs="Calibri"/>
          <w:sz w:val="24"/>
          <w:szCs w:val="24"/>
        </w:rPr>
        <w:t xml:space="preserve">explorative </w:t>
      </w:r>
      <w:r w:rsidRPr="00D811B4">
        <w:rPr>
          <w:rFonts w:ascii="Calibri" w:hAnsi="Calibri" w:cs="Calibri"/>
          <w:sz w:val="24"/>
          <w:szCs w:val="24"/>
        </w:rPr>
        <w:t>nature of this study.</w:t>
      </w:r>
      <w:r w:rsidRPr="0033411F">
        <w:rPr>
          <w:rFonts w:ascii="ff6" w:eastAsia="Times New Roman" w:hAnsi="ff6" w:cs="Times New Roman"/>
          <w:color w:val="000000"/>
          <w:sz w:val="66"/>
          <w:szCs w:val="66"/>
          <w:lang w:eastAsia="en-GB"/>
        </w:rPr>
        <w:t xml:space="preserve"> </w:t>
      </w:r>
    </w:p>
    <w:p w14:paraId="564EB279" w14:textId="0D332403" w:rsidR="00686630" w:rsidRPr="0067114A" w:rsidRDefault="001872B0" w:rsidP="00736C86">
      <w:pPr>
        <w:spacing w:line="360" w:lineRule="auto"/>
        <w:rPr>
          <w:rFonts w:ascii="Calibri" w:hAnsi="Calibri" w:cs="Calibri"/>
          <w:sz w:val="24"/>
          <w:szCs w:val="24"/>
        </w:rPr>
      </w:pPr>
      <w:r w:rsidRPr="00D67A4A">
        <w:rPr>
          <w:rFonts w:ascii="Calibri" w:hAnsi="Calibri" w:cs="Calibri"/>
          <w:sz w:val="24"/>
          <w:szCs w:val="24"/>
        </w:rPr>
        <w:t xml:space="preserve">In asking participants a </w:t>
      </w:r>
      <w:r>
        <w:rPr>
          <w:rFonts w:ascii="Calibri" w:hAnsi="Calibri" w:cs="Calibri"/>
          <w:sz w:val="24"/>
          <w:szCs w:val="24"/>
        </w:rPr>
        <w:t xml:space="preserve">seemingly </w:t>
      </w:r>
      <w:r w:rsidRPr="00D67A4A">
        <w:rPr>
          <w:rFonts w:ascii="Calibri" w:hAnsi="Calibri" w:cs="Calibri"/>
          <w:sz w:val="24"/>
          <w:szCs w:val="24"/>
        </w:rPr>
        <w:t xml:space="preserve">benign question about their motivation </w:t>
      </w:r>
      <w:r>
        <w:rPr>
          <w:rFonts w:ascii="Calibri" w:hAnsi="Calibri" w:cs="Calibri"/>
          <w:sz w:val="24"/>
          <w:szCs w:val="24"/>
        </w:rPr>
        <w:t>for</w:t>
      </w:r>
      <w:r w:rsidRPr="00D67A4A">
        <w:rPr>
          <w:rFonts w:ascii="Calibri" w:hAnsi="Calibri" w:cs="Calibri"/>
          <w:sz w:val="24"/>
          <w:szCs w:val="24"/>
        </w:rPr>
        <w:t xml:space="preserve"> becoming a teacher, the scene was being set </w:t>
      </w:r>
      <w:r>
        <w:rPr>
          <w:rFonts w:ascii="Calibri" w:hAnsi="Calibri" w:cs="Calibri"/>
          <w:sz w:val="24"/>
          <w:szCs w:val="24"/>
        </w:rPr>
        <w:t xml:space="preserve">to capture </w:t>
      </w:r>
      <w:r w:rsidRPr="00D67A4A">
        <w:rPr>
          <w:rFonts w:ascii="Calibri" w:hAnsi="Calibri" w:cs="Calibri"/>
          <w:sz w:val="24"/>
          <w:szCs w:val="24"/>
        </w:rPr>
        <w:t>some aspects of their inner world</w:t>
      </w:r>
      <w:r w:rsidR="00B64F39">
        <w:rPr>
          <w:rFonts w:ascii="Calibri" w:hAnsi="Calibri" w:cs="Calibri"/>
          <w:sz w:val="24"/>
          <w:szCs w:val="24"/>
        </w:rPr>
        <w:t>s</w:t>
      </w:r>
      <w:r w:rsidRPr="00D67A4A">
        <w:rPr>
          <w:rFonts w:ascii="Calibri" w:hAnsi="Calibri" w:cs="Calibri"/>
          <w:sz w:val="24"/>
          <w:szCs w:val="24"/>
        </w:rPr>
        <w:t xml:space="preserve"> (Bettelheim, 1975/1991)</w:t>
      </w:r>
      <w:r w:rsidR="00F62E72">
        <w:rPr>
          <w:rFonts w:ascii="Calibri" w:hAnsi="Calibri" w:cs="Calibri"/>
          <w:sz w:val="24"/>
          <w:szCs w:val="24"/>
        </w:rPr>
        <w:t>,</w:t>
      </w:r>
      <w:r>
        <w:rPr>
          <w:rFonts w:ascii="Calibri" w:hAnsi="Calibri" w:cs="Calibri"/>
          <w:sz w:val="24"/>
          <w:szCs w:val="24"/>
        </w:rPr>
        <w:t xml:space="preserve"> and </w:t>
      </w:r>
      <w:r w:rsidRPr="00D67A4A">
        <w:rPr>
          <w:rFonts w:ascii="Calibri" w:hAnsi="Calibri" w:cs="Calibri"/>
          <w:sz w:val="24"/>
          <w:szCs w:val="24"/>
        </w:rPr>
        <w:t>feelings</w:t>
      </w:r>
      <w:r w:rsidR="009C0FA4">
        <w:rPr>
          <w:rFonts w:ascii="Calibri" w:hAnsi="Calibri" w:cs="Calibri"/>
          <w:sz w:val="24"/>
          <w:szCs w:val="24"/>
        </w:rPr>
        <w:t>:</w:t>
      </w:r>
      <w:r w:rsidRPr="00D67A4A">
        <w:rPr>
          <w:rFonts w:ascii="Calibri" w:hAnsi="Calibri" w:cs="Calibri"/>
          <w:sz w:val="24"/>
          <w:szCs w:val="24"/>
        </w:rPr>
        <w:t xml:space="preserve"> “</w:t>
      </w:r>
      <w:r w:rsidR="009C0FA4">
        <w:rPr>
          <w:rFonts w:ascii="Calibri" w:hAnsi="Calibri" w:cs="Calibri"/>
          <w:sz w:val="24"/>
          <w:szCs w:val="24"/>
        </w:rPr>
        <w:t xml:space="preserve">A </w:t>
      </w:r>
      <w:r w:rsidRPr="00D67A4A">
        <w:rPr>
          <w:rFonts w:ascii="Calibri" w:hAnsi="Calibri" w:cs="Calibri"/>
          <w:sz w:val="24"/>
          <w:szCs w:val="24"/>
        </w:rPr>
        <w:t>quest in search of what is emotionally alluring but somehow badly out of focus” (Abbs, 2003, p.15</w:t>
      </w:r>
      <w:r>
        <w:rPr>
          <w:rFonts w:ascii="Calibri" w:hAnsi="Calibri" w:cs="Calibri"/>
          <w:sz w:val="24"/>
          <w:szCs w:val="24"/>
        </w:rPr>
        <w:t>). Some of the participants’ teaching career choices were emotionally alluring in origin, but not all. W</w:t>
      </w:r>
      <w:r w:rsidRPr="00D67A4A">
        <w:rPr>
          <w:rFonts w:ascii="Calibri" w:hAnsi="Calibri" w:cs="Calibri"/>
          <w:sz w:val="24"/>
          <w:szCs w:val="24"/>
        </w:rPr>
        <w:t>hat was brought into focus was a combination of motivations that go beyond a “subtle buffetry between hereditary and societal forces” (Hillman, 1996, p.6), and I would add</w:t>
      </w:r>
      <w:r>
        <w:rPr>
          <w:rFonts w:ascii="Calibri" w:hAnsi="Calibri" w:cs="Calibri"/>
          <w:sz w:val="24"/>
          <w:szCs w:val="24"/>
        </w:rPr>
        <w:t xml:space="preserve"> </w:t>
      </w:r>
      <w:r w:rsidRPr="00D67A4A">
        <w:rPr>
          <w:rFonts w:ascii="Calibri" w:hAnsi="Calibri" w:cs="Calibri"/>
          <w:sz w:val="24"/>
          <w:szCs w:val="24"/>
        </w:rPr>
        <w:t xml:space="preserve">psychological </w:t>
      </w:r>
      <w:r>
        <w:rPr>
          <w:rFonts w:ascii="Calibri" w:hAnsi="Calibri" w:cs="Calibri"/>
          <w:sz w:val="24"/>
          <w:szCs w:val="24"/>
        </w:rPr>
        <w:t xml:space="preserve">and emotional </w:t>
      </w:r>
      <w:r w:rsidRPr="00D67A4A">
        <w:rPr>
          <w:rFonts w:ascii="Calibri" w:hAnsi="Calibri" w:cs="Calibri"/>
          <w:sz w:val="24"/>
          <w:szCs w:val="24"/>
        </w:rPr>
        <w:t xml:space="preserve">forces. </w:t>
      </w:r>
      <w:r>
        <w:rPr>
          <w:rFonts w:ascii="Calibri" w:hAnsi="Calibri" w:cs="Calibri"/>
          <w:sz w:val="24"/>
          <w:szCs w:val="24"/>
        </w:rPr>
        <w:t xml:space="preserve">Participants whose inner worlds and emotions formed part of their teaching career choice </w:t>
      </w:r>
      <w:r w:rsidR="00A56FB2">
        <w:rPr>
          <w:rFonts w:ascii="Calibri" w:hAnsi="Calibri" w:cs="Calibri"/>
          <w:sz w:val="24"/>
          <w:szCs w:val="24"/>
        </w:rPr>
        <w:t xml:space="preserve">(Sally and Sophie) </w:t>
      </w:r>
      <w:r>
        <w:rPr>
          <w:rFonts w:ascii="Calibri" w:hAnsi="Calibri" w:cs="Calibri"/>
          <w:sz w:val="24"/>
          <w:szCs w:val="24"/>
        </w:rPr>
        <w:t>lends support for the notion that e</w:t>
      </w:r>
      <w:r w:rsidRPr="002D09A8">
        <w:rPr>
          <w:rFonts w:ascii="Calibri" w:hAnsi="Calibri" w:cs="Calibri"/>
          <w:sz w:val="24"/>
          <w:szCs w:val="24"/>
        </w:rPr>
        <w:t>motions influence a student’s engagement with a subject matter (Dirkx, 2006</w:t>
      </w:r>
      <w:r>
        <w:rPr>
          <w:rFonts w:ascii="Calibri" w:hAnsi="Calibri" w:cs="Calibri"/>
          <w:sz w:val="24"/>
          <w:szCs w:val="24"/>
        </w:rPr>
        <w:t xml:space="preserve">; </w:t>
      </w:r>
      <w:r w:rsidRPr="002D09A8">
        <w:rPr>
          <w:rFonts w:ascii="Calibri" w:hAnsi="Calibri" w:cs="Calibri"/>
          <w:sz w:val="24"/>
          <w:szCs w:val="24"/>
        </w:rPr>
        <w:t>Price, 2002)</w:t>
      </w:r>
      <w:r>
        <w:rPr>
          <w:rFonts w:ascii="Calibri" w:hAnsi="Calibri" w:cs="Calibri"/>
          <w:sz w:val="24"/>
          <w:szCs w:val="24"/>
        </w:rPr>
        <w:t xml:space="preserve"> </w:t>
      </w:r>
      <w:r w:rsidR="00F01FF3">
        <w:rPr>
          <w:rFonts w:ascii="Calibri" w:hAnsi="Calibri" w:cs="Calibri"/>
          <w:sz w:val="24"/>
          <w:szCs w:val="24"/>
        </w:rPr>
        <w:t xml:space="preserve">that </w:t>
      </w:r>
      <w:r>
        <w:rPr>
          <w:rFonts w:ascii="Calibri" w:hAnsi="Calibri" w:cs="Calibri"/>
          <w:sz w:val="24"/>
          <w:szCs w:val="24"/>
        </w:rPr>
        <w:t xml:space="preserve">are driven by </w:t>
      </w:r>
      <w:r w:rsidRPr="002D09A8">
        <w:rPr>
          <w:rFonts w:ascii="Calibri" w:hAnsi="Calibri" w:cs="Calibri"/>
          <w:sz w:val="24"/>
          <w:szCs w:val="24"/>
        </w:rPr>
        <w:t xml:space="preserve">subtle dynamics in unconscious awareness (Salzberger-Wittenberg </w:t>
      </w:r>
      <w:r w:rsidR="00FB3A6E" w:rsidRPr="00FB3A6E">
        <w:rPr>
          <w:rFonts w:ascii="Calibri" w:hAnsi="Calibri" w:cs="Calibri"/>
          <w:i/>
          <w:sz w:val="24"/>
          <w:szCs w:val="24"/>
        </w:rPr>
        <w:t>et al.</w:t>
      </w:r>
      <w:r w:rsidRPr="002D09A8">
        <w:rPr>
          <w:rFonts w:ascii="Calibri" w:hAnsi="Calibri" w:cs="Calibri"/>
          <w:sz w:val="24"/>
          <w:szCs w:val="24"/>
        </w:rPr>
        <w:t xml:space="preserve">, 1983). </w:t>
      </w:r>
      <w:r>
        <w:rPr>
          <w:rFonts w:ascii="Calibri" w:hAnsi="Calibri" w:cs="Calibri"/>
          <w:color w:val="FF0000"/>
          <w:sz w:val="24"/>
          <w:szCs w:val="24"/>
        </w:rPr>
        <w:t xml:space="preserve"> </w:t>
      </w:r>
      <w:r>
        <w:rPr>
          <w:rFonts w:ascii="Calibri" w:hAnsi="Calibri" w:cs="Calibri"/>
          <w:sz w:val="24"/>
          <w:szCs w:val="24"/>
        </w:rPr>
        <w:t xml:space="preserve">Although simply intended to put the participants at ease, by anchoring the starting point of participants’ journeys the scene and reflective tone were set for further explorations to take place. </w:t>
      </w:r>
    </w:p>
    <w:p w14:paraId="09A17352" w14:textId="77777777" w:rsidR="001872B0" w:rsidRPr="00097BA6" w:rsidRDefault="001872B0" w:rsidP="00736C86">
      <w:pPr>
        <w:spacing w:line="360" w:lineRule="auto"/>
        <w:ind w:firstLine="720"/>
        <w:rPr>
          <w:rFonts w:ascii="Calibri" w:hAnsi="Calibri" w:cs="Calibri"/>
          <w:b/>
          <w:bCs/>
          <w:i/>
          <w:iCs/>
          <w:sz w:val="24"/>
          <w:szCs w:val="24"/>
        </w:rPr>
      </w:pPr>
      <w:r>
        <w:rPr>
          <w:rFonts w:ascii="Calibri" w:hAnsi="Calibri" w:cs="Calibri"/>
          <w:b/>
          <w:bCs/>
          <w:i/>
          <w:iCs/>
          <w:sz w:val="24"/>
          <w:szCs w:val="24"/>
        </w:rPr>
        <w:lastRenderedPageBreak/>
        <w:t>First obstacle</w:t>
      </w:r>
    </w:p>
    <w:p w14:paraId="11D1D5E0" w14:textId="77777777" w:rsidR="001872B0" w:rsidRPr="00E318B1" w:rsidRDefault="001872B0" w:rsidP="00736C86">
      <w:pPr>
        <w:spacing w:line="360" w:lineRule="auto"/>
        <w:rPr>
          <w:rFonts w:ascii="Calibri" w:hAnsi="Calibri" w:cs="Calibri"/>
          <w:sz w:val="24"/>
          <w:szCs w:val="24"/>
        </w:rPr>
      </w:pPr>
      <w:r>
        <w:rPr>
          <w:rFonts w:ascii="Calibri" w:hAnsi="Calibri" w:cs="Calibri"/>
          <w:sz w:val="24"/>
          <w:szCs w:val="24"/>
        </w:rPr>
        <w:t>One of the first obstacles encountered in the interview process by some was the researcher’s intermittent use of the terms “teacher” and “lecturer”. It became clear that these terms have multiple semantic interpretations and connotations:</w:t>
      </w:r>
    </w:p>
    <w:p w14:paraId="3A06B7FC" w14:textId="442A8E75" w:rsidR="001872B0" w:rsidRPr="00072B39" w:rsidRDefault="001872B0" w:rsidP="00072B39">
      <w:pPr>
        <w:ind w:left="720"/>
        <w:rPr>
          <w:rFonts w:ascii="Calibri" w:hAnsi="Calibri" w:cs="Calibri"/>
          <w:i/>
          <w:iCs/>
          <w:sz w:val="24"/>
          <w:szCs w:val="24"/>
        </w:rPr>
      </w:pPr>
      <w:r w:rsidRPr="00072B39">
        <w:rPr>
          <w:rFonts w:ascii="Calibri" w:hAnsi="Calibri" w:cs="Calibri"/>
          <w:i/>
          <w:iCs/>
          <w:sz w:val="24"/>
          <w:szCs w:val="24"/>
        </w:rPr>
        <w:t xml:space="preserve">It’s not just about lecturing it’s about everything that’s tied in with that, your personal supervisor, your dissertation supervisor, you are a point of contact for a lot of students who have left home. We have students who struggle both emotionally, mentally, financially, you’ve got to be that point of </w:t>
      </w:r>
      <w:r w:rsidR="001F2E52" w:rsidRPr="00072B39">
        <w:rPr>
          <w:rFonts w:ascii="Calibri" w:hAnsi="Calibri" w:cs="Calibri"/>
          <w:i/>
          <w:iCs/>
          <w:sz w:val="24"/>
          <w:szCs w:val="24"/>
        </w:rPr>
        <w:t>contact</w:t>
      </w:r>
      <w:r w:rsidR="001F2E52">
        <w:rPr>
          <w:rFonts w:ascii="Calibri" w:hAnsi="Calibri" w:cs="Calibri"/>
          <w:i/>
          <w:iCs/>
          <w:sz w:val="24"/>
          <w:szCs w:val="24"/>
        </w:rPr>
        <w:t xml:space="preserve"> [</w:t>
      </w:r>
      <w:r w:rsidRPr="00072B39">
        <w:rPr>
          <w:rFonts w:ascii="Calibri" w:hAnsi="Calibri" w:cs="Calibri"/>
          <w:i/>
          <w:iCs/>
          <w:sz w:val="24"/>
          <w:szCs w:val="24"/>
        </w:rPr>
        <w:t>…</w:t>
      </w:r>
      <w:r w:rsidR="00B544EC">
        <w:rPr>
          <w:rFonts w:ascii="Calibri" w:hAnsi="Calibri" w:cs="Calibri"/>
          <w:i/>
          <w:iCs/>
          <w:sz w:val="24"/>
          <w:szCs w:val="24"/>
        </w:rPr>
        <w:t>]</w:t>
      </w:r>
      <w:r w:rsidRPr="00072B39">
        <w:rPr>
          <w:rFonts w:ascii="Calibri" w:hAnsi="Calibri" w:cs="Calibri"/>
          <w:i/>
          <w:iCs/>
          <w:sz w:val="24"/>
          <w:szCs w:val="24"/>
        </w:rPr>
        <w:t xml:space="preserve"> that sort of emotional partner (Jenko, T1, p.4, par 1).</w:t>
      </w:r>
    </w:p>
    <w:p w14:paraId="2ECD0E92" w14:textId="77777777" w:rsidR="001872B0" w:rsidRPr="00072B39" w:rsidRDefault="001872B0" w:rsidP="00072B39">
      <w:pPr>
        <w:ind w:left="672"/>
        <w:rPr>
          <w:rFonts w:ascii="Calibri" w:hAnsi="Calibri" w:cs="Calibri"/>
          <w:i/>
          <w:iCs/>
          <w:sz w:val="24"/>
          <w:szCs w:val="24"/>
        </w:rPr>
      </w:pPr>
      <w:r w:rsidRPr="00072B39">
        <w:rPr>
          <w:rFonts w:ascii="Calibri" w:hAnsi="Calibri" w:cs="Calibri"/>
          <w:i/>
          <w:iCs/>
          <w:sz w:val="24"/>
          <w:szCs w:val="24"/>
        </w:rPr>
        <w:t>I think I probably identify more as being an academic lecturer because with that comes all of the research and the leadership responsibilities (Liz, T1, p.2, par 16).</w:t>
      </w:r>
    </w:p>
    <w:p w14:paraId="0BB4D095" w14:textId="3A97946D" w:rsidR="001872B0" w:rsidRPr="00072B39" w:rsidRDefault="001872B0" w:rsidP="00072B39">
      <w:pPr>
        <w:ind w:left="672"/>
        <w:rPr>
          <w:rFonts w:ascii="Calibri" w:hAnsi="Calibri" w:cs="Calibri"/>
          <w:i/>
          <w:iCs/>
          <w:sz w:val="24"/>
          <w:szCs w:val="24"/>
        </w:rPr>
      </w:pPr>
      <w:r w:rsidRPr="00072B39">
        <w:rPr>
          <w:rFonts w:ascii="Calibri" w:hAnsi="Calibri" w:cs="Calibri"/>
          <w:i/>
          <w:iCs/>
          <w:sz w:val="24"/>
          <w:szCs w:val="24"/>
        </w:rPr>
        <w:t xml:space="preserve">I do have quite a problem with that title, and I think the perception that it gives the students is a </w:t>
      </w:r>
      <w:r w:rsidR="001F2E52" w:rsidRPr="00072B39">
        <w:rPr>
          <w:rFonts w:ascii="Calibri" w:hAnsi="Calibri" w:cs="Calibri"/>
          <w:i/>
          <w:iCs/>
          <w:sz w:val="24"/>
          <w:szCs w:val="24"/>
        </w:rPr>
        <w:t>problem</w:t>
      </w:r>
      <w:r w:rsidR="001F2E52">
        <w:rPr>
          <w:rFonts w:ascii="Calibri" w:hAnsi="Calibri" w:cs="Calibri"/>
          <w:i/>
          <w:iCs/>
          <w:sz w:val="24"/>
          <w:szCs w:val="24"/>
        </w:rPr>
        <w:t xml:space="preserve"> [</w:t>
      </w:r>
      <w:r w:rsidRPr="00072B39">
        <w:rPr>
          <w:rFonts w:ascii="Calibri" w:hAnsi="Calibri" w:cs="Calibri"/>
          <w:i/>
          <w:iCs/>
          <w:sz w:val="24"/>
          <w:szCs w:val="24"/>
        </w:rPr>
        <w:t>…</w:t>
      </w:r>
      <w:r w:rsidR="00B544EC">
        <w:rPr>
          <w:rFonts w:ascii="Calibri" w:hAnsi="Calibri" w:cs="Calibri"/>
          <w:i/>
          <w:iCs/>
          <w:sz w:val="24"/>
          <w:szCs w:val="24"/>
        </w:rPr>
        <w:t>]</w:t>
      </w:r>
      <w:r w:rsidR="00A0630A">
        <w:rPr>
          <w:rFonts w:ascii="Calibri" w:hAnsi="Calibri" w:cs="Calibri"/>
          <w:i/>
          <w:iCs/>
          <w:sz w:val="24"/>
          <w:szCs w:val="24"/>
        </w:rPr>
        <w:t xml:space="preserve"> </w:t>
      </w:r>
      <w:r w:rsidRPr="00072B39">
        <w:rPr>
          <w:rFonts w:ascii="Calibri" w:hAnsi="Calibri" w:cs="Calibri"/>
          <w:i/>
          <w:iCs/>
          <w:sz w:val="24"/>
          <w:szCs w:val="24"/>
        </w:rPr>
        <w:t>I think that’s the message the term ‘lecturer’ gives, that is to give them information whilst they sit there passively and receive it (Laura, T1, p.2, par 8-10).</w:t>
      </w:r>
    </w:p>
    <w:p w14:paraId="32B299EE" w14:textId="694A4AFB" w:rsidR="001872B0" w:rsidRPr="009372C9" w:rsidRDefault="001872B0" w:rsidP="00736C86">
      <w:pPr>
        <w:spacing w:line="360" w:lineRule="auto"/>
        <w:rPr>
          <w:rFonts w:ascii="Calibri" w:eastAsia="Calibri" w:hAnsi="Calibri" w:cs="Times New Roman"/>
          <w:sz w:val="24"/>
          <w:szCs w:val="24"/>
        </w:rPr>
      </w:pPr>
      <w:r>
        <w:rPr>
          <w:rFonts w:ascii="Calibri" w:hAnsi="Calibri" w:cs="Calibri"/>
          <w:sz w:val="24"/>
          <w:szCs w:val="24"/>
        </w:rPr>
        <w:t xml:space="preserve">Participants had differing views regarding the expectations and limitations of the terms teacher and lecturer. Liz highlighted the teacher role is the frontispiece, an archetype (Jung, 1959/2020) which obscures any background professional activity. Laura resisted </w:t>
      </w:r>
      <w:r w:rsidRPr="00904A14">
        <w:rPr>
          <w:rFonts w:ascii="Calibri" w:hAnsi="Calibri" w:cs="Calibri"/>
          <w:sz w:val="24"/>
          <w:szCs w:val="24"/>
        </w:rPr>
        <w:t xml:space="preserve">assumptions </w:t>
      </w:r>
      <w:r>
        <w:rPr>
          <w:rFonts w:ascii="Calibri" w:hAnsi="Calibri" w:cs="Calibri"/>
          <w:sz w:val="24"/>
          <w:szCs w:val="24"/>
        </w:rPr>
        <w:t>about</w:t>
      </w:r>
      <w:r w:rsidRPr="00904A14">
        <w:rPr>
          <w:rFonts w:ascii="Calibri" w:hAnsi="Calibri" w:cs="Calibri"/>
          <w:sz w:val="24"/>
          <w:szCs w:val="24"/>
        </w:rPr>
        <w:t xml:space="preserve"> the role as perceived by students and the wider </w:t>
      </w:r>
      <w:r w:rsidR="00F61AE5" w:rsidRPr="00904A14">
        <w:rPr>
          <w:rFonts w:ascii="Calibri" w:hAnsi="Calibri" w:cs="Calibri"/>
          <w:sz w:val="24"/>
          <w:szCs w:val="24"/>
        </w:rPr>
        <w:t>public</w:t>
      </w:r>
      <w:r w:rsidR="00F61AE5">
        <w:rPr>
          <w:rFonts w:ascii="Calibri" w:hAnsi="Calibri" w:cs="Calibri"/>
          <w:sz w:val="24"/>
          <w:szCs w:val="24"/>
        </w:rPr>
        <w:t xml:space="preserve"> and</w:t>
      </w:r>
      <w:r>
        <w:rPr>
          <w:rFonts w:ascii="Calibri" w:hAnsi="Calibri" w:cs="Calibri"/>
          <w:sz w:val="24"/>
          <w:szCs w:val="24"/>
        </w:rPr>
        <w:t xml:space="preserve"> raises the point that </w:t>
      </w:r>
      <w:r w:rsidRPr="00AF12B6">
        <w:rPr>
          <w:rFonts w:ascii="Calibri" w:hAnsi="Calibri" w:cs="Calibri"/>
          <w:sz w:val="24"/>
          <w:szCs w:val="24"/>
        </w:rPr>
        <w:t>the</w:t>
      </w:r>
      <w:r>
        <w:rPr>
          <w:rFonts w:ascii="Calibri" w:hAnsi="Calibri" w:cs="Calibri"/>
          <w:sz w:val="24"/>
          <w:szCs w:val="24"/>
        </w:rPr>
        <w:t>re are other</w:t>
      </w:r>
      <w:r w:rsidRPr="00AF12B6">
        <w:rPr>
          <w:rFonts w:ascii="Calibri" w:hAnsi="Calibri" w:cs="Calibri"/>
          <w:sz w:val="24"/>
          <w:szCs w:val="24"/>
        </w:rPr>
        <w:t xml:space="preserve"> various demands of the job placed on a staff member’s time</w:t>
      </w:r>
      <w:r>
        <w:rPr>
          <w:rFonts w:ascii="Calibri" w:hAnsi="Calibri" w:cs="Calibri"/>
          <w:sz w:val="24"/>
          <w:szCs w:val="24"/>
        </w:rPr>
        <w:t xml:space="preserve"> and emotions (</w:t>
      </w:r>
      <w:r w:rsidRPr="00CD4942">
        <w:rPr>
          <w:rFonts w:ascii="Calibri" w:eastAsia="Calibri" w:hAnsi="Calibri" w:cs="Times New Roman"/>
          <w:sz w:val="24"/>
          <w:szCs w:val="24"/>
        </w:rPr>
        <w:t xml:space="preserve">Hughes </w:t>
      </w:r>
      <w:r w:rsidR="00FB3A6E" w:rsidRPr="00FB3A6E">
        <w:rPr>
          <w:rFonts w:ascii="Calibri" w:eastAsia="Calibri" w:hAnsi="Calibri" w:cs="Times New Roman"/>
          <w:i/>
          <w:sz w:val="24"/>
          <w:szCs w:val="24"/>
        </w:rPr>
        <w:t>et al.</w:t>
      </w:r>
      <w:r w:rsidRPr="00CD4942">
        <w:rPr>
          <w:rFonts w:ascii="Calibri" w:eastAsia="Calibri" w:hAnsi="Calibri" w:cs="Times New Roman"/>
          <w:sz w:val="24"/>
          <w:szCs w:val="24"/>
        </w:rPr>
        <w:t xml:space="preserve">, 2018; Jayman and Lyneham, 2020; </w:t>
      </w:r>
      <w:r w:rsidRPr="009D02CD">
        <w:rPr>
          <w:rFonts w:ascii="Calibri" w:eastAsia="Calibri" w:hAnsi="Calibri" w:cs="Times New Roman"/>
          <w:sz w:val="24"/>
          <w:szCs w:val="24"/>
        </w:rPr>
        <w:t xml:space="preserve">Margrove, </w:t>
      </w:r>
      <w:r w:rsidR="00FB3A6E" w:rsidRPr="00FB3A6E">
        <w:rPr>
          <w:rFonts w:ascii="Calibri" w:eastAsia="Calibri" w:hAnsi="Calibri" w:cs="Times New Roman"/>
          <w:i/>
          <w:sz w:val="24"/>
          <w:szCs w:val="24"/>
        </w:rPr>
        <w:t>et al.</w:t>
      </w:r>
      <w:r w:rsidRPr="009D02CD">
        <w:rPr>
          <w:rFonts w:ascii="Calibri" w:eastAsia="Calibri" w:hAnsi="Calibri" w:cs="Times New Roman"/>
          <w:sz w:val="24"/>
          <w:szCs w:val="24"/>
        </w:rPr>
        <w:t xml:space="preserve">, 2014; </w:t>
      </w:r>
      <w:r w:rsidRPr="00CD4942">
        <w:rPr>
          <w:rFonts w:ascii="Calibri" w:eastAsia="Calibri" w:hAnsi="Calibri" w:cs="Times New Roman"/>
          <w:sz w:val="24"/>
          <w:szCs w:val="24"/>
        </w:rPr>
        <w:t>Payne, 2022</w:t>
      </w:r>
      <w:r>
        <w:rPr>
          <w:rFonts w:ascii="Calibri" w:eastAsia="Calibri" w:hAnsi="Calibri" w:cs="Times New Roman"/>
          <w:sz w:val="24"/>
          <w:szCs w:val="24"/>
        </w:rPr>
        <w:t xml:space="preserve">). </w:t>
      </w:r>
      <w:r>
        <w:rPr>
          <w:rFonts w:ascii="Calibri" w:hAnsi="Calibri" w:cs="Calibri"/>
          <w:sz w:val="24"/>
          <w:szCs w:val="24"/>
        </w:rPr>
        <w:t>Furthermore, Laura highlights how t</w:t>
      </w:r>
      <w:r w:rsidRPr="00BD2FDF">
        <w:rPr>
          <w:rFonts w:ascii="Calibri" w:hAnsi="Calibri" w:cs="Calibri"/>
          <w:sz w:val="24"/>
          <w:szCs w:val="24"/>
        </w:rPr>
        <w:t>he</w:t>
      </w:r>
      <w:r>
        <w:rPr>
          <w:rFonts w:ascii="Calibri" w:hAnsi="Calibri" w:cs="Calibri"/>
          <w:sz w:val="24"/>
          <w:szCs w:val="24"/>
        </w:rPr>
        <w:t xml:space="preserve"> current </w:t>
      </w:r>
      <w:r w:rsidRPr="00BD2FDF">
        <w:rPr>
          <w:rFonts w:ascii="Calibri" w:hAnsi="Calibri" w:cs="Calibri"/>
          <w:sz w:val="24"/>
          <w:szCs w:val="24"/>
        </w:rPr>
        <w:t xml:space="preserve">positioning of students as active customers (Barnett, 2011) perpetuates </w:t>
      </w:r>
      <w:r>
        <w:rPr>
          <w:rFonts w:ascii="Calibri" w:hAnsi="Calibri" w:cs="Calibri"/>
          <w:sz w:val="24"/>
          <w:szCs w:val="24"/>
        </w:rPr>
        <w:t xml:space="preserve">an expectation that </w:t>
      </w:r>
      <w:r w:rsidRPr="00BD2FDF">
        <w:rPr>
          <w:rFonts w:ascii="Calibri" w:hAnsi="Calibri" w:cs="Calibri"/>
          <w:sz w:val="24"/>
          <w:szCs w:val="24"/>
        </w:rPr>
        <w:t xml:space="preserve">the teacher role </w:t>
      </w:r>
      <w:r>
        <w:rPr>
          <w:rFonts w:ascii="Calibri" w:hAnsi="Calibri" w:cs="Calibri"/>
          <w:sz w:val="24"/>
          <w:szCs w:val="24"/>
        </w:rPr>
        <w:t>is</w:t>
      </w:r>
      <w:r w:rsidRPr="00BD2FDF">
        <w:rPr>
          <w:rFonts w:ascii="Calibri" w:hAnsi="Calibri" w:cs="Calibri"/>
          <w:sz w:val="24"/>
          <w:szCs w:val="24"/>
        </w:rPr>
        <w:t xml:space="preserve"> one of </w:t>
      </w:r>
      <w:r>
        <w:rPr>
          <w:rFonts w:ascii="Calibri" w:hAnsi="Calibri" w:cs="Calibri"/>
          <w:sz w:val="24"/>
          <w:szCs w:val="24"/>
        </w:rPr>
        <w:t xml:space="preserve">a </w:t>
      </w:r>
      <w:r w:rsidRPr="00BD2FDF">
        <w:rPr>
          <w:rFonts w:ascii="Calibri" w:hAnsi="Calibri" w:cs="Calibri"/>
          <w:sz w:val="24"/>
          <w:szCs w:val="24"/>
        </w:rPr>
        <w:t>feeder</w:t>
      </w:r>
      <w:r>
        <w:rPr>
          <w:rFonts w:ascii="Calibri" w:hAnsi="Calibri" w:cs="Calibri"/>
          <w:sz w:val="24"/>
          <w:szCs w:val="24"/>
        </w:rPr>
        <w:t xml:space="preserve"> of knowledge.</w:t>
      </w:r>
    </w:p>
    <w:p w14:paraId="08C802FA" w14:textId="084C4B49" w:rsidR="001872B0" w:rsidRPr="004471A7" w:rsidRDefault="001872B0" w:rsidP="00736C86">
      <w:pPr>
        <w:spacing w:line="360" w:lineRule="auto"/>
        <w:rPr>
          <w:rFonts w:ascii="Calibri" w:hAnsi="Calibri" w:cs="Calibri"/>
          <w:sz w:val="24"/>
          <w:szCs w:val="24"/>
        </w:rPr>
      </w:pPr>
      <w:r>
        <w:rPr>
          <w:rFonts w:ascii="Calibri" w:hAnsi="Calibri" w:cs="Calibri"/>
          <w:sz w:val="24"/>
          <w:szCs w:val="24"/>
        </w:rPr>
        <w:t xml:space="preserve">Jenko </w:t>
      </w:r>
      <w:r w:rsidRPr="00904A14">
        <w:rPr>
          <w:rFonts w:ascii="Calibri" w:hAnsi="Calibri" w:cs="Calibri"/>
          <w:sz w:val="24"/>
          <w:szCs w:val="24"/>
        </w:rPr>
        <w:t>w</w:t>
      </w:r>
      <w:r>
        <w:rPr>
          <w:rFonts w:ascii="Calibri" w:hAnsi="Calibri" w:cs="Calibri"/>
          <w:sz w:val="24"/>
          <w:szCs w:val="24"/>
        </w:rPr>
        <w:t>as</w:t>
      </w:r>
      <w:r w:rsidRPr="00904A14">
        <w:rPr>
          <w:rFonts w:ascii="Calibri" w:hAnsi="Calibri" w:cs="Calibri"/>
          <w:sz w:val="24"/>
          <w:szCs w:val="24"/>
        </w:rPr>
        <w:t xml:space="preserve"> eager to stress the importance of the </w:t>
      </w:r>
      <w:r>
        <w:rPr>
          <w:rFonts w:ascii="Calibri" w:hAnsi="Calibri" w:cs="Calibri"/>
          <w:sz w:val="24"/>
          <w:szCs w:val="24"/>
        </w:rPr>
        <w:t xml:space="preserve">relational </w:t>
      </w:r>
      <w:r w:rsidRPr="00904A14">
        <w:rPr>
          <w:rFonts w:ascii="Calibri" w:hAnsi="Calibri" w:cs="Calibri"/>
          <w:sz w:val="24"/>
          <w:szCs w:val="24"/>
        </w:rPr>
        <w:t>responsibility attached to the role</w:t>
      </w:r>
      <w:r>
        <w:rPr>
          <w:rFonts w:ascii="Calibri" w:hAnsi="Calibri" w:cs="Calibri"/>
          <w:sz w:val="24"/>
          <w:szCs w:val="24"/>
        </w:rPr>
        <w:t xml:space="preserve"> of teacher</w:t>
      </w:r>
      <w:r w:rsidRPr="00904A14">
        <w:rPr>
          <w:rFonts w:ascii="Calibri" w:hAnsi="Calibri" w:cs="Calibri"/>
          <w:sz w:val="24"/>
          <w:szCs w:val="24"/>
        </w:rPr>
        <w:t>.</w:t>
      </w:r>
      <w:r>
        <w:rPr>
          <w:rFonts w:ascii="Calibri" w:hAnsi="Calibri" w:cs="Calibri"/>
          <w:sz w:val="24"/>
          <w:szCs w:val="24"/>
        </w:rPr>
        <w:t xml:space="preserve"> For example, he adopts a relational stance using soft skills (</w:t>
      </w:r>
      <w:r w:rsidRPr="00640609">
        <w:rPr>
          <w:rFonts w:ascii="Calibri" w:eastAsia="Calibri" w:hAnsi="Calibri" w:cs="Times New Roman"/>
          <w:sz w:val="24"/>
          <w:szCs w:val="24"/>
        </w:rPr>
        <w:t>OECD, 2021</w:t>
      </w:r>
      <w:r>
        <w:rPr>
          <w:rFonts w:ascii="Calibri" w:eastAsia="Calibri" w:hAnsi="Calibri" w:cs="Times New Roman"/>
          <w:sz w:val="24"/>
          <w:szCs w:val="24"/>
        </w:rPr>
        <w:t xml:space="preserve">; </w:t>
      </w:r>
      <w:r w:rsidRPr="00AD4FFF">
        <w:rPr>
          <w:rFonts w:ascii="Calibri" w:eastAsia="Calibri" w:hAnsi="Calibri" w:cs="Times New Roman"/>
          <w:sz w:val="24"/>
          <w:szCs w:val="24"/>
        </w:rPr>
        <w:t>Runyon, 2022</w:t>
      </w:r>
      <w:r>
        <w:rPr>
          <w:rFonts w:ascii="Calibri" w:eastAsia="Calibri" w:hAnsi="Calibri" w:cs="Times New Roman"/>
          <w:sz w:val="24"/>
          <w:szCs w:val="24"/>
        </w:rPr>
        <w:t>),</w:t>
      </w:r>
      <w:r w:rsidRPr="00AD41F0">
        <w:rPr>
          <w:rFonts w:ascii="Calibri" w:hAnsi="Calibri" w:cs="Calibri"/>
          <w:sz w:val="24"/>
          <w:szCs w:val="24"/>
        </w:rPr>
        <w:t xml:space="preserve"> </w:t>
      </w:r>
      <w:r>
        <w:rPr>
          <w:rFonts w:ascii="Calibri" w:hAnsi="Calibri" w:cs="Calibri"/>
          <w:sz w:val="24"/>
          <w:szCs w:val="24"/>
        </w:rPr>
        <w:t xml:space="preserve">directs his teaching in a student-centred way, and regards himself as </w:t>
      </w:r>
      <w:r w:rsidR="00F52B81">
        <w:rPr>
          <w:rFonts w:ascii="Calibri" w:hAnsi="Calibri" w:cs="Calibri"/>
          <w:sz w:val="24"/>
          <w:szCs w:val="24"/>
        </w:rPr>
        <w:t>“</w:t>
      </w:r>
      <w:r w:rsidRPr="00AD41F0">
        <w:rPr>
          <w:rFonts w:ascii="Calibri" w:hAnsi="Calibri" w:cs="Calibri"/>
          <w:sz w:val="24"/>
          <w:szCs w:val="24"/>
        </w:rPr>
        <w:t>an emotional partner</w:t>
      </w:r>
      <w:r w:rsidR="00F52B81">
        <w:rPr>
          <w:rFonts w:ascii="Calibri" w:hAnsi="Calibri" w:cs="Calibri"/>
          <w:sz w:val="24"/>
          <w:szCs w:val="24"/>
        </w:rPr>
        <w:t>”</w:t>
      </w:r>
      <w:r w:rsidR="00283E0E">
        <w:rPr>
          <w:rFonts w:ascii="Calibri" w:hAnsi="Calibri" w:cs="Calibri"/>
          <w:i/>
          <w:iCs/>
          <w:sz w:val="24"/>
          <w:szCs w:val="24"/>
        </w:rPr>
        <w:t xml:space="preserve"> </w:t>
      </w:r>
      <w:r w:rsidR="00F52B81" w:rsidRPr="00F52B81">
        <w:rPr>
          <w:rFonts w:ascii="Calibri" w:hAnsi="Calibri" w:cs="Calibri"/>
          <w:sz w:val="24"/>
          <w:szCs w:val="24"/>
        </w:rPr>
        <w:t>(</w:t>
      </w:r>
      <w:r w:rsidR="00283E0E" w:rsidRPr="00283E0E">
        <w:rPr>
          <w:rFonts w:ascii="Calibri" w:hAnsi="Calibri" w:cs="Calibri"/>
          <w:i/>
          <w:iCs/>
          <w:sz w:val="24"/>
          <w:szCs w:val="24"/>
        </w:rPr>
        <w:t>Jenko, T1, p.4, par 1</w:t>
      </w:r>
      <w:r w:rsidR="00F52B81" w:rsidRPr="00F52B81">
        <w:rPr>
          <w:rFonts w:ascii="Calibri" w:hAnsi="Calibri" w:cs="Calibri"/>
          <w:sz w:val="24"/>
          <w:szCs w:val="24"/>
        </w:rPr>
        <w:t>)</w:t>
      </w:r>
      <w:r w:rsidRPr="00AD41F0">
        <w:rPr>
          <w:rFonts w:ascii="Calibri" w:hAnsi="Calibri" w:cs="Calibri"/>
          <w:sz w:val="24"/>
          <w:szCs w:val="24"/>
        </w:rPr>
        <w:t xml:space="preserve">. </w:t>
      </w:r>
      <w:r>
        <w:rPr>
          <w:rFonts w:ascii="Calibri" w:hAnsi="Calibri" w:cs="Calibri"/>
          <w:sz w:val="24"/>
          <w:szCs w:val="24"/>
        </w:rPr>
        <w:t xml:space="preserve">According to </w:t>
      </w:r>
      <w:r w:rsidRPr="006A3B91">
        <w:rPr>
          <w:rFonts w:ascii="Calibri" w:hAnsi="Calibri" w:cs="Calibri"/>
          <w:sz w:val="24"/>
          <w:szCs w:val="24"/>
        </w:rPr>
        <w:t xml:space="preserve">Reinsmith </w:t>
      </w:r>
      <w:r>
        <w:rPr>
          <w:rFonts w:ascii="Calibri" w:hAnsi="Calibri" w:cs="Calibri"/>
          <w:sz w:val="24"/>
          <w:szCs w:val="24"/>
        </w:rPr>
        <w:t>(</w:t>
      </w:r>
      <w:r w:rsidRPr="006A3B91">
        <w:rPr>
          <w:rFonts w:ascii="Calibri" w:hAnsi="Calibri" w:cs="Calibri"/>
          <w:sz w:val="24"/>
          <w:szCs w:val="24"/>
        </w:rPr>
        <w:t>1992</w:t>
      </w:r>
      <w:r>
        <w:rPr>
          <w:rFonts w:ascii="Calibri" w:hAnsi="Calibri" w:cs="Calibri"/>
          <w:sz w:val="24"/>
          <w:szCs w:val="24"/>
        </w:rPr>
        <w:t>)</w:t>
      </w:r>
      <w:r w:rsidRPr="006A3B91">
        <w:rPr>
          <w:rFonts w:ascii="Calibri" w:hAnsi="Calibri" w:cs="Calibri"/>
          <w:sz w:val="24"/>
          <w:szCs w:val="24"/>
        </w:rPr>
        <w:t xml:space="preserve"> </w:t>
      </w:r>
      <w:r w:rsidRPr="00361E48">
        <w:rPr>
          <w:rFonts w:ascii="Calibri" w:hAnsi="Calibri" w:cs="Calibri"/>
          <w:sz w:val="24"/>
          <w:szCs w:val="24"/>
        </w:rPr>
        <w:t xml:space="preserve">“the highest kind of artful teaching is relational in an increasingly student-centred way” </w:t>
      </w:r>
      <w:r>
        <w:rPr>
          <w:rFonts w:ascii="Calibri" w:hAnsi="Calibri" w:cs="Calibri"/>
          <w:sz w:val="24"/>
          <w:szCs w:val="24"/>
        </w:rPr>
        <w:t>(</w:t>
      </w:r>
      <w:r w:rsidRPr="00361E48">
        <w:rPr>
          <w:rFonts w:ascii="Calibri" w:hAnsi="Calibri" w:cs="Calibri"/>
          <w:sz w:val="24"/>
          <w:szCs w:val="24"/>
        </w:rPr>
        <w:t>pp. xv-xvi), and</w:t>
      </w:r>
      <w:r>
        <w:rPr>
          <w:rFonts w:ascii="Calibri" w:hAnsi="Calibri" w:cs="Calibri"/>
          <w:sz w:val="24"/>
          <w:szCs w:val="24"/>
        </w:rPr>
        <w:t xml:space="preserve"> therein Jenko embodies and </w:t>
      </w:r>
      <w:r w:rsidRPr="00361E48">
        <w:rPr>
          <w:rFonts w:ascii="Calibri" w:hAnsi="Calibri" w:cs="Calibri"/>
          <w:sz w:val="24"/>
          <w:szCs w:val="24"/>
        </w:rPr>
        <w:t xml:space="preserve">inhabits </w:t>
      </w:r>
      <w:r>
        <w:rPr>
          <w:rFonts w:ascii="Calibri" w:hAnsi="Calibri" w:cs="Calibri"/>
          <w:sz w:val="24"/>
          <w:szCs w:val="24"/>
        </w:rPr>
        <w:t xml:space="preserve">the role of </w:t>
      </w:r>
      <w:r w:rsidRPr="00361E48">
        <w:rPr>
          <w:rFonts w:ascii="Calibri" w:hAnsi="Calibri" w:cs="Calibri"/>
          <w:sz w:val="24"/>
          <w:szCs w:val="24"/>
        </w:rPr>
        <w:t>both the object mother and environmental mother (</w:t>
      </w:r>
      <w:r w:rsidRPr="007F765E">
        <w:rPr>
          <w:rFonts w:ascii="Calibri" w:hAnsi="Calibri" w:cs="Calibri"/>
          <w:sz w:val="24"/>
          <w:szCs w:val="24"/>
        </w:rPr>
        <w:t>Winnicott, 1960</w:t>
      </w:r>
      <w:r w:rsidRPr="00361E48">
        <w:rPr>
          <w:rFonts w:ascii="Calibri" w:hAnsi="Calibri" w:cs="Calibri"/>
          <w:sz w:val="24"/>
          <w:szCs w:val="24"/>
        </w:rPr>
        <w:t>)</w:t>
      </w:r>
      <w:r>
        <w:rPr>
          <w:rFonts w:ascii="Calibri" w:hAnsi="Calibri" w:cs="Calibri"/>
          <w:sz w:val="24"/>
          <w:szCs w:val="24"/>
        </w:rPr>
        <w:t xml:space="preserve">. </w:t>
      </w:r>
      <w:r w:rsidRPr="00361E48">
        <w:rPr>
          <w:rFonts w:ascii="Calibri" w:hAnsi="Calibri" w:cs="Calibri"/>
          <w:sz w:val="24"/>
          <w:szCs w:val="24"/>
        </w:rPr>
        <w:t>Liz is straddling the bridge of classroom engagement and academic duties</w:t>
      </w:r>
      <w:r>
        <w:rPr>
          <w:rFonts w:ascii="Calibri" w:hAnsi="Calibri" w:cs="Calibri"/>
          <w:sz w:val="24"/>
          <w:szCs w:val="24"/>
        </w:rPr>
        <w:t xml:space="preserve">, and the </w:t>
      </w:r>
      <w:r w:rsidRPr="00361E48">
        <w:rPr>
          <w:rFonts w:ascii="Calibri" w:hAnsi="Calibri" w:cs="Calibri"/>
          <w:sz w:val="24"/>
          <w:szCs w:val="24"/>
        </w:rPr>
        <w:t>holding</w:t>
      </w:r>
      <w:r>
        <w:rPr>
          <w:rFonts w:ascii="Calibri" w:hAnsi="Calibri" w:cs="Calibri"/>
          <w:sz w:val="24"/>
          <w:szCs w:val="24"/>
        </w:rPr>
        <w:t xml:space="preserve"> of</w:t>
      </w:r>
      <w:r w:rsidRPr="00361E48">
        <w:rPr>
          <w:rFonts w:ascii="Calibri" w:hAnsi="Calibri" w:cs="Calibri"/>
          <w:sz w:val="24"/>
          <w:szCs w:val="24"/>
        </w:rPr>
        <w:t xml:space="preserve"> her students and </w:t>
      </w:r>
      <w:r>
        <w:rPr>
          <w:rFonts w:ascii="Calibri" w:hAnsi="Calibri" w:cs="Calibri"/>
          <w:sz w:val="24"/>
          <w:szCs w:val="24"/>
        </w:rPr>
        <w:t>the teaching</w:t>
      </w:r>
      <w:r w:rsidRPr="00361E48">
        <w:rPr>
          <w:rFonts w:ascii="Calibri" w:hAnsi="Calibri" w:cs="Calibri"/>
          <w:sz w:val="24"/>
          <w:szCs w:val="24"/>
        </w:rPr>
        <w:t xml:space="preserve"> environment. Laura is </w:t>
      </w:r>
      <w:r>
        <w:rPr>
          <w:rFonts w:ascii="Calibri" w:hAnsi="Calibri" w:cs="Calibri"/>
          <w:sz w:val="24"/>
          <w:szCs w:val="24"/>
        </w:rPr>
        <w:t>debunking</w:t>
      </w:r>
      <w:r w:rsidRPr="00361E48">
        <w:rPr>
          <w:rFonts w:ascii="Calibri" w:hAnsi="Calibri" w:cs="Calibri"/>
          <w:sz w:val="24"/>
          <w:szCs w:val="24"/>
        </w:rPr>
        <w:t xml:space="preserve"> </w:t>
      </w:r>
      <w:r>
        <w:rPr>
          <w:rFonts w:ascii="Calibri" w:hAnsi="Calibri" w:cs="Calibri"/>
          <w:sz w:val="24"/>
          <w:szCs w:val="24"/>
        </w:rPr>
        <w:t>the archetype of teacher and its attendant expectations</w:t>
      </w:r>
      <w:r w:rsidRPr="00361E48">
        <w:rPr>
          <w:rFonts w:ascii="Calibri" w:hAnsi="Calibri" w:cs="Calibri"/>
          <w:sz w:val="24"/>
          <w:szCs w:val="24"/>
        </w:rPr>
        <w:t xml:space="preserve"> </w:t>
      </w:r>
      <w:r>
        <w:rPr>
          <w:rFonts w:ascii="Calibri" w:hAnsi="Calibri" w:cs="Calibri"/>
          <w:sz w:val="24"/>
          <w:szCs w:val="24"/>
        </w:rPr>
        <w:t xml:space="preserve">from her students that they will be </w:t>
      </w:r>
      <w:r w:rsidRPr="00361E48">
        <w:rPr>
          <w:rFonts w:ascii="Calibri" w:hAnsi="Calibri" w:cs="Calibri"/>
          <w:sz w:val="24"/>
          <w:szCs w:val="24"/>
        </w:rPr>
        <w:lastRenderedPageBreak/>
        <w:t>instrumentally taught</w:t>
      </w:r>
      <w:r>
        <w:rPr>
          <w:rFonts w:ascii="Calibri" w:hAnsi="Calibri" w:cs="Calibri"/>
          <w:sz w:val="24"/>
          <w:szCs w:val="24"/>
        </w:rPr>
        <w:t>.</w:t>
      </w:r>
      <w:r w:rsidRPr="00361E48">
        <w:rPr>
          <w:rFonts w:ascii="Calibri" w:hAnsi="Calibri" w:cs="Calibri"/>
          <w:sz w:val="24"/>
          <w:szCs w:val="24"/>
        </w:rPr>
        <w:t xml:space="preserve"> </w:t>
      </w:r>
      <w:r>
        <w:rPr>
          <w:rFonts w:ascii="Calibri" w:hAnsi="Calibri" w:cs="Calibri"/>
          <w:sz w:val="24"/>
          <w:szCs w:val="24"/>
        </w:rPr>
        <w:t>She</w:t>
      </w:r>
      <w:r w:rsidRPr="00361E48">
        <w:rPr>
          <w:rFonts w:ascii="Calibri" w:hAnsi="Calibri" w:cs="Calibri"/>
          <w:sz w:val="24"/>
          <w:szCs w:val="24"/>
        </w:rPr>
        <w:t xml:space="preserve"> encourage</w:t>
      </w:r>
      <w:r>
        <w:rPr>
          <w:rFonts w:ascii="Calibri" w:hAnsi="Calibri" w:cs="Calibri"/>
          <w:sz w:val="24"/>
          <w:szCs w:val="24"/>
        </w:rPr>
        <w:t>s</w:t>
      </w:r>
      <w:r w:rsidRPr="00361E48">
        <w:rPr>
          <w:rFonts w:ascii="Calibri" w:hAnsi="Calibri" w:cs="Calibri"/>
          <w:sz w:val="24"/>
          <w:szCs w:val="24"/>
        </w:rPr>
        <w:t xml:space="preserve"> </w:t>
      </w:r>
      <w:r>
        <w:rPr>
          <w:rFonts w:ascii="Calibri" w:hAnsi="Calibri" w:cs="Calibri"/>
          <w:sz w:val="24"/>
          <w:szCs w:val="24"/>
        </w:rPr>
        <w:t xml:space="preserve">them </w:t>
      </w:r>
      <w:r w:rsidRPr="00361E48">
        <w:rPr>
          <w:rFonts w:ascii="Calibri" w:hAnsi="Calibri" w:cs="Calibri"/>
          <w:sz w:val="24"/>
          <w:szCs w:val="24"/>
        </w:rPr>
        <w:t xml:space="preserve">to </w:t>
      </w:r>
      <w:r>
        <w:rPr>
          <w:rFonts w:ascii="Calibri" w:hAnsi="Calibri" w:cs="Calibri"/>
          <w:sz w:val="24"/>
          <w:szCs w:val="24"/>
        </w:rPr>
        <w:t xml:space="preserve">actively </w:t>
      </w:r>
      <w:r w:rsidRPr="00361E48">
        <w:rPr>
          <w:rFonts w:ascii="Calibri" w:hAnsi="Calibri" w:cs="Calibri"/>
          <w:sz w:val="24"/>
          <w:szCs w:val="24"/>
        </w:rPr>
        <w:t>engage in their own learning a</w:t>
      </w:r>
      <w:r>
        <w:rPr>
          <w:rFonts w:ascii="Calibri" w:hAnsi="Calibri" w:cs="Calibri"/>
          <w:sz w:val="24"/>
          <w:szCs w:val="24"/>
        </w:rPr>
        <w:t xml:space="preserve">nd to </w:t>
      </w:r>
      <w:r w:rsidRPr="00361E48">
        <w:rPr>
          <w:rFonts w:ascii="Calibri" w:hAnsi="Calibri" w:cs="Calibri"/>
          <w:sz w:val="24"/>
          <w:szCs w:val="24"/>
        </w:rPr>
        <w:t>move towards relative dependence (Winnicott, 19</w:t>
      </w:r>
      <w:r>
        <w:rPr>
          <w:rFonts w:ascii="Calibri" w:hAnsi="Calibri" w:cs="Calibri"/>
          <w:sz w:val="24"/>
          <w:szCs w:val="24"/>
        </w:rPr>
        <w:t>65</w:t>
      </w:r>
      <w:r w:rsidRPr="00361E48">
        <w:rPr>
          <w:rFonts w:ascii="Calibri" w:hAnsi="Calibri" w:cs="Calibri"/>
          <w:sz w:val="24"/>
          <w:szCs w:val="24"/>
        </w:rPr>
        <w:t>).</w:t>
      </w:r>
      <w:r w:rsidRPr="00FA7D92">
        <w:rPr>
          <w:rFonts w:ascii="Calibri" w:eastAsia="Calibri" w:hAnsi="Calibri" w:cs="Times New Roman"/>
          <w:sz w:val="24"/>
          <w:szCs w:val="24"/>
        </w:rPr>
        <w:t xml:space="preserve"> </w:t>
      </w:r>
      <w:r>
        <w:rPr>
          <w:rFonts w:ascii="Calibri" w:eastAsia="Calibri" w:hAnsi="Calibri" w:cs="Times New Roman"/>
          <w:sz w:val="24"/>
          <w:szCs w:val="24"/>
        </w:rPr>
        <w:t xml:space="preserve">Laura is also </w:t>
      </w:r>
      <w:r w:rsidR="00531063">
        <w:rPr>
          <w:rFonts w:ascii="Calibri" w:eastAsia="Calibri" w:hAnsi="Calibri" w:cs="Times New Roman"/>
          <w:sz w:val="24"/>
          <w:szCs w:val="24"/>
        </w:rPr>
        <w:t xml:space="preserve">challenging </w:t>
      </w:r>
      <w:r>
        <w:rPr>
          <w:rFonts w:ascii="Calibri" w:eastAsia="Calibri" w:hAnsi="Calibri" w:cs="Times New Roman"/>
          <w:sz w:val="24"/>
          <w:szCs w:val="24"/>
        </w:rPr>
        <w:t xml:space="preserve">the notion that students are to be protected from </w:t>
      </w:r>
      <w:r w:rsidRPr="00FA7D92">
        <w:rPr>
          <w:rFonts w:ascii="Calibri" w:eastAsia="Calibri" w:hAnsi="Calibri" w:cs="Times New Roman"/>
          <w:sz w:val="24"/>
          <w:szCs w:val="24"/>
        </w:rPr>
        <w:t xml:space="preserve">academic demands (Campbell and Manning, 2018) and </w:t>
      </w:r>
      <w:r>
        <w:rPr>
          <w:rFonts w:ascii="Calibri" w:eastAsia="Calibri" w:hAnsi="Calibri" w:cs="Times New Roman"/>
          <w:sz w:val="24"/>
          <w:szCs w:val="24"/>
        </w:rPr>
        <w:t xml:space="preserve">only to be provided with </w:t>
      </w:r>
      <w:r w:rsidRPr="00FA7D92">
        <w:rPr>
          <w:rFonts w:ascii="Calibri" w:eastAsia="Calibri" w:hAnsi="Calibri" w:cs="Times New Roman"/>
          <w:sz w:val="24"/>
          <w:szCs w:val="24"/>
        </w:rPr>
        <w:t>pleasant teaching experiences (Arum and Roska, 2011</w:t>
      </w:r>
      <w:r>
        <w:rPr>
          <w:rFonts w:ascii="Calibri" w:eastAsia="Calibri" w:hAnsi="Calibri" w:cs="Times New Roman"/>
          <w:sz w:val="24"/>
          <w:szCs w:val="24"/>
        </w:rPr>
        <w:t>)</w:t>
      </w:r>
      <w:r>
        <w:rPr>
          <w:rFonts w:ascii="Calibri" w:hAnsi="Calibri" w:cs="Calibri"/>
          <w:sz w:val="24"/>
          <w:szCs w:val="24"/>
        </w:rPr>
        <w:t xml:space="preserve">. The challenge to ensure that students are </w:t>
      </w:r>
      <w:r w:rsidRPr="004471A7">
        <w:rPr>
          <w:rFonts w:ascii="Calibri" w:hAnsi="Calibri" w:cs="Calibri"/>
          <w:sz w:val="24"/>
          <w:szCs w:val="24"/>
        </w:rPr>
        <w:t>“</w:t>
      </w:r>
      <w:r w:rsidRPr="004471A7">
        <w:rPr>
          <w:rFonts w:ascii="Calibri" w:eastAsia="Calibri" w:hAnsi="Calibri" w:cs="Times New Roman"/>
          <w:sz w:val="24"/>
          <w:szCs w:val="24"/>
        </w:rPr>
        <w:t xml:space="preserve">flourishing” (Kraut, in Hughes and Spanner, 2019, p.9) is taken seriously by these </w:t>
      </w:r>
      <w:r w:rsidR="00DF7152" w:rsidRPr="004471A7">
        <w:rPr>
          <w:rFonts w:ascii="Calibri" w:eastAsia="Calibri" w:hAnsi="Calibri" w:cs="Times New Roman"/>
          <w:sz w:val="24"/>
          <w:szCs w:val="24"/>
        </w:rPr>
        <w:t>participants</w:t>
      </w:r>
      <w:r w:rsidR="00DF7152">
        <w:rPr>
          <w:rFonts w:ascii="Calibri" w:eastAsia="Calibri" w:hAnsi="Calibri" w:cs="Times New Roman"/>
          <w:sz w:val="24"/>
          <w:szCs w:val="24"/>
        </w:rPr>
        <w:t xml:space="preserve"> and</w:t>
      </w:r>
      <w:r w:rsidRPr="004471A7">
        <w:rPr>
          <w:rFonts w:ascii="Calibri" w:eastAsia="Calibri" w:hAnsi="Calibri" w:cs="Times New Roman"/>
          <w:sz w:val="24"/>
          <w:szCs w:val="24"/>
        </w:rPr>
        <w:t xml:space="preserve"> is at the centre of their scholarship.</w:t>
      </w:r>
      <w:r>
        <w:rPr>
          <w:rFonts w:ascii="Calibri" w:eastAsia="Calibri" w:hAnsi="Calibri" w:cs="Times New Roman"/>
          <w:sz w:val="24"/>
          <w:szCs w:val="24"/>
        </w:rPr>
        <w:t xml:space="preserve"> </w:t>
      </w:r>
    </w:p>
    <w:p w14:paraId="7C26D72E" w14:textId="77777777" w:rsidR="001872B0" w:rsidRPr="0030761F" w:rsidRDefault="001872B0" w:rsidP="00736C86">
      <w:pPr>
        <w:spacing w:line="360" w:lineRule="auto"/>
        <w:ind w:firstLine="720"/>
        <w:rPr>
          <w:rFonts w:ascii="Calibri" w:hAnsi="Calibri" w:cs="Calibri"/>
          <w:b/>
          <w:bCs/>
          <w:i/>
          <w:iCs/>
          <w:sz w:val="24"/>
          <w:szCs w:val="24"/>
        </w:rPr>
      </w:pPr>
      <w:r>
        <w:rPr>
          <w:rFonts w:ascii="Calibri" w:hAnsi="Calibri" w:cs="Calibri"/>
          <w:b/>
          <w:bCs/>
          <w:i/>
          <w:iCs/>
          <w:sz w:val="24"/>
          <w:szCs w:val="24"/>
        </w:rPr>
        <w:t>R</w:t>
      </w:r>
      <w:r w:rsidRPr="0030761F">
        <w:rPr>
          <w:rFonts w:ascii="Calibri" w:hAnsi="Calibri" w:cs="Calibri"/>
          <w:b/>
          <w:bCs/>
          <w:i/>
          <w:iCs/>
          <w:sz w:val="24"/>
          <w:szCs w:val="24"/>
        </w:rPr>
        <w:t>ole of the teacher</w:t>
      </w:r>
    </w:p>
    <w:p w14:paraId="7919FFE9" w14:textId="77777777" w:rsidR="001872B0" w:rsidRPr="0000240C" w:rsidRDefault="001872B0" w:rsidP="00736C86">
      <w:pPr>
        <w:spacing w:line="360" w:lineRule="auto"/>
        <w:rPr>
          <w:rFonts w:ascii="Calibri" w:hAnsi="Calibri" w:cs="Calibri"/>
          <w:sz w:val="24"/>
          <w:szCs w:val="24"/>
        </w:rPr>
      </w:pPr>
      <w:r>
        <w:rPr>
          <w:rFonts w:ascii="Calibri" w:hAnsi="Calibri" w:cs="Calibri"/>
          <w:sz w:val="24"/>
          <w:szCs w:val="24"/>
        </w:rPr>
        <w:t>I was curious about how participants personally viewed their teaching role. Several spoke of being a guide and facilitator to support, develop and broaden their students’ horizons:</w:t>
      </w:r>
    </w:p>
    <w:p w14:paraId="757B85C0" w14:textId="77777777" w:rsidR="001872B0" w:rsidRPr="00072B39" w:rsidRDefault="001872B0" w:rsidP="00072B39">
      <w:pPr>
        <w:ind w:left="720"/>
        <w:rPr>
          <w:rFonts w:ascii="Calibri" w:hAnsi="Calibri" w:cs="Calibri"/>
          <w:i/>
          <w:iCs/>
          <w:sz w:val="24"/>
          <w:szCs w:val="24"/>
        </w:rPr>
      </w:pPr>
      <w:r w:rsidRPr="00072B39">
        <w:rPr>
          <w:rFonts w:ascii="Calibri" w:hAnsi="Calibri" w:cs="Calibri"/>
          <w:i/>
          <w:iCs/>
          <w:sz w:val="24"/>
          <w:szCs w:val="24"/>
        </w:rPr>
        <w:t>You are developing people to their full potential and it’s a very special part of the job; there’s like a very short return on the investment cycle. We see them developing very quickly and, in some cases, we see them getting promoted very quickly. So that is really rewarding (Miriam, T1, p.3, par 2).</w:t>
      </w:r>
    </w:p>
    <w:p w14:paraId="1EC71D8C" w14:textId="77777777" w:rsidR="001872B0" w:rsidRPr="00072B39" w:rsidRDefault="001872B0" w:rsidP="00072B39">
      <w:pPr>
        <w:ind w:left="720"/>
        <w:rPr>
          <w:rFonts w:ascii="Calibri" w:hAnsi="Calibri" w:cs="Calibri"/>
          <w:i/>
          <w:iCs/>
          <w:sz w:val="24"/>
          <w:szCs w:val="24"/>
        </w:rPr>
      </w:pPr>
      <w:r w:rsidRPr="00072B39">
        <w:rPr>
          <w:rFonts w:ascii="Calibri" w:hAnsi="Calibri" w:cs="Calibri"/>
          <w:i/>
          <w:iCs/>
          <w:sz w:val="24"/>
          <w:szCs w:val="24"/>
        </w:rPr>
        <w:t>My job is to facilitate, to answer questions, to stimulate, to be a guide. Sometimes I will stand back while they are cracking on with an activity and I’m like I bloody love my job. This is great. I’m watching all these people construct their own learning and then they asked me an intelligent question. I’m like boom! This is amazing. (Liz, p.13, par 1).</w:t>
      </w:r>
    </w:p>
    <w:p w14:paraId="57C55501" w14:textId="1237805D" w:rsidR="001872B0" w:rsidRPr="00072B39" w:rsidRDefault="001872B0" w:rsidP="00072B39">
      <w:pPr>
        <w:ind w:left="720"/>
        <w:rPr>
          <w:rFonts w:ascii="Calibri" w:hAnsi="Calibri" w:cs="Calibri"/>
          <w:i/>
          <w:iCs/>
          <w:sz w:val="24"/>
          <w:szCs w:val="24"/>
        </w:rPr>
      </w:pPr>
      <w:r w:rsidRPr="00072B39">
        <w:rPr>
          <w:rFonts w:ascii="Calibri" w:hAnsi="Calibri" w:cs="Calibri"/>
          <w:i/>
          <w:iCs/>
          <w:sz w:val="24"/>
          <w:szCs w:val="24"/>
        </w:rPr>
        <w:t>I value the opportunity to support people, to make a difference and to teach people and support people to broaden their horizons</w:t>
      </w:r>
      <w:r w:rsidR="00D73744">
        <w:rPr>
          <w:rFonts w:ascii="Calibri" w:hAnsi="Calibri" w:cs="Calibri"/>
          <w:i/>
          <w:iCs/>
          <w:sz w:val="24"/>
          <w:szCs w:val="24"/>
        </w:rPr>
        <w:t>,</w:t>
      </w:r>
      <w:r w:rsidRPr="00072B39">
        <w:rPr>
          <w:rFonts w:ascii="Calibri" w:hAnsi="Calibri" w:cs="Calibri"/>
          <w:i/>
          <w:iCs/>
          <w:sz w:val="24"/>
          <w:szCs w:val="24"/>
        </w:rPr>
        <w:t xml:space="preserve"> and to sort of think differently about things. It’s kind of a self-perpetuating cycle because I’m interested in motivating them and when I teach it feeds that back and it sort of fuels your passion</w:t>
      </w:r>
      <w:r w:rsidR="00D73744">
        <w:rPr>
          <w:rFonts w:ascii="Calibri" w:hAnsi="Calibri" w:cs="Calibri"/>
          <w:i/>
          <w:iCs/>
          <w:sz w:val="24"/>
          <w:szCs w:val="24"/>
        </w:rPr>
        <w:t>,</w:t>
      </w:r>
      <w:r w:rsidRPr="00072B39">
        <w:rPr>
          <w:rFonts w:ascii="Calibri" w:hAnsi="Calibri" w:cs="Calibri"/>
          <w:i/>
          <w:iCs/>
          <w:sz w:val="24"/>
          <w:szCs w:val="24"/>
        </w:rPr>
        <w:t xml:space="preserve"> doesn’t it? (Sally, T1, p.4, par 15). </w:t>
      </w:r>
    </w:p>
    <w:p w14:paraId="485AFCB3" w14:textId="77777777" w:rsidR="001872B0" w:rsidRDefault="001872B0" w:rsidP="00736C86">
      <w:pPr>
        <w:spacing w:line="360" w:lineRule="auto"/>
        <w:rPr>
          <w:rFonts w:ascii="Calibri" w:hAnsi="Calibri" w:cs="Calibri"/>
          <w:sz w:val="24"/>
          <w:szCs w:val="24"/>
        </w:rPr>
      </w:pPr>
      <w:r>
        <w:rPr>
          <w:rFonts w:ascii="Calibri" w:hAnsi="Calibri" w:cs="Calibri"/>
          <w:sz w:val="24"/>
          <w:szCs w:val="24"/>
        </w:rPr>
        <w:t>Using words such as “</w:t>
      </w:r>
      <w:r w:rsidRPr="00C327EC">
        <w:rPr>
          <w:rFonts w:ascii="Calibri" w:hAnsi="Calibri" w:cs="Calibri"/>
          <w:i/>
          <w:iCs/>
          <w:sz w:val="24"/>
          <w:szCs w:val="24"/>
        </w:rPr>
        <w:t>amazing</w:t>
      </w:r>
      <w:r>
        <w:rPr>
          <w:rFonts w:ascii="Calibri" w:hAnsi="Calibri" w:cs="Calibri"/>
          <w:sz w:val="24"/>
          <w:szCs w:val="24"/>
        </w:rPr>
        <w:t>” (Liz), “</w:t>
      </w:r>
      <w:r w:rsidRPr="00C327EC">
        <w:rPr>
          <w:rFonts w:ascii="Calibri" w:hAnsi="Calibri" w:cs="Calibri"/>
          <w:i/>
          <w:iCs/>
          <w:sz w:val="24"/>
          <w:szCs w:val="24"/>
        </w:rPr>
        <w:t>rewarding</w:t>
      </w:r>
      <w:r>
        <w:rPr>
          <w:rFonts w:ascii="Calibri" w:hAnsi="Calibri" w:cs="Calibri"/>
          <w:sz w:val="24"/>
          <w:szCs w:val="24"/>
        </w:rPr>
        <w:t>” (Miriam) and “</w:t>
      </w:r>
      <w:r w:rsidRPr="00C327EC">
        <w:rPr>
          <w:rFonts w:ascii="Calibri" w:hAnsi="Calibri" w:cs="Calibri"/>
          <w:i/>
          <w:iCs/>
          <w:sz w:val="24"/>
          <w:szCs w:val="24"/>
        </w:rPr>
        <w:t>passion</w:t>
      </w:r>
      <w:r>
        <w:rPr>
          <w:rFonts w:ascii="Calibri" w:hAnsi="Calibri" w:cs="Calibri"/>
          <w:sz w:val="24"/>
          <w:szCs w:val="24"/>
        </w:rPr>
        <w:t xml:space="preserve">” (Sally), these participants are describing how they feel when students integrate their learning. </w:t>
      </w:r>
      <w:r>
        <w:rPr>
          <w:rFonts w:ascii="Calibri" w:eastAsia="Aptos" w:hAnsi="Calibri" w:cs="Calibri"/>
          <w:sz w:val="24"/>
          <w:szCs w:val="24"/>
        </w:rPr>
        <w:t>By encouraging, fostering</w:t>
      </w:r>
      <w:r w:rsidRPr="00020C70">
        <w:rPr>
          <w:rFonts w:ascii="Calibri" w:eastAsia="Aptos" w:hAnsi="Calibri" w:cs="Calibri"/>
          <w:sz w:val="24"/>
          <w:szCs w:val="24"/>
        </w:rPr>
        <w:t xml:space="preserve"> </w:t>
      </w:r>
      <w:r>
        <w:rPr>
          <w:rFonts w:ascii="Calibri" w:eastAsia="Aptos" w:hAnsi="Calibri" w:cs="Calibri"/>
          <w:sz w:val="24"/>
          <w:szCs w:val="24"/>
        </w:rPr>
        <w:t xml:space="preserve">and enabling </w:t>
      </w:r>
      <w:r w:rsidRPr="00020C70">
        <w:rPr>
          <w:rFonts w:ascii="Calibri" w:eastAsia="Aptos" w:hAnsi="Calibri" w:cs="Calibri"/>
          <w:sz w:val="24"/>
          <w:szCs w:val="24"/>
        </w:rPr>
        <w:t>integration</w:t>
      </w:r>
      <w:r>
        <w:rPr>
          <w:rFonts w:ascii="Calibri" w:eastAsia="Aptos" w:hAnsi="Calibri" w:cs="Calibri"/>
          <w:sz w:val="24"/>
          <w:szCs w:val="24"/>
        </w:rPr>
        <w:t xml:space="preserve"> (</w:t>
      </w:r>
      <w:r w:rsidRPr="00F23555">
        <w:rPr>
          <w:rFonts w:ascii="Calibri" w:eastAsia="Aptos" w:hAnsi="Calibri" w:cs="Calibri"/>
          <w:sz w:val="24"/>
          <w:szCs w:val="24"/>
        </w:rPr>
        <w:t>Laurillard</w:t>
      </w:r>
      <w:r>
        <w:rPr>
          <w:rFonts w:ascii="Calibri" w:eastAsia="Aptos" w:hAnsi="Calibri" w:cs="Calibri"/>
          <w:sz w:val="24"/>
          <w:szCs w:val="24"/>
        </w:rPr>
        <w:t xml:space="preserve">, </w:t>
      </w:r>
      <w:r w:rsidRPr="00F23555">
        <w:rPr>
          <w:rFonts w:ascii="Calibri" w:eastAsia="Aptos" w:hAnsi="Calibri" w:cs="Calibri"/>
          <w:sz w:val="24"/>
          <w:szCs w:val="24"/>
        </w:rPr>
        <w:t>1993</w:t>
      </w:r>
      <w:r>
        <w:rPr>
          <w:rFonts w:ascii="Calibri" w:eastAsia="Aptos" w:hAnsi="Calibri" w:cs="Calibri"/>
          <w:sz w:val="24"/>
          <w:szCs w:val="24"/>
        </w:rPr>
        <w:t>) these participants are being affirmed emotionally in the process. There is an intrinsic reward from these positive feelings which contributes to broadening their “thought-action repertoires” which can “build their enduring personal resources” (Frederickson, 2002, p.219). These findings have implications for the further development of biographical reflectivity (Mayes, 1998)</w:t>
      </w:r>
      <w:r w:rsidRPr="0075407C">
        <w:rPr>
          <w:rFonts w:ascii="Calibri" w:hAnsi="Calibri" w:cs="Calibri"/>
          <w:sz w:val="24"/>
          <w:szCs w:val="24"/>
        </w:rPr>
        <w:t xml:space="preserve"> </w:t>
      </w:r>
      <w:r>
        <w:rPr>
          <w:rFonts w:ascii="Calibri" w:eastAsia="Aptos" w:hAnsi="Calibri" w:cs="Calibri"/>
          <w:sz w:val="24"/>
          <w:szCs w:val="24"/>
        </w:rPr>
        <w:t>and its</w:t>
      </w:r>
      <w:r w:rsidRPr="0075407C">
        <w:rPr>
          <w:rFonts w:ascii="Calibri" w:eastAsia="Aptos" w:hAnsi="Calibri" w:cs="Calibri"/>
          <w:sz w:val="24"/>
          <w:szCs w:val="24"/>
        </w:rPr>
        <w:t xml:space="preserve"> purpose of attain</w:t>
      </w:r>
      <w:r>
        <w:rPr>
          <w:rFonts w:ascii="Calibri" w:eastAsia="Aptos" w:hAnsi="Calibri" w:cs="Calibri"/>
          <w:sz w:val="24"/>
          <w:szCs w:val="24"/>
        </w:rPr>
        <w:t>ing</w:t>
      </w:r>
      <w:r w:rsidRPr="0075407C">
        <w:rPr>
          <w:rFonts w:ascii="Calibri" w:eastAsia="Aptos" w:hAnsi="Calibri" w:cs="Calibri"/>
          <w:sz w:val="24"/>
          <w:szCs w:val="24"/>
        </w:rPr>
        <w:t xml:space="preserve"> greater emotional fulfilment (Mayes, 2007</w:t>
      </w:r>
      <w:r>
        <w:rPr>
          <w:rFonts w:ascii="Calibri" w:eastAsia="Aptos" w:hAnsi="Calibri" w:cs="Calibri"/>
          <w:sz w:val="24"/>
          <w:szCs w:val="24"/>
        </w:rPr>
        <w:t>) through increased awareness. For example, by reflecting on their own histories and positionalities teachers might be prompted to remember what is at the heart of their teaching, and in their hearts: the flourishing of their students.</w:t>
      </w:r>
    </w:p>
    <w:p w14:paraId="32CD02F3" w14:textId="77777777" w:rsidR="00D32521" w:rsidRDefault="001872B0" w:rsidP="006834C4">
      <w:pPr>
        <w:spacing w:line="360" w:lineRule="auto"/>
        <w:rPr>
          <w:rFonts w:ascii="Calibri" w:hAnsi="Calibri" w:cs="Calibri"/>
          <w:sz w:val="24"/>
          <w:szCs w:val="24"/>
        </w:rPr>
      </w:pPr>
      <w:r>
        <w:rPr>
          <w:rFonts w:ascii="Calibri" w:hAnsi="Calibri" w:cs="Calibri"/>
          <w:sz w:val="24"/>
          <w:szCs w:val="24"/>
        </w:rPr>
        <w:lastRenderedPageBreak/>
        <w:t xml:space="preserve">Liz, Miriam and Sally </w:t>
      </w:r>
      <w:r w:rsidRPr="00B91143">
        <w:rPr>
          <w:rFonts w:ascii="Calibri" w:hAnsi="Calibri" w:cs="Calibri"/>
          <w:sz w:val="24"/>
          <w:szCs w:val="24"/>
        </w:rPr>
        <w:t xml:space="preserve">see their </w:t>
      </w:r>
      <w:r>
        <w:rPr>
          <w:rFonts w:ascii="Calibri" w:hAnsi="Calibri" w:cs="Calibri"/>
          <w:sz w:val="24"/>
          <w:szCs w:val="24"/>
        </w:rPr>
        <w:t xml:space="preserve">teacher </w:t>
      </w:r>
      <w:r w:rsidRPr="00B91143">
        <w:rPr>
          <w:rFonts w:ascii="Calibri" w:hAnsi="Calibri" w:cs="Calibri"/>
          <w:sz w:val="24"/>
          <w:szCs w:val="24"/>
        </w:rPr>
        <w:t>role as being a guide</w:t>
      </w:r>
      <w:r>
        <w:rPr>
          <w:rFonts w:ascii="Calibri" w:hAnsi="Calibri" w:cs="Calibri"/>
          <w:sz w:val="24"/>
          <w:szCs w:val="24"/>
        </w:rPr>
        <w:t xml:space="preserve"> and mentor (Vogler, 1998) </w:t>
      </w:r>
      <w:r w:rsidRPr="00B91143">
        <w:rPr>
          <w:rFonts w:ascii="Calibri" w:hAnsi="Calibri" w:cs="Calibri"/>
          <w:sz w:val="24"/>
          <w:szCs w:val="24"/>
        </w:rPr>
        <w:t xml:space="preserve">who </w:t>
      </w:r>
      <w:r>
        <w:rPr>
          <w:rFonts w:ascii="Calibri" w:hAnsi="Calibri" w:cs="Calibri"/>
          <w:sz w:val="24"/>
          <w:szCs w:val="24"/>
        </w:rPr>
        <w:t>is leading the students to the threshold of their own learning and mind (Gibran, 1923)</w:t>
      </w:r>
      <w:r w:rsidRPr="00B91143">
        <w:rPr>
          <w:rFonts w:ascii="Calibri" w:hAnsi="Calibri" w:cs="Calibri"/>
          <w:sz w:val="24"/>
          <w:szCs w:val="24"/>
        </w:rPr>
        <w:t xml:space="preserve">. This role mirrors that of a donor (Propp, 1958), a fairy godmother or a benevolent figure in a fairy tale, one who “is always waiting in the wings to lend a helping hand” </w:t>
      </w:r>
      <w:r w:rsidRPr="00C73E81">
        <w:rPr>
          <w:rFonts w:ascii="Calibri" w:hAnsi="Calibri" w:cs="Calibri"/>
          <w:sz w:val="24"/>
          <w:szCs w:val="24"/>
        </w:rPr>
        <w:t xml:space="preserve">(Cashdan, 1999, </w:t>
      </w:r>
      <w:r w:rsidRPr="00B91143">
        <w:rPr>
          <w:rFonts w:ascii="Calibri" w:hAnsi="Calibri" w:cs="Calibri"/>
          <w:sz w:val="24"/>
          <w:szCs w:val="24"/>
        </w:rPr>
        <w:t>p.31)</w:t>
      </w:r>
      <w:r>
        <w:rPr>
          <w:rFonts w:ascii="Calibri" w:hAnsi="Calibri" w:cs="Calibri"/>
          <w:sz w:val="24"/>
          <w:szCs w:val="24"/>
        </w:rPr>
        <w:t xml:space="preserve">. </w:t>
      </w:r>
      <w:r w:rsidRPr="00B91143">
        <w:rPr>
          <w:rFonts w:ascii="Calibri" w:hAnsi="Calibri" w:cs="Calibri"/>
          <w:sz w:val="24"/>
          <w:szCs w:val="24"/>
        </w:rPr>
        <w:t xml:space="preserve"> As</w:t>
      </w:r>
      <w:r>
        <w:rPr>
          <w:rFonts w:ascii="Calibri" w:hAnsi="Calibri" w:cs="Calibri"/>
          <w:sz w:val="24"/>
          <w:szCs w:val="24"/>
        </w:rPr>
        <w:t xml:space="preserve"> </w:t>
      </w:r>
      <w:r w:rsidRPr="00B91143">
        <w:rPr>
          <w:rFonts w:ascii="Calibri" w:hAnsi="Calibri" w:cs="Calibri"/>
          <w:sz w:val="24"/>
          <w:szCs w:val="24"/>
        </w:rPr>
        <w:t xml:space="preserve">Abbs (2003) </w:t>
      </w:r>
      <w:r>
        <w:rPr>
          <w:rFonts w:ascii="Calibri" w:hAnsi="Calibri" w:cs="Calibri"/>
          <w:sz w:val="24"/>
          <w:szCs w:val="24"/>
        </w:rPr>
        <w:t>notes</w:t>
      </w:r>
      <w:r w:rsidRPr="00B91143">
        <w:rPr>
          <w:rFonts w:ascii="Calibri" w:hAnsi="Calibri" w:cs="Calibri"/>
          <w:sz w:val="24"/>
          <w:szCs w:val="24"/>
        </w:rPr>
        <w:t>: “the teacher is a releaser, a midwife, aiming to give birth to existential acts of learning” (p.15)</w:t>
      </w:r>
      <w:r>
        <w:rPr>
          <w:rFonts w:ascii="Calibri" w:hAnsi="Calibri" w:cs="Calibri"/>
          <w:sz w:val="24"/>
          <w:szCs w:val="24"/>
        </w:rPr>
        <w:t>. By</w:t>
      </w:r>
      <w:r w:rsidRPr="00B91143">
        <w:rPr>
          <w:rFonts w:ascii="Calibri" w:hAnsi="Calibri" w:cs="Calibri"/>
          <w:sz w:val="24"/>
          <w:szCs w:val="24"/>
        </w:rPr>
        <w:t xml:space="preserve"> existential I read the student be</w:t>
      </w:r>
      <w:r>
        <w:rPr>
          <w:rFonts w:ascii="Calibri" w:hAnsi="Calibri" w:cs="Calibri"/>
          <w:sz w:val="24"/>
          <w:szCs w:val="24"/>
        </w:rPr>
        <w:t>ing</w:t>
      </w:r>
      <w:r w:rsidRPr="00B91143">
        <w:rPr>
          <w:rFonts w:ascii="Calibri" w:hAnsi="Calibri" w:cs="Calibri"/>
          <w:sz w:val="24"/>
          <w:szCs w:val="24"/>
        </w:rPr>
        <w:t xml:space="preserve"> a protagonist of their own learning which </w:t>
      </w:r>
      <w:r>
        <w:rPr>
          <w:rFonts w:ascii="Calibri" w:hAnsi="Calibri" w:cs="Calibri"/>
          <w:sz w:val="24"/>
          <w:szCs w:val="24"/>
        </w:rPr>
        <w:t xml:space="preserve">the findings affirm </w:t>
      </w:r>
      <w:r w:rsidRPr="00B91143">
        <w:rPr>
          <w:rFonts w:ascii="Calibri" w:hAnsi="Calibri" w:cs="Calibri"/>
          <w:sz w:val="24"/>
          <w:szCs w:val="24"/>
        </w:rPr>
        <w:t xml:space="preserve">is created by the “facilitating environment” (Winnicott, 1965, p.223) </w:t>
      </w:r>
      <w:r>
        <w:rPr>
          <w:rFonts w:ascii="Calibri" w:hAnsi="Calibri" w:cs="Calibri"/>
          <w:sz w:val="24"/>
          <w:szCs w:val="24"/>
        </w:rPr>
        <w:t xml:space="preserve">created by the teacher. </w:t>
      </w:r>
      <w:r w:rsidRPr="00B91143">
        <w:rPr>
          <w:rFonts w:ascii="Calibri" w:hAnsi="Calibri" w:cs="Calibri"/>
          <w:sz w:val="24"/>
          <w:szCs w:val="24"/>
        </w:rPr>
        <w:t>Th</w:t>
      </w:r>
      <w:r>
        <w:rPr>
          <w:rFonts w:ascii="Calibri" w:hAnsi="Calibri" w:cs="Calibri"/>
          <w:sz w:val="24"/>
          <w:szCs w:val="24"/>
        </w:rPr>
        <w:t xml:space="preserve">e creation of a facilitating environment </w:t>
      </w:r>
      <w:r w:rsidRPr="00B91143">
        <w:rPr>
          <w:rFonts w:ascii="Calibri" w:hAnsi="Calibri" w:cs="Calibri"/>
          <w:sz w:val="24"/>
          <w:szCs w:val="24"/>
        </w:rPr>
        <w:t xml:space="preserve">includes the creation of </w:t>
      </w:r>
      <w:r>
        <w:rPr>
          <w:rFonts w:ascii="Calibri" w:hAnsi="Calibri" w:cs="Calibri"/>
          <w:sz w:val="24"/>
          <w:szCs w:val="24"/>
        </w:rPr>
        <w:t>space and gaps:</w:t>
      </w:r>
      <w:r w:rsidR="006834C4">
        <w:rPr>
          <w:rFonts w:ascii="Calibri" w:hAnsi="Calibri" w:cs="Calibri"/>
          <w:sz w:val="24"/>
          <w:szCs w:val="24"/>
        </w:rPr>
        <w:t xml:space="preserve"> </w:t>
      </w:r>
    </w:p>
    <w:p w14:paraId="79BD876E" w14:textId="77777777" w:rsidR="00CC2C2D" w:rsidRPr="00CC2C2D" w:rsidRDefault="00D32521" w:rsidP="00200E9B">
      <w:pPr>
        <w:ind w:left="720"/>
        <w:rPr>
          <w:rFonts w:ascii="Calibri" w:hAnsi="Calibri" w:cs="Calibri"/>
        </w:rPr>
      </w:pPr>
      <w:r w:rsidRPr="00CC2C2D">
        <w:rPr>
          <w:rFonts w:ascii="Calibri" w:hAnsi="Calibri" w:cs="Calibri"/>
        </w:rPr>
        <w:t>g</w:t>
      </w:r>
      <w:r w:rsidR="001872B0" w:rsidRPr="00CC2C2D">
        <w:rPr>
          <w:rFonts w:ascii="Calibri" w:hAnsi="Calibri" w:cs="Calibri"/>
        </w:rPr>
        <w:t>aps for the unknown, gaps for reflection, gaps for revision, gaps for contemplation, gaps for questions</w:t>
      </w:r>
      <w:r w:rsidR="005F099F" w:rsidRPr="00CC2C2D">
        <w:rPr>
          <w:rFonts w:ascii="Calibri" w:hAnsi="Calibri" w:cs="Calibri"/>
        </w:rPr>
        <w:t xml:space="preserve"> [</w:t>
      </w:r>
      <w:r w:rsidR="001872B0" w:rsidRPr="00CC2C2D">
        <w:rPr>
          <w:rFonts w:ascii="Calibri" w:hAnsi="Calibri" w:cs="Calibri"/>
        </w:rPr>
        <w:t>…</w:t>
      </w:r>
      <w:r w:rsidR="005F099F" w:rsidRPr="00CC2C2D">
        <w:rPr>
          <w:rFonts w:ascii="Calibri" w:hAnsi="Calibri" w:cs="Calibri"/>
        </w:rPr>
        <w:t xml:space="preserve">] </w:t>
      </w:r>
      <w:r w:rsidR="001872B0" w:rsidRPr="00CC2C2D">
        <w:rPr>
          <w:rFonts w:ascii="Calibri" w:hAnsi="Calibri" w:cs="Calibri"/>
        </w:rPr>
        <w:t>gaps which constantly invite, provoke, unsettle and support the deep involvement of the student</w:t>
      </w:r>
      <w:r w:rsidR="00200E9B" w:rsidRPr="00CC2C2D">
        <w:rPr>
          <w:rFonts w:ascii="Calibri" w:hAnsi="Calibri" w:cs="Calibri"/>
        </w:rPr>
        <w:t>.</w:t>
      </w:r>
    </w:p>
    <w:p w14:paraId="5E309093" w14:textId="7B334A7D" w:rsidR="001872B0" w:rsidRPr="004C2907" w:rsidRDefault="001872B0" w:rsidP="00CC2C2D">
      <w:pPr>
        <w:ind w:left="6480" w:firstLine="720"/>
        <w:rPr>
          <w:rFonts w:ascii="Calibri" w:hAnsi="Calibri" w:cs="Calibri"/>
          <w:sz w:val="20"/>
          <w:szCs w:val="20"/>
        </w:rPr>
      </w:pPr>
      <w:r w:rsidRPr="004C2907">
        <w:rPr>
          <w:rFonts w:ascii="Calibri" w:hAnsi="Calibri" w:cs="Calibri"/>
          <w:sz w:val="20"/>
          <w:szCs w:val="20"/>
        </w:rPr>
        <w:t xml:space="preserve">(Abbs, 2003, p.15). </w:t>
      </w:r>
    </w:p>
    <w:p w14:paraId="08273C09" w14:textId="73311E49" w:rsidR="001872B0" w:rsidRPr="00A1200E" w:rsidRDefault="001872B0" w:rsidP="001C0945">
      <w:pPr>
        <w:spacing w:line="360" w:lineRule="auto"/>
        <w:rPr>
          <w:rFonts w:ascii="Calibri" w:hAnsi="Calibri" w:cs="Calibri"/>
          <w:sz w:val="24"/>
          <w:szCs w:val="24"/>
        </w:rPr>
      </w:pPr>
      <w:r>
        <w:rPr>
          <w:rFonts w:ascii="Calibri" w:hAnsi="Calibri" w:cs="Calibri"/>
          <w:sz w:val="24"/>
          <w:szCs w:val="24"/>
        </w:rPr>
        <w:t xml:space="preserve">Participants as guides </w:t>
      </w:r>
      <w:r w:rsidRPr="00B91143">
        <w:rPr>
          <w:rFonts w:ascii="Calibri" w:hAnsi="Calibri" w:cs="Calibri"/>
          <w:sz w:val="24"/>
          <w:szCs w:val="24"/>
        </w:rPr>
        <w:t xml:space="preserve">are promoting the </w:t>
      </w:r>
      <w:r>
        <w:rPr>
          <w:rFonts w:ascii="Calibri" w:hAnsi="Calibri" w:cs="Calibri"/>
          <w:sz w:val="24"/>
          <w:szCs w:val="24"/>
        </w:rPr>
        <w:t>self-</w:t>
      </w:r>
      <w:r w:rsidRPr="00B91143">
        <w:rPr>
          <w:rFonts w:ascii="Calibri" w:hAnsi="Calibri" w:cs="Calibri"/>
          <w:sz w:val="24"/>
          <w:szCs w:val="24"/>
        </w:rPr>
        <w:t xml:space="preserve">agency of their students by </w:t>
      </w:r>
      <w:r>
        <w:rPr>
          <w:rFonts w:ascii="Calibri" w:hAnsi="Calibri" w:cs="Calibri"/>
          <w:sz w:val="24"/>
          <w:szCs w:val="24"/>
        </w:rPr>
        <w:t xml:space="preserve">being an </w:t>
      </w:r>
      <w:r w:rsidRPr="0039475D">
        <w:rPr>
          <w:rFonts w:ascii="Calibri" w:eastAsia="Calibri" w:hAnsi="Calibri" w:cs="Times New Roman"/>
          <w:sz w:val="24"/>
          <w:szCs w:val="24"/>
        </w:rPr>
        <w:t>“auxiliary ego” or “psychic skin” (Greenhalgh, 1994, p.109</w:t>
      </w:r>
      <w:r>
        <w:rPr>
          <w:rFonts w:ascii="Calibri" w:eastAsia="Calibri" w:hAnsi="Calibri" w:cs="Times New Roman"/>
          <w:sz w:val="24"/>
          <w:szCs w:val="24"/>
        </w:rPr>
        <w:t xml:space="preserve">) to </w:t>
      </w:r>
      <w:r w:rsidRPr="00B91143">
        <w:rPr>
          <w:rFonts w:ascii="Calibri" w:hAnsi="Calibri" w:cs="Calibri"/>
          <w:sz w:val="24"/>
          <w:szCs w:val="24"/>
        </w:rPr>
        <w:t>hold the</w:t>
      </w:r>
      <w:r>
        <w:rPr>
          <w:rFonts w:ascii="Calibri" w:hAnsi="Calibri" w:cs="Calibri"/>
          <w:sz w:val="24"/>
          <w:szCs w:val="24"/>
        </w:rPr>
        <w:t xml:space="preserve"> students in the gaps whilst they are scaffolding their learning (Vygotsky, 1978)</w:t>
      </w:r>
      <w:r w:rsidRPr="00B91143">
        <w:rPr>
          <w:rFonts w:ascii="Calibri" w:hAnsi="Calibri" w:cs="Calibri"/>
          <w:sz w:val="24"/>
          <w:szCs w:val="24"/>
        </w:rPr>
        <w:t xml:space="preserve">. As Frosh </w:t>
      </w:r>
      <w:r>
        <w:rPr>
          <w:rFonts w:ascii="Calibri" w:hAnsi="Calibri" w:cs="Calibri"/>
          <w:sz w:val="24"/>
          <w:szCs w:val="24"/>
        </w:rPr>
        <w:t xml:space="preserve">(2019) </w:t>
      </w:r>
      <w:r w:rsidRPr="00B91143">
        <w:rPr>
          <w:rFonts w:ascii="Calibri" w:hAnsi="Calibri" w:cs="Calibri"/>
          <w:sz w:val="24"/>
          <w:szCs w:val="24"/>
        </w:rPr>
        <w:t xml:space="preserve">states: “The agency of the subject [a person/a student] is generated by the other’s enigmatic embrace” (p.113), an unseen but </w:t>
      </w:r>
      <w:r>
        <w:rPr>
          <w:rFonts w:ascii="Calibri" w:hAnsi="Calibri" w:cs="Calibri"/>
          <w:sz w:val="24"/>
          <w:szCs w:val="24"/>
        </w:rPr>
        <w:t>experienced</w:t>
      </w:r>
      <w:r w:rsidRPr="00B91143">
        <w:rPr>
          <w:rFonts w:ascii="Calibri" w:hAnsi="Calibri" w:cs="Calibri"/>
          <w:sz w:val="24"/>
          <w:szCs w:val="24"/>
        </w:rPr>
        <w:t xml:space="preserve"> holding experience</w:t>
      </w:r>
      <w:r>
        <w:rPr>
          <w:rFonts w:ascii="Calibri" w:hAnsi="Calibri" w:cs="Calibri"/>
          <w:sz w:val="24"/>
          <w:szCs w:val="24"/>
        </w:rPr>
        <w:t xml:space="preserve"> (Liedloff, 1975)</w:t>
      </w:r>
      <w:r w:rsidRPr="00B91143">
        <w:rPr>
          <w:rFonts w:ascii="Calibri" w:hAnsi="Calibri" w:cs="Calibri"/>
          <w:sz w:val="24"/>
          <w:szCs w:val="24"/>
        </w:rPr>
        <w:t xml:space="preserve">. </w:t>
      </w:r>
      <w:r>
        <w:rPr>
          <w:rFonts w:ascii="Calibri" w:hAnsi="Calibri" w:cs="Calibri"/>
          <w:sz w:val="24"/>
          <w:szCs w:val="24"/>
        </w:rPr>
        <w:t>The participants’ views of their role as guide shares similarities with that of Winnicott’s notion of a holding presence</w:t>
      </w:r>
      <w:r w:rsidR="00AB4C12">
        <w:rPr>
          <w:rFonts w:ascii="Calibri" w:hAnsi="Calibri" w:cs="Calibri"/>
          <w:sz w:val="24"/>
          <w:szCs w:val="24"/>
        </w:rPr>
        <w:t xml:space="preserve"> </w:t>
      </w:r>
      <w:r>
        <w:rPr>
          <w:rFonts w:ascii="Calibri" w:hAnsi="Calibri" w:cs="Calibri"/>
          <w:sz w:val="24"/>
          <w:szCs w:val="24"/>
        </w:rPr>
        <w:t>and is a pertinent reminder of the importance of supporting the embryonic learner.</w:t>
      </w:r>
    </w:p>
    <w:p w14:paraId="6436D692" w14:textId="77777777" w:rsidR="001872B0" w:rsidRPr="00E318B1" w:rsidRDefault="001872B0" w:rsidP="001C0945">
      <w:pPr>
        <w:spacing w:line="360" w:lineRule="auto"/>
        <w:rPr>
          <w:rFonts w:ascii="Calibri" w:hAnsi="Calibri" w:cs="Calibri"/>
          <w:sz w:val="24"/>
          <w:szCs w:val="24"/>
        </w:rPr>
      </w:pPr>
      <w:r>
        <w:rPr>
          <w:rFonts w:ascii="Calibri" w:hAnsi="Calibri" w:cs="Calibri"/>
          <w:sz w:val="24"/>
          <w:szCs w:val="24"/>
        </w:rPr>
        <w:t>Some participants spoke of the wider impact of being supportive of their students:</w:t>
      </w:r>
    </w:p>
    <w:p w14:paraId="26D28CD0" w14:textId="77777777" w:rsidR="001872B0" w:rsidRPr="00C327EC" w:rsidRDefault="001872B0" w:rsidP="00C327EC">
      <w:pPr>
        <w:ind w:left="720"/>
        <w:rPr>
          <w:rFonts w:ascii="Calibri" w:hAnsi="Calibri" w:cs="Calibri"/>
          <w:i/>
          <w:iCs/>
          <w:sz w:val="24"/>
          <w:szCs w:val="24"/>
        </w:rPr>
      </w:pPr>
      <w:bookmarkStart w:id="67" w:name="_Hlk198543358"/>
      <w:r w:rsidRPr="00C327EC">
        <w:rPr>
          <w:rFonts w:ascii="Calibri" w:hAnsi="Calibri" w:cs="Calibri"/>
          <w:i/>
          <w:iCs/>
          <w:sz w:val="24"/>
          <w:szCs w:val="24"/>
        </w:rPr>
        <w:t>Every person I get the opportunity to train is a potential pot of gold, and you’ve just got to support them to really be the best they can be</w:t>
      </w:r>
      <w:bookmarkEnd w:id="67"/>
      <w:r w:rsidRPr="00C327EC">
        <w:rPr>
          <w:rFonts w:ascii="Calibri" w:hAnsi="Calibri" w:cs="Calibri"/>
          <w:i/>
          <w:iCs/>
          <w:sz w:val="24"/>
          <w:szCs w:val="24"/>
        </w:rPr>
        <w:t xml:space="preserve">. By being there for them you are also being there for their students in the classroom because you are creating a better teacher (Mo, T1, p. 6, par 5). </w:t>
      </w:r>
    </w:p>
    <w:p w14:paraId="7670BF02" w14:textId="77777777" w:rsidR="001872B0" w:rsidRPr="00C327EC" w:rsidRDefault="001872B0" w:rsidP="00C327EC">
      <w:pPr>
        <w:ind w:left="720"/>
        <w:rPr>
          <w:rFonts w:ascii="Calibri" w:hAnsi="Calibri" w:cs="Calibri"/>
          <w:i/>
          <w:iCs/>
          <w:sz w:val="24"/>
          <w:szCs w:val="24"/>
        </w:rPr>
      </w:pPr>
      <w:r w:rsidRPr="00C327EC">
        <w:rPr>
          <w:rFonts w:ascii="Calibri" w:hAnsi="Calibri" w:cs="Calibri"/>
          <w:i/>
          <w:iCs/>
          <w:sz w:val="24"/>
          <w:szCs w:val="24"/>
        </w:rPr>
        <w:t>I value the impact that I’ll be able to have on the health of the public via the students, whilst my primary concern is with them and making them safe, effective and knowledgeable practitioners and contributing to a workforce that is going to make a healthier, more fit population (Laura, T1, p. 3, par 2).</w:t>
      </w:r>
    </w:p>
    <w:p w14:paraId="5E5C9973" w14:textId="77777777" w:rsidR="001872B0" w:rsidRPr="00036F5F" w:rsidRDefault="001872B0" w:rsidP="005A0E95">
      <w:pPr>
        <w:spacing w:line="360" w:lineRule="auto"/>
        <w:rPr>
          <w:rFonts w:ascii="Calibri" w:eastAsia="Calibri" w:hAnsi="Calibri" w:cs="Times New Roman"/>
          <w:color w:val="EE0000"/>
          <w:sz w:val="24"/>
          <w:szCs w:val="24"/>
        </w:rPr>
      </w:pPr>
      <w:r>
        <w:rPr>
          <w:rFonts w:ascii="Calibri" w:hAnsi="Calibri" w:cs="Calibri"/>
          <w:sz w:val="24"/>
          <w:szCs w:val="24"/>
        </w:rPr>
        <w:t xml:space="preserve">By valuing the wider impact their teaching will have on students, their practice and the wider public, both participants recognise the importance of supporting students from the outset. This is achieved by providing a framework of steadiness and continuity, an object constancy (Piaget, 1977) experience, that provides a valuable resource (Nussbaum, 2001) </w:t>
      </w:r>
      <w:r>
        <w:rPr>
          <w:rFonts w:ascii="Calibri" w:hAnsi="Calibri" w:cs="Calibri"/>
          <w:sz w:val="24"/>
          <w:szCs w:val="24"/>
        </w:rPr>
        <w:lastRenderedPageBreak/>
        <w:t xml:space="preserve">for them to draw upon and pass forward into their personal and professional lives. </w:t>
      </w:r>
      <w:r w:rsidRPr="00B33938">
        <w:rPr>
          <w:rFonts w:ascii="Calibri" w:eastAsia="Calibri" w:hAnsi="Calibri" w:cs="Times New Roman"/>
          <w:sz w:val="24"/>
          <w:szCs w:val="24"/>
        </w:rPr>
        <w:t>The</w:t>
      </w:r>
      <w:r>
        <w:rPr>
          <w:rFonts w:ascii="Calibri" w:eastAsia="Calibri" w:hAnsi="Calibri" w:cs="Times New Roman"/>
          <w:sz w:val="24"/>
          <w:szCs w:val="24"/>
        </w:rPr>
        <w:t xml:space="preserve">se findings suggest </w:t>
      </w:r>
      <w:r w:rsidRPr="00B33938">
        <w:rPr>
          <w:rFonts w:ascii="Calibri" w:eastAsia="Calibri" w:hAnsi="Calibri" w:cs="Times New Roman"/>
          <w:sz w:val="24"/>
          <w:szCs w:val="24"/>
        </w:rPr>
        <w:t>that the professional attitudes and motivations of</w:t>
      </w:r>
      <w:r>
        <w:rPr>
          <w:rFonts w:ascii="Calibri" w:eastAsia="Calibri" w:hAnsi="Calibri" w:cs="Times New Roman"/>
          <w:sz w:val="24"/>
          <w:szCs w:val="24"/>
        </w:rPr>
        <w:t xml:space="preserve"> the teacher</w:t>
      </w:r>
      <w:r w:rsidRPr="00B33938">
        <w:rPr>
          <w:rFonts w:ascii="Calibri" w:eastAsia="Calibri" w:hAnsi="Calibri" w:cs="Times New Roman"/>
          <w:sz w:val="24"/>
          <w:szCs w:val="24"/>
        </w:rPr>
        <w:t xml:space="preserve"> </w:t>
      </w:r>
      <w:r w:rsidRPr="00CA608F">
        <w:rPr>
          <w:rFonts w:ascii="Calibri" w:eastAsia="Calibri" w:hAnsi="Calibri" w:cs="Times New Roman"/>
          <w:i/>
          <w:iCs/>
          <w:sz w:val="24"/>
          <w:szCs w:val="24"/>
        </w:rPr>
        <w:t>can</w:t>
      </w:r>
      <w:r w:rsidRPr="00B33938">
        <w:rPr>
          <w:rFonts w:ascii="Calibri" w:eastAsia="Calibri" w:hAnsi="Calibri" w:cs="Times New Roman"/>
          <w:sz w:val="24"/>
          <w:szCs w:val="24"/>
        </w:rPr>
        <w:t xml:space="preserve"> impact and permeate the future professional life of the learner (MacCallum Sullivan and Goldenberg, 2015).</w:t>
      </w:r>
      <w:r>
        <w:rPr>
          <w:rFonts w:ascii="Calibri" w:eastAsia="Calibri" w:hAnsi="Calibri" w:cs="Times New Roman"/>
          <w:sz w:val="24"/>
          <w:szCs w:val="24"/>
        </w:rPr>
        <w:t xml:space="preserve"> These participants are aware of the present </w:t>
      </w:r>
      <w:r w:rsidRPr="00277DB0">
        <w:rPr>
          <w:rFonts w:ascii="Calibri" w:eastAsia="Calibri" w:hAnsi="Calibri" w:cs="Times New Roman"/>
          <w:i/>
          <w:iCs/>
          <w:sz w:val="24"/>
          <w:szCs w:val="24"/>
        </w:rPr>
        <w:t>and</w:t>
      </w:r>
      <w:r>
        <w:rPr>
          <w:rFonts w:ascii="Calibri" w:eastAsia="Calibri" w:hAnsi="Calibri" w:cs="Times New Roman"/>
          <w:sz w:val="24"/>
          <w:szCs w:val="24"/>
        </w:rPr>
        <w:t xml:space="preserve"> the future impact of the</w:t>
      </w:r>
      <w:r w:rsidRPr="00E44A46">
        <w:rPr>
          <w:rFonts w:ascii="Calibri" w:eastAsia="Calibri" w:hAnsi="Calibri" w:cs="Times New Roman"/>
          <w:sz w:val="24"/>
          <w:szCs w:val="24"/>
        </w:rPr>
        <w:t xml:space="preserve"> resonant interpersonal field (McCabe, 2011, p.232</w:t>
      </w:r>
      <w:r>
        <w:rPr>
          <w:rFonts w:ascii="Calibri" w:eastAsia="Calibri" w:hAnsi="Calibri" w:cs="Times New Roman"/>
          <w:sz w:val="24"/>
          <w:szCs w:val="24"/>
        </w:rPr>
        <w:t xml:space="preserve">) they create that extends into their students’ future lives. This lends support for the notion that the internalised </w:t>
      </w:r>
      <w:r w:rsidRPr="00086880">
        <w:rPr>
          <w:rFonts w:ascii="Calibri" w:eastAsia="Calibri" w:hAnsi="Calibri" w:cs="Times New Roman"/>
          <w:sz w:val="24"/>
          <w:szCs w:val="24"/>
        </w:rPr>
        <w:t>object constant</w:t>
      </w:r>
      <w:r w:rsidRPr="00BE5846">
        <w:rPr>
          <w:rFonts w:ascii="Calibri" w:eastAsia="Calibri" w:hAnsi="Calibri" w:cs="Times New Roman"/>
          <w:sz w:val="24"/>
          <w:szCs w:val="24"/>
        </w:rPr>
        <w:t xml:space="preserve"> </w:t>
      </w:r>
      <w:r>
        <w:rPr>
          <w:rFonts w:ascii="Calibri" w:eastAsia="Calibri" w:hAnsi="Calibri" w:cs="Times New Roman"/>
          <w:sz w:val="24"/>
          <w:szCs w:val="24"/>
        </w:rPr>
        <w:t xml:space="preserve">of the teacher </w:t>
      </w:r>
      <w:r w:rsidRPr="00BE5846">
        <w:rPr>
          <w:rFonts w:ascii="Calibri" w:eastAsia="Calibri" w:hAnsi="Calibri" w:cs="Times New Roman"/>
          <w:sz w:val="24"/>
          <w:szCs w:val="24"/>
        </w:rPr>
        <w:t xml:space="preserve">as role model endures (Mahler </w:t>
      </w:r>
      <w:r w:rsidRPr="00B41497">
        <w:rPr>
          <w:rFonts w:ascii="Calibri" w:eastAsia="Calibri" w:hAnsi="Calibri" w:cs="Times New Roman"/>
          <w:i/>
          <w:iCs/>
          <w:sz w:val="24"/>
          <w:szCs w:val="24"/>
        </w:rPr>
        <w:t>et al</w:t>
      </w:r>
      <w:r w:rsidRPr="00BE5846">
        <w:rPr>
          <w:rFonts w:ascii="Calibri" w:eastAsia="Calibri" w:hAnsi="Calibri" w:cs="Times New Roman"/>
          <w:sz w:val="24"/>
          <w:szCs w:val="24"/>
        </w:rPr>
        <w:t>, 1975; Piaget, 1937).</w:t>
      </w:r>
      <w:r>
        <w:rPr>
          <w:rFonts w:ascii="Calibri" w:eastAsia="Calibri" w:hAnsi="Calibri" w:cs="Times New Roman"/>
          <w:sz w:val="24"/>
          <w:szCs w:val="24"/>
        </w:rPr>
        <w:t xml:space="preserve"> </w:t>
      </w:r>
    </w:p>
    <w:p w14:paraId="2177B602" w14:textId="77777777" w:rsidR="001872B0" w:rsidRPr="000004F5" w:rsidRDefault="001872B0" w:rsidP="000004F5">
      <w:pPr>
        <w:ind w:firstLine="720"/>
        <w:rPr>
          <w:rFonts w:ascii="Calibri" w:hAnsi="Calibri" w:cs="Calibri"/>
          <w:b/>
          <w:bCs/>
          <w:i/>
          <w:iCs/>
          <w:sz w:val="24"/>
          <w:szCs w:val="24"/>
        </w:rPr>
      </w:pPr>
      <w:r w:rsidRPr="000004F5">
        <w:rPr>
          <w:rFonts w:ascii="Calibri" w:eastAsia="Calibri" w:hAnsi="Calibri" w:cs="Times New Roman"/>
          <w:b/>
          <w:bCs/>
          <w:i/>
          <w:iCs/>
          <w:sz w:val="24"/>
          <w:szCs w:val="24"/>
        </w:rPr>
        <w:t>Support</w:t>
      </w:r>
    </w:p>
    <w:p w14:paraId="088E2D6B" w14:textId="27BBB20C" w:rsidR="001872B0" w:rsidRPr="00D52578" w:rsidRDefault="00BB1E82" w:rsidP="00D16708">
      <w:pPr>
        <w:spacing w:line="360" w:lineRule="auto"/>
        <w:rPr>
          <w:rFonts w:ascii="Calibri" w:hAnsi="Calibri" w:cs="Calibri"/>
          <w:sz w:val="24"/>
          <w:szCs w:val="24"/>
        </w:rPr>
      </w:pPr>
      <w:r>
        <w:rPr>
          <w:rFonts w:ascii="Calibri" w:hAnsi="Calibri" w:cs="Calibri"/>
          <w:sz w:val="24"/>
          <w:szCs w:val="24"/>
        </w:rPr>
        <w:t xml:space="preserve">Some </w:t>
      </w:r>
      <w:r w:rsidR="001872B0" w:rsidRPr="00126D6A">
        <w:rPr>
          <w:rFonts w:ascii="Calibri" w:hAnsi="Calibri" w:cs="Calibri"/>
          <w:sz w:val="24"/>
          <w:szCs w:val="24"/>
        </w:rPr>
        <w:t xml:space="preserve">participants referred to the </w:t>
      </w:r>
      <w:r w:rsidR="001872B0">
        <w:rPr>
          <w:rFonts w:ascii="Calibri" w:hAnsi="Calibri" w:cs="Calibri"/>
          <w:sz w:val="24"/>
          <w:szCs w:val="24"/>
        </w:rPr>
        <w:t xml:space="preserve">importance </w:t>
      </w:r>
      <w:r w:rsidR="001872B0" w:rsidRPr="00126D6A">
        <w:rPr>
          <w:rFonts w:ascii="Calibri" w:hAnsi="Calibri" w:cs="Calibri"/>
          <w:sz w:val="24"/>
          <w:szCs w:val="24"/>
        </w:rPr>
        <w:t xml:space="preserve">of providing </w:t>
      </w:r>
      <w:r w:rsidR="001872B0">
        <w:rPr>
          <w:rFonts w:ascii="Calibri" w:hAnsi="Calibri" w:cs="Calibri"/>
          <w:sz w:val="24"/>
          <w:szCs w:val="24"/>
        </w:rPr>
        <w:t xml:space="preserve">specific </w:t>
      </w:r>
      <w:r w:rsidR="001872B0" w:rsidRPr="00126D6A">
        <w:rPr>
          <w:rFonts w:ascii="Calibri" w:hAnsi="Calibri" w:cs="Calibri"/>
          <w:sz w:val="24"/>
          <w:szCs w:val="24"/>
        </w:rPr>
        <w:t>support to their students</w:t>
      </w:r>
      <w:r w:rsidR="001872B0">
        <w:rPr>
          <w:rFonts w:ascii="Calibri" w:hAnsi="Calibri" w:cs="Calibri"/>
          <w:sz w:val="24"/>
          <w:szCs w:val="24"/>
        </w:rPr>
        <w:t>:</w:t>
      </w:r>
    </w:p>
    <w:p w14:paraId="5171084F" w14:textId="360FDE55" w:rsidR="001872B0" w:rsidRPr="00C327EC" w:rsidRDefault="001872B0" w:rsidP="00C327EC">
      <w:pPr>
        <w:ind w:left="720"/>
        <w:rPr>
          <w:rFonts w:ascii="Calibri" w:hAnsi="Calibri" w:cs="Calibri"/>
          <w:i/>
          <w:iCs/>
          <w:sz w:val="24"/>
          <w:szCs w:val="24"/>
        </w:rPr>
      </w:pPr>
      <w:r w:rsidRPr="00C327EC">
        <w:rPr>
          <w:rFonts w:ascii="Calibri" w:hAnsi="Calibri" w:cs="Calibri"/>
          <w:i/>
          <w:iCs/>
          <w:sz w:val="24"/>
          <w:szCs w:val="24"/>
        </w:rPr>
        <w:t>I want people to see that I’m not delivering something in a foreign language to them and it’s my job to deliver it in a way that enables them to understand</w:t>
      </w:r>
      <w:r w:rsidR="00337D11">
        <w:rPr>
          <w:rFonts w:ascii="Calibri" w:hAnsi="Calibri" w:cs="Calibri"/>
          <w:i/>
          <w:iCs/>
          <w:sz w:val="24"/>
          <w:szCs w:val="24"/>
        </w:rPr>
        <w:t>,</w:t>
      </w:r>
      <w:r w:rsidRPr="00C327EC">
        <w:rPr>
          <w:rFonts w:ascii="Calibri" w:hAnsi="Calibri" w:cs="Calibri"/>
          <w:i/>
          <w:iCs/>
          <w:sz w:val="24"/>
          <w:szCs w:val="24"/>
        </w:rPr>
        <w:t xml:space="preserve"> and the way I would do that is to share my own experiences and to be really transparent</w:t>
      </w:r>
      <w:r w:rsidR="00BD2CA1">
        <w:rPr>
          <w:rFonts w:ascii="Calibri" w:hAnsi="Calibri" w:cs="Calibri"/>
          <w:i/>
          <w:iCs/>
          <w:sz w:val="24"/>
          <w:szCs w:val="24"/>
        </w:rPr>
        <w:t>. T</w:t>
      </w:r>
      <w:r w:rsidRPr="00C327EC">
        <w:rPr>
          <w:rFonts w:ascii="Calibri" w:hAnsi="Calibri" w:cs="Calibri"/>
          <w:i/>
          <w:iCs/>
          <w:sz w:val="24"/>
          <w:szCs w:val="24"/>
        </w:rPr>
        <w:t>hat is really, really important (Sophie, T1, p. 7, par 2).</w:t>
      </w:r>
    </w:p>
    <w:p w14:paraId="78589F81" w14:textId="77777777" w:rsidR="001872B0" w:rsidRPr="00C327EC" w:rsidRDefault="001872B0" w:rsidP="00C327EC">
      <w:pPr>
        <w:ind w:left="720"/>
        <w:rPr>
          <w:rFonts w:ascii="Calibri" w:hAnsi="Calibri" w:cs="Calibri"/>
          <w:i/>
          <w:iCs/>
          <w:sz w:val="24"/>
          <w:szCs w:val="24"/>
        </w:rPr>
      </w:pPr>
      <w:r w:rsidRPr="00C327EC">
        <w:rPr>
          <w:rFonts w:ascii="Calibri" w:hAnsi="Calibri" w:cs="Calibri"/>
          <w:i/>
          <w:iCs/>
          <w:sz w:val="24"/>
          <w:szCs w:val="24"/>
        </w:rPr>
        <w:t>If we standardise everything you are giving very limited experience. We have to work with you here as a human, so we have to support you in places, we have to build you up, we have to build confidence, we have to give you methods on how to deliver things. Knowledge is a house, and I can’t fix a foundation, I can only fix the stabilising (Fred, T1, p.15, par 6).</w:t>
      </w:r>
    </w:p>
    <w:p w14:paraId="7AEC0BC6" w14:textId="4ABB73B0" w:rsidR="001872B0" w:rsidRDefault="001872B0" w:rsidP="00D16708">
      <w:pPr>
        <w:spacing w:line="360" w:lineRule="auto"/>
        <w:rPr>
          <w:rFonts w:ascii="Calibri" w:hAnsi="Calibri" w:cs="Calibri"/>
          <w:sz w:val="24"/>
          <w:szCs w:val="24"/>
        </w:rPr>
      </w:pPr>
      <w:r>
        <w:rPr>
          <w:rFonts w:ascii="Calibri" w:hAnsi="Calibri" w:cs="Calibri"/>
          <w:sz w:val="24"/>
          <w:szCs w:val="24"/>
        </w:rPr>
        <w:t>The</w:t>
      </w:r>
      <w:r w:rsidR="00BB1E82">
        <w:rPr>
          <w:rFonts w:ascii="Calibri" w:hAnsi="Calibri" w:cs="Calibri"/>
          <w:sz w:val="24"/>
          <w:szCs w:val="24"/>
        </w:rPr>
        <w:t>se</w:t>
      </w:r>
      <w:r>
        <w:rPr>
          <w:rFonts w:ascii="Calibri" w:hAnsi="Calibri" w:cs="Calibri"/>
          <w:sz w:val="24"/>
          <w:szCs w:val="24"/>
        </w:rPr>
        <w:t xml:space="preserve"> participants described the importance of supporting their students pastorally by creating conditions for their students’ optimum development and learning. </w:t>
      </w:r>
      <w:r w:rsidRPr="00882A9A">
        <w:rPr>
          <w:rFonts w:ascii="Calibri" w:hAnsi="Calibri" w:cs="Calibri"/>
          <w:sz w:val="24"/>
          <w:szCs w:val="24"/>
        </w:rPr>
        <w:t>Central to these conditions is an environ of trust and safety (Erikson, 1963), support and holding (Winnicott, 1965). The evident passion of the participants in supporting these conditions and their students arises out of their combined positionality of being an emotional support/regulator</w:t>
      </w:r>
      <w:r w:rsidRPr="005228E2">
        <w:rPr>
          <w:rFonts w:ascii="Calibri" w:hAnsi="Calibri" w:cs="Calibri"/>
          <w:i/>
          <w:iCs/>
          <w:sz w:val="24"/>
          <w:szCs w:val="24"/>
        </w:rPr>
        <w:t xml:space="preserve"> and</w:t>
      </w:r>
      <w:r w:rsidRPr="00882A9A">
        <w:rPr>
          <w:rFonts w:ascii="Calibri" w:hAnsi="Calibri" w:cs="Calibri"/>
          <w:sz w:val="24"/>
          <w:szCs w:val="24"/>
        </w:rPr>
        <w:t xml:space="preserve"> a transmitter of knowledge.</w:t>
      </w:r>
      <w:r>
        <w:rPr>
          <w:rFonts w:ascii="Calibri" w:hAnsi="Calibri" w:cs="Calibri"/>
          <w:sz w:val="24"/>
          <w:szCs w:val="24"/>
        </w:rPr>
        <w:t xml:space="preserve"> For example, Dana felt emotional support provided ontological safety for her students: “</w:t>
      </w:r>
      <w:r w:rsidRPr="00A8792F">
        <w:rPr>
          <w:rFonts w:ascii="Calibri" w:hAnsi="Calibri" w:cs="Calibri"/>
          <w:i/>
          <w:iCs/>
          <w:sz w:val="24"/>
          <w:szCs w:val="24"/>
        </w:rPr>
        <w:t>If they feel safe, they can learn, if they feel uncomfortable, they are less likely to learn anything and so I think emotions very much play a role</w:t>
      </w:r>
      <w:r>
        <w:rPr>
          <w:rFonts w:ascii="Calibri" w:hAnsi="Calibri" w:cs="Calibri"/>
          <w:sz w:val="24"/>
          <w:szCs w:val="24"/>
        </w:rPr>
        <w:t>” (</w:t>
      </w:r>
      <w:r w:rsidR="00BF5F8C">
        <w:rPr>
          <w:rFonts w:ascii="Calibri" w:hAnsi="Calibri" w:cs="Calibri"/>
          <w:sz w:val="24"/>
          <w:szCs w:val="24"/>
        </w:rPr>
        <w:t xml:space="preserve">Dana, </w:t>
      </w:r>
      <w:r>
        <w:rPr>
          <w:rFonts w:ascii="Calibri" w:hAnsi="Calibri" w:cs="Calibri"/>
          <w:sz w:val="24"/>
          <w:szCs w:val="24"/>
        </w:rPr>
        <w:t>T1, p.10, par 5)</w:t>
      </w:r>
      <w:r w:rsidRPr="00464497">
        <w:rPr>
          <w:rFonts w:ascii="Calibri" w:hAnsi="Calibri" w:cs="Calibri"/>
          <w:sz w:val="24"/>
          <w:szCs w:val="24"/>
        </w:rPr>
        <w:t xml:space="preserve">. </w:t>
      </w:r>
      <w:r w:rsidRPr="00882A9A">
        <w:rPr>
          <w:rFonts w:ascii="Calibri" w:hAnsi="Calibri" w:cs="Calibri"/>
          <w:sz w:val="24"/>
          <w:szCs w:val="24"/>
        </w:rPr>
        <w:t xml:space="preserve">From </w:t>
      </w:r>
      <w:r>
        <w:rPr>
          <w:rFonts w:ascii="Calibri" w:hAnsi="Calibri" w:cs="Calibri"/>
          <w:sz w:val="24"/>
          <w:szCs w:val="24"/>
        </w:rPr>
        <w:t xml:space="preserve">an emotional caretaking and knowledge imparting </w:t>
      </w:r>
      <w:r w:rsidRPr="00882A9A">
        <w:rPr>
          <w:rFonts w:ascii="Calibri" w:hAnsi="Calibri" w:cs="Calibri"/>
          <w:sz w:val="24"/>
          <w:szCs w:val="24"/>
        </w:rPr>
        <w:t>positionality</w:t>
      </w:r>
      <w:r>
        <w:rPr>
          <w:rFonts w:ascii="Calibri" w:hAnsi="Calibri" w:cs="Calibri"/>
          <w:sz w:val="24"/>
          <w:szCs w:val="24"/>
        </w:rPr>
        <w:t xml:space="preserve"> these participants are managing and fielding dangers, threats and obstacles that accompany learning (</w:t>
      </w:r>
      <w:r w:rsidRPr="00882A9A">
        <w:rPr>
          <w:rFonts w:ascii="Calibri" w:hAnsi="Calibri" w:cs="Calibri"/>
          <w:sz w:val="24"/>
          <w:szCs w:val="24"/>
        </w:rPr>
        <w:t>Frederickson</w:t>
      </w:r>
      <w:r>
        <w:rPr>
          <w:rFonts w:ascii="Calibri" w:hAnsi="Calibri" w:cs="Calibri"/>
          <w:sz w:val="24"/>
          <w:szCs w:val="24"/>
        </w:rPr>
        <w:t>,</w:t>
      </w:r>
      <w:r w:rsidRPr="00882A9A">
        <w:rPr>
          <w:rFonts w:ascii="Calibri" w:hAnsi="Calibri" w:cs="Calibri"/>
          <w:sz w:val="24"/>
          <w:szCs w:val="24"/>
        </w:rPr>
        <w:t xml:space="preserve"> 2001)</w:t>
      </w:r>
      <w:r w:rsidR="00684AA0">
        <w:rPr>
          <w:rFonts w:ascii="Calibri" w:hAnsi="Calibri" w:cs="Calibri"/>
          <w:sz w:val="24"/>
          <w:szCs w:val="24"/>
        </w:rPr>
        <w:t>,</w:t>
      </w:r>
      <w:r w:rsidR="00234C24">
        <w:rPr>
          <w:rFonts w:ascii="Calibri" w:hAnsi="Calibri" w:cs="Calibri"/>
          <w:sz w:val="24"/>
          <w:szCs w:val="24"/>
        </w:rPr>
        <w:t xml:space="preserve"> </w:t>
      </w:r>
      <w:r>
        <w:rPr>
          <w:rFonts w:ascii="Calibri" w:hAnsi="Calibri" w:cs="Calibri"/>
          <w:sz w:val="24"/>
          <w:szCs w:val="24"/>
        </w:rPr>
        <w:t xml:space="preserve"> and recognise that these threats impact </w:t>
      </w:r>
      <w:r w:rsidRPr="00882A9A">
        <w:rPr>
          <w:rFonts w:ascii="Calibri" w:hAnsi="Calibri" w:cs="Calibri"/>
          <w:sz w:val="24"/>
          <w:szCs w:val="24"/>
        </w:rPr>
        <w:t>the self-identity of students</w:t>
      </w:r>
      <w:r>
        <w:rPr>
          <w:rFonts w:ascii="Calibri" w:hAnsi="Calibri" w:cs="Calibri"/>
          <w:sz w:val="24"/>
          <w:szCs w:val="24"/>
        </w:rPr>
        <w:t xml:space="preserve">. </w:t>
      </w:r>
    </w:p>
    <w:p w14:paraId="4C8CAB22" w14:textId="30A65C03" w:rsidR="001872B0" w:rsidRPr="001A2FE4" w:rsidRDefault="001872B0" w:rsidP="00D16708">
      <w:pPr>
        <w:spacing w:line="360" w:lineRule="auto"/>
        <w:rPr>
          <w:rFonts w:ascii="Calibri" w:hAnsi="Calibri" w:cs="Calibri"/>
          <w:sz w:val="24"/>
          <w:szCs w:val="24"/>
        </w:rPr>
      </w:pPr>
      <w:r>
        <w:rPr>
          <w:rFonts w:ascii="Calibri" w:hAnsi="Calibri" w:cs="Calibri"/>
          <w:sz w:val="24"/>
          <w:szCs w:val="24"/>
        </w:rPr>
        <w:t xml:space="preserve">The development of self-identity goes beyond developing a new perspective as a student, it involves a </w:t>
      </w:r>
      <w:r>
        <w:rPr>
          <w:rFonts w:ascii="Calibri" w:eastAsia="Calibri" w:hAnsi="Calibri" w:cs="Times New Roman"/>
          <w:sz w:val="24"/>
          <w:szCs w:val="24"/>
        </w:rPr>
        <w:t xml:space="preserve">deep transformation of the self (Light </w:t>
      </w:r>
      <w:r w:rsidR="00FB3A6E" w:rsidRPr="00FB3A6E">
        <w:rPr>
          <w:rFonts w:ascii="Calibri" w:eastAsia="Calibri" w:hAnsi="Calibri" w:cs="Times New Roman"/>
          <w:i/>
          <w:sz w:val="24"/>
          <w:szCs w:val="24"/>
        </w:rPr>
        <w:t>et al.</w:t>
      </w:r>
      <w:r>
        <w:rPr>
          <w:rFonts w:ascii="Calibri" w:eastAsia="Calibri" w:hAnsi="Calibri" w:cs="Times New Roman"/>
          <w:sz w:val="24"/>
          <w:szCs w:val="24"/>
        </w:rPr>
        <w:t xml:space="preserve">, 2001/2009) which is enabled by the </w:t>
      </w:r>
      <w:r w:rsidRPr="00DE777A">
        <w:rPr>
          <w:rFonts w:ascii="Calibri" w:eastAsia="Calibri" w:hAnsi="Calibri" w:cs="Times New Roman"/>
          <w:sz w:val="24"/>
          <w:szCs w:val="24"/>
        </w:rPr>
        <w:lastRenderedPageBreak/>
        <w:t>sensitivity, consideration and ethical fidelity</w:t>
      </w:r>
      <w:r>
        <w:rPr>
          <w:rFonts w:ascii="Calibri" w:eastAsia="Calibri" w:hAnsi="Calibri" w:cs="Times New Roman"/>
          <w:sz w:val="24"/>
          <w:szCs w:val="24"/>
        </w:rPr>
        <w:t xml:space="preserve"> of the teacher </w:t>
      </w:r>
      <w:r w:rsidRPr="00DE777A">
        <w:rPr>
          <w:rFonts w:ascii="Calibri" w:eastAsia="Calibri" w:hAnsi="Calibri" w:cs="Times New Roman"/>
          <w:sz w:val="24"/>
          <w:szCs w:val="24"/>
        </w:rPr>
        <w:t xml:space="preserve">(Light </w:t>
      </w:r>
      <w:r w:rsidR="00FB3A6E" w:rsidRPr="00FB3A6E">
        <w:rPr>
          <w:rFonts w:ascii="Calibri" w:eastAsia="Calibri" w:hAnsi="Calibri" w:cs="Times New Roman"/>
          <w:i/>
          <w:sz w:val="24"/>
          <w:szCs w:val="24"/>
        </w:rPr>
        <w:t>et al.</w:t>
      </w:r>
      <w:r w:rsidRPr="00DE777A">
        <w:rPr>
          <w:rFonts w:ascii="Calibri" w:eastAsia="Calibri" w:hAnsi="Calibri" w:cs="Times New Roman"/>
          <w:sz w:val="24"/>
          <w:szCs w:val="24"/>
        </w:rPr>
        <w:t>, 2009</w:t>
      </w:r>
      <w:r>
        <w:rPr>
          <w:rFonts w:ascii="Calibri" w:eastAsia="Calibri" w:hAnsi="Calibri" w:cs="Times New Roman"/>
          <w:sz w:val="24"/>
          <w:szCs w:val="24"/>
        </w:rPr>
        <w:t>)</w:t>
      </w:r>
      <w:r>
        <w:rPr>
          <w:rFonts w:ascii="Calibri" w:hAnsi="Calibri" w:cs="Calibri"/>
          <w:sz w:val="24"/>
          <w:szCs w:val="24"/>
        </w:rPr>
        <w:t xml:space="preserve">. There is a sense in these findings that participants understood pastorally and existentially the need to provide the right conditions for their students to be able to inhabit a newly created self-identity. This lends support for the importance of the idea of the teacher as object mother, object constant and holding provider. </w:t>
      </w:r>
    </w:p>
    <w:p w14:paraId="4B8E0919" w14:textId="77777777" w:rsidR="001872B0" w:rsidRPr="003E32DD" w:rsidRDefault="001872B0" w:rsidP="00D16708">
      <w:pPr>
        <w:spacing w:line="360" w:lineRule="auto"/>
        <w:rPr>
          <w:rFonts w:ascii="Calibri" w:hAnsi="Calibri" w:cs="Calibri"/>
          <w:sz w:val="24"/>
          <w:szCs w:val="24"/>
        </w:rPr>
      </w:pPr>
      <w:r>
        <w:rPr>
          <w:rFonts w:ascii="Calibri" w:hAnsi="Calibri" w:cs="Calibri"/>
          <w:sz w:val="24"/>
          <w:szCs w:val="24"/>
        </w:rPr>
        <w:t>Participants were then asked about their experiences as students of pedagogy and what helped or hindered them in their learning. For some participants, their training lacked application:</w:t>
      </w:r>
    </w:p>
    <w:p w14:paraId="22FFE471" w14:textId="77777777" w:rsidR="001872B0" w:rsidRPr="00A8792F" w:rsidRDefault="001872B0" w:rsidP="00A8792F">
      <w:pPr>
        <w:ind w:left="720"/>
        <w:rPr>
          <w:rFonts w:ascii="Calibri" w:hAnsi="Calibri" w:cs="Calibri"/>
          <w:i/>
          <w:iCs/>
          <w:sz w:val="24"/>
          <w:szCs w:val="24"/>
        </w:rPr>
      </w:pPr>
      <w:r w:rsidRPr="00A8792F">
        <w:rPr>
          <w:rFonts w:ascii="Calibri" w:hAnsi="Calibri" w:cs="Calibri"/>
          <w:i/>
          <w:iCs/>
          <w:sz w:val="24"/>
          <w:szCs w:val="24"/>
        </w:rPr>
        <w:t>I wish they had just taught classroom management because to me that was the most important thing I needed because all of a sudden, I have this unruly group of students, I didn’t know how to command the classroom. I didn’t know how to have my authority. I was finding my voice in this new role, but none of that got covered (Liz, T1, p. 4, par 4).</w:t>
      </w:r>
    </w:p>
    <w:p w14:paraId="4DEB8D28" w14:textId="77777777" w:rsidR="001872B0" w:rsidRPr="00A8792F" w:rsidRDefault="001872B0" w:rsidP="00A8792F">
      <w:pPr>
        <w:ind w:left="720"/>
        <w:rPr>
          <w:rFonts w:ascii="Calibri" w:hAnsi="Calibri" w:cs="Calibri"/>
          <w:i/>
          <w:iCs/>
          <w:sz w:val="24"/>
          <w:szCs w:val="24"/>
        </w:rPr>
      </w:pPr>
      <w:r w:rsidRPr="00A8792F">
        <w:rPr>
          <w:rFonts w:ascii="Calibri" w:hAnsi="Calibri" w:cs="Calibri"/>
          <w:i/>
          <w:iCs/>
          <w:sz w:val="24"/>
          <w:szCs w:val="24"/>
        </w:rPr>
        <w:t>I think we are preparing children to cover a curriculum and pass exams. But more than that we are preparing them with the skills they are that they are going to need for life such as gelling with other people, mixing with other people, the acceptance of other people. It’s really important that we have a responsibility to prepare those pupils for their future lives (Mo, T 1, pp. 2-3, par 15).</w:t>
      </w:r>
    </w:p>
    <w:p w14:paraId="609303A8" w14:textId="77777777" w:rsidR="001872B0" w:rsidRPr="00AB434E" w:rsidRDefault="001872B0" w:rsidP="00D16708">
      <w:pPr>
        <w:spacing w:line="360" w:lineRule="auto"/>
        <w:rPr>
          <w:rFonts w:ascii="Calibri" w:hAnsi="Calibri" w:cs="Calibri"/>
          <w:sz w:val="24"/>
          <w:szCs w:val="24"/>
        </w:rPr>
      </w:pPr>
      <w:r>
        <w:rPr>
          <w:rFonts w:ascii="Calibri" w:hAnsi="Calibri" w:cs="Calibri"/>
          <w:sz w:val="24"/>
          <w:szCs w:val="24"/>
        </w:rPr>
        <w:t>Only one participant spoke of the teaching methods as positive for her development as a trainee teacher:</w:t>
      </w:r>
    </w:p>
    <w:p w14:paraId="40C50C01" w14:textId="77777777" w:rsidR="00496A23" w:rsidRDefault="001872B0" w:rsidP="00A8792F">
      <w:pPr>
        <w:ind w:left="720"/>
        <w:rPr>
          <w:rFonts w:ascii="Calibri" w:hAnsi="Calibri" w:cs="Calibri"/>
          <w:i/>
          <w:iCs/>
          <w:sz w:val="24"/>
          <w:szCs w:val="24"/>
        </w:rPr>
      </w:pPr>
      <w:r w:rsidRPr="00A8792F">
        <w:rPr>
          <w:rFonts w:ascii="Calibri" w:hAnsi="Calibri" w:cs="Calibri"/>
          <w:i/>
          <w:iCs/>
          <w:sz w:val="24"/>
          <w:szCs w:val="24"/>
        </w:rPr>
        <w:t xml:space="preserve">We were very fortunate to have the teacher and what that really did teach me was the logistics of teaching I suppose and how to manage situations (Sophie, T1, p. 4, par 10). </w:t>
      </w:r>
    </w:p>
    <w:p w14:paraId="030032DB" w14:textId="64FC3FB6" w:rsidR="001872B0" w:rsidRPr="00A8792F" w:rsidRDefault="001872B0" w:rsidP="00A8792F">
      <w:pPr>
        <w:ind w:left="720"/>
        <w:rPr>
          <w:rFonts w:ascii="Calibri" w:hAnsi="Calibri" w:cs="Calibri"/>
          <w:i/>
          <w:iCs/>
          <w:sz w:val="24"/>
          <w:szCs w:val="24"/>
        </w:rPr>
      </w:pPr>
      <w:r w:rsidRPr="00A8792F">
        <w:rPr>
          <w:rFonts w:ascii="Calibri" w:hAnsi="Calibri" w:cs="Calibri"/>
          <w:i/>
          <w:iCs/>
          <w:sz w:val="24"/>
          <w:szCs w:val="24"/>
        </w:rPr>
        <w:t>The realisation, that sense of self belief, that I can do this and being able to put what I was learning into practice really affirmed that sense of belief that this is the right route for me to be taking (</w:t>
      </w:r>
      <w:r w:rsidR="00AB1ADC">
        <w:rPr>
          <w:rFonts w:ascii="Calibri" w:hAnsi="Calibri" w:cs="Calibri"/>
          <w:i/>
          <w:iCs/>
          <w:sz w:val="24"/>
          <w:szCs w:val="24"/>
        </w:rPr>
        <w:t>ibid.</w:t>
      </w:r>
      <w:r w:rsidRPr="00A8792F">
        <w:rPr>
          <w:rFonts w:ascii="Calibri" w:hAnsi="Calibri" w:cs="Calibri"/>
          <w:i/>
          <w:iCs/>
          <w:sz w:val="24"/>
          <w:szCs w:val="24"/>
        </w:rPr>
        <w:t>, T1, p. 5, par 3).</w:t>
      </w:r>
    </w:p>
    <w:p w14:paraId="39ABA179" w14:textId="31C5AFB5" w:rsidR="001872B0" w:rsidRPr="00672FA1" w:rsidRDefault="001872B0" w:rsidP="00D16708">
      <w:pPr>
        <w:spacing w:line="360" w:lineRule="auto"/>
        <w:rPr>
          <w:rFonts w:ascii="Calibri" w:hAnsi="Calibri" w:cs="Calibri"/>
          <w:sz w:val="24"/>
          <w:szCs w:val="24"/>
        </w:rPr>
      </w:pPr>
      <w:r>
        <w:rPr>
          <w:rFonts w:ascii="Calibri" w:hAnsi="Calibri" w:cs="Calibri"/>
          <w:sz w:val="24"/>
          <w:szCs w:val="24"/>
        </w:rPr>
        <w:t>Mo and Liz perceived a lack of capacity for concern (Winnicott, 196</w:t>
      </w:r>
      <w:r w:rsidR="004B5170">
        <w:rPr>
          <w:rFonts w:ascii="Calibri" w:hAnsi="Calibri" w:cs="Calibri"/>
          <w:sz w:val="24"/>
          <w:szCs w:val="24"/>
        </w:rPr>
        <w:t>3</w:t>
      </w:r>
      <w:r>
        <w:rPr>
          <w:rFonts w:ascii="Calibri" w:hAnsi="Calibri" w:cs="Calibri"/>
          <w:sz w:val="24"/>
          <w:szCs w:val="24"/>
        </w:rPr>
        <w:t xml:space="preserve">) for their needs and attendance to wider </w:t>
      </w:r>
      <w:r w:rsidR="00BE536A">
        <w:rPr>
          <w:rFonts w:ascii="Calibri" w:hAnsi="Calibri" w:cs="Calibri"/>
          <w:sz w:val="24"/>
          <w:szCs w:val="24"/>
        </w:rPr>
        <w:t>psychosocial</w:t>
      </w:r>
      <w:r>
        <w:rPr>
          <w:rFonts w:ascii="Calibri" w:hAnsi="Calibri" w:cs="Calibri"/>
          <w:sz w:val="24"/>
          <w:szCs w:val="24"/>
        </w:rPr>
        <w:t xml:space="preserve">/emotional elements such as the nuances of pastoral responsibilities. </w:t>
      </w:r>
      <w:r w:rsidRPr="00192EED">
        <w:rPr>
          <w:rFonts w:ascii="Calibri" w:hAnsi="Calibri" w:cs="Calibri"/>
          <w:sz w:val="24"/>
          <w:szCs w:val="24"/>
        </w:rPr>
        <w:t xml:space="preserve">These findings are consistent with Payne (2022) and Whyte </w:t>
      </w:r>
      <w:r w:rsidR="00FB3A6E" w:rsidRPr="00FB3A6E">
        <w:rPr>
          <w:rFonts w:ascii="Calibri" w:hAnsi="Calibri" w:cs="Calibri"/>
          <w:i/>
          <w:sz w:val="24"/>
          <w:szCs w:val="24"/>
        </w:rPr>
        <w:t>et al.</w:t>
      </w:r>
      <w:r w:rsidRPr="00192EED">
        <w:rPr>
          <w:rFonts w:ascii="Calibri" w:hAnsi="Calibri" w:cs="Calibri"/>
          <w:sz w:val="24"/>
          <w:szCs w:val="24"/>
        </w:rPr>
        <w:t xml:space="preserve"> (2024) that affirm the importance of mental health/pastoral awareness at the induction stage of teacher training. </w:t>
      </w:r>
      <w:r w:rsidRPr="00272DCC">
        <w:rPr>
          <w:rFonts w:ascii="Calibri" w:hAnsi="Calibri" w:cs="Calibri"/>
          <w:sz w:val="24"/>
          <w:szCs w:val="24"/>
        </w:rPr>
        <w:t>By contrast the “good enough mother” (Winnicott,1965, p.145) ethos of the teacher trainer</w:t>
      </w:r>
      <w:r>
        <w:rPr>
          <w:rFonts w:ascii="Calibri" w:hAnsi="Calibri" w:cs="Calibri"/>
          <w:sz w:val="24"/>
          <w:szCs w:val="24"/>
        </w:rPr>
        <w:t xml:space="preserve"> </w:t>
      </w:r>
      <w:r w:rsidRPr="00272DCC">
        <w:rPr>
          <w:rFonts w:ascii="Calibri" w:hAnsi="Calibri" w:cs="Calibri"/>
          <w:sz w:val="24"/>
          <w:szCs w:val="24"/>
        </w:rPr>
        <w:t xml:space="preserve">left </w:t>
      </w:r>
      <w:r>
        <w:rPr>
          <w:rFonts w:ascii="Calibri" w:hAnsi="Calibri" w:cs="Calibri"/>
          <w:sz w:val="24"/>
          <w:szCs w:val="24"/>
        </w:rPr>
        <w:t>Sophie</w:t>
      </w:r>
      <w:r w:rsidRPr="00272DCC">
        <w:rPr>
          <w:rFonts w:ascii="Calibri" w:hAnsi="Calibri" w:cs="Calibri"/>
          <w:sz w:val="24"/>
          <w:szCs w:val="24"/>
        </w:rPr>
        <w:t xml:space="preserve"> more confident in her choice of career path</w:t>
      </w:r>
      <w:r>
        <w:rPr>
          <w:rFonts w:ascii="Calibri" w:hAnsi="Calibri" w:cs="Calibri"/>
          <w:sz w:val="24"/>
          <w:szCs w:val="24"/>
        </w:rPr>
        <w:t xml:space="preserve"> and </w:t>
      </w:r>
      <w:r w:rsidRPr="00DF7134">
        <w:rPr>
          <w:rFonts w:ascii="Calibri" w:hAnsi="Calibri" w:cs="Calibri"/>
          <w:sz w:val="24"/>
          <w:szCs w:val="24"/>
        </w:rPr>
        <w:t>competence as a becoming-teacher which fed her enthusiasm and self-belief.</w:t>
      </w:r>
      <w:r>
        <w:rPr>
          <w:rFonts w:ascii="Calibri" w:hAnsi="Calibri" w:cs="Calibri"/>
          <w:sz w:val="24"/>
          <w:szCs w:val="24"/>
        </w:rPr>
        <w:t xml:space="preserve"> The views of these </w:t>
      </w:r>
      <w:r>
        <w:rPr>
          <w:rFonts w:ascii="Calibri" w:hAnsi="Calibri" w:cs="Calibri"/>
          <w:sz w:val="24"/>
          <w:szCs w:val="24"/>
        </w:rPr>
        <w:lastRenderedPageBreak/>
        <w:t>participants support the notion of the importance of being prepared</w:t>
      </w:r>
      <w:r w:rsidRPr="0031554C">
        <w:rPr>
          <w:rFonts w:ascii="Calibri" w:eastAsia="Calibri" w:hAnsi="Calibri" w:cs="Times New Roman"/>
          <w:sz w:val="24"/>
          <w:szCs w:val="24"/>
        </w:rPr>
        <w:t xml:space="preserve"> </w:t>
      </w:r>
      <w:r>
        <w:rPr>
          <w:rFonts w:ascii="Calibri" w:eastAsia="Calibri" w:hAnsi="Calibri" w:cs="Times New Roman"/>
          <w:sz w:val="24"/>
          <w:szCs w:val="24"/>
        </w:rPr>
        <w:t xml:space="preserve">for the </w:t>
      </w:r>
      <w:r w:rsidRPr="0031554C">
        <w:rPr>
          <w:rFonts w:ascii="Calibri" w:eastAsia="Calibri" w:hAnsi="Calibri" w:cs="Times New Roman"/>
          <w:sz w:val="24"/>
          <w:szCs w:val="24"/>
        </w:rPr>
        <w:t>social</w:t>
      </w:r>
      <w:r>
        <w:rPr>
          <w:rFonts w:ascii="Calibri" w:eastAsia="Calibri" w:hAnsi="Calibri" w:cs="Times New Roman"/>
          <w:sz w:val="24"/>
          <w:szCs w:val="24"/>
        </w:rPr>
        <w:t xml:space="preserve"> and moral</w:t>
      </w:r>
      <w:r w:rsidRPr="0031554C">
        <w:rPr>
          <w:rFonts w:ascii="Calibri" w:eastAsia="Calibri" w:hAnsi="Calibri" w:cs="Times New Roman"/>
          <w:sz w:val="24"/>
          <w:szCs w:val="24"/>
        </w:rPr>
        <w:t xml:space="preserve"> context for practice (Ashcroft and Foreman-Peck, 1994)</w:t>
      </w:r>
      <w:r>
        <w:rPr>
          <w:rFonts w:ascii="Calibri" w:eastAsia="Calibri" w:hAnsi="Calibri" w:cs="Times New Roman"/>
          <w:sz w:val="24"/>
          <w:szCs w:val="24"/>
        </w:rPr>
        <w:t>.</w:t>
      </w:r>
    </w:p>
    <w:p w14:paraId="085E755B" w14:textId="097DC2A6" w:rsidR="001872B0" w:rsidRDefault="001872B0" w:rsidP="00CA46EB">
      <w:pPr>
        <w:spacing w:line="360" w:lineRule="auto"/>
        <w:rPr>
          <w:rFonts w:ascii="Calibri" w:hAnsi="Calibri" w:cs="Calibri"/>
          <w:sz w:val="24"/>
          <w:szCs w:val="24"/>
        </w:rPr>
      </w:pPr>
      <w:r>
        <w:rPr>
          <w:rFonts w:ascii="Calibri" w:hAnsi="Calibri" w:cs="Calibri"/>
          <w:sz w:val="24"/>
          <w:szCs w:val="24"/>
        </w:rPr>
        <w:t xml:space="preserve">Similarly, the two participants educated in Europe noticed significant gaps in their preparation to teach on their teacher training in the UK. Dana noted that teaching contact was minimal and the depth of content and discussions </w:t>
      </w:r>
      <w:r w:rsidR="00F447D0">
        <w:rPr>
          <w:rFonts w:ascii="Calibri" w:hAnsi="Calibri" w:cs="Calibri"/>
          <w:sz w:val="24"/>
          <w:szCs w:val="24"/>
        </w:rPr>
        <w:t xml:space="preserve">were </w:t>
      </w:r>
      <w:r>
        <w:rPr>
          <w:rFonts w:ascii="Calibri" w:hAnsi="Calibri" w:cs="Calibri"/>
          <w:sz w:val="24"/>
          <w:szCs w:val="24"/>
        </w:rPr>
        <w:t>unsatisfactory: “</w:t>
      </w:r>
      <w:r w:rsidRPr="00A8792F">
        <w:rPr>
          <w:rFonts w:ascii="Calibri" w:hAnsi="Calibri" w:cs="Calibri"/>
          <w:i/>
          <w:iCs/>
          <w:sz w:val="24"/>
          <w:szCs w:val="24"/>
        </w:rPr>
        <w:t>The actual discussion of the method, how to deal with it, how to actually implement it was cut short. The course felt less meaty</w:t>
      </w:r>
      <w:r>
        <w:rPr>
          <w:rFonts w:ascii="Calibri" w:hAnsi="Calibri" w:cs="Calibri"/>
          <w:sz w:val="24"/>
          <w:szCs w:val="24"/>
        </w:rPr>
        <w:t>” (</w:t>
      </w:r>
      <w:r w:rsidR="00C6385A">
        <w:rPr>
          <w:rFonts w:ascii="Calibri" w:hAnsi="Calibri" w:cs="Calibri"/>
          <w:sz w:val="24"/>
          <w:szCs w:val="24"/>
        </w:rPr>
        <w:t>Dana</w:t>
      </w:r>
      <w:r w:rsidR="00BF5F8C">
        <w:rPr>
          <w:rFonts w:ascii="Calibri" w:hAnsi="Calibri" w:cs="Calibri"/>
          <w:sz w:val="24"/>
          <w:szCs w:val="24"/>
        </w:rPr>
        <w:t xml:space="preserve">, </w:t>
      </w:r>
      <w:r>
        <w:rPr>
          <w:rFonts w:ascii="Calibri" w:hAnsi="Calibri" w:cs="Calibri"/>
          <w:sz w:val="24"/>
          <w:szCs w:val="24"/>
        </w:rPr>
        <w:t>T1, p. 6, par 4)</w:t>
      </w:r>
      <w:r w:rsidRPr="00456370">
        <w:rPr>
          <w:rFonts w:ascii="Calibri" w:hAnsi="Calibri" w:cs="Calibri"/>
          <w:sz w:val="24"/>
          <w:szCs w:val="24"/>
        </w:rPr>
        <w:t>.</w:t>
      </w:r>
      <w:r>
        <w:rPr>
          <w:rFonts w:ascii="Calibri" w:hAnsi="Calibri" w:cs="Calibri"/>
          <w:sz w:val="24"/>
          <w:szCs w:val="24"/>
        </w:rPr>
        <w:t xml:space="preserve"> Similarly, Fred perceived a lack of depth: “</w:t>
      </w:r>
      <w:r w:rsidRPr="00A8792F">
        <w:rPr>
          <w:rFonts w:ascii="Calibri" w:hAnsi="Calibri" w:cs="Calibri"/>
          <w:i/>
          <w:iCs/>
          <w:sz w:val="24"/>
          <w:szCs w:val="24"/>
        </w:rPr>
        <w:t>I didn’t see a lot of pedagogic anything. I’d like there to be some meat, some substance and there was very little substance</w:t>
      </w:r>
      <w:r>
        <w:rPr>
          <w:rFonts w:ascii="Calibri" w:hAnsi="Calibri" w:cs="Calibri"/>
          <w:sz w:val="24"/>
          <w:szCs w:val="24"/>
        </w:rPr>
        <w:t xml:space="preserve">” </w:t>
      </w:r>
      <w:r w:rsidRPr="00E1351E">
        <w:rPr>
          <w:rFonts w:ascii="Calibri" w:hAnsi="Calibri" w:cs="Calibri"/>
          <w:sz w:val="24"/>
          <w:szCs w:val="24"/>
        </w:rPr>
        <w:t>(Fred</w:t>
      </w:r>
      <w:r>
        <w:rPr>
          <w:rFonts w:ascii="Calibri" w:hAnsi="Calibri" w:cs="Calibri"/>
          <w:sz w:val="24"/>
          <w:szCs w:val="24"/>
        </w:rPr>
        <w:t>, T1, p.10, par 3</w:t>
      </w:r>
      <w:r w:rsidRPr="00E1351E">
        <w:rPr>
          <w:rFonts w:ascii="Calibri" w:hAnsi="Calibri" w:cs="Calibri"/>
          <w:sz w:val="24"/>
          <w:szCs w:val="24"/>
        </w:rPr>
        <w:t>)</w:t>
      </w:r>
      <w:r>
        <w:rPr>
          <w:rFonts w:ascii="Calibri" w:hAnsi="Calibri" w:cs="Calibri"/>
          <w:sz w:val="24"/>
          <w:szCs w:val="24"/>
        </w:rPr>
        <w:t>.</w:t>
      </w:r>
    </w:p>
    <w:p w14:paraId="2AC8D8BC" w14:textId="5E0AC55B" w:rsidR="001872B0" w:rsidRDefault="001872B0" w:rsidP="00D16708">
      <w:pPr>
        <w:spacing w:line="360" w:lineRule="auto"/>
        <w:rPr>
          <w:rFonts w:ascii="Calibri" w:eastAsia="Calibri" w:hAnsi="Calibri" w:cs="Times New Roman"/>
          <w:sz w:val="24"/>
          <w:szCs w:val="24"/>
          <w:lang w:val="en-US"/>
        </w:rPr>
      </w:pPr>
      <w:r>
        <w:rPr>
          <w:rFonts w:ascii="Calibri" w:hAnsi="Calibri" w:cs="Calibri"/>
          <w:sz w:val="24"/>
          <w:szCs w:val="24"/>
        </w:rPr>
        <w:t xml:space="preserve">These two participants describe the lack of </w:t>
      </w:r>
      <w:r w:rsidR="0052747E">
        <w:rPr>
          <w:rFonts w:ascii="Calibri" w:hAnsi="Calibri" w:cs="Calibri"/>
          <w:sz w:val="24"/>
          <w:szCs w:val="24"/>
        </w:rPr>
        <w:t>substance</w:t>
      </w:r>
      <w:r>
        <w:rPr>
          <w:rFonts w:ascii="Calibri" w:hAnsi="Calibri" w:cs="Calibri"/>
          <w:sz w:val="24"/>
          <w:szCs w:val="24"/>
        </w:rPr>
        <w:t xml:space="preserve"> result</w:t>
      </w:r>
      <w:r w:rsidR="0052747E">
        <w:rPr>
          <w:rFonts w:ascii="Calibri" w:hAnsi="Calibri" w:cs="Calibri"/>
          <w:sz w:val="24"/>
          <w:szCs w:val="24"/>
        </w:rPr>
        <w:t>ed</w:t>
      </w:r>
      <w:r>
        <w:rPr>
          <w:rFonts w:ascii="Calibri" w:hAnsi="Calibri" w:cs="Calibri"/>
          <w:sz w:val="24"/>
          <w:szCs w:val="24"/>
        </w:rPr>
        <w:t xml:space="preserve"> in their having </w:t>
      </w:r>
      <w:r w:rsidRPr="00FD51F6">
        <w:rPr>
          <w:rFonts w:ascii="Calibri" w:hAnsi="Calibri" w:cs="Calibri"/>
          <w:sz w:val="24"/>
          <w:szCs w:val="24"/>
        </w:rPr>
        <w:t>a surface</w:t>
      </w:r>
      <w:r>
        <w:rPr>
          <w:rFonts w:ascii="Calibri" w:hAnsi="Calibri" w:cs="Calibri"/>
          <w:sz w:val="24"/>
          <w:szCs w:val="24"/>
        </w:rPr>
        <w:t>, instrumental</w:t>
      </w:r>
      <w:r w:rsidRPr="00FD51F6">
        <w:rPr>
          <w:rFonts w:ascii="Calibri" w:hAnsi="Calibri" w:cs="Calibri"/>
          <w:sz w:val="24"/>
          <w:szCs w:val="24"/>
        </w:rPr>
        <w:t xml:space="preserve"> experience</w:t>
      </w:r>
      <w:r>
        <w:rPr>
          <w:rFonts w:ascii="Calibri" w:hAnsi="Calibri" w:cs="Calibri"/>
          <w:sz w:val="24"/>
          <w:szCs w:val="24"/>
        </w:rPr>
        <w:t xml:space="preserve">. </w:t>
      </w:r>
      <w:r w:rsidRPr="00CF1E27">
        <w:rPr>
          <w:rFonts w:ascii="Calibri" w:eastAsia="Calibri" w:hAnsi="Calibri" w:cs="Times New Roman"/>
          <w:sz w:val="24"/>
          <w:szCs w:val="24"/>
        </w:rPr>
        <w:t>Reynolds (1997</w:t>
      </w:r>
      <w:r>
        <w:rPr>
          <w:rFonts w:ascii="Calibri" w:eastAsia="Calibri" w:hAnsi="Calibri" w:cs="Times New Roman"/>
          <w:sz w:val="24"/>
          <w:szCs w:val="24"/>
        </w:rPr>
        <w:t xml:space="preserve">) sees a surface approach as largely encompassing solutions and actions that can be taken to resolve a problem. Dana and Fred would have preferred deeper dialogue and a level of criticality, depth and process that </w:t>
      </w:r>
      <w:r w:rsidRPr="00CB548A">
        <w:rPr>
          <w:rFonts w:ascii="Calibri" w:eastAsia="Calibri" w:hAnsi="Calibri" w:cs="Times New Roman"/>
          <w:sz w:val="24"/>
          <w:szCs w:val="24"/>
        </w:rPr>
        <w:t xml:space="preserve">cannot be taught through instrumental methods (Fry </w:t>
      </w:r>
      <w:r w:rsidR="00FB3A6E" w:rsidRPr="00FB3A6E">
        <w:rPr>
          <w:rFonts w:ascii="Calibri" w:eastAsia="Calibri" w:hAnsi="Calibri" w:cs="Times New Roman"/>
          <w:i/>
          <w:sz w:val="24"/>
          <w:szCs w:val="24"/>
        </w:rPr>
        <w:t>et al.</w:t>
      </w:r>
      <w:r w:rsidRPr="00CB548A">
        <w:rPr>
          <w:rFonts w:ascii="Calibri" w:eastAsia="Calibri" w:hAnsi="Calibri" w:cs="Times New Roman"/>
          <w:sz w:val="24"/>
          <w:szCs w:val="24"/>
        </w:rPr>
        <w:t>,</w:t>
      </w:r>
      <w:r w:rsidRPr="00CB548A">
        <w:rPr>
          <w:rFonts w:ascii="Calibri" w:eastAsia="Calibri" w:hAnsi="Calibri" w:cs="Times New Roman"/>
          <w:i/>
          <w:iCs/>
          <w:sz w:val="24"/>
          <w:szCs w:val="24"/>
        </w:rPr>
        <w:t xml:space="preserve"> </w:t>
      </w:r>
      <w:r w:rsidRPr="00CB548A">
        <w:rPr>
          <w:rFonts w:ascii="Calibri" w:eastAsia="Calibri" w:hAnsi="Calibri" w:cs="Times New Roman"/>
          <w:sz w:val="24"/>
          <w:szCs w:val="24"/>
        </w:rPr>
        <w:t>2006)</w:t>
      </w:r>
      <w:bookmarkStart w:id="68" w:name="_Hlk147396437"/>
      <w:r w:rsidRPr="00CB548A">
        <w:rPr>
          <w:rFonts w:ascii="Calibri" w:eastAsia="Calibri" w:hAnsi="Calibri" w:cs="Times New Roman"/>
          <w:sz w:val="24"/>
          <w:szCs w:val="24"/>
        </w:rPr>
        <w:t>.</w:t>
      </w:r>
      <w:bookmarkEnd w:id="68"/>
      <w:r>
        <w:rPr>
          <w:rFonts w:ascii="Calibri" w:eastAsia="Calibri" w:hAnsi="Calibri" w:cs="Times New Roman"/>
          <w:sz w:val="24"/>
          <w:szCs w:val="24"/>
        </w:rPr>
        <w:t xml:space="preserve"> D</w:t>
      </w:r>
      <w:r w:rsidRPr="006B483A">
        <w:rPr>
          <w:rFonts w:ascii="Calibri" w:eastAsia="Calibri" w:hAnsi="Calibri" w:cs="Times New Roman"/>
          <w:sz w:val="24"/>
          <w:szCs w:val="24"/>
        </w:rPr>
        <w:t xml:space="preserve">ialogue is central to becoming reflective (Ashwin, 2015; </w:t>
      </w:r>
      <w:r w:rsidRPr="00641082">
        <w:rPr>
          <w:rFonts w:ascii="Calibri" w:eastAsia="Calibri" w:hAnsi="Calibri" w:cs="Times New Roman"/>
          <w:sz w:val="24"/>
          <w:szCs w:val="24"/>
        </w:rPr>
        <w:t>Brookfield, 1995</w:t>
      </w:r>
      <w:r>
        <w:rPr>
          <w:rFonts w:ascii="Calibri" w:eastAsia="Calibri" w:hAnsi="Calibri" w:cs="Times New Roman"/>
          <w:sz w:val="24"/>
          <w:szCs w:val="24"/>
        </w:rPr>
        <w:t xml:space="preserve">; </w:t>
      </w:r>
      <w:r w:rsidRPr="006B483A">
        <w:rPr>
          <w:rFonts w:ascii="Calibri" w:eastAsia="Calibri" w:hAnsi="Calibri" w:cs="Times New Roman"/>
          <w:sz w:val="24"/>
          <w:szCs w:val="24"/>
        </w:rPr>
        <w:t>Freire, 1970)</w:t>
      </w:r>
      <w:r>
        <w:rPr>
          <w:rFonts w:ascii="Calibri" w:eastAsia="Calibri" w:hAnsi="Calibri" w:cs="Times New Roman"/>
          <w:sz w:val="24"/>
          <w:szCs w:val="24"/>
        </w:rPr>
        <w:t xml:space="preserve">, </w:t>
      </w:r>
      <w:r w:rsidRPr="00C27E12">
        <w:rPr>
          <w:rFonts w:ascii="Calibri" w:eastAsia="Aptos" w:hAnsi="Calibri" w:cs="Calibri"/>
          <w:sz w:val="24"/>
          <w:szCs w:val="24"/>
        </w:rPr>
        <w:t>improve</w:t>
      </w:r>
      <w:r>
        <w:rPr>
          <w:rFonts w:ascii="Calibri" w:eastAsia="Aptos" w:hAnsi="Calibri" w:cs="Calibri"/>
          <w:sz w:val="24"/>
          <w:szCs w:val="24"/>
        </w:rPr>
        <w:t>s</w:t>
      </w:r>
      <w:r w:rsidRPr="00C27E12">
        <w:rPr>
          <w:rFonts w:ascii="Calibri" w:eastAsia="Aptos" w:hAnsi="Calibri" w:cs="Calibri"/>
          <w:sz w:val="24"/>
          <w:szCs w:val="24"/>
        </w:rPr>
        <w:t xml:space="preserve"> teaching practices</w:t>
      </w:r>
      <w:r>
        <w:rPr>
          <w:rFonts w:ascii="Calibri" w:eastAsia="Aptos" w:hAnsi="Calibri" w:cs="Calibri"/>
          <w:sz w:val="24"/>
          <w:szCs w:val="24"/>
        </w:rPr>
        <w:t xml:space="preserve"> (Light </w:t>
      </w:r>
      <w:r w:rsidR="00FB3A6E" w:rsidRPr="00FB3A6E">
        <w:rPr>
          <w:rFonts w:ascii="Calibri" w:eastAsia="Aptos" w:hAnsi="Calibri" w:cs="Calibri"/>
          <w:i/>
          <w:sz w:val="24"/>
          <w:szCs w:val="24"/>
        </w:rPr>
        <w:t>et al.</w:t>
      </w:r>
      <w:r>
        <w:rPr>
          <w:rFonts w:ascii="Calibri" w:eastAsia="Aptos" w:hAnsi="Calibri" w:cs="Calibri"/>
          <w:sz w:val="24"/>
          <w:szCs w:val="24"/>
        </w:rPr>
        <w:t xml:space="preserve">, 2001), </w:t>
      </w:r>
      <w:r w:rsidRPr="00C27E12">
        <w:rPr>
          <w:rFonts w:ascii="Calibri" w:eastAsia="Aptos" w:hAnsi="Calibri" w:cs="Calibri"/>
          <w:sz w:val="24"/>
          <w:szCs w:val="24"/>
        </w:rPr>
        <w:t>results in the teacher’s actualisation (</w:t>
      </w:r>
      <w:r w:rsidR="00B80029">
        <w:rPr>
          <w:rFonts w:ascii="Calibri" w:eastAsia="Aptos" w:hAnsi="Calibri" w:cs="Calibri"/>
          <w:sz w:val="24"/>
          <w:szCs w:val="24"/>
        </w:rPr>
        <w:t xml:space="preserve">Maslow, 1943) </w:t>
      </w:r>
      <w:r>
        <w:rPr>
          <w:rFonts w:ascii="Calibri" w:eastAsia="Aptos" w:hAnsi="Calibri" w:cs="Calibri"/>
          <w:sz w:val="24"/>
          <w:szCs w:val="24"/>
        </w:rPr>
        <w:t xml:space="preserve">and is a journey of development </w:t>
      </w:r>
      <w:r w:rsidRPr="001149F1">
        <w:rPr>
          <w:rFonts w:ascii="Calibri" w:eastAsia="Calibri" w:hAnsi="Calibri" w:cs="Times New Roman"/>
          <w:sz w:val="24"/>
          <w:szCs w:val="24"/>
          <w:lang w:val="en-US"/>
        </w:rPr>
        <w:t>in the service of the self</w:t>
      </w:r>
      <w:r>
        <w:rPr>
          <w:rFonts w:ascii="Calibri" w:eastAsia="Calibri" w:hAnsi="Calibri" w:cs="Times New Roman"/>
          <w:sz w:val="24"/>
          <w:szCs w:val="24"/>
          <w:lang w:val="en-US"/>
        </w:rPr>
        <w:t xml:space="preserve"> (Mayes, 2007)</w:t>
      </w:r>
      <w:r w:rsidR="00A936C4">
        <w:rPr>
          <w:rFonts w:ascii="Calibri" w:eastAsia="Calibri" w:hAnsi="Calibri" w:cs="Times New Roman"/>
          <w:sz w:val="24"/>
          <w:szCs w:val="24"/>
          <w:lang w:val="en-US"/>
        </w:rPr>
        <w:t>.</w:t>
      </w:r>
      <w:r>
        <w:rPr>
          <w:rFonts w:ascii="Calibri" w:eastAsia="Calibri" w:hAnsi="Calibri" w:cs="Times New Roman"/>
          <w:sz w:val="24"/>
          <w:szCs w:val="24"/>
          <w:lang w:val="en-US"/>
        </w:rPr>
        <w:t xml:space="preserve"> I am not suggesting that all students of pedagogy welcome depth and dialogue, however, the findings give credence to the notion that dialogue and reflective discussion can promote depth and personal/professional growth.</w:t>
      </w:r>
    </w:p>
    <w:p w14:paraId="762F725F" w14:textId="26F92269" w:rsidR="001872B0" w:rsidRDefault="001872B0" w:rsidP="00D16708">
      <w:pPr>
        <w:spacing w:line="360" w:lineRule="auto"/>
        <w:rPr>
          <w:rFonts w:ascii="Calibri" w:hAnsi="Calibri" w:cs="Calibri"/>
          <w:sz w:val="24"/>
          <w:szCs w:val="24"/>
        </w:rPr>
      </w:pPr>
      <w:r>
        <w:rPr>
          <w:rFonts w:ascii="Calibri" w:hAnsi="Calibri" w:cs="Calibri"/>
          <w:sz w:val="24"/>
          <w:szCs w:val="24"/>
        </w:rPr>
        <w:t>Support during the teacher training for adult returners was largely deficient.  As mature students, three participants experienced difficulties that impacted them emotionally. Jenko described the initial disorientating nature of his teacher training journey as “</w:t>
      </w:r>
      <w:r w:rsidRPr="00A8792F">
        <w:rPr>
          <w:rFonts w:ascii="Calibri" w:hAnsi="Calibri" w:cs="Calibri"/>
          <w:i/>
          <w:iCs/>
          <w:sz w:val="24"/>
          <w:szCs w:val="24"/>
        </w:rPr>
        <w:t>first and foremost scary</w:t>
      </w:r>
      <w:r>
        <w:rPr>
          <w:rFonts w:ascii="Calibri" w:hAnsi="Calibri" w:cs="Calibri"/>
          <w:sz w:val="24"/>
          <w:szCs w:val="24"/>
        </w:rPr>
        <w:t>” (</w:t>
      </w:r>
      <w:r w:rsidR="00CB01F4">
        <w:rPr>
          <w:rFonts w:ascii="Calibri" w:hAnsi="Calibri" w:cs="Calibri"/>
          <w:sz w:val="24"/>
          <w:szCs w:val="24"/>
        </w:rPr>
        <w:t xml:space="preserve">Jenko, </w:t>
      </w:r>
      <w:r>
        <w:rPr>
          <w:rFonts w:ascii="Calibri" w:hAnsi="Calibri" w:cs="Calibri"/>
          <w:sz w:val="24"/>
          <w:szCs w:val="24"/>
        </w:rPr>
        <w:t>T1, p. 5, par 3)</w:t>
      </w:r>
      <w:r w:rsidRPr="00576A2F">
        <w:rPr>
          <w:rFonts w:ascii="Calibri" w:hAnsi="Calibri" w:cs="Calibri"/>
          <w:sz w:val="24"/>
          <w:szCs w:val="24"/>
        </w:rPr>
        <w:t xml:space="preserve"> </w:t>
      </w:r>
      <w:r>
        <w:rPr>
          <w:rFonts w:ascii="Calibri" w:hAnsi="Calibri" w:cs="Calibri"/>
          <w:sz w:val="24"/>
          <w:szCs w:val="24"/>
        </w:rPr>
        <w:t>which resulted in a crisis in his own confidence and abilities:</w:t>
      </w:r>
      <w:r w:rsidRPr="004F6BD6">
        <w:rPr>
          <w:rFonts w:ascii="Calibri" w:hAnsi="Calibri" w:cs="Calibri"/>
          <w:sz w:val="24"/>
          <w:szCs w:val="24"/>
        </w:rPr>
        <w:t xml:space="preserve"> </w:t>
      </w:r>
      <w:r>
        <w:rPr>
          <w:rFonts w:ascii="Calibri" w:hAnsi="Calibri" w:cs="Calibri"/>
          <w:sz w:val="24"/>
          <w:szCs w:val="24"/>
        </w:rPr>
        <w:t>“</w:t>
      </w:r>
      <w:r w:rsidRPr="00A8792F">
        <w:rPr>
          <w:rFonts w:ascii="Calibri" w:hAnsi="Calibri" w:cs="Calibri"/>
          <w:i/>
          <w:iCs/>
          <w:sz w:val="24"/>
          <w:szCs w:val="24"/>
        </w:rPr>
        <w:t>It was really daunting and quite an emotional rollercoaster throughout the period to be fair; there was a lot of self-doubt, impostor syndrome moments</w:t>
      </w:r>
      <w:r>
        <w:rPr>
          <w:rFonts w:ascii="Calibri" w:hAnsi="Calibri" w:cs="Calibri"/>
          <w:sz w:val="24"/>
          <w:szCs w:val="24"/>
        </w:rPr>
        <w:t>” (</w:t>
      </w:r>
      <w:r w:rsidR="00AB1ADC">
        <w:rPr>
          <w:rFonts w:ascii="Calibri" w:hAnsi="Calibri" w:cs="Calibri"/>
          <w:sz w:val="24"/>
          <w:szCs w:val="24"/>
        </w:rPr>
        <w:t>ibid.</w:t>
      </w:r>
      <w:r>
        <w:rPr>
          <w:rFonts w:ascii="Calibri" w:hAnsi="Calibri" w:cs="Calibri"/>
          <w:sz w:val="24"/>
          <w:szCs w:val="24"/>
        </w:rPr>
        <w:t>, par 1)</w:t>
      </w:r>
      <w:r w:rsidRPr="004F6BD6">
        <w:rPr>
          <w:rFonts w:ascii="Calibri" w:hAnsi="Calibri" w:cs="Calibri"/>
          <w:sz w:val="24"/>
          <w:szCs w:val="24"/>
        </w:rPr>
        <w:t xml:space="preserve">. </w:t>
      </w:r>
      <w:r>
        <w:rPr>
          <w:rFonts w:ascii="Calibri" w:hAnsi="Calibri" w:cs="Calibri"/>
          <w:sz w:val="24"/>
          <w:szCs w:val="24"/>
        </w:rPr>
        <w:t xml:space="preserve"> Amid a culture shock,</w:t>
      </w:r>
      <w:r w:rsidRPr="00203EB3">
        <w:rPr>
          <w:rFonts w:ascii="Calibri" w:hAnsi="Calibri" w:cs="Calibri"/>
          <w:sz w:val="24"/>
          <w:szCs w:val="24"/>
        </w:rPr>
        <w:t xml:space="preserve"> </w:t>
      </w:r>
      <w:r>
        <w:rPr>
          <w:rFonts w:ascii="Calibri" w:hAnsi="Calibri" w:cs="Calibri"/>
          <w:sz w:val="24"/>
          <w:szCs w:val="24"/>
        </w:rPr>
        <w:t>Jenko described feeling “</w:t>
      </w:r>
      <w:r w:rsidRPr="00A8792F">
        <w:rPr>
          <w:rFonts w:ascii="Calibri" w:hAnsi="Calibri" w:cs="Calibri"/>
          <w:i/>
          <w:iCs/>
          <w:sz w:val="24"/>
          <w:szCs w:val="24"/>
        </w:rPr>
        <w:t>like a fish out of water</w:t>
      </w:r>
      <w:r>
        <w:rPr>
          <w:rFonts w:ascii="Calibri" w:hAnsi="Calibri" w:cs="Calibri"/>
          <w:sz w:val="24"/>
          <w:szCs w:val="24"/>
        </w:rPr>
        <w:t>” (</w:t>
      </w:r>
      <w:r w:rsidR="00AB1ADC">
        <w:rPr>
          <w:rFonts w:ascii="Calibri" w:hAnsi="Calibri" w:cs="Calibri"/>
          <w:sz w:val="24"/>
          <w:szCs w:val="24"/>
        </w:rPr>
        <w:t>ibid.</w:t>
      </w:r>
      <w:r>
        <w:rPr>
          <w:rFonts w:ascii="Calibri" w:hAnsi="Calibri" w:cs="Calibri"/>
          <w:sz w:val="24"/>
          <w:szCs w:val="24"/>
        </w:rPr>
        <w:t>, p.2, par 5)</w:t>
      </w:r>
      <w:r w:rsidRPr="00203EB3">
        <w:rPr>
          <w:rFonts w:ascii="Calibri" w:hAnsi="Calibri" w:cs="Calibri"/>
          <w:sz w:val="24"/>
          <w:szCs w:val="24"/>
        </w:rPr>
        <w:t>.</w:t>
      </w:r>
      <w:r>
        <w:rPr>
          <w:rFonts w:ascii="Calibri" w:hAnsi="Calibri" w:cs="Calibri"/>
          <w:sz w:val="24"/>
          <w:szCs w:val="24"/>
        </w:rPr>
        <w:t xml:space="preserve"> He was left to orientate himself in unknown territory, had to become self-sufficient and construct his own meaning.  Similarly, Mo felt disoriented, alone and unable to understand the true reality of her learning and its application:</w:t>
      </w:r>
      <w:r w:rsidRPr="00A54336">
        <w:rPr>
          <w:rFonts w:ascii="Calibri" w:hAnsi="Calibri" w:cs="Calibri"/>
          <w:sz w:val="24"/>
          <w:szCs w:val="24"/>
        </w:rPr>
        <w:t xml:space="preserve"> </w:t>
      </w:r>
    </w:p>
    <w:p w14:paraId="15438AB2" w14:textId="1B9E434C" w:rsidR="001872B0" w:rsidRPr="00A8792F" w:rsidRDefault="001872B0" w:rsidP="00694FE2">
      <w:pPr>
        <w:ind w:left="720"/>
        <w:rPr>
          <w:rFonts w:ascii="Calibri" w:hAnsi="Calibri" w:cs="Calibri"/>
          <w:i/>
          <w:iCs/>
          <w:sz w:val="24"/>
          <w:szCs w:val="24"/>
        </w:rPr>
      </w:pPr>
      <w:r w:rsidRPr="00A8792F">
        <w:rPr>
          <w:rFonts w:ascii="Calibri" w:hAnsi="Calibri" w:cs="Calibri"/>
          <w:i/>
          <w:iCs/>
          <w:sz w:val="24"/>
          <w:szCs w:val="24"/>
        </w:rPr>
        <w:lastRenderedPageBreak/>
        <w:t>It was awful actually. It was probably one of the worst experiences I’ve ever been through. And it was the single most isolated transition I’ve ever had</w:t>
      </w:r>
      <w:r w:rsidR="00EA37CF">
        <w:rPr>
          <w:rFonts w:ascii="Calibri" w:hAnsi="Calibri" w:cs="Calibri"/>
          <w:i/>
          <w:iCs/>
          <w:sz w:val="24"/>
          <w:szCs w:val="24"/>
        </w:rPr>
        <w:t xml:space="preserve"> </w:t>
      </w:r>
      <w:r w:rsidR="00226E4F">
        <w:rPr>
          <w:rFonts w:ascii="Calibri" w:hAnsi="Calibri" w:cs="Calibri"/>
          <w:i/>
          <w:iCs/>
          <w:sz w:val="24"/>
          <w:szCs w:val="24"/>
        </w:rPr>
        <w:t>[</w:t>
      </w:r>
      <w:r w:rsidRPr="00A8792F">
        <w:rPr>
          <w:rFonts w:ascii="Calibri" w:hAnsi="Calibri" w:cs="Calibri"/>
          <w:i/>
          <w:iCs/>
          <w:sz w:val="24"/>
          <w:szCs w:val="24"/>
        </w:rPr>
        <w:t>…</w:t>
      </w:r>
      <w:r w:rsidR="00226E4F">
        <w:rPr>
          <w:rFonts w:ascii="Calibri" w:hAnsi="Calibri" w:cs="Calibri"/>
          <w:i/>
          <w:iCs/>
          <w:sz w:val="24"/>
          <w:szCs w:val="24"/>
        </w:rPr>
        <w:t>]</w:t>
      </w:r>
      <w:r w:rsidRPr="00A8792F">
        <w:rPr>
          <w:rFonts w:ascii="Calibri" w:hAnsi="Calibri" w:cs="Calibri"/>
          <w:i/>
          <w:iCs/>
          <w:sz w:val="24"/>
          <w:szCs w:val="24"/>
        </w:rPr>
        <w:t xml:space="preserve"> I was completely alone and unsupported, really out of my depth and not understanding all the nuances of the situation I was </w:t>
      </w:r>
      <w:r w:rsidR="00BF6439" w:rsidRPr="00A8792F">
        <w:rPr>
          <w:rFonts w:ascii="Calibri" w:hAnsi="Calibri" w:cs="Calibri"/>
          <w:i/>
          <w:iCs/>
          <w:sz w:val="24"/>
          <w:szCs w:val="24"/>
        </w:rPr>
        <w:t>in</w:t>
      </w:r>
      <w:r w:rsidR="00BF6439">
        <w:rPr>
          <w:rFonts w:ascii="Calibri" w:hAnsi="Calibri" w:cs="Calibri"/>
          <w:i/>
          <w:iCs/>
          <w:sz w:val="24"/>
          <w:szCs w:val="24"/>
        </w:rPr>
        <w:t xml:space="preserve"> [</w:t>
      </w:r>
      <w:r w:rsidRPr="00A8792F">
        <w:rPr>
          <w:rFonts w:ascii="Calibri" w:hAnsi="Calibri" w:cs="Calibri"/>
          <w:i/>
          <w:iCs/>
          <w:sz w:val="24"/>
          <w:szCs w:val="24"/>
        </w:rPr>
        <w:t>…</w:t>
      </w:r>
      <w:r w:rsidR="001D28CA">
        <w:rPr>
          <w:rFonts w:ascii="Calibri" w:hAnsi="Calibri" w:cs="Calibri"/>
          <w:i/>
          <w:iCs/>
          <w:sz w:val="24"/>
          <w:szCs w:val="24"/>
        </w:rPr>
        <w:t>]</w:t>
      </w:r>
      <w:r w:rsidRPr="00A8792F">
        <w:rPr>
          <w:rFonts w:ascii="Calibri" w:hAnsi="Calibri" w:cs="Calibri"/>
          <w:i/>
          <w:iCs/>
          <w:sz w:val="24"/>
          <w:szCs w:val="24"/>
        </w:rPr>
        <w:t xml:space="preserve"> It was just a really harrowing experience (Mo, T1, p. 3, pars 7-8).</w:t>
      </w:r>
    </w:p>
    <w:p w14:paraId="5B2C7C98" w14:textId="388282D1" w:rsidR="001872B0" w:rsidRDefault="001872B0" w:rsidP="00D16708">
      <w:pPr>
        <w:spacing w:line="360" w:lineRule="auto"/>
        <w:rPr>
          <w:rFonts w:ascii="Calibri" w:hAnsi="Calibri" w:cs="Calibri"/>
          <w:sz w:val="24"/>
          <w:szCs w:val="24"/>
        </w:rPr>
      </w:pPr>
      <w:r>
        <w:rPr>
          <w:rFonts w:ascii="Calibri" w:hAnsi="Calibri" w:cs="Calibri"/>
          <w:sz w:val="24"/>
          <w:szCs w:val="24"/>
        </w:rPr>
        <w:t xml:space="preserve">Mo assigns a causal element of her distress to the mismatch between what was taught and the actual application in her teaching reality, </w:t>
      </w:r>
      <w:r w:rsidR="00281B79">
        <w:rPr>
          <w:rFonts w:ascii="Calibri" w:hAnsi="Calibri" w:cs="Calibri"/>
          <w:sz w:val="24"/>
          <w:szCs w:val="24"/>
        </w:rPr>
        <w:t>and the</w:t>
      </w:r>
      <w:r>
        <w:rPr>
          <w:rFonts w:ascii="Calibri" w:hAnsi="Calibri" w:cs="Calibri"/>
          <w:sz w:val="24"/>
          <w:szCs w:val="24"/>
        </w:rPr>
        <w:t xml:space="preserve"> lack of support during this isolating time. Similarly, Liz had an “</w:t>
      </w:r>
      <w:r w:rsidRPr="001D28CA">
        <w:rPr>
          <w:rFonts w:ascii="Calibri" w:hAnsi="Calibri" w:cs="Calibri"/>
          <w:i/>
          <w:iCs/>
          <w:sz w:val="24"/>
          <w:szCs w:val="24"/>
        </w:rPr>
        <w:t>awful</w:t>
      </w:r>
      <w:r>
        <w:rPr>
          <w:rFonts w:ascii="Calibri" w:hAnsi="Calibri" w:cs="Calibri"/>
          <w:sz w:val="24"/>
          <w:szCs w:val="24"/>
        </w:rPr>
        <w:t>” experience. She found it hypocritical to be taught best practice, yet the training itself lacked in application relevance and delivery of best practice:</w:t>
      </w:r>
    </w:p>
    <w:p w14:paraId="08CD8988" w14:textId="77777777" w:rsidR="00B13C4A" w:rsidRDefault="001872B0" w:rsidP="001D28CA">
      <w:pPr>
        <w:ind w:left="720"/>
        <w:rPr>
          <w:rFonts w:ascii="Calibri" w:hAnsi="Calibri" w:cs="Calibri"/>
          <w:i/>
          <w:iCs/>
          <w:sz w:val="24"/>
          <w:szCs w:val="24"/>
        </w:rPr>
      </w:pPr>
      <w:r w:rsidRPr="001D28CA">
        <w:rPr>
          <w:rFonts w:ascii="Calibri" w:hAnsi="Calibri" w:cs="Calibri"/>
          <w:i/>
          <w:iCs/>
          <w:sz w:val="24"/>
          <w:szCs w:val="24"/>
        </w:rPr>
        <w:t>The course was absolutely awful</w:t>
      </w:r>
      <w:r w:rsidR="00226E4F">
        <w:rPr>
          <w:rFonts w:ascii="Calibri" w:hAnsi="Calibri" w:cs="Calibri"/>
          <w:i/>
          <w:iCs/>
          <w:sz w:val="24"/>
          <w:szCs w:val="24"/>
        </w:rPr>
        <w:t xml:space="preserve"> [</w:t>
      </w:r>
      <w:r w:rsidRPr="001D28CA">
        <w:rPr>
          <w:rFonts w:ascii="Calibri" w:hAnsi="Calibri" w:cs="Calibri"/>
          <w:i/>
          <w:iCs/>
          <w:sz w:val="24"/>
          <w:szCs w:val="24"/>
        </w:rPr>
        <w:t>…</w:t>
      </w:r>
      <w:r w:rsidR="0049215F">
        <w:rPr>
          <w:rFonts w:ascii="Calibri" w:hAnsi="Calibri" w:cs="Calibri"/>
          <w:i/>
          <w:iCs/>
          <w:sz w:val="24"/>
          <w:szCs w:val="24"/>
        </w:rPr>
        <w:t>]</w:t>
      </w:r>
      <w:r w:rsidRPr="001D28CA">
        <w:rPr>
          <w:rFonts w:ascii="Calibri" w:hAnsi="Calibri" w:cs="Calibri"/>
          <w:i/>
          <w:iCs/>
          <w:sz w:val="24"/>
          <w:szCs w:val="24"/>
        </w:rPr>
        <w:t xml:space="preserve"> It felt hypocritical to me they were telling us this is how you teach yet what they were modelling to us with was the opposite. (Liz, p. 4, par 2)</w:t>
      </w:r>
      <w:r w:rsidR="00B13C4A">
        <w:rPr>
          <w:rFonts w:ascii="Calibri" w:hAnsi="Calibri" w:cs="Calibri"/>
          <w:i/>
          <w:iCs/>
          <w:sz w:val="24"/>
          <w:szCs w:val="24"/>
        </w:rPr>
        <w:t>.</w:t>
      </w:r>
    </w:p>
    <w:p w14:paraId="54B4BA52" w14:textId="256E0549" w:rsidR="001872B0" w:rsidRPr="001D28CA" w:rsidRDefault="001872B0" w:rsidP="001D28CA">
      <w:pPr>
        <w:ind w:left="720"/>
        <w:rPr>
          <w:rFonts w:ascii="Calibri" w:hAnsi="Calibri" w:cs="Calibri"/>
          <w:i/>
          <w:iCs/>
          <w:sz w:val="24"/>
          <w:szCs w:val="24"/>
        </w:rPr>
      </w:pPr>
      <w:r w:rsidRPr="001D28CA">
        <w:rPr>
          <w:rFonts w:ascii="Calibri" w:hAnsi="Calibri" w:cs="Calibri"/>
          <w:i/>
          <w:iCs/>
          <w:sz w:val="24"/>
          <w:szCs w:val="24"/>
        </w:rPr>
        <w:t>If I had to give two words, I would say frustration then out of that frustration just sheer anger because I hated the hypocrisy of the mismatch between what they were saying and what they were doing-that to me is just wrong (Liz, p. 5, par 14).</w:t>
      </w:r>
    </w:p>
    <w:p w14:paraId="345CB33B" w14:textId="44379EB8" w:rsidR="001872B0" w:rsidRDefault="001872B0" w:rsidP="00D16708">
      <w:pPr>
        <w:spacing w:line="360" w:lineRule="auto"/>
        <w:rPr>
          <w:rFonts w:ascii="Calibri" w:hAnsi="Calibri" w:cs="Calibri"/>
          <w:sz w:val="24"/>
          <w:szCs w:val="24"/>
        </w:rPr>
      </w:pPr>
      <w:r>
        <w:rPr>
          <w:rFonts w:ascii="Calibri" w:hAnsi="Calibri" w:cs="Calibri"/>
          <w:sz w:val="24"/>
          <w:szCs w:val="24"/>
        </w:rPr>
        <w:t xml:space="preserve">A significant factor </w:t>
      </w:r>
      <w:r w:rsidR="00A47359">
        <w:rPr>
          <w:rFonts w:ascii="Calibri" w:hAnsi="Calibri" w:cs="Calibri"/>
          <w:sz w:val="24"/>
          <w:szCs w:val="24"/>
        </w:rPr>
        <w:t xml:space="preserve">leading to distress for </w:t>
      </w:r>
      <w:r w:rsidR="00EC5506">
        <w:rPr>
          <w:rFonts w:ascii="Calibri" w:hAnsi="Calibri" w:cs="Calibri"/>
          <w:sz w:val="24"/>
          <w:szCs w:val="24"/>
        </w:rPr>
        <w:t>Jenko, Mo and Liz</w:t>
      </w:r>
      <w:r>
        <w:rPr>
          <w:rFonts w:ascii="Calibri" w:hAnsi="Calibri" w:cs="Calibri"/>
          <w:sz w:val="24"/>
          <w:szCs w:val="24"/>
        </w:rPr>
        <w:t xml:space="preserve"> was their experiences and competencies in their previous </w:t>
      </w:r>
      <w:r w:rsidR="00A53093">
        <w:rPr>
          <w:rFonts w:ascii="Calibri" w:hAnsi="Calibri" w:cs="Calibri"/>
          <w:sz w:val="24"/>
          <w:szCs w:val="24"/>
        </w:rPr>
        <w:t>careers</w:t>
      </w:r>
      <w:r>
        <w:rPr>
          <w:rFonts w:ascii="Calibri" w:hAnsi="Calibri" w:cs="Calibri"/>
          <w:sz w:val="24"/>
          <w:szCs w:val="24"/>
        </w:rPr>
        <w:t xml:space="preserve"> had provided them with a high degree of confidence and agency which they expected </w:t>
      </w:r>
      <w:r w:rsidRPr="00757DD1">
        <w:rPr>
          <w:rFonts w:ascii="Calibri" w:hAnsi="Calibri" w:cs="Calibri"/>
          <w:sz w:val="24"/>
          <w:szCs w:val="24"/>
        </w:rPr>
        <w:t>would stand them in good stead</w:t>
      </w:r>
      <w:r>
        <w:rPr>
          <w:rFonts w:ascii="Calibri" w:hAnsi="Calibri" w:cs="Calibri"/>
          <w:sz w:val="24"/>
          <w:szCs w:val="24"/>
        </w:rPr>
        <w:t xml:space="preserve"> as students of pedagogy</w:t>
      </w:r>
      <w:r w:rsidRPr="00757DD1">
        <w:rPr>
          <w:rFonts w:ascii="Calibri" w:hAnsi="Calibri" w:cs="Calibri"/>
          <w:sz w:val="24"/>
          <w:szCs w:val="24"/>
        </w:rPr>
        <w:t xml:space="preserve">. </w:t>
      </w:r>
      <w:r>
        <w:rPr>
          <w:rFonts w:ascii="Calibri" w:hAnsi="Calibri" w:cs="Calibri"/>
          <w:sz w:val="24"/>
          <w:szCs w:val="24"/>
        </w:rPr>
        <w:t xml:space="preserve">Finding themselves now </w:t>
      </w:r>
      <w:r w:rsidRPr="00BA5D72">
        <w:rPr>
          <w:rFonts w:ascii="Calibri" w:hAnsi="Calibri" w:cs="Calibri"/>
          <w:sz w:val="24"/>
          <w:szCs w:val="24"/>
        </w:rPr>
        <w:t>“strangers in paradise” (Ryan and Sackrey, 1995), the</w:t>
      </w:r>
      <w:r>
        <w:rPr>
          <w:rFonts w:ascii="Calibri" w:hAnsi="Calibri" w:cs="Calibri"/>
          <w:sz w:val="24"/>
          <w:szCs w:val="24"/>
        </w:rPr>
        <w:t xml:space="preserve">y experienced </w:t>
      </w:r>
      <w:r w:rsidRPr="00642518">
        <w:rPr>
          <w:rFonts w:ascii="Calibri" w:hAnsi="Calibri" w:cs="Calibri"/>
          <w:sz w:val="24"/>
          <w:szCs w:val="24"/>
        </w:rPr>
        <w:t>significant</w:t>
      </w:r>
      <w:r>
        <w:rPr>
          <w:rFonts w:ascii="Calibri" w:hAnsi="Calibri" w:cs="Calibri"/>
          <w:sz w:val="24"/>
          <w:szCs w:val="24"/>
        </w:rPr>
        <w:t xml:space="preserve"> identity </w:t>
      </w:r>
      <w:r w:rsidRPr="00642518">
        <w:rPr>
          <w:rFonts w:ascii="Calibri" w:hAnsi="Calibri" w:cs="Calibri"/>
          <w:sz w:val="24"/>
          <w:szCs w:val="24"/>
        </w:rPr>
        <w:t>struggles</w:t>
      </w:r>
      <w:r>
        <w:rPr>
          <w:rFonts w:ascii="Calibri" w:hAnsi="Calibri" w:cs="Calibri"/>
          <w:sz w:val="24"/>
          <w:szCs w:val="24"/>
        </w:rPr>
        <w:t xml:space="preserve"> (Ecclestone, 2009) </w:t>
      </w:r>
      <w:r w:rsidRPr="00642518">
        <w:rPr>
          <w:rFonts w:ascii="Calibri" w:hAnsi="Calibri" w:cs="Calibri"/>
          <w:sz w:val="24"/>
          <w:szCs w:val="24"/>
        </w:rPr>
        <w:t xml:space="preserve">and </w:t>
      </w:r>
      <w:r w:rsidRPr="00FB1DA5">
        <w:rPr>
          <w:rFonts w:ascii="Calibri" w:hAnsi="Calibri" w:cs="Calibri"/>
          <w:sz w:val="24"/>
          <w:szCs w:val="24"/>
        </w:rPr>
        <w:t xml:space="preserve">felt the environment was not facilitative of </w:t>
      </w:r>
      <w:r>
        <w:rPr>
          <w:rFonts w:ascii="Calibri" w:hAnsi="Calibri" w:cs="Calibri"/>
          <w:sz w:val="24"/>
          <w:szCs w:val="24"/>
        </w:rPr>
        <w:t xml:space="preserve">their identity formation (Bell </w:t>
      </w:r>
      <w:r w:rsidR="00FB3A6E" w:rsidRPr="00FB3A6E">
        <w:rPr>
          <w:rFonts w:ascii="Calibri" w:hAnsi="Calibri" w:cs="Calibri"/>
          <w:i/>
          <w:sz w:val="24"/>
          <w:szCs w:val="24"/>
        </w:rPr>
        <w:t>et al.</w:t>
      </w:r>
      <w:r>
        <w:rPr>
          <w:rFonts w:ascii="Calibri" w:hAnsi="Calibri" w:cs="Calibri"/>
          <w:sz w:val="24"/>
          <w:szCs w:val="24"/>
        </w:rPr>
        <w:t xml:space="preserve">, 2007) </w:t>
      </w:r>
      <w:r w:rsidRPr="00FB1DA5">
        <w:rPr>
          <w:rFonts w:ascii="Calibri" w:hAnsi="Calibri" w:cs="Calibri"/>
          <w:sz w:val="24"/>
          <w:szCs w:val="24"/>
        </w:rPr>
        <w:t xml:space="preserve">as students entering university later in their lives. </w:t>
      </w:r>
      <w:r>
        <w:rPr>
          <w:rFonts w:ascii="Calibri" w:hAnsi="Calibri" w:cs="Calibri"/>
          <w:sz w:val="24"/>
          <w:szCs w:val="24"/>
        </w:rPr>
        <w:t xml:space="preserve">It can be assumed that </w:t>
      </w:r>
      <w:r w:rsidRPr="001E22C8">
        <w:rPr>
          <w:rFonts w:ascii="Calibri" w:hAnsi="Calibri" w:cs="Calibri"/>
          <w:sz w:val="24"/>
          <w:szCs w:val="24"/>
        </w:rPr>
        <w:t xml:space="preserve">their psychological and academic needs differed from traditional age learners (Richardson and Kind, 2019).  </w:t>
      </w:r>
    </w:p>
    <w:p w14:paraId="6354B74C" w14:textId="39C52618" w:rsidR="001872B0" w:rsidRDefault="001872B0" w:rsidP="00D16708">
      <w:pPr>
        <w:spacing w:line="360" w:lineRule="auto"/>
        <w:rPr>
          <w:rFonts w:ascii="Calibri" w:hAnsi="Calibri" w:cs="Calibri"/>
          <w:sz w:val="24"/>
          <w:szCs w:val="24"/>
        </w:rPr>
      </w:pPr>
      <w:r>
        <w:rPr>
          <w:rFonts w:ascii="Calibri" w:hAnsi="Calibri" w:cs="Calibri"/>
          <w:sz w:val="24"/>
          <w:szCs w:val="24"/>
        </w:rPr>
        <w:t xml:space="preserve">The </w:t>
      </w:r>
      <w:r w:rsidRPr="0062375C">
        <w:rPr>
          <w:rFonts w:ascii="Calibri" w:hAnsi="Calibri" w:cs="Calibri"/>
          <w:sz w:val="24"/>
          <w:szCs w:val="24"/>
        </w:rPr>
        <w:t>disconnect between their expectations and their actual experiences</w:t>
      </w:r>
      <w:r>
        <w:rPr>
          <w:rFonts w:ascii="Calibri" w:hAnsi="Calibri" w:cs="Calibri"/>
          <w:sz w:val="24"/>
          <w:szCs w:val="24"/>
        </w:rPr>
        <w:t xml:space="preserve"> made the journey towards forming a teacher identity more difficult</w:t>
      </w:r>
      <w:r w:rsidRPr="0062375C">
        <w:rPr>
          <w:rFonts w:ascii="Calibri" w:hAnsi="Calibri" w:cs="Calibri"/>
          <w:sz w:val="24"/>
          <w:szCs w:val="24"/>
        </w:rPr>
        <w:t xml:space="preserve"> (McPhail </w:t>
      </w:r>
      <w:r w:rsidR="00FB3A6E" w:rsidRPr="00FB3A6E">
        <w:rPr>
          <w:rFonts w:ascii="Calibri" w:hAnsi="Calibri" w:cs="Calibri"/>
          <w:i/>
          <w:sz w:val="24"/>
          <w:szCs w:val="24"/>
        </w:rPr>
        <w:t>et al.</w:t>
      </w:r>
      <w:r w:rsidRPr="0062375C">
        <w:rPr>
          <w:rFonts w:ascii="Calibri" w:hAnsi="Calibri" w:cs="Calibri"/>
          <w:sz w:val="24"/>
          <w:szCs w:val="24"/>
        </w:rPr>
        <w:t xml:space="preserve">, 2009). </w:t>
      </w:r>
      <w:r>
        <w:rPr>
          <w:rFonts w:ascii="Calibri" w:hAnsi="Calibri" w:cs="Calibri"/>
          <w:sz w:val="24"/>
          <w:szCs w:val="24"/>
        </w:rPr>
        <w:t>For Liz, i</w:t>
      </w:r>
      <w:r w:rsidRPr="0062375C">
        <w:rPr>
          <w:rFonts w:ascii="Calibri" w:hAnsi="Calibri" w:cs="Calibri"/>
          <w:sz w:val="24"/>
          <w:szCs w:val="24"/>
        </w:rPr>
        <w:t xml:space="preserve">nconsistencies </w:t>
      </w:r>
      <w:r>
        <w:rPr>
          <w:rFonts w:ascii="Calibri" w:hAnsi="Calibri" w:cs="Calibri"/>
          <w:sz w:val="24"/>
          <w:szCs w:val="24"/>
        </w:rPr>
        <w:t xml:space="preserve">in her teachers’ modelling of the material taught made her experience as an adult returning learner all the harder </w:t>
      </w:r>
      <w:r w:rsidRPr="0062375C">
        <w:rPr>
          <w:rFonts w:ascii="Calibri" w:hAnsi="Calibri" w:cs="Calibri"/>
          <w:sz w:val="24"/>
          <w:szCs w:val="24"/>
        </w:rPr>
        <w:t xml:space="preserve">(McAlpine and Amundsen, 2011). </w:t>
      </w:r>
      <w:r w:rsidRPr="00AD7DED">
        <w:rPr>
          <w:rFonts w:ascii="Calibri" w:hAnsi="Calibri" w:cs="Calibri"/>
          <w:sz w:val="24"/>
          <w:szCs w:val="24"/>
        </w:rPr>
        <w:t xml:space="preserve">Although the term </w:t>
      </w:r>
      <w:r w:rsidR="00611C82">
        <w:rPr>
          <w:rFonts w:ascii="Calibri" w:hAnsi="Calibri" w:cs="Calibri"/>
          <w:sz w:val="24"/>
          <w:szCs w:val="24"/>
        </w:rPr>
        <w:t>“</w:t>
      </w:r>
      <w:r w:rsidRPr="00AD7DED">
        <w:rPr>
          <w:rFonts w:ascii="Calibri" w:hAnsi="Calibri" w:cs="Calibri"/>
          <w:sz w:val="24"/>
          <w:szCs w:val="24"/>
        </w:rPr>
        <w:t>identity</w:t>
      </w:r>
      <w:r w:rsidR="00611C82">
        <w:rPr>
          <w:rFonts w:ascii="Calibri" w:hAnsi="Calibri" w:cs="Calibri"/>
          <w:sz w:val="24"/>
          <w:szCs w:val="24"/>
        </w:rPr>
        <w:t>”</w:t>
      </w:r>
      <w:r>
        <w:rPr>
          <w:rFonts w:ascii="Calibri" w:hAnsi="Calibri" w:cs="Calibri"/>
          <w:sz w:val="24"/>
          <w:szCs w:val="24"/>
        </w:rPr>
        <w:t xml:space="preserve"> was not explicitly stated</w:t>
      </w:r>
      <w:r w:rsidRPr="00AD7DED">
        <w:rPr>
          <w:rFonts w:ascii="Calibri" w:hAnsi="Calibri" w:cs="Calibri"/>
          <w:sz w:val="24"/>
          <w:szCs w:val="24"/>
        </w:rPr>
        <w:t>, Jenk</w:t>
      </w:r>
      <w:r>
        <w:rPr>
          <w:rFonts w:ascii="Calibri" w:hAnsi="Calibri" w:cs="Calibri"/>
          <w:sz w:val="24"/>
          <w:szCs w:val="24"/>
        </w:rPr>
        <w:t>o</w:t>
      </w:r>
      <w:r w:rsidR="00B62DB4">
        <w:rPr>
          <w:rFonts w:ascii="Calibri" w:hAnsi="Calibri" w:cs="Calibri"/>
          <w:sz w:val="24"/>
          <w:szCs w:val="24"/>
        </w:rPr>
        <w:t>, Liz</w:t>
      </w:r>
      <w:r w:rsidRPr="00AD7DED">
        <w:rPr>
          <w:rFonts w:ascii="Calibri" w:hAnsi="Calibri" w:cs="Calibri"/>
          <w:sz w:val="24"/>
          <w:szCs w:val="24"/>
        </w:rPr>
        <w:t xml:space="preserve"> and Mo </w:t>
      </w:r>
      <w:r>
        <w:rPr>
          <w:rFonts w:ascii="Calibri" w:hAnsi="Calibri" w:cs="Calibri"/>
          <w:sz w:val="24"/>
          <w:szCs w:val="24"/>
        </w:rPr>
        <w:t xml:space="preserve">experienced </w:t>
      </w:r>
      <w:r w:rsidRPr="00AD7DED">
        <w:rPr>
          <w:rFonts w:ascii="Calibri" w:hAnsi="Calibri" w:cs="Calibri"/>
          <w:sz w:val="24"/>
          <w:szCs w:val="24"/>
        </w:rPr>
        <w:t>confusion and frustration</w:t>
      </w:r>
      <w:r w:rsidR="00611C82">
        <w:rPr>
          <w:rFonts w:ascii="Calibri" w:hAnsi="Calibri" w:cs="Calibri"/>
          <w:sz w:val="24"/>
          <w:szCs w:val="24"/>
        </w:rPr>
        <w:t>,</w:t>
      </w:r>
      <w:r>
        <w:rPr>
          <w:rFonts w:ascii="Calibri" w:hAnsi="Calibri" w:cs="Calibri"/>
          <w:sz w:val="24"/>
          <w:szCs w:val="24"/>
        </w:rPr>
        <w:t xml:space="preserve"> and were </w:t>
      </w:r>
      <w:r w:rsidRPr="00AD7DED">
        <w:rPr>
          <w:rFonts w:ascii="Calibri" w:hAnsi="Calibri" w:cs="Calibri"/>
          <w:sz w:val="24"/>
          <w:szCs w:val="24"/>
        </w:rPr>
        <w:t xml:space="preserve">left </w:t>
      </w:r>
      <w:r>
        <w:rPr>
          <w:rFonts w:ascii="Calibri" w:hAnsi="Calibri" w:cs="Calibri"/>
          <w:sz w:val="24"/>
          <w:szCs w:val="24"/>
        </w:rPr>
        <w:t>to do their own</w:t>
      </w:r>
      <w:r w:rsidRPr="00AD7DED">
        <w:rPr>
          <w:rFonts w:ascii="Calibri" w:hAnsi="Calibri" w:cs="Calibri"/>
          <w:sz w:val="24"/>
          <w:szCs w:val="24"/>
        </w:rPr>
        <w:t xml:space="preserve"> </w:t>
      </w:r>
      <w:r w:rsidRPr="00EB6780">
        <w:rPr>
          <w:rFonts w:ascii="Calibri" w:hAnsi="Calibri" w:cs="Calibri"/>
          <w:sz w:val="24"/>
          <w:szCs w:val="24"/>
        </w:rPr>
        <w:t xml:space="preserve">identity management work (Campbell-Clark, 2000) </w:t>
      </w:r>
      <w:r>
        <w:rPr>
          <w:rFonts w:ascii="Calibri" w:hAnsi="Calibri" w:cs="Calibri"/>
          <w:sz w:val="24"/>
          <w:szCs w:val="24"/>
        </w:rPr>
        <w:t xml:space="preserve">whilst simultaneously </w:t>
      </w:r>
      <w:r w:rsidRPr="00AD7DED">
        <w:rPr>
          <w:rFonts w:ascii="Calibri" w:hAnsi="Calibri" w:cs="Calibri"/>
          <w:sz w:val="24"/>
          <w:szCs w:val="24"/>
        </w:rPr>
        <w:t>trying to integrate their learning</w:t>
      </w:r>
      <w:r>
        <w:rPr>
          <w:rFonts w:ascii="Calibri" w:hAnsi="Calibri" w:cs="Calibri"/>
          <w:sz w:val="24"/>
          <w:szCs w:val="24"/>
        </w:rPr>
        <w:t>. There is a sense that</w:t>
      </w:r>
      <w:r w:rsidRPr="00580933">
        <w:rPr>
          <w:rFonts w:ascii="Calibri" w:hAnsi="Calibri" w:cs="Calibri"/>
          <w:sz w:val="24"/>
          <w:szCs w:val="24"/>
        </w:rPr>
        <w:t xml:space="preserve"> their vulnerability arising from a lack of being seen, understood and supported </w:t>
      </w:r>
      <w:r>
        <w:rPr>
          <w:rFonts w:ascii="Calibri" w:hAnsi="Calibri" w:cs="Calibri"/>
          <w:sz w:val="24"/>
          <w:szCs w:val="24"/>
        </w:rPr>
        <w:t xml:space="preserve">contributed to the </w:t>
      </w:r>
      <w:r w:rsidRPr="00580933">
        <w:rPr>
          <w:rFonts w:ascii="Calibri" w:hAnsi="Calibri" w:cs="Calibri"/>
          <w:sz w:val="24"/>
          <w:szCs w:val="24"/>
        </w:rPr>
        <w:t>ardou</w:t>
      </w:r>
      <w:r>
        <w:rPr>
          <w:rFonts w:ascii="Calibri" w:hAnsi="Calibri" w:cs="Calibri"/>
          <w:sz w:val="24"/>
          <w:szCs w:val="24"/>
        </w:rPr>
        <w:t>r in their learning journeys.</w:t>
      </w:r>
      <w:r w:rsidRPr="00580933">
        <w:rPr>
          <w:rFonts w:ascii="Calibri" w:hAnsi="Calibri" w:cs="Calibri"/>
          <w:sz w:val="24"/>
          <w:szCs w:val="24"/>
        </w:rPr>
        <w:t xml:space="preserve"> </w:t>
      </w:r>
      <w:r>
        <w:rPr>
          <w:rFonts w:ascii="Calibri" w:hAnsi="Calibri" w:cs="Calibri"/>
          <w:sz w:val="24"/>
          <w:szCs w:val="24"/>
        </w:rPr>
        <w:t xml:space="preserve">Whereas Jenko and Mo experienced self-doubt and isolation, Liz experienced anger which she harnessed to forge her own pathway and went on </w:t>
      </w:r>
      <w:r>
        <w:rPr>
          <w:rFonts w:ascii="Calibri" w:hAnsi="Calibri" w:cs="Calibri"/>
          <w:sz w:val="24"/>
          <w:szCs w:val="24"/>
        </w:rPr>
        <w:lastRenderedPageBreak/>
        <w:t xml:space="preserve">to research and develop a student feedback tool, one of the </w:t>
      </w:r>
      <w:r w:rsidR="006121FE">
        <w:rPr>
          <w:rFonts w:ascii="Calibri" w:hAnsi="Calibri" w:cs="Calibri"/>
          <w:sz w:val="24"/>
          <w:szCs w:val="24"/>
        </w:rPr>
        <w:t xml:space="preserve">very </w:t>
      </w:r>
      <w:r>
        <w:rPr>
          <w:rFonts w:ascii="Calibri" w:hAnsi="Calibri" w:cs="Calibri"/>
          <w:sz w:val="24"/>
          <w:szCs w:val="24"/>
        </w:rPr>
        <w:t xml:space="preserve">elements missing in her training. </w:t>
      </w:r>
    </w:p>
    <w:p w14:paraId="4408C8C8" w14:textId="3B212851" w:rsidR="001872B0" w:rsidRDefault="001872B0" w:rsidP="00D16708">
      <w:pPr>
        <w:spacing w:line="360" w:lineRule="auto"/>
        <w:rPr>
          <w:rFonts w:ascii="Calibri" w:eastAsia="Aptos" w:hAnsi="Calibri" w:cs="Calibri"/>
          <w:sz w:val="24"/>
          <w:szCs w:val="24"/>
        </w:rPr>
      </w:pPr>
      <w:r>
        <w:rPr>
          <w:rFonts w:ascii="Calibri" w:hAnsi="Calibri" w:cs="Calibri"/>
          <w:sz w:val="24"/>
          <w:szCs w:val="24"/>
        </w:rPr>
        <w:t xml:space="preserve">These findings were thought provoking particularly as the vulnerability of these mature students was identified as underrepresented in the literature (Chapter </w:t>
      </w:r>
      <w:r w:rsidR="008504B2">
        <w:rPr>
          <w:rFonts w:ascii="Calibri" w:hAnsi="Calibri" w:cs="Calibri"/>
          <w:sz w:val="24"/>
          <w:szCs w:val="24"/>
        </w:rPr>
        <w:t>Three</w:t>
      </w:r>
      <w:r>
        <w:rPr>
          <w:rFonts w:ascii="Calibri" w:hAnsi="Calibri" w:cs="Calibri"/>
          <w:sz w:val="24"/>
          <w:szCs w:val="24"/>
        </w:rPr>
        <w:t xml:space="preserve">). It could be expected that the object constancy and permanence </w:t>
      </w:r>
      <w:r w:rsidRPr="00BB0D55">
        <w:rPr>
          <w:rFonts w:ascii="Calibri" w:eastAsia="Calibri" w:hAnsi="Calibri" w:cs="Times New Roman"/>
          <w:sz w:val="24"/>
          <w:szCs w:val="24"/>
        </w:rPr>
        <w:t xml:space="preserve">(Mahler </w:t>
      </w:r>
      <w:r w:rsidR="00FB3A6E" w:rsidRPr="00FB3A6E">
        <w:rPr>
          <w:rFonts w:ascii="Calibri" w:eastAsia="Calibri" w:hAnsi="Calibri" w:cs="Times New Roman"/>
          <w:i/>
          <w:sz w:val="24"/>
          <w:szCs w:val="24"/>
        </w:rPr>
        <w:t>et al.</w:t>
      </w:r>
      <w:r w:rsidRPr="00BB0D55">
        <w:rPr>
          <w:rFonts w:ascii="Calibri" w:eastAsia="Calibri" w:hAnsi="Calibri" w:cs="Times New Roman"/>
          <w:sz w:val="24"/>
          <w:szCs w:val="24"/>
        </w:rPr>
        <w:t>, 1975</w:t>
      </w:r>
      <w:r>
        <w:rPr>
          <w:rFonts w:ascii="Calibri" w:eastAsia="Calibri" w:hAnsi="Calibri" w:cs="Times New Roman"/>
          <w:sz w:val="24"/>
          <w:szCs w:val="24"/>
        </w:rPr>
        <w:t>;</w:t>
      </w:r>
      <w:r w:rsidRPr="00AD6301">
        <w:rPr>
          <w:rFonts w:ascii="Calibri" w:eastAsia="Calibri" w:hAnsi="Calibri" w:cs="Times New Roman"/>
          <w:sz w:val="24"/>
          <w:szCs w:val="24"/>
        </w:rPr>
        <w:t xml:space="preserve"> Piaget, 1937</w:t>
      </w:r>
      <w:r w:rsidRPr="00BB0D55">
        <w:rPr>
          <w:rFonts w:ascii="Calibri" w:eastAsia="Calibri" w:hAnsi="Calibri" w:cs="Times New Roman"/>
          <w:sz w:val="24"/>
          <w:szCs w:val="24"/>
        </w:rPr>
        <w:t>)</w:t>
      </w:r>
      <w:r>
        <w:rPr>
          <w:rFonts w:ascii="Calibri" w:eastAsia="Calibri" w:hAnsi="Calibri" w:cs="Times New Roman"/>
          <w:sz w:val="24"/>
          <w:szCs w:val="24"/>
        </w:rPr>
        <w:t xml:space="preserve"> of adult returners </w:t>
      </w:r>
      <w:r w:rsidRPr="00B51524">
        <w:rPr>
          <w:rFonts w:ascii="Calibri" w:eastAsia="Calibri" w:hAnsi="Calibri" w:cs="Times New Roman"/>
          <w:sz w:val="24"/>
          <w:szCs w:val="24"/>
        </w:rPr>
        <w:t>(Slowey and Schuetze, 2012)</w:t>
      </w:r>
      <w:r>
        <w:rPr>
          <w:rFonts w:ascii="Calibri" w:eastAsia="Calibri" w:hAnsi="Calibri" w:cs="Times New Roman"/>
          <w:sz w:val="24"/>
          <w:szCs w:val="24"/>
        </w:rPr>
        <w:t xml:space="preserve">, their ability to draw upon previous affirming experiences, might serve them well in their learning experiences. </w:t>
      </w:r>
      <w:r>
        <w:rPr>
          <w:rFonts w:ascii="Calibri" w:eastAsia="Calibri" w:hAnsi="Calibri" w:cs="Times New Roman"/>
          <w:sz w:val="24"/>
          <w:szCs w:val="24"/>
          <w:lang w:val="en-US"/>
        </w:rPr>
        <w:t>From a d</w:t>
      </w:r>
      <w:r w:rsidRPr="003E3044">
        <w:rPr>
          <w:rFonts w:ascii="Calibri" w:eastAsia="Calibri" w:hAnsi="Calibri" w:cs="Times New Roman"/>
          <w:sz w:val="24"/>
          <w:szCs w:val="24"/>
          <w:lang w:val="en-US"/>
        </w:rPr>
        <w:t>epth pedagogy</w:t>
      </w:r>
      <w:r w:rsidRPr="002B19EF">
        <w:rPr>
          <w:rFonts w:ascii="Calibri" w:eastAsia="Calibri" w:hAnsi="Calibri" w:cs="Times New Roman"/>
          <w:sz w:val="24"/>
          <w:szCs w:val="24"/>
        </w:rPr>
        <w:t xml:space="preserve"> </w:t>
      </w:r>
      <w:r>
        <w:rPr>
          <w:rFonts w:ascii="Calibri" w:eastAsia="Calibri" w:hAnsi="Calibri" w:cs="Times New Roman"/>
          <w:sz w:val="24"/>
          <w:szCs w:val="24"/>
        </w:rPr>
        <w:t xml:space="preserve">perspective, </w:t>
      </w:r>
      <w:r w:rsidRPr="003E3044">
        <w:rPr>
          <w:rFonts w:ascii="Calibri" w:eastAsia="Calibri" w:hAnsi="Calibri" w:cs="Times New Roman"/>
          <w:sz w:val="24"/>
          <w:szCs w:val="24"/>
          <w:lang w:val="en-US"/>
        </w:rPr>
        <w:t xml:space="preserve">Mayes, Jung and Winnicott </w:t>
      </w:r>
      <w:r>
        <w:rPr>
          <w:rFonts w:ascii="Calibri" w:eastAsia="Calibri" w:hAnsi="Calibri" w:cs="Times New Roman"/>
          <w:sz w:val="24"/>
          <w:szCs w:val="24"/>
          <w:lang w:val="en-US"/>
        </w:rPr>
        <w:t>believe that the need for support and holding continues throughout the lifespan and the experiences of these</w:t>
      </w:r>
      <w:r w:rsidRPr="00684648">
        <w:rPr>
          <w:rFonts w:ascii="Calibri" w:eastAsia="Aptos" w:hAnsi="Calibri" w:cs="Calibri"/>
          <w:sz w:val="24"/>
          <w:szCs w:val="24"/>
        </w:rPr>
        <w:t xml:space="preserve"> </w:t>
      </w:r>
      <w:r>
        <w:rPr>
          <w:rFonts w:ascii="Calibri" w:eastAsia="Calibri" w:hAnsi="Calibri" w:cs="Times New Roman"/>
          <w:sz w:val="24"/>
          <w:szCs w:val="24"/>
          <w:lang w:val="en-US"/>
        </w:rPr>
        <w:t xml:space="preserve">participants affirm this need. </w:t>
      </w:r>
      <w:r>
        <w:rPr>
          <w:rFonts w:ascii="Calibri" w:eastAsia="Aptos" w:hAnsi="Calibri" w:cs="Calibri"/>
          <w:sz w:val="24"/>
          <w:szCs w:val="24"/>
        </w:rPr>
        <w:t>This helps us think about</w:t>
      </w:r>
      <w:r w:rsidRPr="00642657">
        <w:rPr>
          <w:rFonts w:ascii="Calibri" w:eastAsia="Aptos" w:hAnsi="Calibri" w:cs="Calibri"/>
          <w:sz w:val="24"/>
          <w:szCs w:val="24"/>
        </w:rPr>
        <w:t xml:space="preserve"> “strangers in paradise”</w:t>
      </w:r>
      <w:r w:rsidR="00CF7596" w:rsidRPr="00CF7596">
        <w:rPr>
          <w:rFonts w:ascii="Calibri" w:hAnsi="Calibri" w:cs="Calibri"/>
          <w:sz w:val="24"/>
          <w:szCs w:val="24"/>
        </w:rPr>
        <w:t xml:space="preserve"> </w:t>
      </w:r>
      <w:r w:rsidR="00CF7596" w:rsidRPr="00CF7596">
        <w:rPr>
          <w:rFonts w:ascii="Calibri" w:eastAsia="Aptos" w:hAnsi="Calibri" w:cs="Calibri"/>
          <w:sz w:val="24"/>
          <w:szCs w:val="24"/>
        </w:rPr>
        <w:t>(Ryan and Sackrey, 1995)</w:t>
      </w:r>
      <w:r w:rsidRPr="00642657">
        <w:rPr>
          <w:rFonts w:ascii="Calibri" w:eastAsia="Aptos" w:hAnsi="Calibri" w:cs="Calibri"/>
          <w:sz w:val="24"/>
          <w:szCs w:val="24"/>
        </w:rPr>
        <w:t xml:space="preserve"> </w:t>
      </w:r>
      <w:r>
        <w:rPr>
          <w:rFonts w:ascii="Calibri" w:eastAsia="Aptos" w:hAnsi="Calibri" w:cs="Calibri"/>
          <w:sz w:val="24"/>
          <w:szCs w:val="24"/>
        </w:rPr>
        <w:t>who need to be supported (</w:t>
      </w:r>
      <w:r w:rsidRPr="00642657">
        <w:rPr>
          <w:rFonts w:ascii="Calibri" w:eastAsia="Aptos" w:hAnsi="Calibri" w:cs="Calibri"/>
          <w:sz w:val="24"/>
          <w:szCs w:val="24"/>
        </w:rPr>
        <w:t>Brunton and Buckley</w:t>
      </w:r>
      <w:r>
        <w:rPr>
          <w:rFonts w:ascii="Calibri" w:eastAsia="Aptos" w:hAnsi="Calibri" w:cs="Calibri"/>
          <w:sz w:val="24"/>
          <w:szCs w:val="24"/>
        </w:rPr>
        <w:t xml:space="preserve">, </w:t>
      </w:r>
      <w:r w:rsidRPr="00642657">
        <w:rPr>
          <w:rFonts w:ascii="Calibri" w:eastAsia="Aptos" w:hAnsi="Calibri" w:cs="Calibri"/>
          <w:sz w:val="24"/>
          <w:szCs w:val="24"/>
        </w:rPr>
        <w:t xml:space="preserve">2020) </w:t>
      </w:r>
      <w:r>
        <w:rPr>
          <w:rFonts w:ascii="Calibri" w:eastAsia="Aptos" w:hAnsi="Calibri" w:cs="Calibri"/>
          <w:sz w:val="24"/>
          <w:szCs w:val="24"/>
        </w:rPr>
        <w:t>as a continuum in the</w:t>
      </w:r>
      <w:r w:rsidRPr="00642657">
        <w:rPr>
          <w:rFonts w:ascii="Calibri" w:eastAsia="Aptos" w:hAnsi="Calibri" w:cs="Calibri"/>
          <w:sz w:val="24"/>
          <w:szCs w:val="24"/>
        </w:rPr>
        <w:t xml:space="preserve"> transition </w:t>
      </w:r>
      <w:r w:rsidR="00677BF7">
        <w:rPr>
          <w:rFonts w:ascii="Calibri" w:eastAsia="Aptos" w:hAnsi="Calibri" w:cs="Calibri"/>
          <w:sz w:val="24"/>
          <w:szCs w:val="24"/>
        </w:rPr>
        <w:t xml:space="preserve">to </w:t>
      </w:r>
      <w:r>
        <w:rPr>
          <w:rFonts w:ascii="Calibri" w:eastAsia="Aptos" w:hAnsi="Calibri" w:cs="Calibri"/>
          <w:sz w:val="24"/>
          <w:szCs w:val="24"/>
        </w:rPr>
        <w:t xml:space="preserve">HE in both </w:t>
      </w:r>
      <w:r w:rsidRPr="00642657">
        <w:rPr>
          <w:rFonts w:ascii="Calibri" w:eastAsia="Aptos" w:hAnsi="Calibri" w:cs="Calibri"/>
          <w:sz w:val="24"/>
          <w:szCs w:val="24"/>
        </w:rPr>
        <w:t xml:space="preserve">psychological </w:t>
      </w:r>
      <w:r>
        <w:rPr>
          <w:rFonts w:ascii="Calibri" w:eastAsia="Aptos" w:hAnsi="Calibri" w:cs="Calibri"/>
          <w:sz w:val="24"/>
          <w:szCs w:val="24"/>
        </w:rPr>
        <w:t xml:space="preserve">and </w:t>
      </w:r>
      <w:r w:rsidRPr="00642657">
        <w:rPr>
          <w:rFonts w:ascii="Calibri" w:eastAsia="Aptos" w:hAnsi="Calibri" w:cs="Calibri"/>
          <w:sz w:val="24"/>
          <w:szCs w:val="24"/>
        </w:rPr>
        <w:t xml:space="preserve">academic characteristics (Richardson and Kind, 2019). </w:t>
      </w:r>
    </w:p>
    <w:p w14:paraId="200B8942" w14:textId="02BF55C8" w:rsidR="001872B0" w:rsidRPr="00F56CAC" w:rsidRDefault="001872B0" w:rsidP="00D16708">
      <w:pPr>
        <w:spacing w:line="360" w:lineRule="auto"/>
        <w:rPr>
          <w:rFonts w:ascii="Calibri" w:eastAsia="Calibri" w:hAnsi="Calibri" w:cs="Times New Roman"/>
          <w:sz w:val="24"/>
          <w:szCs w:val="24"/>
        </w:rPr>
      </w:pPr>
      <w:r>
        <w:rPr>
          <w:rFonts w:ascii="Calibri" w:eastAsia="Calibri" w:hAnsi="Calibri" w:cs="Times New Roman"/>
          <w:sz w:val="24"/>
          <w:szCs w:val="24"/>
        </w:rPr>
        <w:t xml:space="preserve">In the process of adopting a </w:t>
      </w:r>
      <w:r w:rsidRPr="00DF6691">
        <w:rPr>
          <w:rFonts w:ascii="Calibri" w:eastAsia="Calibri" w:hAnsi="Calibri" w:cs="Times New Roman"/>
          <w:sz w:val="24"/>
          <w:szCs w:val="24"/>
        </w:rPr>
        <w:t xml:space="preserve">new perspective </w:t>
      </w:r>
      <w:r w:rsidR="00A567C6">
        <w:rPr>
          <w:rFonts w:ascii="Calibri" w:eastAsia="Calibri" w:hAnsi="Calibri" w:cs="Times New Roman"/>
          <w:sz w:val="24"/>
          <w:szCs w:val="24"/>
        </w:rPr>
        <w:t xml:space="preserve">a </w:t>
      </w:r>
      <w:r w:rsidRPr="00DF6691">
        <w:rPr>
          <w:rFonts w:ascii="Calibri" w:eastAsia="Calibri" w:hAnsi="Calibri" w:cs="Times New Roman"/>
          <w:sz w:val="24"/>
          <w:szCs w:val="24"/>
        </w:rPr>
        <w:t>learner</w:t>
      </w:r>
      <w:r>
        <w:rPr>
          <w:rFonts w:ascii="Calibri" w:eastAsia="Calibri" w:hAnsi="Calibri" w:cs="Times New Roman"/>
          <w:sz w:val="24"/>
          <w:szCs w:val="24"/>
        </w:rPr>
        <w:t xml:space="preserve"> is having to</w:t>
      </w:r>
      <w:r w:rsidRPr="00DF6691">
        <w:rPr>
          <w:rFonts w:ascii="Calibri" w:eastAsia="Calibri" w:hAnsi="Calibri" w:cs="Times New Roman"/>
          <w:sz w:val="24"/>
          <w:szCs w:val="24"/>
        </w:rPr>
        <w:t xml:space="preserve"> modify</w:t>
      </w:r>
      <w:r>
        <w:rPr>
          <w:rFonts w:ascii="Calibri" w:eastAsia="Calibri" w:hAnsi="Calibri" w:cs="Times New Roman"/>
          <w:sz w:val="24"/>
          <w:szCs w:val="24"/>
        </w:rPr>
        <w:t xml:space="preserve"> </w:t>
      </w:r>
      <w:r w:rsidRPr="00DF6691">
        <w:rPr>
          <w:rFonts w:ascii="Calibri" w:eastAsia="Calibri" w:hAnsi="Calibri" w:cs="Times New Roman"/>
          <w:sz w:val="24"/>
          <w:szCs w:val="24"/>
        </w:rPr>
        <w:t xml:space="preserve">their </w:t>
      </w:r>
      <w:r>
        <w:rPr>
          <w:rFonts w:ascii="Calibri" w:eastAsia="Calibri" w:hAnsi="Calibri" w:cs="Times New Roman"/>
          <w:sz w:val="24"/>
          <w:szCs w:val="24"/>
        </w:rPr>
        <w:t xml:space="preserve">previous </w:t>
      </w:r>
      <w:r w:rsidRPr="00DF6691">
        <w:rPr>
          <w:rFonts w:ascii="Calibri" w:eastAsia="Calibri" w:hAnsi="Calibri" w:cs="Times New Roman"/>
          <w:sz w:val="24"/>
          <w:szCs w:val="24"/>
        </w:rPr>
        <w:t>ways of thinking and learning (Abercrombie, 1993</w:t>
      </w:r>
      <w:r>
        <w:rPr>
          <w:rFonts w:ascii="Calibri" w:eastAsia="Calibri" w:hAnsi="Calibri" w:cs="Times New Roman"/>
          <w:sz w:val="24"/>
          <w:szCs w:val="24"/>
        </w:rPr>
        <w:t xml:space="preserve">) and when their ego strength is being challenged, overwhelming </w:t>
      </w:r>
      <w:r w:rsidRPr="00DF6691">
        <w:rPr>
          <w:rFonts w:ascii="Calibri" w:eastAsia="Calibri" w:hAnsi="Calibri" w:cs="Times New Roman"/>
          <w:sz w:val="24"/>
          <w:szCs w:val="24"/>
        </w:rPr>
        <w:t>anxiety and stress (Hirblinger, 2017)</w:t>
      </w:r>
      <w:r>
        <w:rPr>
          <w:rFonts w:ascii="Calibri" w:eastAsia="Calibri" w:hAnsi="Calibri" w:cs="Times New Roman"/>
          <w:sz w:val="24"/>
          <w:szCs w:val="24"/>
        </w:rPr>
        <w:t xml:space="preserve"> </w:t>
      </w:r>
      <w:r w:rsidR="00F6643B">
        <w:rPr>
          <w:rFonts w:ascii="Calibri" w:eastAsia="Calibri" w:hAnsi="Calibri" w:cs="Times New Roman"/>
          <w:sz w:val="24"/>
          <w:szCs w:val="24"/>
        </w:rPr>
        <w:t>are</w:t>
      </w:r>
      <w:r>
        <w:rPr>
          <w:rFonts w:ascii="Calibri" w:eastAsia="Calibri" w:hAnsi="Calibri" w:cs="Times New Roman"/>
          <w:sz w:val="24"/>
          <w:szCs w:val="24"/>
        </w:rPr>
        <w:t xml:space="preserve"> feature</w:t>
      </w:r>
      <w:r w:rsidR="00F6643B">
        <w:rPr>
          <w:rFonts w:ascii="Calibri" w:eastAsia="Calibri" w:hAnsi="Calibri" w:cs="Times New Roman"/>
          <w:sz w:val="24"/>
          <w:szCs w:val="24"/>
        </w:rPr>
        <w:t>s</w:t>
      </w:r>
      <w:r w:rsidR="00137CEF">
        <w:rPr>
          <w:rFonts w:ascii="Calibri" w:eastAsia="Calibri" w:hAnsi="Calibri" w:cs="Times New Roman"/>
          <w:sz w:val="24"/>
          <w:szCs w:val="24"/>
        </w:rPr>
        <w:t xml:space="preserve"> that</w:t>
      </w:r>
      <w:r>
        <w:rPr>
          <w:rFonts w:ascii="Calibri" w:eastAsia="Calibri" w:hAnsi="Calibri" w:cs="Times New Roman"/>
          <w:sz w:val="24"/>
          <w:szCs w:val="24"/>
        </w:rPr>
        <w:t xml:space="preserve"> </w:t>
      </w:r>
      <w:r w:rsidRPr="00DF6691">
        <w:rPr>
          <w:rFonts w:ascii="Calibri" w:eastAsia="Calibri" w:hAnsi="Calibri" w:cs="Times New Roman"/>
          <w:sz w:val="24"/>
          <w:szCs w:val="24"/>
        </w:rPr>
        <w:t>render</w:t>
      </w:r>
      <w:r w:rsidR="00137CEF">
        <w:rPr>
          <w:rFonts w:ascii="Calibri" w:eastAsia="Calibri" w:hAnsi="Calibri" w:cs="Times New Roman"/>
          <w:sz w:val="24"/>
          <w:szCs w:val="24"/>
        </w:rPr>
        <w:t>s</w:t>
      </w:r>
      <w:r>
        <w:rPr>
          <w:rFonts w:ascii="Calibri" w:eastAsia="Calibri" w:hAnsi="Calibri" w:cs="Times New Roman"/>
          <w:sz w:val="24"/>
          <w:szCs w:val="24"/>
        </w:rPr>
        <w:t xml:space="preserve"> the learner</w:t>
      </w:r>
      <w:r w:rsidRPr="00DF6691">
        <w:rPr>
          <w:rFonts w:ascii="Calibri" w:eastAsia="Calibri" w:hAnsi="Calibri" w:cs="Times New Roman"/>
          <w:sz w:val="24"/>
          <w:szCs w:val="24"/>
        </w:rPr>
        <w:t xml:space="preserve"> vulnerable.</w:t>
      </w:r>
      <w:r w:rsidRPr="00730465">
        <w:rPr>
          <w:rFonts w:ascii="Calibri" w:eastAsia="Calibri" w:hAnsi="Calibri" w:cs="Times New Roman"/>
          <w:sz w:val="24"/>
          <w:szCs w:val="24"/>
        </w:rPr>
        <w:t xml:space="preserve"> </w:t>
      </w:r>
      <w:r>
        <w:rPr>
          <w:rFonts w:ascii="Calibri" w:eastAsia="Calibri" w:hAnsi="Calibri" w:cs="Times New Roman"/>
          <w:sz w:val="24"/>
          <w:szCs w:val="24"/>
        </w:rPr>
        <w:t xml:space="preserve">Although the </w:t>
      </w:r>
      <w:r w:rsidRPr="00730465">
        <w:rPr>
          <w:rFonts w:ascii="Calibri" w:eastAsia="Calibri" w:hAnsi="Calibri" w:cs="Times New Roman"/>
          <w:sz w:val="24"/>
          <w:szCs w:val="24"/>
        </w:rPr>
        <w:t>Royal College of Psychiatrists report (RCPsych, 2011)</w:t>
      </w:r>
      <w:r>
        <w:rPr>
          <w:rFonts w:ascii="Calibri" w:eastAsia="Calibri" w:hAnsi="Calibri" w:cs="Times New Roman"/>
          <w:sz w:val="24"/>
          <w:szCs w:val="24"/>
        </w:rPr>
        <w:t xml:space="preserve"> affirms that HE students are generically experiencing vulnerability at the point of transitioning to university, their focus is primarily on those entering university aged 18 years. The findings have implications for a more diverse awareness </w:t>
      </w:r>
      <w:r w:rsidR="007C3BF5">
        <w:rPr>
          <w:rFonts w:ascii="Calibri" w:eastAsia="Calibri" w:hAnsi="Calibri" w:cs="Times New Roman"/>
          <w:sz w:val="24"/>
          <w:szCs w:val="24"/>
        </w:rPr>
        <w:t xml:space="preserve">of </w:t>
      </w:r>
      <w:r>
        <w:rPr>
          <w:rFonts w:ascii="Calibri" w:eastAsia="Calibri" w:hAnsi="Calibri" w:cs="Times New Roman"/>
          <w:sz w:val="24"/>
          <w:szCs w:val="24"/>
        </w:rPr>
        <w:t>and attendance to the needs of the adult returner to help them navigate the strange land of HE.</w:t>
      </w:r>
    </w:p>
    <w:p w14:paraId="759D7254" w14:textId="77777777" w:rsidR="001872B0" w:rsidRPr="0046362D" w:rsidRDefault="001872B0" w:rsidP="0062256D">
      <w:pPr>
        <w:ind w:firstLine="720"/>
        <w:rPr>
          <w:rFonts w:ascii="Calibri" w:hAnsi="Calibri" w:cs="Calibri"/>
          <w:b/>
          <w:bCs/>
          <w:i/>
          <w:iCs/>
          <w:sz w:val="24"/>
          <w:szCs w:val="24"/>
        </w:rPr>
      </w:pPr>
      <w:r>
        <w:rPr>
          <w:rFonts w:ascii="Calibri" w:hAnsi="Calibri" w:cs="Calibri"/>
          <w:b/>
          <w:bCs/>
          <w:i/>
          <w:iCs/>
          <w:sz w:val="24"/>
          <w:szCs w:val="24"/>
        </w:rPr>
        <w:t>T</w:t>
      </w:r>
      <w:r w:rsidRPr="0046362D">
        <w:rPr>
          <w:rFonts w:ascii="Calibri" w:hAnsi="Calibri" w:cs="Calibri"/>
          <w:b/>
          <w:bCs/>
          <w:i/>
          <w:iCs/>
          <w:sz w:val="24"/>
          <w:szCs w:val="24"/>
        </w:rPr>
        <w:t>he magical tool</w:t>
      </w:r>
    </w:p>
    <w:p w14:paraId="3437FA0D" w14:textId="1DC7F5BC" w:rsidR="001872B0" w:rsidRPr="007C02BF" w:rsidRDefault="001872B0" w:rsidP="00685E50">
      <w:pPr>
        <w:spacing w:line="360" w:lineRule="auto"/>
        <w:rPr>
          <w:rFonts w:ascii="Calibri" w:hAnsi="Calibri" w:cs="Calibri"/>
          <w:b/>
          <w:bCs/>
          <w:sz w:val="24"/>
          <w:szCs w:val="24"/>
        </w:rPr>
      </w:pPr>
      <w:r>
        <w:rPr>
          <w:rFonts w:ascii="Calibri" w:hAnsi="Calibri" w:cs="Calibri"/>
          <w:sz w:val="24"/>
          <w:szCs w:val="24"/>
        </w:rPr>
        <w:t>Some participants identified beneficial elements and experiences within their teacher training. For Miriam: “</w:t>
      </w:r>
      <w:r w:rsidRPr="001D28CA">
        <w:rPr>
          <w:rFonts w:ascii="Calibri" w:hAnsi="Calibri" w:cs="Calibri"/>
          <w:i/>
          <w:iCs/>
          <w:sz w:val="24"/>
          <w:szCs w:val="24"/>
        </w:rPr>
        <w:t>It was good to be exposed to a wider community of practice, learn about literature, meet people, and more departments in university</w:t>
      </w:r>
      <w:r>
        <w:rPr>
          <w:rFonts w:ascii="Calibri" w:hAnsi="Calibri" w:cs="Calibri"/>
          <w:sz w:val="24"/>
          <w:szCs w:val="24"/>
        </w:rPr>
        <w:t>” (</w:t>
      </w:r>
      <w:r w:rsidR="00F6643B">
        <w:rPr>
          <w:rFonts w:ascii="Calibri" w:hAnsi="Calibri" w:cs="Calibri"/>
          <w:sz w:val="24"/>
          <w:szCs w:val="24"/>
        </w:rPr>
        <w:t xml:space="preserve">Miriam, </w:t>
      </w:r>
      <w:r>
        <w:rPr>
          <w:rFonts w:ascii="Calibri" w:hAnsi="Calibri" w:cs="Calibri"/>
          <w:sz w:val="24"/>
          <w:szCs w:val="24"/>
        </w:rPr>
        <w:t>T1, p. 6, par 2) and for Sally, who was in teaching practice at the time, learning and doing came together: “</w:t>
      </w:r>
      <w:r w:rsidRPr="001D28CA">
        <w:rPr>
          <w:rFonts w:ascii="Calibri" w:hAnsi="Calibri" w:cs="Calibri"/>
          <w:i/>
          <w:iCs/>
          <w:sz w:val="24"/>
          <w:szCs w:val="24"/>
        </w:rPr>
        <w:t>It was giving me a framework to be able to develop which I hadn’t had up until that point</w:t>
      </w:r>
      <w:r>
        <w:rPr>
          <w:rFonts w:ascii="Calibri" w:hAnsi="Calibri" w:cs="Calibri"/>
          <w:sz w:val="24"/>
          <w:szCs w:val="24"/>
        </w:rPr>
        <w:t>” (</w:t>
      </w:r>
      <w:r w:rsidR="00F6643B">
        <w:rPr>
          <w:rFonts w:ascii="Calibri" w:hAnsi="Calibri" w:cs="Calibri"/>
          <w:sz w:val="24"/>
          <w:szCs w:val="24"/>
        </w:rPr>
        <w:t xml:space="preserve">Sally, </w:t>
      </w:r>
      <w:r>
        <w:rPr>
          <w:rFonts w:ascii="Calibri" w:hAnsi="Calibri" w:cs="Calibri"/>
          <w:sz w:val="24"/>
          <w:szCs w:val="24"/>
        </w:rPr>
        <w:t>T1, p.5, par 12)</w:t>
      </w:r>
      <w:r w:rsidRPr="00351F97">
        <w:rPr>
          <w:rFonts w:ascii="Calibri" w:hAnsi="Calibri" w:cs="Calibri"/>
          <w:sz w:val="24"/>
          <w:szCs w:val="24"/>
        </w:rPr>
        <w:t>.</w:t>
      </w:r>
      <w:r>
        <w:rPr>
          <w:rFonts w:ascii="Calibri" w:hAnsi="Calibri" w:cs="Calibri"/>
          <w:sz w:val="24"/>
          <w:szCs w:val="24"/>
        </w:rPr>
        <w:t xml:space="preserve"> According to Liz</w:t>
      </w:r>
      <w:r w:rsidRPr="00426E6F">
        <w:rPr>
          <w:rFonts w:ascii="Calibri" w:hAnsi="Calibri" w:cs="Calibri"/>
          <w:sz w:val="24"/>
          <w:szCs w:val="24"/>
        </w:rPr>
        <w:t xml:space="preserve"> methods </w:t>
      </w:r>
      <w:r>
        <w:rPr>
          <w:rFonts w:ascii="Calibri" w:hAnsi="Calibri" w:cs="Calibri"/>
          <w:sz w:val="24"/>
          <w:szCs w:val="24"/>
        </w:rPr>
        <w:t xml:space="preserve">drawn from constructing learning theories </w:t>
      </w:r>
      <w:r w:rsidRPr="00426E6F">
        <w:rPr>
          <w:rFonts w:ascii="Calibri" w:hAnsi="Calibri" w:cs="Calibri"/>
          <w:sz w:val="24"/>
          <w:szCs w:val="24"/>
        </w:rPr>
        <w:t>provided</w:t>
      </w:r>
      <w:r>
        <w:rPr>
          <w:rFonts w:ascii="Calibri" w:hAnsi="Calibri" w:cs="Calibri"/>
          <w:sz w:val="24"/>
          <w:szCs w:val="24"/>
        </w:rPr>
        <w:t xml:space="preserve"> her</w:t>
      </w:r>
      <w:r w:rsidRPr="00426E6F">
        <w:rPr>
          <w:rFonts w:ascii="Calibri" w:hAnsi="Calibri" w:cs="Calibri"/>
          <w:sz w:val="24"/>
          <w:szCs w:val="24"/>
        </w:rPr>
        <w:t xml:space="preserve"> with a vital tool for teaching practice:</w:t>
      </w:r>
      <w:r>
        <w:rPr>
          <w:rFonts w:ascii="Calibri" w:hAnsi="Calibri" w:cs="Calibri"/>
          <w:sz w:val="24"/>
          <w:szCs w:val="24"/>
        </w:rPr>
        <w:t xml:space="preserve"> “</w:t>
      </w:r>
      <w:r w:rsidRPr="001D28CA">
        <w:rPr>
          <w:rFonts w:ascii="Calibri" w:hAnsi="Calibri" w:cs="Calibri"/>
          <w:i/>
          <w:iCs/>
          <w:sz w:val="24"/>
          <w:szCs w:val="24"/>
        </w:rPr>
        <w:t>Learning constructivism, that to me was the gold because as soon as I’d understood that I was like this is the type of teacher I want to be</w:t>
      </w:r>
      <w:r>
        <w:rPr>
          <w:rFonts w:ascii="Calibri" w:hAnsi="Calibri" w:cs="Calibri"/>
          <w:sz w:val="24"/>
          <w:szCs w:val="24"/>
        </w:rPr>
        <w:t>” (</w:t>
      </w:r>
      <w:r w:rsidR="00F6643B">
        <w:rPr>
          <w:rFonts w:ascii="Calibri" w:hAnsi="Calibri" w:cs="Calibri"/>
          <w:sz w:val="24"/>
          <w:szCs w:val="24"/>
        </w:rPr>
        <w:t xml:space="preserve">Liz, </w:t>
      </w:r>
      <w:r>
        <w:rPr>
          <w:rFonts w:ascii="Calibri" w:hAnsi="Calibri" w:cs="Calibri"/>
          <w:sz w:val="24"/>
          <w:szCs w:val="24"/>
        </w:rPr>
        <w:t>T1, p.4, par 4)</w:t>
      </w:r>
      <w:r w:rsidRPr="006102F9">
        <w:rPr>
          <w:rFonts w:ascii="Calibri" w:hAnsi="Calibri" w:cs="Calibri"/>
          <w:sz w:val="24"/>
          <w:szCs w:val="24"/>
        </w:rPr>
        <w:t xml:space="preserve">. </w:t>
      </w:r>
    </w:p>
    <w:p w14:paraId="6280902C" w14:textId="79B0964A" w:rsidR="001872B0" w:rsidRDefault="001872B0" w:rsidP="005623CC">
      <w:pPr>
        <w:spacing w:line="360" w:lineRule="auto"/>
        <w:rPr>
          <w:rFonts w:ascii="Calibri" w:hAnsi="Calibri" w:cs="Calibri"/>
          <w:sz w:val="24"/>
          <w:szCs w:val="24"/>
        </w:rPr>
      </w:pPr>
      <w:r>
        <w:rPr>
          <w:rFonts w:ascii="Calibri" w:hAnsi="Calibri" w:cs="Calibri"/>
          <w:sz w:val="24"/>
          <w:szCs w:val="24"/>
        </w:rPr>
        <w:lastRenderedPageBreak/>
        <w:t>Referring to the positive support provided by others whilst learning Laura notes: “</w:t>
      </w:r>
      <w:r w:rsidRPr="00ED5ECA">
        <w:rPr>
          <w:rFonts w:ascii="Calibri" w:hAnsi="Calibri" w:cs="Calibri"/>
          <w:i/>
          <w:iCs/>
          <w:sz w:val="24"/>
          <w:szCs w:val="24"/>
        </w:rPr>
        <w:t>I think I just got lucky with the person that was my supervisor. It did give me a really positive impression of the line of work that I was throwing myself into</w:t>
      </w:r>
      <w:r>
        <w:rPr>
          <w:rFonts w:ascii="Calibri" w:hAnsi="Calibri" w:cs="Calibri"/>
          <w:sz w:val="24"/>
          <w:szCs w:val="24"/>
        </w:rPr>
        <w:t>” (</w:t>
      </w:r>
      <w:r w:rsidR="00506399">
        <w:rPr>
          <w:rFonts w:ascii="Calibri" w:hAnsi="Calibri" w:cs="Calibri"/>
          <w:sz w:val="24"/>
          <w:szCs w:val="24"/>
        </w:rPr>
        <w:t xml:space="preserve">Laura, </w:t>
      </w:r>
      <w:r>
        <w:rPr>
          <w:rFonts w:ascii="Calibri" w:hAnsi="Calibri" w:cs="Calibri"/>
          <w:sz w:val="24"/>
          <w:szCs w:val="24"/>
        </w:rPr>
        <w:t>T1, p. 4, par 12)</w:t>
      </w:r>
      <w:r w:rsidRPr="00456370">
        <w:rPr>
          <w:rFonts w:ascii="Calibri" w:hAnsi="Calibri" w:cs="Calibri"/>
          <w:sz w:val="24"/>
          <w:szCs w:val="24"/>
        </w:rPr>
        <w:t>.</w:t>
      </w:r>
      <w:r>
        <w:rPr>
          <w:rFonts w:ascii="Calibri" w:hAnsi="Calibri" w:cs="Calibri"/>
          <w:sz w:val="24"/>
          <w:szCs w:val="24"/>
        </w:rPr>
        <w:t xml:space="preserve"> Fred described discussions and debriefing with teacher trainers as the cornerstone of support: “</w:t>
      </w:r>
      <w:r w:rsidRPr="00ED5ECA">
        <w:rPr>
          <w:rFonts w:ascii="Calibri" w:hAnsi="Calibri" w:cs="Calibri"/>
          <w:i/>
          <w:iCs/>
          <w:sz w:val="24"/>
          <w:szCs w:val="24"/>
        </w:rPr>
        <w:t>So people really talk relatively directly in these things but from how they were made to feel and how you could improve on this. There’s always one or two people to guide this in a productive manner</w:t>
      </w:r>
      <w:r>
        <w:rPr>
          <w:rFonts w:ascii="Calibri" w:hAnsi="Calibri" w:cs="Calibri"/>
          <w:sz w:val="24"/>
          <w:szCs w:val="24"/>
        </w:rPr>
        <w:t>” (</w:t>
      </w:r>
      <w:r w:rsidR="004F6873">
        <w:rPr>
          <w:rFonts w:ascii="Calibri" w:hAnsi="Calibri" w:cs="Calibri"/>
          <w:sz w:val="24"/>
          <w:szCs w:val="24"/>
        </w:rPr>
        <w:t xml:space="preserve">Fred, </w:t>
      </w:r>
      <w:r>
        <w:rPr>
          <w:rFonts w:ascii="Calibri" w:hAnsi="Calibri" w:cs="Calibri"/>
          <w:sz w:val="24"/>
          <w:szCs w:val="24"/>
        </w:rPr>
        <w:t>T1, p. 6, par 3).</w:t>
      </w:r>
    </w:p>
    <w:p w14:paraId="7927E4D0" w14:textId="13637EAB" w:rsidR="001872B0" w:rsidRDefault="001872B0" w:rsidP="00B01793">
      <w:pPr>
        <w:spacing w:line="360" w:lineRule="auto"/>
        <w:rPr>
          <w:rFonts w:ascii="Calibri" w:hAnsi="Calibri" w:cs="Calibri"/>
          <w:sz w:val="24"/>
          <w:szCs w:val="24"/>
        </w:rPr>
      </w:pPr>
      <w:r w:rsidRPr="00C87815">
        <w:rPr>
          <w:rFonts w:ascii="Calibri" w:hAnsi="Calibri" w:cs="Calibri"/>
          <w:sz w:val="24"/>
          <w:szCs w:val="24"/>
        </w:rPr>
        <w:t>The</w:t>
      </w:r>
      <w:r>
        <w:rPr>
          <w:rFonts w:ascii="Calibri" w:hAnsi="Calibri" w:cs="Calibri"/>
          <w:sz w:val="24"/>
          <w:szCs w:val="24"/>
        </w:rPr>
        <w:t xml:space="preserve">se commentaries </w:t>
      </w:r>
      <w:r w:rsidRPr="00C87815">
        <w:rPr>
          <w:rFonts w:ascii="Calibri" w:hAnsi="Calibri" w:cs="Calibri"/>
          <w:sz w:val="24"/>
          <w:szCs w:val="24"/>
        </w:rPr>
        <w:t>describe the nature of</w:t>
      </w:r>
      <w:r w:rsidRPr="00337285">
        <w:rPr>
          <w:rFonts w:ascii="Calibri" w:hAnsi="Calibri" w:cs="Calibri"/>
          <w:sz w:val="24"/>
          <w:szCs w:val="24"/>
        </w:rPr>
        <w:t xml:space="preserve"> holding </w:t>
      </w:r>
      <w:r w:rsidR="00044A94">
        <w:rPr>
          <w:rFonts w:ascii="Calibri" w:hAnsi="Calibri" w:cs="Calibri"/>
          <w:sz w:val="24"/>
          <w:szCs w:val="24"/>
        </w:rPr>
        <w:t xml:space="preserve">(Winnicott, 1965) </w:t>
      </w:r>
      <w:r>
        <w:rPr>
          <w:rFonts w:ascii="Calibri" w:hAnsi="Calibri" w:cs="Calibri"/>
          <w:sz w:val="24"/>
          <w:szCs w:val="24"/>
        </w:rPr>
        <w:t xml:space="preserve">experienced </w:t>
      </w:r>
      <w:r w:rsidRPr="00337285">
        <w:rPr>
          <w:rFonts w:ascii="Calibri" w:hAnsi="Calibri" w:cs="Calibri"/>
          <w:sz w:val="24"/>
          <w:szCs w:val="24"/>
        </w:rPr>
        <w:t xml:space="preserve">as a frame (Milner, 1952), a structure with </w:t>
      </w:r>
      <w:r>
        <w:rPr>
          <w:rFonts w:ascii="Calibri" w:hAnsi="Calibri" w:cs="Calibri"/>
          <w:sz w:val="24"/>
          <w:szCs w:val="24"/>
        </w:rPr>
        <w:t xml:space="preserve">a </w:t>
      </w:r>
      <w:r w:rsidRPr="00337285">
        <w:rPr>
          <w:rFonts w:ascii="Calibri" w:hAnsi="Calibri" w:cs="Calibri"/>
          <w:sz w:val="24"/>
          <w:szCs w:val="24"/>
        </w:rPr>
        <w:t>boundary that allows for growth and creativity within it</w:t>
      </w:r>
      <w:r>
        <w:rPr>
          <w:rFonts w:ascii="Calibri" w:hAnsi="Calibri" w:cs="Calibri"/>
          <w:sz w:val="24"/>
          <w:szCs w:val="24"/>
        </w:rPr>
        <w:t>, which</w:t>
      </w:r>
      <w:r w:rsidRPr="00337285">
        <w:rPr>
          <w:rFonts w:ascii="Calibri" w:hAnsi="Calibri" w:cs="Calibri"/>
          <w:sz w:val="24"/>
          <w:szCs w:val="24"/>
        </w:rPr>
        <w:t xml:space="preserve"> is both the object mother and the environmental mother (Winnicott, 1960). Milner (1952) uses the metaphor of an artist’s framing of a picture</w:t>
      </w:r>
      <w:r>
        <w:rPr>
          <w:rFonts w:ascii="Calibri" w:hAnsi="Calibri" w:cs="Calibri"/>
          <w:sz w:val="24"/>
          <w:szCs w:val="24"/>
        </w:rPr>
        <w:t xml:space="preserve"> which provides a boundary for </w:t>
      </w:r>
      <w:r w:rsidRPr="00337285">
        <w:rPr>
          <w:rFonts w:ascii="Calibri" w:hAnsi="Calibri" w:cs="Calibri"/>
          <w:sz w:val="24"/>
          <w:szCs w:val="24"/>
        </w:rPr>
        <w:t>the artist’s creation (Gray, 1994). For Miriam the frame include</w:t>
      </w:r>
      <w:r>
        <w:rPr>
          <w:rFonts w:ascii="Calibri" w:hAnsi="Calibri" w:cs="Calibri"/>
          <w:sz w:val="24"/>
          <w:szCs w:val="24"/>
        </w:rPr>
        <w:t>d exposure to</w:t>
      </w:r>
      <w:r w:rsidRPr="00337285">
        <w:rPr>
          <w:rFonts w:ascii="Calibri" w:hAnsi="Calibri" w:cs="Calibri"/>
          <w:sz w:val="24"/>
          <w:szCs w:val="24"/>
        </w:rPr>
        <w:t xml:space="preserve"> a wider community, although there is no reference to any emotional holding provided by the same; </w:t>
      </w:r>
      <w:r>
        <w:rPr>
          <w:rFonts w:ascii="Calibri" w:hAnsi="Calibri" w:cs="Calibri"/>
          <w:sz w:val="24"/>
          <w:szCs w:val="24"/>
        </w:rPr>
        <w:t>there was simply “</w:t>
      </w:r>
      <w:r w:rsidRPr="00ED5ECA">
        <w:rPr>
          <w:rFonts w:ascii="Calibri" w:hAnsi="Calibri" w:cs="Calibri"/>
          <w:i/>
          <w:iCs/>
          <w:sz w:val="24"/>
          <w:szCs w:val="24"/>
        </w:rPr>
        <w:t>value</w:t>
      </w:r>
      <w:r>
        <w:rPr>
          <w:rFonts w:ascii="Calibri" w:hAnsi="Calibri" w:cs="Calibri"/>
          <w:sz w:val="24"/>
          <w:szCs w:val="24"/>
        </w:rPr>
        <w:t>” in the teaching qualification (</w:t>
      </w:r>
      <w:r w:rsidR="004F6873">
        <w:rPr>
          <w:rFonts w:ascii="Calibri" w:hAnsi="Calibri" w:cs="Calibri"/>
          <w:sz w:val="24"/>
          <w:szCs w:val="24"/>
        </w:rPr>
        <w:t xml:space="preserve">Miriam, </w:t>
      </w:r>
      <w:r>
        <w:rPr>
          <w:rFonts w:ascii="Calibri" w:hAnsi="Calibri" w:cs="Calibri"/>
          <w:sz w:val="24"/>
          <w:szCs w:val="24"/>
        </w:rPr>
        <w:t>T1, p.6, par 1)</w:t>
      </w:r>
      <w:r w:rsidRPr="00337285">
        <w:rPr>
          <w:rFonts w:ascii="Calibri" w:hAnsi="Calibri" w:cs="Calibri"/>
          <w:sz w:val="24"/>
          <w:szCs w:val="24"/>
        </w:rPr>
        <w:t>. For Sally her course provided her with a new framework that allowed her to develop</w:t>
      </w:r>
      <w:r>
        <w:rPr>
          <w:rFonts w:ascii="Calibri" w:hAnsi="Calibri" w:cs="Calibri"/>
          <w:sz w:val="24"/>
          <w:szCs w:val="24"/>
        </w:rPr>
        <w:t xml:space="preserve">. For </w:t>
      </w:r>
      <w:r w:rsidRPr="00337285">
        <w:rPr>
          <w:rFonts w:ascii="Calibri" w:hAnsi="Calibri" w:cs="Calibri"/>
          <w:sz w:val="24"/>
          <w:szCs w:val="24"/>
        </w:rPr>
        <w:t xml:space="preserve">Laura it was </w:t>
      </w:r>
      <w:r>
        <w:rPr>
          <w:rFonts w:ascii="Calibri" w:hAnsi="Calibri" w:cs="Calibri"/>
          <w:sz w:val="24"/>
          <w:szCs w:val="24"/>
        </w:rPr>
        <w:t xml:space="preserve">the </w:t>
      </w:r>
      <w:r w:rsidRPr="00337285">
        <w:rPr>
          <w:rFonts w:ascii="Calibri" w:hAnsi="Calibri" w:cs="Calibri"/>
          <w:sz w:val="24"/>
          <w:szCs w:val="24"/>
        </w:rPr>
        <w:t xml:space="preserve">object mother (Winnicott, 1960) of her supervisor who provided a positive outlook on her future career choice echoing MacCallum Sullivan and Goldenberg’s (2003) considerations that: “As with the therapeutic relationship, the teacher offers an implicit optimism about humanity” (p.20). </w:t>
      </w:r>
    </w:p>
    <w:p w14:paraId="0A81F0EF" w14:textId="77C20186" w:rsidR="001872B0" w:rsidRDefault="001872B0" w:rsidP="00B01793">
      <w:pPr>
        <w:spacing w:line="360" w:lineRule="auto"/>
        <w:rPr>
          <w:rFonts w:ascii="Calibri" w:hAnsi="Calibri" w:cs="Calibri"/>
          <w:sz w:val="24"/>
          <w:szCs w:val="24"/>
        </w:rPr>
      </w:pPr>
      <w:r w:rsidRPr="00337285">
        <w:rPr>
          <w:rFonts w:ascii="Calibri" w:hAnsi="Calibri" w:cs="Calibri"/>
          <w:sz w:val="24"/>
          <w:szCs w:val="24"/>
        </w:rPr>
        <w:t xml:space="preserve">Fred </w:t>
      </w:r>
      <w:r>
        <w:rPr>
          <w:rFonts w:ascii="Calibri" w:hAnsi="Calibri" w:cs="Calibri"/>
          <w:sz w:val="24"/>
          <w:szCs w:val="24"/>
        </w:rPr>
        <w:t xml:space="preserve">experienced </w:t>
      </w:r>
      <w:r w:rsidRPr="00337285">
        <w:rPr>
          <w:rFonts w:ascii="Calibri" w:hAnsi="Calibri" w:cs="Calibri"/>
          <w:sz w:val="24"/>
          <w:szCs w:val="24"/>
        </w:rPr>
        <w:t>holding by a few course leaders, people with more experience</w:t>
      </w:r>
      <w:r>
        <w:rPr>
          <w:rFonts w:ascii="Calibri" w:hAnsi="Calibri" w:cs="Calibri"/>
          <w:sz w:val="24"/>
          <w:szCs w:val="24"/>
        </w:rPr>
        <w:t xml:space="preserve"> who acted as active “critical friends” (Biggs and Tang, 1999, p.53). These partners and consultants were a mirror (Stenhouse, 1975)</w:t>
      </w:r>
      <w:r w:rsidR="00C71CA2">
        <w:rPr>
          <w:rFonts w:ascii="Calibri" w:hAnsi="Calibri" w:cs="Calibri"/>
          <w:sz w:val="24"/>
          <w:szCs w:val="24"/>
        </w:rPr>
        <w:t>,</w:t>
      </w:r>
      <w:r w:rsidR="00644F0F">
        <w:rPr>
          <w:rFonts w:ascii="Calibri" w:hAnsi="Calibri" w:cs="Calibri"/>
          <w:sz w:val="24"/>
          <w:szCs w:val="24"/>
        </w:rPr>
        <w:t xml:space="preserve"> </w:t>
      </w:r>
      <w:r w:rsidR="00C71CA2">
        <w:rPr>
          <w:rFonts w:ascii="Calibri" w:hAnsi="Calibri" w:cs="Calibri"/>
          <w:sz w:val="24"/>
          <w:szCs w:val="24"/>
        </w:rPr>
        <w:t xml:space="preserve">allowed </w:t>
      </w:r>
      <w:r w:rsidRPr="00337285">
        <w:rPr>
          <w:rFonts w:ascii="Calibri" w:hAnsi="Calibri" w:cs="Calibri"/>
          <w:sz w:val="24"/>
          <w:szCs w:val="24"/>
        </w:rPr>
        <w:t>dialogue to be deepened and held</w:t>
      </w:r>
      <w:r>
        <w:rPr>
          <w:rFonts w:ascii="Calibri" w:hAnsi="Calibri" w:cs="Calibri"/>
          <w:sz w:val="24"/>
          <w:szCs w:val="24"/>
        </w:rPr>
        <w:t xml:space="preserve">, and </w:t>
      </w:r>
      <w:r w:rsidR="001E65C4">
        <w:rPr>
          <w:rFonts w:ascii="Calibri" w:hAnsi="Calibri" w:cs="Calibri"/>
          <w:sz w:val="24"/>
          <w:szCs w:val="24"/>
        </w:rPr>
        <w:t xml:space="preserve">facilitated </w:t>
      </w:r>
      <w:r>
        <w:rPr>
          <w:rFonts w:ascii="Calibri" w:hAnsi="Calibri" w:cs="Calibri"/>
          <w:sz w:val="24"/>
          <w:szCs w:val="24"/>
        </w:rPr>
        <w:t>transformations</w:t>
      </w:r>
      <w:r w:rsidRPr="00337285">
        <w:rPr>
          <w:rFonts w:ascii="Calibri" w:hAnsi="Calibri" w:cs="Calibri"/>
          <w:sz w:val="24"/>
          <w:szCs w:val="24"/>
        </w:rPr>
        <w:t xml:space="preserve">. </w:t>
      </w:r>
      <w:r>
        <w:rPr>
          <w:rFonts w:ascii="Calibri" w:hAnsi="Calibri" w:cs="Calibri"/>
          <w:sz w:val="24"/>
          <w:szCs w:val="24"/>
        </w:rPr>
        <w:t>Referring to the advantages of transformative reflection, Biggs and Tang (1999) believe an explicit consciously worked out theory of teaching provides a strong framework for the university teacher, as opposed to an implicit personal theory of teaching</w:t>
      </w:r>
      <w:r w:rsidR="00C12E05">
        <w:rPr>
          <w:rFonts w:ascii="Calibri" w:hAnsi="Calibri" w:cs="Calibri"/>
          <w:sz w:val="24"/>
          <w:szCs w:val="24"/>
        </w:rPr>
        <w:t>;</w:t>
      </w:r>
      <w:r>
        <w:rPr>
          <w:rFonts w:ascii="Calibri" w:hAnsi="Calibri" w:cs="Calibri"/>
          <w:sz w:val="24"/>
          <w:szCs w:val="24"/>
        </w:rPr>
        <w:t xml:space="preserve"> a factor explicitly affirmed by Liz</w:t>
      </w:r>
      <w:r w:rsidR="00E11C46">
        <w:rPr>
          <w:rFonts w:ascii="Calibri" w:hAnsi="Calibri" w:cs="Calibri"/>
          <w:sz w:val="24"/>
          <w:szCs w:val="24"/>
        </w:rPr>
        <w:t xml:space="preserve"> (T1)</w:t>
      </w:r>
      <w:r>
        <w:rPr>
          <w:rFonts w:ascii="Calibri" w:hAnsi="Calibri" w:cs="Calibri"/>
          <w:sz w:val="24"/>
          <w:szCs w:val="24"/>
        </w:rPr>
        <w:t xml:space="preserve">. </w:t>
      </w:r>
    </w:p>
    <w:p w14:paraId="3604AD8F" w14:textId="77777777" w:rsidR="001872B0" w:rsidRPr="00562EFB" w:rsidRDefault="001872B0" w:rsidP="00B01793">
      <w:pPr>
        <w:spacing w:line="360" w:lineRule="auto"/>
        <w:rPr>
          <w:rFonts w:ascii="Calibri" w:hAnsi="Calibri" w:cs="Calibri"/>
          <w:b/>
          <w:bCs/>
          <w:sz w:val="24"/>
          <w:szCs w:val="24"/>
        </w:rPr>
      </w:pPr>
      <w:r>
        <w:rPr>
          <w:rFonts w:ascii="Calibri" w:hAnsi="Calibri" w:cs="Calibri"/>
          <w:b/>
          <w:bCs/>
          <w:sz w:val="24"/>
          <w:szCs w:val="24"/>
        </w:rPr>
        <w:t>A pause to gather</w:t>
      </w:r>
    </w:p>
    <w:p w14:paraId="6C830B48" w14:textId="18EAC49B" w:rsidR="001872B0" w:rsidRDefault="001872B0" w:rsidP="00B01793">
      <w:pPr>
        <w:spacing w:line="360" w:lineRule="auto"/>
        <w:rPr>
          <w:rFonts w:ascii="Calibri" w:hAnsi="Calibri" w:cs="Calibri"/>
          <w:sz w:val="24"/>
          <w:szCs w:val="24"/>
        </w:rPr>
      </w:pPr>
      <w:r>
        <w:rPr>
          <w:rFonts w:ascii="Calibri" w:hAnsi="Calibri" w:cs="Calibri"/>
          <w:sz w:val="24"/>
          <w:szCs w:val="24"/>
        </w:rPr>
        <w:t>These findings suggest that participants had an awareness of what they needed to support them in their becoming-teachers journeys and for some this was available</w:t>
      </w:r>
      <w:r w:rsidR="001E622C">
        <w:rPr>
          <w:rFonts w:ascii="Calibri" w:hAnsi="Calibri" w:cs="Calibri"/>
          <w:sz w:val="24"/>
          <w:szCs w:val="24"/>
        </w:rPr>
        <w:t>,</w:t>
      </w:r>
      <w:r>
        <w:rPr>
          <w:rFonts w:ascii="Calibri" w:hAnsi="Calibri" w:cs="Calibri"/>
          <w:sz w:val="24"/>
          <w:szCs w:val="24"/>
        </w:rPr>
        <w:t xml:space="preserve"> resulting in their affirmation in their learning. Others had to seek out support. For those who experienced </w:t>
      </w:r>
      <w:r>
        <w:rPr>
          <w:rFonts w:ascii="Calibri" w:hAnsi="Calibri" w:cs="Calibri"/>
          <w:sz w:val="24"/>
          <w:szCs w:val="24"/>
        </w:rPr>
        <w:lastRenderedPageBreak/>
        <w:t xml:space="preserve">their initiation into teaching as arduous, there were lasting consequences emotionally and they identify the importance of </w:t>
      </w:r>
      <w:r w:rsidR="00A06C30">
        <w:rPr>
          <w:rFonts w:ascii="Calibri" w:hAnsi="Calibri" w:cs="Calibri"/>
          <w:sz w:val="24"/>
          <w:szCs w:val="24"/>
        </w:rPr>
        <w:t>support</w:t>
      </w:r>
      <w:r>
        <w:rPr>
          <w:rFonts w:ascii="Calibri" w:hAnsi="Calibri" w:cs="Calibri"/>
          <w:sz w:val="24"/>
          <w:szCs w:val="24"/>
        </w:rPr>
        <w:t xml:space="preserve"> as crucial to their learning and development. Adult returners in particular experienced emotionally challenging learning environs, there was a lack of understanding and support for them as learners, and they highlighted the incongruence of their training. </w:t>
      </w:r>
      <w:bookmarkStart w:id="69" w:name="_Hlk196914556"/>
      <w:r>
        <w:rPr>
          <w:rFonts w:ascii="Calibri" w:hAnsi="Calibri" w:cs="Calibri"/>
          <w:sz w:val="24"/>
          <w:szCs w:val="24"/>
        </w:rPr>
        <w:t xml:space="preserve">The results suggest that psychological, emotional and academic support ought to be offered to </w:t>
      </w:r>
      <w:r w:rsidRPr="001B15A8">
        <w:rPr>
          <w:rFonts w:ascii="Calibri" w:hAnsi="Calibri" w:cs="Calibri"/>
          <w:i/>
          <w:iCs/>
          <w:sz w:val="24"/>
          <w:szCs w:val="24"/>
        </w:rPr>
        <w:t>all</w:t>
      </w:r>
      <w:r>
        <w:rPr>
          <w:rFonts w:ascii="Calibri" w:hAnsi="Calibri" w:cs="Calibri"/>
          <w:sz w:val="24"/>
          <w:szCs w:val="24"/>
        </w:rPr>
        <w:t xml:space="preserve"> students, with an adage that the pastoral needs of more mature students require judicious consideration.</w:t>
      </w:r>
    </w:p>
    <w:p w14:paraId="7A54BC2B" w14:textId="21839314" w:rsidR="001872B0" w:rsidRPr="003B40C0" w:rsidRDefault="001872B0" w:rsidP="00B01793">
      <w:pPr>
        <w:spacing w:line="360" w:lineRule="auto"/>
        <w:rPr>
          <w:rFonts w:ascii="Calibri" w:hAnsi="Calibri" w:cs="Calibri"/>
          <w:sz w:val="24"/>
          <w:szCs w:val="24"/>
        </w:rPr>
      </w:pPr>
      <w:r w:rsidRPr="00737452">
        <w:rPr>
          <w:rFonts w:ascii="Calibri" w:hAnsi="Calibri" w:cs="Calibri"/>
          <w:sz w:val="24"/>
          <w:szCs w:val="24"/>
        </w:rPr>
        <w:t xml:space="preserve">The findings imply that a theory </w:t>
      </w:r>
      <w:r>
        <w:rPr>
          <w:rFonts w:ascii="Calibri" w:hAnsi="Calibri" w:cs="Calibri"/>
          <w:sz w:val="24"/>
          <w:szCs w:val="24"/>
        </w:rPr>
        <w:t xml:space="preserve">or method </w:t>
      </w:r>
      <w:r w:rsidR="00916AFB">
        <w:rPr>
          <w:rFonts w:ascii="Calibri" w:hAnsi="Calibri" w:cs="Calibri"/>
          <w:sz w:val="24"/>
          <w:szCs w:val="24"/>
        </w:rPr>
        <w:t xml:space="preserve">or person/people </w:t>
      </w:r>
      <w:r w:rsidRPr="00737452">
        <w:rPr>
          <w:rFonts w:ascii="Calibri" w:hAnsi="Calibri" w:cs="Calibri"/>
          <w:sz w:val="24"/>
          <w:szCs w:val="24"/>
        </w:rPr>
        <w:t>can provide the frame</w:t>
      </w:r>
      <w:r>
        <w:rPr>
          <w:rFonts w:ascii="Calibri" w:hAnsi="Calibri" w:cs="Calibri"/>
          <w:sz w:val="24"/>
          <w:szCs w:val="24"/>
        </w:rPr>
        <w:t xml:space="preserve">. Furthermore, </w:t>
      </w:r>
      <w:r w:rsidRPr="00737452">
        <w:rPr>
          <w:rFonts w:ascii="Calibri" w:hAnsi="Calibri" w:cs="Calibri"/>
          <w:sz w:val="24"/>
          <w:szCs w:val="24"/>
        </w:rPr>
        <w:t>both the theory and a trusted circle of people can be transitional object</w:t>
      </w:r>
      <w:r w:rsidR="00657B4A">
        <w:rPr>
          <w:rFonts w:ascii="Calibri" w:hAnsi="Calibri" w:cs="Calibri"/>
          <w:sz w:val="24"/>
          <w:szCs w:val="24"/>
        </w:rPr>
        <w:t>s</w:t>
      </w:r>
      <w:r w:rsidRPr="00737452">
        <w:rPr>
          <w:rFonts w:ascii="Calibri" w:hAnsi="Calibri" w:cs="Calibri"/>
          <w:sz w:val="24"/>
          <w:szCs w:val="24"/>
        </w:rPr>
        <w:t xml:space="preserve"> (Winnicott, 1951), the adult equivalent of a comfort blanket or teddy bear. Cashdan (1999) believes that transitional objects “possess the magical power to confer love” (p.127)</w:t>
      </w:r>
      <w:r w:rsidR="000E5D8C">
        <w:rPr>
          <w:rFonts w:ascii="Calibri" w:hAnsi="Calibri" w:cs="Calibri"/>
          <w:sz w:val="24"/>
          <w:szCs w:val="24"/>
        </w:rPr>
        <w:t>,</w:t>
      </w:r>
      <w:r w:rsidRPr="00737452">
        <w:rPr>
          <w:rFonts w:ascii="Calibri" w:hAnsi="Calibri" w:cs="Calibri"/>
          <w:sz w:val="24"/>
          <w:szCs w:val="24"/>
        </w:rPr>
        <w:t xml:space="preserve"> bridge gap</w:t>
      </w:r>
      <w:r>
        <w:rPr>
          <w:rFonts w:ascii="Calibri" w:hAnsi="Calibri" w:cs="Calibri"/>
          <w:sz w:val="24"/>
          <w:szCs w:val="24"/>
        </w:rPr>
        <w:t>s</w:t>
      </w:r>
      <w:r w:rsidRPr="00737452">
        <w:rPr>
          <w:rFonts w:ascii="Calibri" w:hAnsi="Calibri" w:cs="Calibri"/>
          <w:sz w:val="24"/>
          <w:szCs w:val="24"/>
        </w:rPr>
        <w:t xml:space="preserve"> of the environmental mother and</w:t>
      </w:r>
      <w:r>
        <w:rPr>
          <w:rFonts w:ascii="Calibri" w:hAnsi="Calibri" w:cs="Calibri"/>
          <w:sz w:val="24"/>
          <w:szCs w:val="24"/>
        </w:rPr>
        <w:t xml:space="preserve"> represent the </w:t>
      </w:r>
      <w:r w:rsidRPr="00737452">
        <w:rPr>
          <w:rFonts w:ascii="Calibri" w:hAnsi="Calibri" w:cs="Calibri"/>
          <w:sz w:val="24"/>
          <w:szCs w:val="24"/>
        </w:rPr>
        <w:t>inner presence of mother, love and care (</w:t>
      </w:r>
      <w:r w:rsidR="00AB1ADC">
        <w:rPr>
          <w:rFonts w:ascii="Calibri" w:hAnsi="Calibri" w:cs="Calibri"/>
          <w:sz w:val="24"/>
          <w:szCs w:val="24"/>
        </w:rPr>
        <w:t>ibid.</w:t>
      </w:r>
      <w:r w:rsidRPr="00737452">
        <w:rPr>
          <w:rFonts w:ascii="Calibri" w:hAnsi="Calibri" w:cs="Calibri"/>
          <w:sz w:val="24"/>
          <w:szCs w:val="24"/>
        </w:rPr>
        <w:t>). Th</w:t>
      </w:r>
      <w:r>
        <w:rPr>
          <w:rFonts w:ascii="Calibri" w:hAnsi="Calibri" w:cs="Calibri"/>
          <w:sz w:val="24"/>
          <w:szCs w:val="24"/>
        </w:rPr>
        <w:t>e overall findings lend</w:t>
      </w:r>
      <w:r w:rsidRPr="00737452">
        <w:rPr>
          <w:rFonts w:ascii="Calibri" w:hAnsi="Calibri" w:cs="Calibri"/>
          <w:sz w:val="24"/>
          <w:szCs w:val="24"/>
        </w:rPr>
        <w:t xml:space="preserve"> support for the notion that </w:t>
      </w:r>
      <w:r w:rsidR="00ED5ECA" w:rsidRPr="00737452">
        <w:rPr>
          <w:rFonts w:ascii="Calibri" w:hAnsi="Calibri" w:cs="Calibri"/>
          <w:sz w:val="24"/>
          <w:szCs w:val="24"/>
        </w:rPr>
        <w:t>care</w:t>
      </w:r>
      <w:r w:rsidR="0017081E">
        <w:rPr>
          <w:rFonts w:ascii="Calibri" w:hAnsi="Calibri" w:cs="Calibri"/>
          <w:sz w:val="24"/>
          <w:szCs w:val="24"/>
        </w:rPr>
        <w:t xml:space="preserve"> </w:t>
      </w:r>
      <w:r w:rsidRPr="00737452">
        <w:rPr>
          <w:rFonts w:ascii="Calibri" w:hAnsi="Calibri" w:cs="Calibri"/>
          <w:sz w:val="24"/>
          <w:szCs w:val="24"/>
        </w:rPr>
        <w:t>and support remain important aspect</w:t>
      </w:r>
      <w:r w:rsidR="0017081E">
        <w:rPr>
          <w:rFonts w:ascii="Calibri" w:hAnsi="Calibri" w:cs="Calibri"/>
          <w:sz w:val="24"/>
          <w:szCs w:val="24"/>
        </w:rPr>
        <w:t>s</w:t>
      </w:r>
      <w:r w:rsidRPr="00737452">
        <w:rPr>
          <w:rFonts w:ascii="Calibri" w:hAnsi="Calibri" w:cs="Calibri"/>
          <w:sz w:val="24"/>
          <w:szCs w:val="24"/>
        </w:rPr>
        <w:t xml:space="preserve"> throughout the learning process. </w:t>
      </w:r>
    </w:p>
    <w:bookmarkEnd w:id="69"/>
    <w:p w14:paraId="1FC3B6EF" w14:textId="77777777" w:rsidR="001872B0" w:rsidRPr="00327F02" w:rsidRDefault="001872B0" w:rsidP="00B01793">
      <w:pPr>
        <w:spacing w:line="360" w:lineRule="auto"/>
        <w:ind w:firstLine="720"/>
        <w:rPr>
          <w:rFonts w:ascii="Calibri" w:hAnsi="Calibri" w:cs="Calibri"/>
          <w:b/>
          <w:bCs/>
          <w:i/>
          <w:iCs/>
          <w:sz w:val="24"/>
          <w:szCs w:val="24"/>
        </w:rPr>
      </w:pPr>
      <w:r w:rsidRPr="00327F02">
        <w:rPr>
          <w:rFonts w:ascii="Calibri" w:hAnsi="Calibri" w:cs="Calibri"/>
          <w:b/>
          <w:bCs/>
          <w:i/>
          <w:iCs/>
          <w:sz w:val="24"/>
          <w:szCs w:val="24"/>
        </w:rPr>
        <w:t xml:space="preserve">Teaching as emotional practice </w:t>
      </w:r>
    </w:p>
    <w:p w14:paraId="1F0882D8" w14:textId="77777777" w:rsidR="00CE4FC6" w:rsidRDefault="001872B0" w:rsidP="00B01793">
      <w:pPr>
        <w:spacing w:line="360" w:lineRule="auto"/>
        <w:rPr>
          <w:rFonts w:ascii="Calibri" w:hAnsi="Calibri" w:cs="Calibri"/>
          <w:sz w:val="24"/>
          <w:szCs w:val="24"/>
        </w:rPr>
      </w:pPr>
      <w:r>
        <w:rPr>
          <w:rFonts w:ascii="Calibri" w:hAnsi="Calibri" w:cs="Calibri"/>
          <w:sz w:val="24"/>
          <w:szCs w:val="24"/>
        </w:rPr>
        <w:t xml:space="preserve">The interview then progressed to </w:t>
      </w:r>
      <w:r w:rsidR="00090FC1">
        <w:rPr>
          <w:rFonts w:ascii="Calibri" w:hAnsi="Calibri" w:cs="Calibri"/>
          <w:sz w:val="24"/>
          <w:szCs w:val="24"/>
        </w:rPr>
        <w:t xml:space="preserve">talking about </w:t>
      </w:r>
      <w:r>
        <w:rPr>
          <w:rFonts w:ascii="Calibri" w:hAnsi="Calibri" w:cs="Calibri"/>
          <w:sz w:val="24"/>
          <w:szCs w:val="24"/>
        </w:rPr>
        <w:t xml:space="preserve">their practice as qualified teachers and if participants felt that emotions, and </w:t>
      </w:r>
      <w:r w:rsidRPr="005F77D3">
        <w:rPr>
          <w:rFonts w:ascii="Calibri" w:hAnsi="Calibri" w:cs="Calibri"/>
          <w:i/>
          <w:iCs/>
          <w:sz w:val="24"/>
          <w:szCs w:val="24"/>
        </w:rPr>
        <w:t>their</w:t>
      </w:r>
      <w:r>
        <w:rPr>
          <w:rFonts w:ascii="Calibri" w:hAnsi="Calibri" w:cs="Calibri"/>
          <w:sz w:val="24"/>
          <w:szCs w:val="24"/>
        </w:rPr>
        <w:t xml:space="preserve"> emotions feature in teaching work.</w:t>
      </w:r>
    </w:p>
    <w:p w14:paraId="324DA54C" w14:textId="7EA0822E" w:rsidR="001872B0" w:rsidRPr="00E318B1" w:rsidRDefault="001872B0" w:rsidP="00B01793">
      <w:pPr>
        <w:spacing w:line="360" w:lineRule="auto"/>
        <w:rPr>
          <w:rFonts w:ascii="Calibri" w:hAnsi="Calibri" w:cs="Calibri"/>
          <w:sz w:val="24"/>
          <w:szCs w:val="24"/>
        </w:rPr>
      </w:pPr>
      <w:r>
        <w:rPr>
          <w:rFonts w:ascii="Calibri" w:hAnsi="Calibri" w:cs="Calibri"/>
          <w:sz w:val="24"/>
          <w:szCs w:val="24"/>
        </w:rPr>
        <w:t>Four participants spoke of their enjoyment in teaching. Fred, for example said: ”</w:t>
      </w:r>
      <w:r w:rsidRPr="00ED5ECA">
        <w:rPr>
          <w:rFonts w:ascii="Calibri" w:hAnsi="Calibri" w:cs="Calibri"/>
          <w:i/>
          <w:iCs/>
          <w:sz w:val="24"/>
          <w:szCs w:val="24"/>
        </w:rPr>
        <w:t>The aspect I generally enjoy is interacting with students half the time. I enjoy seeing the Eureka moment on people’s faces</w:t>
      </w:r>
      <w:r>
        <w:rPr>
          <w:rFonts w:ascii="Calibri" w:hAnsi="Calibri" w:cs="Calibri"/>
          <w:sz w:val="24"/>
          <w:szCs w:val="24"/>
        </w:rPr>
        <w:t>” (</w:t>
      </w:r>
      <w:r w:rsidR="006B4704">
        <w:rPr>
          <w:rFonts w:ascii="Calibri" w:hAnsi="Calibri" w:cs="Calibri"/>
          <w:sz w:val="24"/>
          <w:szCs w:val="24"/>
        </w:rPr>
        <w:t xml:space="preserve">Fred, </w:t>
      </w:r>
      <w:r>
        <w:rPr>
          <w:rFonts w:ascii="Calibri" w:hAnsi="Calibri" w:cs="Calibri"/>
          <w:sz w:val="24"/>
          <w:szCs w:val="24"/>
        </w:rPr>
        <w:t>T1, p.3, par 10) and Laura reported really enjoying the time she spent with students and researching innovative methods to work with them: “</w:t>
      </w:r>
      <w:r w:rsidRPr="00ED5ECA">
        <w:rPr>
          <w:rFonts w:ascii="Calibri" w:hAnsi="Calibri" w:cs="Calibri"/>
          <w:i/>
          <w:iCs/>
          <w:sz w:val="24"/>
          <w:szCs w:val="24"/>
        </w:rPr>
        <w:t>So that is the bit that I love, it really lifts me up and I feel good at that bit, and I do get a lot of fulfilment from it</w:t>
      </w:r>
      <w:r>
        <w:rPr>
          <w:rFonts w:ascii="Calibri" w:hAnsi="Calibri" w:cs="Calibri"/>
          <w:sz w:val="24"/>
          <w:szCs w:val="24"/>
        </w:rPr>
        <w:t>” (</w:t>
      </w:r>
      <w:r w:rsidR="006B4704">
        <w:rPr>
          <w:rFonts w:ascii="Calibri" w:hAnsi="Calibri" w:cs="Calibri"/>
          <w:sz w:val="24"/>
          <w:szCs w:val="24"/>
        </w:rPr>
        <w:t xml:space="preserve">Laura, </w:t>
      </w:r>
      <w:r>
        <w:rPr>
          <w:rFonts w:ascii="Calibri" w:hAnsi="Calibri" w:cs="Calibri"/>
          <w:sz w:val="24"/>
          <w:szCs w:val="24"/>
        </w:rPr>
        <w:t>T1, p. 11, par 12)</w:t>
      </w:r>
      <w:r w:rsidRPr="009B1BC0">
        <w:rPr>
          <w:rFonts w:ascii="Calibri" w:hAnsi="Calibri" w:cs="Calibri"/>
          <w:sz w:val="24"/>
          <w:szCs w:val="24"/>
        </w:rPr>
        <w:t xml:space="preserve">.  </w:t>
      </w:r>
      <w:r>
        <w:rPr>
          <w:rFonts w:ascii="Calibri" w:hAnsi="Calibri" w:cs="Calibri"/>
          <w:sz w:val="24"/>
          <w:szCs w:val="24"/>
        </w:rPr>
        <w:t>Similarly, Jenko believes his focus has to be on the student: “</w:t>
      </w:r>
      <w:r w:rsidRPr="00ED5ECA">
        <w:rPr>
          <w:rFonts w:ascii="Calibri" w:hAnsi="Calibri" w:cs="Calibri"/>
          <w:i/>
          <w:iCs/>
          <w:sz w:val="24"/>
          <w:szCs w:val="24"/>
        </w:rPr>
        <w:t>Ultimately, they are my customers, they are paying a lot of money to get a service and me, and my team must provide that</w:t>
      </w:r>
      <w:r>
        <w:rPr>
          <w:rFonts w:ascii="Calibri" w:hAnsi="Calibri" w:cs="Calibri"/>
          <w:sz w:val="24"/>
          <w:szCs w:val="24"/>
        </w:rPr>
        <w:t>” (</w:t>
      </w:r>
      <w:r w:rsidR="006B4704">
        <w:rPr>
          <w:rFonts w:ascii="Calibri" w:hAnsi="Calibri" w:cs="Calibri"/>
          <w:sz w:val="24"/>
          <w:szCs w:val="24"/>
        </w:rPr>
        <w:t xml:space="preserve">Jenko, </w:t>
      </w:r>
      <w:r>
        <w:rPr>
          <w:rFonts w:ascii="Calibri" w:hAnsi="Calibri" w:cs="Calibri"/>
          <w:sz w:val="24"/>
          <w:szCs w:val="24"/>
        </w:rPr>
        <w:t>T1, p.3, par 7). Describing his student-centred engagement as being emotional sometimes, the following questions are at the heart of his teaching practice: “</w:t>
      </w:r>
      <w:r w:rsidRPr="00ED5ECA">
        <w:rPr>
          <w:rFonts w:ascii="Calibri" w:hAnsi="Calibri" w:cs="Calibri"/>
          <w:i/>
          <w:iCs/>
          <w:sz w:val="24"/>
          <w:szCs w:val="24"/>
        </w:rPr>
        <w:t>Am I doing right by the student? Are we guiding them along the right route and getting them to a position where they should be?</w:t>
      </w:r>
      <w:r>
        <w:rPr>
          <w:rFonts w:ascii="Calibri" w:hAnsi="Calibri" w:cs="Calibri"/>
          <w:sz w:val="24"/>
          <w:szCs w:val="24"/>
        </w:rPr>
        <w:t>” (</w:t>
      </w:r>
      <w:r w:rsidR="006B4704">
        <w:rPr>
          <w:rFonts w:ascii="Calibri" w:hAnsi="Calibri" w:cs="Calibri"/>
          <w:sz w:val="24"/>
          <w:szCs w:val="24"/>
        </w:rPr>
        <w:t>ibid.,</w:t>
      </w:r>
      <w:r w:rsidR="0083373E">
        <w:rPr>
          <w:rFonts w:ascii="Calibri" w:hAnsi="Calibri" w:cs="Calibri"/>
          <w:sz w:val="24"/>
          <w:szCs w:val="24"/>
        </w:rPr>
        <w:t xml:space="preserve"> </w:t>
      </w:r>
      <w:r>
        <w:rPr>
          <w:rFonts w:ascii="Calibri" w:hAnsi="Calibri" w:cs="Calibri"/>
          <w:sz w:val="24"/>
          <w:szCs w:val="24"/>
        </w:rPr>
        <w:t>T1, p.3, par 7)</w:t>
      </w:r>
      <w:r w:rsidRPr="00AC2F0A">
        <w:rPr>
          <w:rFonts w:ascii="Calibri" w:hAnsi="Calibri" w:cs="Calibri"/>
          <w:sz w:val="24"/>
          <w:szCs w:val="24"/>
        </w:rPr>
        <w:t xml:space="preserve">. </w:t>
      </w:r>
      <w:r>
        <w:rPr>
          <w:rFonts w:ascii="Calibri" w:hAnsi="Calibri" w:cs="Calibri"/>
          <w:sz w:val="24"/>
          <w:szCs w:val="24"/>
        </w:rPr>
        <w:t xml:space="preserve">Laura reported finding the teacher role fulfilling </w:t>
      </w:r>
      <w:r w:rsidRPr="00B54B94">
        <w:rPr>
          <w:rFonts w:ascii="Calibri" w:hAnsi="Calibri" w:cs="Calibri"/>
          <w:i/>
          <w:iCs/>
          <w:sz w:val="24"/>
          <w:szCs w:val="24"/>
        </w:rPr>
        <w:t xml:space="preserve">and </w:t>
      </w:r>
      <w:r>
        <w:rPr>
          <w:rFonts w:ascii="Calibri" w:hAnsi="Calibri" w:cs="Calibri"/>
          <w:sz w:val="24"/>
          <w:szCs w:val="24"/>
        </w:rPr>
        <w:t>challenging: “</w:t>
      </w:r>
      <w:r w:rsidRPr="00ED5ECA">
        <w:rPr>
          <w:rFonts w:ascii="Calibri" w:hAnsi="Calibri" w:cs="Calibri"/>
          <w:i/>
          <w:iCs/>
          <w:sz w:val="24"/>
          <w:szCs w:val="24"/>
        </w:rPr>
        <w:t xml:space="preserve">I’m constantly having to learn new things and develop and try and find innovative ways to get a message content </w:t>
      </w:r>
      <w:r w:rsidRPr="00ED5ECA">
        <w:rPr>
          <w:rFonts w:ascii="Calibri" w:hAnsi="Calibri" w:cs="Calibri"/>
          <w:i/>
          <w:iCs/>
          <w:sz w:val="24"/>
          <w:szCs w:val="24"/>
        </w:rPr>
        <w:lastRenderedPageBreak/>
        <w:t>across. And I like that bit, it keeps me excited</w:t>
      </w:r>
      <w:r>
        <w:rPr>
          <w:rFonts w:ascii="Calibri" w:hAnsi="Calibri" w:cs="Calibri"/>
          <w:sz w:val="24"/>
          <w:szCs w:val="24"/>
        </w:rPr>
        <w:t>” (</w:t>
      </w:r>
      <w:r w:rsidR="0083373E">
        <w:rPr>
          <w:rFonts w:ascii="Calibri" w:hAnsi="Calibri" w:cs="Calibri"/>
          <w:sz w:val="24"/>
          <w:szCs w:val="24"/>
        </w:rPr>
        <w:t xml:space="preserve">Laura, </w:t>
      </w:r>
      <w:r>
        <w:rPr>
          <w:rFonts w:ascii="Calibri" w:hAnsi="Calibri" w:cs="Calibri"/>
          <w:sz w:val="24"/>
          <w:szCs w:val="24"/>
        </w:rPr>
        <w:t>T1, p.3, par 7)</w:t>
      </w:r>
      <w:r w:rsidRPr="00E318B1">
        <w:rPr>
          <w:rFonts w:ascii="Calibri" w:hAnsi="Calibri" w:cs="Calibri"/>
          <w:sz w:val="24"/>
          <w:szCs w:val="24"/>
        </w:rPr>
        <w:t xml:space="preserve">. </w:t>
      </w:r>
      <w:r>
        <w:rPr>
          <w:rFonts w:ascii="Calibri" w:hAnsi="Calibri" w:cs="Calibri"/>
          <w:sz w:val="24"/>
          <w:szCs w:val="24"/>
        </w:rPr>
        <w:t xml:space="preserve">She </w:t>
      </w:r>
      <w:r w:rsidR="0083373E">
        <w:rPr>
          <w:rFonts w:ascii="Calibri" w:hAnsi="Calibri" w:cs="Calibri"/>
          <w:sz w:val="24"/>
          <w:szCs w:val="24"/>
        </w:rPr>
        <w:t xml:space="preserve">explains </w:t>
      </w:r>
      <w:r>
        <w:rPr>
          <w:rFonts w:ascii="Calibri" w:hAnsi="Calibri" w:cs="Calibri"/>
          <w:sz w:val="24"/>
          <w:szCs w:val="24"/>
        </w:rPr>
        <w:t>she values this challenge</w:t>
      </w:r>
      <w:r w:rsidR="0083373E">
        <w:rPr>
          <w:rFonts w:ascii="Calibri" w:hAnsi="Calibri" w:cs="Calibri"/>
          <w:sz w:val="24"/>
          <w:szCs w:val="24"/>
        </w:rPr>
        <w:t xml:space="preserve"> </w:t>
      </w:r>
      <w:r>
        <w:rPr>
          <w:rFonts w:ascii="Calibri" w:hAnsi="Calibri" w:cs="Calibri"/>
          <w:sz w:val="24"/>
          <w:szCs w:val="24"/>
        </w:rPr>
        <w:t xml:space="preserve">and working with </w:t>
      </w:r>
      <w:r w:rsidR="0083373E">
        <w:rPr>
          <w:rFonts w:ascii="Calibri" w:hAnsi="Calibri" w:cs="Calibri"/>
          <w:sz w:val="24"/>
          <w:szCs w:val="24"/>
        </w:rPr>
        <w:t>her students</w:t>
      </w:r>
      <w:r>
        <w:rPr>
          <w:rFonts w:ascii="Calibri" w:hAnsi="Calibri" w:cs="Calibri"/>
          <w:sz w:val="24"/>
          <w:szCs w:val="24"/>
        </w:rPr>
        <w:t>: “</w:t>
      </w:r>
      <w:r w:rsidRPr="00ED5ECA">
        <w:rPr>
          <w:rFonts w:ascii="Calibri" w:hAnsi="Calibri" w:cs="Calibri"/>
          <w:i/>
          <w:iCs/>
          <w:sz w:val="24"/>
          <w:szCs w:val="24"/>
        </w:rPr>
        <w:t>I love seeing them develop and seeing the lightbulb switch on when they really understand something</w:t>
      </w:r>
      <w:r>
        <w:rPr>
          <w:rFonts w:ascii="Calibri" w:hAnsi="Calibri" w:cs="Calibri"/>
          <w:sz w:val="24"/>
          <w:szCs w:val="24"/>
        </w:rPr>
        <w:t>” (</w:t>
      </w:r>
      <w:r w:rsidR="00AB1ADC">
        <w:rPr>
          <w:rFonts w:ascii="Calibri" w:hAnsi="Calibri" w:cs="Calibri"/>
          <w:sz w:val="24"/>
          <w:szCs w:val="24"/>
        </w:rPr>
        <w:t>ibid.</w:t>
      </w:r>
      <w:r>
        <w:rPr>
          <w:rFonts w:ascii="Calibri" w:hAnsi="Calibri" w:cs="Calibri"/>
          <w:sz w:val="24"/>
          <w:szCs w:val="24"/>
        </w:rPr>
        <w:t>).</w:t>
      </w:r>
    </w:p>
    <w:p w14:paraId="67CB3078" w14:textId="2E15420D" w:rsidR="001872B0" w:rsidRDefault="001872B0" w:rsidP="00B01793">
      <w:pPr>
        <w:spacing w:line="360" w:lineRule="auto"/>
        <w:rPr>
          <w:rFonts w:ascii="Calibri" w:hAnsi="Calibri" w:cs="Calibri"/>
          <w:sz w:val="24"/>
          <w:szCs w:val="24"/>
        </w:rPr>
      </w:pPr>
      <w:r w:rsidRPr="00CE7DEE">
        <w:rPr>
          <w:rFonts w:ascii="Calibri" w:hAnsi="Calibri" w:cs="Calibri"/>
          <w:sz w:val="24"/>
          <w:szCs w:val="24"/>
        </w:rPr>
        <w:t xml:space="preserve">Here participants are describing engaging holistically and relationally with the needs of their students. </w:t>
      </w:r>
      <w:r>
        <w:rPr>
          <w:rFonts w:ascii="Calibri" w:hAnsi="Calibri" w:cs="Calibri"/>
          <w:sz w:val="24"/>
          <w:szCs w:val="24"/>
        </w:rPr>
        <w:t>They experience f</w:t>
      </w:r>
      <w:r w:rsidRPr="00CE7DEE">
        <w:rPr>
          <w:rFonts w:ascii="Calibri" w:hAnsi="Calibri" w:cs="Calibri"/>
          <w:sz w:val="24"/>
          <w:szCs w:val="24"/>
        </w:rPr>
        <w:t>eelings such as excitement, enjoyment and passion</w:t>
      </w:r>
      <w:r>
        <w:rPr>
          <w:rFonts w:ascii="Calibri" w:hAnsi="Calibri" w:cs="Calibri"/>
          <w:sz w:val="24"/>
          <w:szCs w:val="24"/>
        </w:rPr>
        <w:t xml:space="preserve"> </w:t>
      </w:r>
      <w:r w:rsidRPr="00CE7DEE">
        <w:rPr>
          <w:rFonts w:ascii="Calibri" w:hAnsi="Calibri" w:cs="Calibri"/>
          <w:sz w:val="24"/>
          <w:szCs w:val="24"/>
        </w:rPr>
        <w:t xml:space="preserve">when learning is integrated, and their students’ </w:t>
      </w:r>
      <w:r w:rsidR="00B86556">
        <w:rPr>
          <w:rFonts w:ascii="Calibri" w:hAnsi="Calibri" w:cs="Calibri"/>
          <w:sz w:val="24"/>
          <w:szCs w:val="24"/>
        </w:rPr>
        <w:t xml:space="preserve">learning </w:t>
      </w:r>
      <w:r w:rsidRPr="00CE7DEE">
        <w:rPr>
          <w:rFonts w:ascii="Calibri" w:hAnsi="Calibri" w:cs="Calibri"/>
          <w:sz w:val="24"/>
          <w:szCs w:val="24"/>
        </w:rPr>
        <w:t>journeys ha</w:t>
      </w:r>
      <w:r w:rsidR="00E30F79">
        <w:rPr>
          <w:rFonts w:ascii="Calibri" w:hAnsi="Calibri" w:cs="Calibri"/>
          <w:sz w:val="24"/>
          <w:szCs w:val="24"/>
        </w:rPr>
        <w:t>ve</w:t>
      </w:r>
      <w:r w:rsidRPr="00CE7DEE">
        <w:rPr>
          <w:rFonts w:ascii="Calibri" w:hAnsi="Calibri" w:cs="Calibri"/>
          <w:sz w:val="24"/>
          <w:szCs w:val="24"/>
        </w:rPr>
        <w:t xml:space="preserve"> borne fruit. These teachers have created the facilitating conditions for integration (Laurillard, 1993) resulting in the “</w:t>
      </w:r>
      <w:r w:rsidRPr="00ED5ECA">
        <w:rPr>
          <w:rFonts w:ascii="Calibri" w:hAnsi="Calibri" w:cs="Calibri"/>
          <w:i/>
          <w:iCs/>
          <w:sz w:val="24"/>
          <w:szCs w:val="24"/>
        </w:rPr>
        <w:t>Eureka moments</w:t>
      </w:r>
      <w:r w:rsidRPr="00CE7DEE">
        <w:rPr>
          <w:rFonts w:ascii="Calibri" w:hAnsi="Calibri" w:cs="Calibri"/>
          <w:sz w:val="24"/>
          <w:szCs w:val="24"/>
        </w:rPr>
        <w:t>” (Fred</w:t>
      </w:r>
      <w:r w:rsidR="00844B04">
        <w:rPr>
          <w:rFonts w:ascii="Calibri" w:hAnsi="Calibri" w:cs="Calibri"/>
          <w:sz w:val="24"/>
          <w:szCs w:val="24"/>
        </w:rPr>
        <w:t>,</w:t>
      </w:r>
      <w:r w:rsidR="00844B04" w:rsidRPr="00844B04">
        <w:rPr>
          <w:rFonts w:ascii="Calibri" w:hAnsi="Calibri" w:cs="Calibri"/>
          <w:sz w:val="24"/>
          <w:szCs w:val="24"/>
        </w:rPr>
        <w:t xml:space="preserve"> T1, p.3, par 10</w:t>
      </w:r>
      <w:r w:rsidRPr="00CE7DEE">
        <w:rPr>
          <w:rFonts w:ascii="Calibri" w:hAnsi="Calibri" w:cs="Calibri"/>
          <w:sz w:val="24"/>
          <w:szCs w:val="24"/>
        </w:rPr>
        <w:t xml:space="preserve">), and the </w:t>
      </w:r>
      <w:r>
        <w:rPr>
          <w:rFonts w:ascii="Calibri" w:hAnsi="Calibri" w:cs="Calibri"/>
          <w:sz w:val="24"/>
          <w:szCs w:val="24"/>
        </w:rPr>
        <w:t>“</w:t>
      </w:r>
      <w:r w:rsidRPr="00ED5ECA">
        <w:rPr>
          <w:rFonts w:ascii="Calibri" w:hAnsi="Calibri" w:cs="Calibri"/>
          <w:i/>
          <w:iCs/>
          <w:sz w:val="24"/>
          <w:szCs w:val="24"/>
        </w:rPr>
        <w:t>lightbulb</w:t>
      </w:r>
      <w:r>
        <w:rPr>
          <w:rFonts w:ascii="Calibri" w:hAnsi="Calibri" w:cs="Calibri"/>
          <w:sz w:val="24"/>
          <w:szCs w:val="24"/>
        </w:rPr>
        <w:t>”</w:t>
      </w:r>
      <w:r w:rsidRPr="00CE7DEE">
        <w:rPr>
          <w:rFonts w:ascii="Calibri" w:hAnsi="Calibri" w:cs="Calibri"/>
          <w:sz w:val="24"/>
          <w:szCs w:val="24"/>
        </w:rPr>
        <w:t xml:space="preserve"> moments </w:t>
      </w:r>
      <w:r>
        <w:rPr>
          <w:rFonts w:ascii="Calibri" w:hAnsi="Calibri" w:cs="Calibri"/>
          <w:sz w:val="24"/>
          <w:szCs w:val="24"/>
        </w:rPr>
        <w:t>(Laura</w:t>
      </w:r>
      <w:r w:rsidR="00D9063B">
        <w:rPr>
          <w:rFonts w:ascii="Calibri" w:hAnsi="Calibri" w:cs="Calibri"/>
          <w:sz w:val="24"/>
          <w:szCs w:val="24"/>
        </w:rPr>
        <w:t>,</w:t>
      </w:r>
      <w:r w:rsidR="00D9063B" w:rsidRPr="00D9063B">
        <w:rPr>
          <w:rFonts w:ascii="Calibri" w:hAnsi="Calibri" w:cs="Calibri"/>
          <w:sz w:val="24"/>
          <w:szCs w:val="24"/>
        </w:rPr>
        <w:t xml:space="preserve"> T1, p.3, par 7</w:t>
      </w:r>
      <w:r>
        <w:rPr>
          <w:rFonts w:ascii="Calibri" w:hAnsi="Calibri" w:cs="Calibri"/>
          <w:sz w:val="24"/>
          <w:szCs w:val="24"/>
        </w:rPr>
        <w:t xml:space="preserve">) </w:t>
      </w:r>
      <w:r w:rsidR="007F27A9">
        <w:rPr>
          <w:rFonts w:ascii="Calibri" w:hAnsi="Calibri" w:cs="Calibri"/>
          <w:sz w:val="24"/>
          <w:szCs w:val="24"/>
        </w:rPr>
        <w:t xml:space="preserve">that </w:t>
      </w:r>
      <w:r w:rsidRPr="00CE7DEE">
        <w:rPr>
          <w:rFonts w:ascii="Calibri" w:hAnsi="Calibri" w:cs="Calibri"/>
          <w:sz w:val="24"/>
          <w:szCs w:val="24"/>
        </w:rPr>
        <w:t xml:space="preserve">not only </w:t>
      </w:r>
      <w:r>
        <w:rPr>
          <w:rFonts w:ascii="Calibri" w:hAnsi="Calibri" w:cs="Calibri"/>
          <w:sz w:val="24"/>
          <w:szCs w:val="24"/>
        </w:rPr>
        <w:t>provide</w:t>
      </w:r>
      <w:r w:rsidRPr="00CE7DEE">
        <w:rPr>
          <w:rFonts w:ascii="Calibri" w:hAnsi="Calibri" w:cs="Calibri"/>
          <w:sz w:val="24"/>
          <w:szCs w:val="24"/>
        </w:rPr>
        <w:t xml:space="preserve"> feedback to the teachers</w:t>
      </w:r>
      <w:r w:rsidR="005B5257">
        <w:rPr>
          <w:rFonts w:ascii="Calibri" w:hAnsi="Calibri" w:cs="Calibri"/>
          <w:sz w:val="24"/>
          <w:szCs w:val="24"/>
        </w:rPr>
        <w:t>,</w:t>
      </w:r>
      <w:r w:rsidRPr="00CE7DEE">
        <w:rPr>
          <w:rFonts w:ascii="Calibri" w:hAnsi="Calibri" w:cs="Calibri"/>
          <w:sz w:val="24"/>
          <w:szCs w:val="24"/>
        </w:rPr>
        <w:t xml:space="preserve"> but give the teachers</w:t>
      </w:r>
      <w:r>
        <w:rPr>
          <w:rFonts w:ascii="Calibri" w:hAnsi="Calibri" w:cs="Calibri"/>
          <w:sz w:val="24"/>
          <w:szCs w:val="24"/>
        </w:rPr>
        <w:t xml:space="preserve"> </w:t>
      </w:r>
      <w:r w:rsidRPr="00CE7DEE">
        <w:rPr>
          <w:rFonts w:ascii="Calibri" w:hAnsi="Calibri" w:cs="Calibri"/>
          <w:sz w:val="24"/>
          <w:szCs w:val="24"/>
        </w:rPr>
        <w:t xml:space="preserve">pleasure </w:t>
      </w:r>
      <w:r>
        <w:rPr>
          <w:rFonts w:ascii="Calibri" w:hAnsi="Calibri" w:cs="Calibri"/>
          <w:sz w:val="24"/>
          <w:szCs w:val="24"/>
        </w:rPr>
        <w:t xml:space="preserve">which in turn </w:t>
      </w:r>
      <w:r w:rsidRPr="00CE7DEE">
        <w:rPr>
          <w:rFonts w:ascii="Calibri" w:hAnsi="Calibri" w:cs="Calibri"/>
          <w:sz w:val="24"/>
          <w:szCs w:val="24"/>
        </w:rPr>
        <w:t>feed</w:t>
      </w:r>
      <w:r>
        <w:rPr>
          <w:rFonts w:ascii="Calibri" w:hAnsi="Calibri" w:cs="Calibri"/>
          <w:sz w:val="24"/>
          <w:szCs w:val="24"/>
        </w:rPr>
        <w:t>s</w:t>
      </w:r>
      <w:r w:rsidRPr="00CE7DEE">
        <w:rPr>
          <w:rFonts w:ascii="Calibri" w:hAnsi="Calibri" w:cs="Calibri"/>
          <w:sz w:val="24"/>
          <w:szCs w:val="24"/>
        </w:rPr>
        <w:t xml:space="preserve"> their passion and motivation.  </w:t>
      </w:r>
    </w:p>
    <w:p w14:paraId="790F5FF4" w14:textId="00B70BA1" w:rsidR="001872B0" w:rsidRPr="00CE7DEE" w:rsidRDefault="001872B0" w:rsidP="00B01793">
      <w:pPr>
        <w:spacing w:line="360" w:lineRule="auto"/>
        <w:rPr>
          <w:rFonts w:ascii="Calibri" w:hAnsi="Calibri" w:cs="Calibri"/>
          <w:sz w:val="24"/>
          <w:szCs w:val="24"/>
        </w:rPr>
      </w:pPr>
      <w:r>
        <w:rPr>
          <w:rFonts w:ascii="Calibri" w:hAnsi="Calibri" w:cs="Calibri"/>
          <w:sz w:val="24"/>
          <w:szCs w:val="24"/>
        </w:rPr>
        <w:t xml:space="preserve">The findings suggest that </w:t>
      </w:r>
      <w:r>
        <w:rPr>
          <w:rFonts w:ascii="Calibri" w:eastAsia="Calibri" w:hAnsi="Calibri" w:cs="Times New Roman"/>
          <w:sz w:val="24"/>
          <w:szCs w:val="24"/>
        </w:rPr>
        <w:t>e</w:t>
      </w:r>
      <w:r w:rsidRPr="00C10EFD">
        <w:rPr>
          <w:rFonts w:ascii="Calibri" w:eastAsia="Calibri" w:hAnsi="Calibri" w:cs="Times New Roman"/>
          <w:sz w:val="24"/>
          <w:szCs w:val="24"/>
        </w:rPr>
        <w:t xml:space="preserve">motions are important determinants of successful student outcomes (Rowe </w:t>
      </w:r>
      <w:r w:rsidR="00FB3A6E" w:rsidRPr="00FB3A6E">
        <w:rPr>
          <w:rFonts w:ascii="Calibri" w:eastAsia="Calibri" w:hAnsi="Calibri" w:cs="Times New Roman"/>
          <w:i/>
          <w:sz w:val="24"/>
          <w:szCs w:val="24"/>
        </w:rPr>
        <w:t>et al.</w:t>
      </w:r>
      <w:r w:rsidRPr="00C10EFD">
        <w:rPr>
          <w:rFonts w:ascii="Calibri" w:eastAsia="Calibri" w:hAnsi="Calibri" w:cs="Times New Roman"/>
          <w:sz w:val="24"/>
          <w:szCs w:val="24"/>
        </w:rPr>
        <w:t>, 2015; Su and Chung, 2015)</w:t>
      </w:r>
      <w:r>
        <w:rPr>
          <w:rFonts w:ascii="Calibri" w:eastAsia="Calibri" w:hAnsi="Calibri" w:cs="Times New Roman"/>
          <w:sz w:val="24"/>
          <w:szCs w:val="24"/>
        </w:rPr>
        <w:t xml:space="preserve"> and teacher outcomes, and that teaching can be</w:t>
      </w:r>
      <w:r w:rsidRPr="0008295E">
        <w:rPr>
          <w:rFonts w:ascii="Calibri" w:eastAsia="Calibri" w:hAnsi="Calibri" w:cs="Times New Roman"/>
          <w:sz w:val="24"/>
          <w:szCs w:val="24"/>
        </w:rPr>
        <w:t xml:space="preserve"> an emotional practice (Bleakley </w:t>
      </w:r>
      <w:r w:rsidR="00FB3A6E" w:rsidRPr="00FB3A6E">
        <w:rPr>
          <w:rFonts w:ascii="Calibri" w:eastAsia="Calibri" w:hAnsi="Calibri" w:cs="Times New Roman"/>
          <w:i/>
          <w:sz w:val="24"/>
          <w:szCs w:val="24"/>
        </w:rPr>
        <w:t>et al.</w:t>
      </w:r>
      <w:r w:rsidRPr="0008295E">
        <w:rPr>
          <w:rFonts w:ascii="Calibri" w:eastAsia="Calibri" w:hAnsi="Calibri" w:cs="Times New Roman"/>
          <w:sz w:val="24"/>
          <w:szCs w:val="24"/>
        </w:rPr>
        <w:t xml:space="preserve">, 2020). </w:t>
      </w:r>
      <w:r>
        <w:rPr>
          <w:rFonts w:ascii="Calibri" w:eastAsia="Calibri" w:hAnsi="Calibri" w:cs="Times New Roman"/>
          <w:sz w:val="24"/>
          <w:szCs w:val="24"/>
        </w:rPr>
        <w:t xml:space="preserve">The views of the participants also affirm that a </w:t>
      </w:r>
      <w:r w:rsidRPr="0008295E">
        <w:rPr>
          <w:rFonts w:ascii="Calibri" w:eastAsia="Calibri" w:hAnsi="Calibri" w:cs="Times New Roman"/>
          <w:sz w:val="24"/>
          <w:szCs w:val="24"/>
        </w:rPr>
        <w:t>teacher</w:t>
      </w:r>
      <w:r>
        <w:rPr>
          <w:rFonts w:ascii="Calibri" w:eastAsia="Calibri" w:hAnsi="Calibri" w:cs="Times New Roman"/>
          <w:sz w:val="24"/>
          <w:szCs w:val="24"/>
        </w:rPr>
        <w:t>’</w:t>
      </w:r>
      <w:r w:rsidRPr="0008295E">
        <w:rPr>
          <w:rFonts w:ascii="Calibri" w:eastAsia="Calibri" w:hAnsi="Calibri" w:cs="Times New Roman"/>
          <w:sz w:val="24"/>
          <w:szCs w:val="24"/>
        </w:rPr>
        <w:t>s emotions can shape</w:t>
      </w:r>
      <w:r>
        <w:rPr>
          <w:rFonts w:ascii="Calibri" w:eastAsia="Calibri" w:hAnsi="Calibri" w:cs="Times New Roman"/>
          <w:sz w:val="24"/>
          <w:szCs w:val="24"/>
        </w:rPr>
        <w:t xml:space="preserve"> </w:t>
      </w:r>
      <w:r w:rsidRPr="0008295E">
        <w:rPr>
          <w:rFonts w:ascii="Calibri" w:eastAsia="Calibri" w:hAnsi="Calibri" w:cs="Times New Roman"/>
          <w:sz w:val="24"/>
          <w:szCs w:val="24"/>
        </w:rPr>
        <w:t>their professional identities</w:t>
      </w:r>
      <w:r w:rsidR="007F2766">
        <w:rPr>
          <w:rFonts w:ascii="Calibri" w:eastAsia="Calibri" w:hAnsi="Calibri" w:cs="Times New Roman"/>
          <w:sz w:val="24"/>
          <w:szCs w:val="24"/>
        </w:rPr>
        <w:t xml:space="preserve"> </w:t>
      </w:r>
      <w:r w:rsidRPr="00CD385C">
        <w:rPr>
          <w:rFonts w:ascii="Calibri" w:eastAsia="Calibri" w:hAnsi="Calibri" w:cs="Times New Roman"/>
          <w:i/>
          <w:iCs/>
          <w:sz w:val="24"/>
          <w:szCs w:val="24"/>
        </w:rPr>
        <w:t>and</w:t>
      </w:r>
      <w:r w:rsidRPr="0008295E">
        <w:rPr>
          <w:rFonts w:ascii="Calibri" w:eastAsia="Calibri" w:hAnsi="Calibri" w:cs="Times New Roman"/>
          <w:sz w:val="24"/>
          <w:szCs w:val="24"/>
        </w:rPr>
        <w:t xml:space="preserve"> those of their students (Waldbuesser </w:t>
      </w:r>
      <w:r w:rsidR="00FB3A6E" w:rsidRPr="00FB3A6E">
        <w:rPr>
          <w:rFonts w:ascii="Calibri" w:eastAsia="Calibri" w:hAnsi="Calibri" w:cs="Times New Roman"/>
          <w:i/>
          <w:sz w:val="24"/>
          <w:szCs w:val="24"/>
        </w:rPr>
        <w:t>et al.</w:t>
      </w:r>
      <w:r w:rsidRPr="0008295E">
        <w:rPr>
          <w:rFonts w:ascii="Calibri" w:eastAsia="Calibri" w:hAnsi="Calibri" w:cs="Times New Roman"/>
          <w:sz w:val="24"/>
          <w:szCs w:val="24"/>
        </w:rPr>
        <w:t>,</w:t>
      </w:r>
      <w:r w:rsidRPr="0008295E">
        <w:rPr>
          <w:rFonts w:ascii="Calibri" w:eastAsia="Calibri" w:hAnsi="Calibri" w:cs="Times New Roman"/>
          <w:i/>
          <w:iCs/>
          <w:sz w:val="24"/>
          <w:szCs w:val="24"/>
        </w:rPr>
        <w:t xml:space="preserve"> </w:t>
      </w:r>
      <w:r w:rsidRPr="0008295E">
        <w:rPr>
          <w:rFonts w:ascii="Calibri" w:eastAsia="Calibri" w:hAnsi="Calibri" w:cs="Times New Roman"/>
          <w:sz w:val="24"/>
          <w:szCs w:val="24"/>
        </w:rPr>
        <w:t>2021)</w:t>
      </w:r>
      <w:r w:rsidR="00174AAF">
        <w:rPr>
          <w:rFonts w:ascii="Calibri" w:eastAsia="Calibri" w:hAnsi="Calibri" w:cs="Times New Roman"/>
          <w:sz w:val="24"/>
          <w:szCs w:val="24"/>
        </w:rPr>
        <w:t>,</w:t>
      </w:r>
      <w:r>
        <w:rPr>
          <w:rFonts w:ascii="Calibri" w:eastAsia="Calibri" w:hAnsi="Calibri" w:cs="Times New Roman"/>
          <w:sz w:val="24"/>
          <w:szCs w:val="24"/>
        </w:rPr>
        <w:t xml:space="preserve"> and this feedback loop is important</w:t>
      </w:r>
      <w:r w:rsidRPr="0008295E">
        <w:rPr>
          <w:rFonts w:ascii="Calibri" w:eastAsia="Calibri" w:hAnsi="Calibri" w:cs="Times New Roman"/>
          <w:sz w:val="24"/>
          <w:szCs w:val="24"/>
        </w:rPr>
        <w:t>.</w:t>
      </w:r>
      <w:r>
        <w:rPr>
          <w:rFonts w:ascii="Calibri" w:eastAsia="Calibri" w:hAnsi="Calibri" w:cs="Times New Roman"/>
          <w:sz w:val="24"/>
          <w:szCs w:val="24"/>
        </w:rPr>
        <w:t xml:space="preserve"> The findings furthermore support the view that e</w:t>
      </w:r>
      <w:r w:rsidRPr="00A24992">
        <w:rPr>
          <w:rFonts w:ascii="Calibri" w:eastAsia="Calibri" w:hAnsi="Calibri" w:cs="Times New Roman"/>
          <w:sz w:val="24"/>
          <w:szCs w:val="24"/>
        </w:rPr>
        <w:t>motions and teaching praxis are inextricably and intimately linked</w:t>
      </w:r>
      <w:r>
        <w:rPr>
          <w:rFonts w:ascii="Calibri" w:eastAsia="Calibri" w:hAnsi="Calibri" w:cs="Times New Roman"/>
          <w:sz w:val="24"/>
          <w:szCs w:val="24"/>
        </w:rPr>
        <w:t>, and</w:t>
      </w:r>
      <w:r w:rsidRPr="00B83D9A">
        <w:rPr>
          <w:rFonts w:ascii="Calibri" w:eastAsia="Calibri" w:hAnsi="Calibri" w:cs="Times New Roman"/>
          <w:sz w:val="24"/>
          <w:szCs w:val="24"/>
        </w:rPr>
        <w:t xml:space="preserve"> </w:t>
      </w:r>
      <w:r>
        <w:rPr>
          <w:rFonts w:ascii="Calibri" w:eastAsia="Calibri" w:hAnsi="Calibri" w:cs="Times New Roman"/>
          <w:sz w:val="24"/>
          <w:szCs w:val="24"/>
        </w:rPr>
        <w:t xml:space="preserve">the teachers’ </w:t>
      </w:r>
      <w:r w:rsidRPr="00B83D9A">
        <w:rPr>
          <w:rFonts w:ascii="Calibri" w:eastAsia="Calibri" w:hAnsi="Calibri" w:cs="Times New Roman"/>
          <w:sz w:val="24"/>
          <w:szCs w:val="24"/>
        </w:rPr>
        <w:t>emotions are important commentaries in the evaluation of situations (Archer, 2010)</w:t>
      </w:r>
      <w:r>
        <w:rPr>
          <w:rFonts w:ascii="Calibri" w:eastAsia="Calibri" w:hAnsi="Calibri" w:cs="Times New Roman"/>
          <w:sz w:val="24"/>
          <w:szCs w:val="24"/>
        </w:rPr>
        <w:t xml:space="preserve">. </w:t>
      </w:r>
    </w:p>
    <w:p w14:paraId="5DE11737" w14:textId="77777777" w:rsidR="001872B0" w:rsidRPr="0073579A" w:rsidRDefault="001872B0" w:rsidP="000603D4">
      <w:pPr>
        <w:rPr>
          <w:rFonts w:ascii="Calibri" w:hAnsi="Calibri" w:cs="Calibri"/>
          <w:sz w:val="24"/>
          <w:szCs w:val="24"/>
        </w:rPr>
      </w:pPr>
      <w:r>
        <w:rPr>
          <w:rFonts w:ascii="Calibri" w:hAnsi="Calibri" w:cs="Calibri"/>
          <w:sz w:val="24"/>
          <w:szCs w:val="24"/>
        </w:rPr>
        <w:t>For some participants what they learnt whilst teaching was a salient feature:</w:t>
      </w:r>
    </w:p>
    <w:p w14:paraId="1F447153" w14:textId="77777777" w:rsidR="001872B0" w:rsidRPr="00ED5ECA" w:rsidRDefault="001872B0" w:rsidP="00ED5ECA">
      <w:pPr>
        <w:ind w:left="720"/>
        <w:rPr>
          <w:rFonts w:ascii="Calibri" w:hAnsi="Calibri" w:cs="Calibri"/>
          <w:i/>
          <w:iCs/>
          <w:sz w:val="24"/>
          <w:szCs w:val="24"/>
        </w:rPr>
      </w:pPr>
      <w:r w:rsidRPr="00ED5ECA">
        <w:rPr>
          <w:rFonts w:ascii="Calibri" w:hAnsi="Calibri" w:cs="Calibri"/>
          <w:i/>
          <w:iCs/>
          <w:sz w:val="24"/>
          <w:szCs w:val="24"/>
        </w:rPr>
        <w:t xml:space="preserve">I learn something new even about a topic I’ve lectured on for many years. I gain a better understanding of why we do things and how we do things and so it deepens my understanding of the other person and the context of my own </w:t>
      </w:r>
      <w:bookmarkStart w:id="70" w:name="_Hlk169003199"/>
      <w:r w:rsidRPr="00ED5ECA">
        <w:rPr>
          <w:rFonts w:ascii="Calibri" w:hAnsi="Calibri" w:cs="Calibri"/>
          <w:i/>
          <w:iCs/>
          <w:sz w:val="24"/>
          <w:szCs w:val="24"/>
        </w:rPr>
        <w:t>learning (Fred, T1, p. 3, par 6)</w:t>
      </w:r>
      <w:bookmarkEnd w:id="70"/>
      <w:r w:rsidRPr="00ED5ECA">
        <w:rPr>
          <w:rFonts w:ascii="Calibri" w:hAnsi="Calibri" w:cs="Calibri"/>
          <w:i/>
          <w:iCs/>
          <w:sz w:val="24"/>
          <w:szCs w:val="24"/>
        </w:rPr>
        <w:t>.</w:t>
      </w:r>
    </w:p>
    <w:p w14:paraId="1FBC368D" w14:textId="77777777" w:rsidR="001872B0" w:rsidRPr="00ED5ECA" w:rsidRDefault="001872B0" w:rsidP="00ED5ECA">
      <w:pPr>
        <w:ind w:left="720"/>
        <w:rPr>
          <w:rFonts w:ascii="Calibri" w:hAnsi="Calibri" w:cs="Calibri"/>
          <w:i/>
          <w:iCs/>
          <w:sz w:val="24"/>
          <w:szCs w:val="24"/>
        </w:rPr>
      </w:pPr>
      <w:r w:rsidRPr="00ED5ECA">
        <w:rPr>
          <w:rFonts w:ascii="Calibri" w:hAnsi="Calibri" w:cs="Calibri"/>
          <w:i/>
          <w:iCs/>
          <w:sz w:val="24"/>
          <w:szCs w:val="24"/>
        </w:rPr>
        <w:t>I really like that you learn things about the things that you’ve already learnt, there is a concept, and you explain it and then you hear yourself, you understand more about what you teach and how it’s connected to the things you may or may not teach (Dana, T1, p. 3, par 4).</w:t>
      </w:r>
    </w:p>
    <w:p w14:paraId="128577F2" w14:textId="77777777" w:rsidR="001872B0" w:rsidRPr="00D11AA6" w:rsidRDefault="001872B0" w:rsidP="003331C9">
      <w:pPr>
        <w:spacing w:line="360" w:lineRule="auto"/>
        <w:rPr>
          <w:rFonts w:ascii="Calibri" w:hAnsi="Calibri" w:cs="Calibri"/>
          <w:sz w:val="24"/>
          <w:szCs w:val="24"/>
        </w:rPr>
      </w:pPr>
      <w:r>
        <w:rPr>
          <w:rFonts w:ascii="Calibri" w:hAnsi="Calibri" w:cs="Calibri"/>
          <w:sz w:val="24"/>
          <w:szCs w:val="24"/>
        </w:rPr>
        <w:t>Providing an echo, the learning of concepts new, and anew aids in a deeper understanding of the participants’ own learning and Fred and Dana’s comments are affirmative of the notion of learning by doing (Dewey, 1938) and experiential learning (Kolb, 1984).</w:t>
      </w:r>
    </w:p>
    <w:p w14:paraId="255745A6" w14:textId="44928D91" w:rsidR="001872B0" w:rsidRPr="003D08EF" w:rsidRDefault="001872B0" w:rsidP="003331C9">
      <w:pPr>
        <w:spacing w:line="360" w:lineRule="auto"/>
        <w:rPr>
          <w:rFonts w:ascii="Calibri" w:hAnsi="Calibri" w:cs="Calibri"/>
          <w:sz w:val="24"/>
          <w:szCs w:val="24"/>
        </w:rPr>
      </w:pPr>
      <w:r>
        <w:rPr>
          <w:rFonts w:ascii="Calibri" w:hAnsi="Calibri" w:cs="Calibri"/>
          <w:sz w:val="24"/>
          <w:szCs w:val="24"/>
        </w:rPr>
        <w:lastRenderedPageBreak/>
        <w:t xml:space="preserve">One participant </w:t>
      </w:r>
      <w:r w:rsidR="00D90800">
        <w:rPr>
          <w:rFonts w:ascii="Calibri" w:hAnsi="Calibri" w:cs="Calibri"/>
          <w:sz w:val="24"/>
          <w:szCs w:val="24"/>
        </w:rPr>
        <w:t xml:space="preserve">(Liz) </w:t>
      </w:r>
      <w:r>
        <w:rPr>
          <w:rFonts w:ascii="Calibri" w:hAnsi="Calibri" w:cs="Calibri"/>
          <w:sz w:val="24"/>
          <w:szCs w:val="24"/>
        </w:rPr>
        <w:t>voiced concern about the negative impact student evaluation forms can have on the teacher</w:t>
      </w:r>
      <w:r w:rsidRPr="00F06EF7">
        <w:rPr>
          <w:rFonts w:ascii="Calibri" w:hAnsi="Calibri" w:cs="Calibri"/>
          <w:sz w:val="24"/>
          <w:szCs w:val="24"/>
        </w:rPr>
        <w:t xml:space="preserve">: </w:t>
      </w:r>
    </w:p>
    <w:p w14:paraId="2017B6C4" w14:textId="19884C0D" w:rsidR="001872B0" w:rsidRPr="00ED5ECA" w:rsidRDefault="001872B0" w:rsidP="00195736">
      <w:pPr>
        <w:ind w:left="720"/>
        <w:rPr>
          <w:rFonts w:ascii="Calibri" w:hAnsi="Calibri" w:cs="Calibri"/>
          <w:i/>
          <w:iCs/>
          <w:sz w:val="24"/>
          <w:szCs w:val="24"/>
        </w:rPr>
      </w:pPr>
      <w:r w:rsidRPr="00ED5ECA">
        <w:rPr>
          <w:rFonts w:ascii="Calibri" w:hAnsi="Calibri" w:cs="Calibri"/>
          <w:i/>
          <w:iCs/>
          <w:sz w:val="24"/>
          <w:szCs w:val="24"/>
        </w:rPr>
        <w:t>What I learnt very quickly from my mentor was basically don’t look at the forms on your own; go through the emotional process of going through things, these forms, with someone else to have that more objective pair of eyes (</w:t>
      </w:r>
      <w:r w:rsidR="000524FC">
        <w:rPr>
          <w:rFonts w:ascii="Calibri" w:hAnsi="Calibri" w:cs="Calibri"/>
          <w:i/>
          <w:iCs/>
          <w:sz w:val="24"/>
          <w:szCs w:val="24"/>
        </w:rPr>
        <w:t xml:space="preserve">Liz, </w:t>
      </w:r>
      <w:r w:rsidRPr="00ED5ECA">
        <w:rPr>
          <w:rFonts w:ascii="Calibri" w:hAnsi="Calibri" w:cs="Calibri"/>
          <w:i/>
          <w:iCs/>
          <w:sz w:val="24"/>
          <w:szCs w:val="24"/>
        </w:rPr>
        <w:t>T1, p. 7, par 5).</w:t>
      </w:r>
    </w:p>
    <w:p w14:paraId="48CB3F4A" w14:textId="35494E53" w:rsidR="001872B0" w:rsidRPr="009E157F" w:rsidRDefault="001872B0" w:rsidP="00D63000">
      <w:pPr>
        <w:spacing w:line="360" w:lineRule="auto"/>
        <w:rPr>
          <w:rFonts w:ascii="Calibri" w:hAnsi="Calibri" w:cs="Calibri"/>
          <w:sz w:val="24"/>
          <w:szCs w:val="24"/>
        </w:rPr>
      </w:pPr>
      <w:r>
        <w:rPr>
          <w:rFonts w:ascii="Calibri" w:hAnsi="Calibri" w:cs="Calibri"/>
          <w:sz w:val="24"/>
          <w:szCs w:val="24"/>
        </w:rPr>
        <w:t>It would be fair to say that Liz</w:t>
      </w:r>
      <w:r w:rsidRPr="009967D6">
        <w:rPr>
          <w:rFonts w:ascii="Calibri" w:hAnsi="Calibri" w:cs="Calibri"/>
          <w:sz w:val="24"/>
          <w:szCs w:val="24"/>
        </w:rPr>
        <w:t xml:space="preserve"> feels too much </w:t>
      </w:r>
      <w:r>
        <w:rPr>
          <w:rFonts w:ascii="Calibri" w:hAnsi="Calibri" w:cs="Calibri"/>
          <w:sz w:val="24"/>
          <w:szCs w:val="24"/>
        </w:rPr>
        <w:t xml:space="preserve">evaluative </w:t>
      </w:r>
      <w:r w:rsidRPr="009967D6">
        <w:rPr>
          <w:rFonts w:ascii="Calibri" w:hAnsi="Calibri" w:cs="Calibri"/>
          <w:sz w:val="24"/>
          <w:szCs w:val="24"/>
        </w:rPr>
        <w:t xml:space="preserve">power is afforded to the student voice and that can have a negative impact on the </w:t>
      </w:r>
      <w:r w:rsidR="0001043C">
        <w:rPr>
          <w:rFonts w:ascii="Calibri" w:hAnsi="Calibri" w:cs="Calibri"/>
          <w:sz w:val="24"/>
          <w:szCs w:val="24"/>
        </w:rPr>
        <w:t xml:space="preserve">trainee </w:t>
      </w:r>
      <w:r w:rsidRPr="009967D6">
        <w:rPr>
          <w:rFonts w:ascii="Calibri" w:hAnsi="Calibri" w:cs="Calibri"/>
          <w:sz w:val="24"/>
          <w:szCs w:val="24"/>
        </w:rPr>
        <w:t>teacher’s confidence</w:t>
      </w:r>
      <w:r>
        <w:rPr>
          <w:rFonts w:ascii="Calibri" w:hAnsi="Calibri" w:cs="Calibri"/>
          <w:sz w:val="24"/>
          <w:szCs w:val="24"/>
        </w:rPr>
        <w:t xml:space="preserve"> and security</w:t>
      </w:r>
      <w:r w:rsidRPr="009967D6">
        <w:rPr>
          <w:rFonts w:ascii="Calibri" w:hAnsi="Calibri" w:cs="Calibri"/>
          <w:sz w:val="24"/>
          <w:szCs w:val="24"/>
        </w:rPr>
        <w:t>. Th</w:t>
      </w:r>
      <w:r>
        <w:rPr>
          <w:rFonts w:ascii="Calibri" w:hAnsi="Calibri" w:cs="Calibri"/>
          <w:sz w:val="24"/>
          <w:szCs w:val="24"/>
        </w:rPr>
        <w:t>is affirms</w:t>
      </w:r>
      <w:r w:rsidRPr="009967D6">
        <w:rPr>
          <w:rFonts w:ascii="Calibri" w:hAnsi="Calibri" w:cs="Calibri"/>
          <w:sz w:val="24"/>
          <w:szCs w:val="24"/>
        </w:rPr>
        <w:t xml:space="preserve"> that the accountability of a high metrics driven machine </w:t>
      </w:r>
      <w:r w:rsidRPr="00316FEB">
        <w:rPr>
          <w:rFonts w:ascii="Calibri" w:hAnsi="Calibri" w:cs="Calibri"/>
          <w:sz w:val="24"/>
          <w:szCs w:val="24"/>
        </w:rPr>
        <w:t xml:space="preserve">(Johnson </w:t>
      </w:r>
      <w:r w:rsidR="00FB3A6E" w:rsidRPr="00FB3A6E">
        <w:rPr>
          <w:rFonts w:ascii="Calibri" w:hAnsi="Calibri" w:cs="Calibri"/>
          <w:i/>
          <w:sz w:val="24"/>
          <w:szCs w:val="24"/>
        </w:rPr>
        <w:t>et al.</w:t>
      </w:r>
      <w:r w:rsidRPr="00316FEB">
        <w:rPr>
          <w:rFonts w:ascii="Calibri" w:hAnsi="Calibri" w:cs="Calibri"/>
          <w:sz w:val="24"/>
          <w:szCs w:val="24"/>
        </w:rPr>
        <w:t xml:space="preserve">, 2019) </w:t>
      </w:r>
      <w:r w:rsidRPr="009967D6">
        <w:rPr>
          <w:rFonts w:ascii="Calibri" w:hAnsi="Calibri" w:cs="Calibri"/>
          <w:sz w:val="24"/>
          <w:szCs w:val="24"/>
        </w:rPr>
        <w:t xml:space="preserve">can </w:t>
      </w:r>
      <w:r>
        <w:rPr>
          <w:rFonts w:ascii="Calibri" w:hAnsi="Calibri" w:cs="Calibri"/>
          <w:sz w:val="24"/>
          <w:szCs w:val="24"/>
        </w:rPr>
        <w:t xml:space="preserve">indeed </w:t>
      </w:r>
      <w:r w:rsidRPr="009967D6">
        <w:rPr>
          <w:rFonts w:ascii="Calibri" w:hAnsi="Calibri" w:cs="Calibri"/>
          <w:sz w:val="24"/>
          <w:szCs w:val="24"/>
        </w:rPr>
        <w:t>result in existential insecurity (Furedi, 2021) in HE teach</w:t>
      </w:r>
      <w:r w:rsidR="009C2DF1">
        <w:rPr>
          <w:rFonts w:ascii="Calibri" w:hAnsi="Calibri" w:cs="Calibri"/>
          <w:sz w:val="24"/>
          <w:szCs w:val="24"/>
        </w:rPr>
        <w:t>ers</w:t>
      </w:r>
      <w:r w:rsidRPr="009967D6">
        <w:rPr>
          <w:rFonts w:ascii="Calibri" w:hAnsi="Calibri" w:cs="Calibri"/>
          <w:sz w:val="24"/>
          <w:szCs w:val="24"/>
        </w:rPr>
        <w:t xml:space="preserve">. </w:t>
      </w:r>
      <w:r>
        <w:rPr>
          <w:rFonts w:ascii="Calibri" w:hAnsi="Calibri" w:cs="Calibri"/>
          <w:sz w:val="24"/>
          <w:szCs w:val="24"/>
        </w:rPr>
        <w:t xml:space="preserve">Liz highlights the feedback culture of a student led education </w:t>
      </w:r>
      <w:r w:rsidRPr="008F5AC0">
        <w:rPr>
          <w:rFonts w:ascii="Calibri" w:hAnsi="Calibri" w:cs="Calibri"/>
          <w:sz w:val="24"/>
          <w:szCs w:val="24"/>
        </w:rPr>
        <w:t>(Newman and Jahdi, 2009)</w:t>
      </w:r>
      <w:r>
        <w:rPr>
          <w:rFonts w:ascii="Calibri" w:hAnsi="Calibri" w:cs="Calibri"/>
          <w:sz w:val="24"/>
          <w:szCs w:val="24"/>
        </w:rPr>
        <w:t xml:space="preserve"> as one of the seeds of this insecurity, and</w:t>
      </w:r>
      <w:r w:rsidRPr="00656AD5">
        <w:rPr>
          <w:rFonts w:ascii="Calibri" w:hAnsi="Calibri" w:cs="Calibri"/>
          <w:sz w:val="24"/>
          <w:szCs w:val="24"/>
        </w:rPr>
        <w:t xml:space="preserve"> being the only participant who commented on student </w:t>
      </w:r>
      <w:r w:rsidR="0022787E">
        <w:rPr>
          <w:rFonts w:ascii="Calibri" w:hAnsi="Calibri" w:cs="Calibri"/>
          <w:sz w:val="24"/>
          <w:szCs w:val="24"/>
        </w:rPr>
        <w:t>feedback</w:t>
      </w:r>
      <w:r w:rsidRPr="00656AD5">
        <w:rPr>
          <w:rFonts w:ascii="Calibri" w:hAnsi="Calibri" w:cs="Calibri"/>
          <w:sz w:val="24"/>
          <w:szCs w:val="24"/>
        </w:rPr>
        <w:t>, the implications are negligible with reference to this study.</w:t>
      </w:r>
      <w:r>
        <w:rPr>
          <w:rFonts w:ascii="Calibri" w:hAnsi="Calibri" w:cs="Calibri"/>
          <w:sz w:val="24"/>
          <w:szCs w:val="24"/>
        </w:rPr>
        <w:t xml:space="preserve"> </w:t>
      </w:r>
    </w:p>
    <w:p w14:paraId="3847DBAA" w14:textId="2158F34D" w:rsidR="001872B0" w:rsidRDefault="001872B0" w:rsidP="00D63000">
      <w:pPr>
        <w:spacing w:line="360" w:lineRule="auto"/>
        <w:rPr>
          <w:rFonts w:ascii="Calibri" w:hAnsi="Calibri" w:cs="Calibri"/>
          <w:sz w:val="24"/>
          <w:szCs w:val="24"/>
        </w:rPr>
      </w:pPr>
      <w:r>
        <w:rPr>
          <w:rFonts w:ascii="Calibri" w:hAnsi="Calibri" w:cs="Calibri"/>
          <w:sz w:val="24"/>
          <w:szCs w:val="24"/>
        </w:rPr>
        <w:t>When asked if emotions feature in teaching,</w:t>
      </w:r>
      <w:r w:rsidRPr="00E91991">
        <w:rPr>
          <w:rFonts w:ascii="Calibri" w:hAnsi="Calibri" w:cs="Calibri"/>
          <w:sz w:val="24"/>
          <w:szCs w:val="24"/>
        </w:rPr>
        <w:t xml:space="preserve"> </w:t>
      </w:r>
      <w:r>
        <w:rPr>
          <w:rFonts w:ascii="Calibri" w:hAnsi="Calibri" w:cs="Calibri"/>
          <w:sz w:val="24"/>
          <w:szCs w:val="24"/>
        </w:rPr>
        <w:t>Dana reported: “</w:t>
      </w:r>
      <w:r w:rsidRPr="00D90800">
        <w:rPr>
          <w:rFonts w:ascii="Calibri" w:hAnsi="Calibri" w:cs="Calibri"/>
          <w:i/>
          <w:iCs/>
          <w:sz w:val="24"/>
          <w:szCs w:val="24"/>
        </w:rPr>
        <w:t>My emotions feature a lot in my teaching. I don’t make any secret out of liking the stuff I like teaching</w:t>
      </w:r>
      <w:r>
        <w:rPr>
          <w:rFonts w:ascii="Calibri" w:hAnsi="Calibri" w:cs="Calibri"/>
          <w:sz w:val="24"/>
          <w:szCs w:val="24"/>
        </w:rPr>
        <w:t>” (</w:t>
      </w:r>
      <w:r w:rsidR="00D3165E">
        <w:rPr>
          <w:rFonts w:ascii="Calibri" w:hAnsi="Calibri" w:cs="Calibri"/>
          <w:sz w:val="24"/>
          <w:szCs w:val="24"/>
        </w:rPr>
        <w:t xml:space="preserve">Dana, </w:t>
      </w:r>
      <w:r>
        <w:rPr>
          <w:rFonts w:ascii="Calibri" w:hAnsi="Calibri" w:cs="Calibri"/>
          <w:sz w:val="24"/>
          <w:szCs w:val="24"/>
        </w:rPr>
        <w:t>T1, p. 9, par 8)</w:t>
      </w:r>
      <w:r w:rsidRPr="00E91991">
        <w:rPr>
          <w:rFonts w:ascii="Calibri" w:hAnsi="Calibri" w:cs="Calibri"/>
          <w:sz w:val="24"/>
          <w:szCs w:val="24"/>
        </w:rPr>
        <w:t>.</w:t>
      </w:r>
      <w:r>
        <w:rPr>
          <w:rFonts w:ascii="Calibri" w:hAnsi="Calibri" w:cs="Calibri"/>
          <w:sz w:val="24"/>
          <w:szCs w:val="24"/>
        </w:rPr>
        <w:t xml:space="preserve"> Sally and Liz were emphatic about emotions featuring in teaching:</w:t>
      </w:r>
    </w:p>
    <w:p w14:paraId="37C2E42C" w14:textId="77777777" w:rsidR="001872B0" w:rsidRPr="00D90800" w:rsidRDefault="001872B0" w:rsidP="00D90800">
      <w:pPr>
        <w:ind w:left="720"/>
        <w:rPr>
          <w:rFonts w:ascii="Calibri" w:hAnsi="Calibri" w:cs="Calibri"/>
          <w:b/>
          <w:bCs/>
          <w:i/>
          <w:iCs/>
          <w:color w:val="FF0000"/>
          <w:sz w:val="24"/>
          <w:szCs w:val="24"/>
        </w:rPr>
      </w:pPr>
      <w:r w:rsidRPr="00D90800">
        <w:rPr>
          <w:rFonts w:ascii="Calibri" w:hAnsi="Calibri" w:cs="Calibri"/>
          <w:i/>
          <w:iCs/>
          <w:sz w:val="24"/>
          <w:szCs w:val="24"/>
        </w:rPr>
        <w:t xml:space="preserve">They absolutely feature in my teaching. And the reason I say that is because teaching is one of the best bits of my job; when I’m in the classroom I would talk to them [the students] and then my voice began to shatter, this is exhausting, I can’t do this long term (Liz, T1, p. 12, par 6). </w:t>
      </w:r>
      <w:bookmarkStart w:id="71" w:name="_Hlk196491642"/>
    </w:p>
    <w:bookmarkEnd w:id="71"/>
    <w:p w14:paraId="4AB8368A" w14:textId="77777777" w:rsidR="001872B0" w:rsidRPr="00D90800" w:rsidRDefault="001872B0" w:rsidP="00D90800">
      <w:pPr>
        <w:ind w:left="720"/>
        <w:rPr>
          <w:rFonts w:ascii="Calibri" w:hAnsi="Calibri" w:cs="Calibri"/>
          <w:i/>
          <w:iCs/>
          <w:sz w:val="24"/>
          <w:szCs w:val="24"/>
        </w:rPr>
      </w:pPr>
      <w:r w:rsidRPr="00D90800">
        <w:rPr>
          <w:rFonts w:ascii="Calibri" w:hAnsi="Calibri" w:cs="Calibri"/>
          <w:i/>
          <w:iCs/>
          <w:sz w:val="24"/>
          <w:szCs w:val="24"/>
        </w:rPr>
        <w:t>I would say it’s a fundamental part of the learning experience. You can’t do anything without emotion, I think. You can do that over a short period of time, but you can’t do that in a sustained way if you’re not looking after yourself (Sally, T1, p. 8, par 13).</w:t>
      </w:r>
    </w:p>
    <w:p w14:paraId="18111BB6" w14:textId="01B35A86" w:rsidR="001872B0" w:rsidRPr="00FD015F" w:rsidRDefault="001872B0" w:rsidP="00E26B59">
      <w:pPr>
        <w:spacing w:line="360" w:lineRule="auto"/>
        <w:rPr>
          <w:rFonts w:ascii="Calibri" w:hAnsi="Calibri" w:cs="Calibri"/>
          <w:sz w:val="24"/>
          <w:szCs w:val="24"/>
        </w:rPr>
      </w:pPr>
      <w:r>
        <w:rPr>
          <w:rFonts w:ascii="Calibri" w:hAnsi="Calibri" w:cs="Calibri"/>
          <w:sz w:val="24"/>
          <w:szCs w:val="24"/>
        </w:rPr>
        <w:t xml:space="preserve">Sally and Liz believe that emotions are salient features of teaching and emotional engagement requires pedagogical ardour (Yin </w:t>
      </w:r>
      <w:r w:rsidR="00FB3A6E" w:rsidRPr="00FB3A6E">
        <w:rPr>
          <w:rFonts w:ascii="Calibri" w:hAnsi="Calibri" w:cs="Calibri"/>
          <w:i/>
          <w:sz w:val="24"/>
          <w:szCs w:val="24"/>
        </w:rPr>
        <w:t>et al.</w:t>
      </w:r>
      <w:r>
        <w:rPr>
          <w:rFonts w:ascii="Calibri" w:hAnsi="Calibri" w:cs="Calibri"/>
          <w:sz w:val="24"/>
          <w:szCs w:val="24"/>
        </w:rPr>
        <w:t>, 2017). This is further affirmed by Fred: “</w:t>
      </w:r>
      <w:r w:rsidRPr="00D90800">
        <w:rPr>
          <w:rFonts w:ascii="Calibri" w:hAnsi="Calibri" w:cs="Calibri"/>
          <w:i/>
          <w:iCs/>
          <w:sz w:val="24"/>
          <w:szCs w:val="24"/>
        </w:rPr>
        <w:t>Emotions feature in the students and in the teachers</w:t>
      </w:r>
      <w:r w:rsidR="00D37AC8">
        <w:rPr>
          <w:rFonts w:ascii="Calibri" w:hAnsi="Calibri" w:cs="Calibri"/>
          <w:i/>
          <w:iCs/>
          <w:sz w:val="24"/>
          <w:szCs w:val="24"/>
        </w:rPr>
        <w:t xml:space="preserve"> </w:t>
      </w:r>
      <w:r w:rsidRPr="00D90800">
        <w:rPr>
          <w:rFonts w:ascii="Calibri" w:hAnsi="Calibri" w:cs="Calibri"/>
          <w:i/>
          <w:iCs/>
          <w:sz w:val="24"/>
          <w:szCs w:val="24"/>
        </w:rPr>
        <w:t>-</w:t>
      </w:r>
      <w:r w:rsidR="00D37AC8">
        <w:rPr>
          <w:rFonts w:ascii="Calibri" w:hAnsi="Calibri" w:cs="Calibri"/>
          <w:i/>
          <w:iCs/>
          <w:sz w:val="24"/>
          <w:szCs w:val="24"/>
        </w:rPr>
        <w:t xml:space="preserve"> </w:t>
      </w:r>
      <w:r w:rsidRPr="00D90800">
        <w:rPr>
          <w:rFonts w:ascii="Calibri" w:hAnsi="Calibri" w:cs="Calibri"/>
          <w:i/>
          <w:iCs/>
          <w:sz w:val="24"/>
          <w:szCs w:val="24"/>
        </w:rPr>
        <w:t>I also think they feature in teaching practice otherwise I’m just an audiobook</w:t>
      </w:r>
      <w:r>
        <w:rPr>
          <w:rFonts w:ascii="Calibri" w:hAnsi="Calibri" w:cs="Calibri"/>
          <w:sz w:val="24"/>
          <w:szCs w:val="24"/>
        </w:rPr>
        <w:t>” (</w:t>
      </w:r>
      <w:r w:rsidR="00D3165E">
        <w:rPr>
          <w:rFonts w:ascii="Calibri" w:hAnsi="Calibri" w:cs="Calibri"/>
          <w:sz w:val="24"/>
          <w:szCs w:val="24"/>
        </w:rPr>
        <w:t xml:space="preserve">Fred, </w:t>
      </w:r>
      <w:r>
        <w:rPr>
          <w:rFonts w:ascii="Calibri" w:hAnsi="Calibri" w:cs="Calibri"/>
          <w:sz w:val="24"/>
          <w:szCs w:val="24"/>
        </w:rPr>
        <w:t>T1, p. 14, par 15)</w:t>
      </w:r>
      <w:r w:rsidRPr="0070702B">
        <w:rPr>
          <w:rFonts w:ascii="Calibri" w:hAnsi="Calibri" w:cs="Calibri"/>
          <w:sz w:val="24"/>
          <w:szCs w:val="24"/>
        </w:rPr>
        <w:t xml:space="preserve">. </w:t>
      </w:r>
      <w:r>
        <w:rPr>
          <w:rFonts w:ascii="Calibri" w:hAnsi="Calibri" w:cs="Calibri"/>
          <w:sz w:val="24"/>
          <w:szCs w:val="24"/>
        </w:rPr>
        <w:t>Sally specifically refers to the need to replenish and to garner support for the ongoing process of emotional engagement</w:t>
      </w:r>
      <w:r w:rsidR="00D40C4D">
        <w:rPr>
          <w:rFonts w:ascii="Calibri" w:hAnsi="Calibri" w:cs="Calibri"/>
          <w:sz w:val="24"/>
          <w:szCs w:val="24"/>
        </w:rPr>
        <w:t xml:space="preserve"> in her t</w:t>
      </w:r>
      <w:r w:rsidR="00BD544B">
        <w:rPr>
          <w:rFonts w:ascii="Calibri" w:hAnsi="Calibri" w:cs="Calibri"/>
          <w:sz w:val="24"/>
          <w:szCs w:val="24"/>
        </w:rPr>
        <w:t>eaching work</w:t>
      </w:r>
      <w:r>
        <w:rPr>
          <w:rFonts w:ascii="Calibri" w:hAnsi="Calibri" w:cs="Calibri"/>
          <w:sz w:val="24"/>
          <w:szCs w:val="24"/>
        </w:rPr>
        <w:t>. Their comments build on the notion that a</w:t>
      </w:r>
      <w:r w:rsidRPr="0078176A">
        <w:rPr>
          <w:rFonts w:ascii="Calibri" w:hAnsi="Calibri" w:cs="Calibri"/>
          <w:sz w:val="24"/>
          <w:szCs w:val="24"/>
        </w:rPr>
        <w:t xml:space="preserve">ffective stability </w:t>
      </w:r>
      <w:r>
        <w:rPr>
          <w:rFonts w:ascii="Calibri" w:hAnsi="Calibri" w:cs="Calibri"/>
          <w:sz w:val="24"/>
          <w:szCs w:val="24"/>
        </w:rPr>
        <w:t xml:space="preserve">(Jacobi, 1990) </w:t>
      </w:r>
      <w:r w:rsidRPr="0078176A">
        <w:rPr>
          <w:rFonts w:ascii="Calibri" w:hAnsi="Calibri" w:cs="Calibri"/>
          <w:sz w:val="24"/>
          <w:szCs w:val="24"/>
        </w:rPr>
        <w:t xml:space="preserve">is dependent upon a continuity of care (Winnicott, 1956) </w:t>
      </w:r>
      <w:r>
        <w:rPr>
          <w:rFonts w:ascii="Calibri" w:hAnsi="Calibri" w:cs="Calibri"/>
          <w:sz w:val="24"/>
          <w:szCs w:val="24"/>
        </w:rPr>
        <w:t>without which the teacher’s work is un</w:t>
      </w:r>
      <w:r w:rsidRPr="004B00F2">
        <w:rPr>
          <w:rFonts w:ascii="Calibri" w:hAnsi="Calibri" w:cs="Calibri"/>
          <w:sz w:val="24"/>
          <w:szCs w:val="24"/>
        </w:rPr>
        <w:t>sustainable</w:t>
      </w:r>
      <w:r>
        <w:rPr>
          <w:rFonts w:ascii="Calibri" w:hAnsi="Calibri" w:cs="Calibri"/>
          <w:sz w:val="24"/>
          <w:szCs w:val="24"/>
        </w:rPr>
        <w:t xml:space="preserve"> long-term. </w:t>
      </w:r>
    </w:p>
    <w:p w14:paraId="6360C4D8" w14:textId="75471A80" w:rsidR="001872B0" w:rsidRDefault="001872B0" w:rsidP="00E26B59">
      <w:pPr>
        <w:spacing w:line="360" w:lineRule="auto"/>
        <w:rPr>
          <w:rFonts w:ascii="Calibri" w:hAnsi="Calibri" w:cs="Calibri"/>
          <w:sz w:val="24"/>
          <w:szCs w:val="24"/>
        </w:rPr>
      </w:pPr>
      <w:r>
        <w:rPr>
          <w:rFonts w:ascii="Calibri" w:hAnsi="Calibri" w:cs="Calibri"/>
          <w:sz w:val="24"/>
          <w:szCs w:val="24"/>
        </w:rPr>
        <w:t xml:space="preserve">Describing how students can get stuck when the learning fails to be received, </w:t>
      </w:r>
      <w:r w:rsidRPr="00D706BE">
        <w:rPr>
          <w:rFonts w:ascii="Calibri" w:hAnsi="Calibri" w:cs="Calibri"/>
          <w:sz w:val="24"/>
          <w:szCs w:val="24"/>
        </w:rPr>
        <w:t xml:space="preserve">Dana stresses the importance of providing conditions of emotional safety, a secure base (Bowlby, 1988) </w:t>
      </w:r>
      <w:r>
        <w:rPr>
          <w:rFonts w:ascii="Calibri" w:hAnsi="Calibri" w:cs="Calibri"/>
          <w:sz w:val="24"/>
          <w:szCs w:val="24"/>
        </w:rPr>
        <w:lastRenderedPageBreak/>
        <w:t>for the student:</w:t>
      </w:r>
      <w:r w:rsidRPr="00C42A23">
        <w:rPr>
          <w:rFonts w:ascii="Calibri" w:hAnsi="Calibri" w:cs="Calibri"/>
          <w:sz w:val="24"/>
          <w:szCs w:val="24"/>
        </w:rPr>
        <w:t xml:space="preserve"> </w:t>
      </w:r>
      <w:r>
        <w:rPr>
          <w:rFonts w:ascii="Calibri" w:hAnsi="Calibri" w:cs="Calibri"/>
          <w:sz w:val="24"/>
          <w:szCs w:val="24"/>
        </w:rPr>
        <w:t>“</w:t>
      </w:r>
      <w:r w:rsidRPr="00D90800">
        <w:rPr>
          <w:rFonts w:ascii="Calibri" w:hAnsi="Calibri" w:cs="Calibri"/>
          <w:i/>
          <w:iCs/>
          <w:sz w:val="24"/>
          <w:szCs w:val="24"/>
        </w:rPr>
        <w:t>They are inclined to learn if they feel safe</w:t>
      </w:r>
      <w:r>
        <w:rPr>
          <w:rFonts w:ascii="Calibri" w:hAnsi="Calibri" w:cs="Calibri"/>
          <w:sz w:val="24"/>
          <w:szCs w:val="24"/>
        </w:rPr>
        <w:t>” (</w:t>
      </w:r>
      <w:r w:rsidR="007872C3">
        <w:rPr>
          <w:rFonts w:ascii="Calibri" w:hAnsi="Calibri" w:cs="Calibri"/>
          <w:sz w:val="24"/>
          <w:szCs w:val="24"/>
        </w:rPr>
        <w:t xml:space="preserve">Dana, </w:t>
      </w:r>
      <w:r>
        <w:rPr>
          <w:rFonts w:ascii="Calibri" w:hAnsi="Calibri" w:cs="Calibri"/>
          <w:sz w:val="24"/>
          <w:szCs w:val="24"/>
        </w:rPr>
        <w:t>T1, p. 10, par 5). This echoes</w:t>
      </w:r>
      <w:r w:rsidRPr="008C7733">
        <w:rPr>
          <w:rFonts w:ascii="Calibri" w:hAnsi="Calibri" w:cs="Calibri"/>
          <w:sz w:val="24"/>
          <w:szCs w:val="24"/>
        </w:rPr>
        <w:t xml:space="preserve"> the findings of Croley </w:t>
      </w:r>
      <w:r w:rsidR="00FB3A6E" w:rsidRPr="00FB3A6E">
        <w:rPr>
          <w:rFonts w:ascii="Calibri" w:hAnsi="Calibri" w:cs="Calibri"/>
          <w:i/>
          <w:sz w:val="24"/>
          <w:szCs w:val="24"/>
        </w:rPr>
        <w:t>et al.</w:t>
      </w:r>
      <w:r w:rsidRPr="008C7733">
        <w:rPr>
          <w:rFonts w:ascii="Calibri" w:hAnsi="Calibri" w:cs="Calibri"/>
          <w:sz w:val="24"/>
          <w:szCs w:val="24"/>
        </w:rPr>
        <w:t xml:space="preserve">, (2022) that an educational experience that provides a combination of the holding and tending to of intellectual, social and emotional development provides a strong base for </w:t>
      </w:r>
      <w:r>
        <w:rPr>
          <w:rFonts w:ascii="Calibri" w:hAnsi="Calibri" w:cs="Calibri"/>
          <w:sz w:val="24"/>
          <w:szCs w:val="24"/>
        </w:rPr>
        <w:t xml:space="preserve">the student. </w:t>
      </w:r>
      <w:r w:rsidRPr="008C7733">
        <w:rPr>
          <w:rFonts w:ascii="Calibri" w:hAnsi="Calibri" w:cs="Calibri"/>
          <w:sz w:val="24"/>
          <w:szCs w:val="24"/>
        </w:rPr>
        <w:t xml:space="preserve">Given that Sharp and Thieler (2018) believe that increased levels of psychological distress in students results in a reduction in academic performance, Dana also recognises her role in providing safe conditions to enhance </w:t>
      </w:r>
      <w:r>
        <w:rPr>
          <w:rFonts w:ascii="Calibri" w:hAnsi="Calibri" w:cs="Calibri"/>
          <w:sz w:val="24"/>
          <w:szCs w:val="24"/>
        </w:rPr>
        <w:t>her students’</w:t>
      </w:r>
      <w:r w:rsidRPr="008C7733">
        <w:rPr>
          <w:rFonts w:ascii="Calibri" w:hAnsi="Calibri" w:cs="Calibri"/>
          <w:sz w:val="24"/>
          <w:szCs w:val="24"/>
        </w:rPr>
        <w:t xml:space="preserve"> university experience</w:t>
      </w:r>
      <w:r w:rsidR="00553FAD">
        <w:rPr>
          <w:rFonts w:ascii="Calibri" w:hAnsi="Calibri" w:cs="Calibri"/>
          <w:sz w:val="24"/>
          <w:szCs w:val="24"/>
        </w:rPr>
        <w:t>s</w:t>
      </w:r>
      <w:r w:rsidRPr="008C7733">
        <w:rPr>
          <w:rFonts w:ascii="Calibri" w:hAnsi="Calibri" w:cs="Calibri"/>
          <w:sz w:val="24"/>
          <w:szCs w:val="24"/>
        </w:rPr>
        <w:t xml:space="preserve"> (McGaha and Fitzpatrick, 2005)</w:t>
      </w:r>
      <w:r>
        <w:rPr>
          <w:rFonts w:ascii="Calibri" w:hAnsi="Calibri" w:cs="Calibri"/>
          <w:sz w:val="24"/>
          <w:szCs w:val="24"/>
        </w:rPr>
        <w:t>. She</w:t>
      </w:r>
      <w:r w:rsidRPr="008C7733">
        <w:rPr>
          <w:rFonts w:ascii="Calibri" w:hAnsi="Calibri" w:cs="Calibri"/>
          <w:sz w:val="24"/>
          <w:szCs w:val="24"/>
        </w:rPr>
        <w:t xml:space="preserve"> acknowledges </w:t>
      </w:r>
      <w:r>
        <w:rPr>
          <w:rFonts w:ascii="Calibri" w:hAnsi="Calibri" w:cs="Calibri"/>
          <w:sz w:val="24"/>
          <w:szCs w:val="24"/>
        </w:rPr>
        <w:t xml:space="preserve">that </w:t>
      </w:r>
      <w:r w:rsidRPr="008C7733">
        <w:rPr>
          <w:rFonts w:ascii="Calibri" w:hAnsi="Calibri" w:cs="Calibri"/>
          <w:sz w:val="24"/>
          <w:szCs w:val="24"/>
        </w:rPr>
        <w:t>awareness of the</w:t>
      </w:r>
      <w:r>
        <w:rPr>
          <w:rFonts w:ascii="Calibri" w:hAnsi="Calibri" w:cs="Calibri"/>
          <w:sz w:val="24"/>
          <w:szCs w:val="24"/>
        </w:rPr>
        <w:t xml:space="preserve"> students’</w:t>
      </w:r>
      <w:r w:rsidRPr="008C7733">
        <w:rPr>
          <w:rFonts w:ascii="Calibri" w:hAnsi="Calibri" w:cs="Calibri"/>
          <w:sz w:val="24"/>
          <w:szCs w:val="24"/>
        </w:rPr>
        <w:t xml:space="preserve"> emotions is central to </w:t>
      </w:r>
      <w:r>
        <w:rPr>
          <w:rFonts w:ascii="Calibri" w:hAnsi="Calibri" w:cs="Calibri"/>
          <w:sz w:val="24"/>
          <w:szCs w:val="24"/>
        </w:rPr>
        <w:t xml:space="preserve">the need for her to </w:t>
      </w:r>
      <w:r w:rsidRPr="008C7733">
        <w:rPr>
          <w:rFonts w:ascii="Calibri" w:hAnsi="Calibri" w:cs="Calibri"/>
          <w:sz w:val="24"/>
          <w:szCs w:val="24"/>
        </w:rPr>
        <w:t>creat</w:t>
      </w:r>
      <w:r>
        <w:rPr>
          <w:rFonts w:ascii="Calibri" w:hAnsi="Calibri" w:cs="Calibri"/>
          <w:sz w:val="24"/>
          <w:szCs w:val="24"/>
        </w:rPr>
        <w:t xml:space="preserve">e </w:t>
      </w:r>
      <w:r w:rsidRPr="008C7733">
        <w:rPr>
          <w:rFonts w:ascii="Calibri" w:hAnsi="Calibri" w:cs="Calibri"/>
          <w:sz w:val="24"/>
          <w:szCs w:val="24"/>
        </w:rPr>
        <w:t>a facilitating environment (Winnicott, 1965).</w:t>
      </w:r>
      <w:r>
        <w:rPr>
          <w:rFonts w:ascii="Calibri" w:hAnsi="Calibri" w:cs="Calibri"/>
          <w:sz w:val="24"/>
          <w:szCs w:val="24"/>
        </w:rPr>
        <w:t xml:space="preserve"> </w:t>
      </w:r>
    </w:p>
    <w:p w14:paraId="126C875C" w14:textId="7F2B3FA6" w:rsidR="001872B0" w:rsidRPr="00B92DBE" w:rsidRDefault="001872B0" w:rsidP="00CF4362">
      <w:pPr>
        <w:spacing w:line="360" w:lineRule="auto"/>
        <w:rPr>
          <w:rFonts w:ascii="Calibri" w:eastAsia="Calibri" w:hAnsi="Calibri" w:cs="Times New Roman"/>
          <w:sz w:val="24"/>
          <w:szCs w:val="24"/>
        </w:rPr>
      </w:pPr>
      <w:r>
        <w:rPr>
          <w:rFonts w:ascii="Calibri" w:hAnsi="Calibri" w:cs="Calibri"/>
          <w:sz w:val="24"/>
          <w:szCs w:val="24"/>
        </w:rPr>
        <w:t xml:space="preserve">I am mindful to note that Dana has extensive experience of a </w:t>
      </w:r>
      <w:r w:rsidRPr="001F72A9">
        <w:rPr>
          <w:rFonts w:ascii="Calibri" w:hAnsi="Calibri" w:cs="Calibri"/>
          <w:i/>
          <w:iCs/>
          <w:sz w:val="24"/>
          <w:szCs w:val="24"/>
        </w:rPr>
        <w:t>different</w:t>
      </w:r>
      <w:r>
        <w:rPr>
          <w:rFonts w:ascii="Calibri" w:hAnsi="Calibri" w:cs="Calibri"/>
          <w:sz w:val="24"/>
          <w:szCs w:val="24"/>
        </w:rPr>
        <w:t xml:space="preserve"> core educational training in Europe, one that encouraged dialogue, focussed on experience and emotions in trainees</w:t>
      </w:r>
      <w:r w:rsidR="00B5549C">
        <w:rPr>
          <w:rFonts w:ascii="Calibri" w:hAnsi="Calibri" w:cs="Calibri"/>
          <w:sz w:val="24"/>
          <w:szCs w:val="24"/>
        </w:rPr>
        <w:t>,</w:t>
      </w:r>
      <w:r>
        <w:rPr>
          <w:rFonts w:ascii="Calibri" w:hAnsi="Calibri" w:cs="Calibri"/>
          <w:sz w:val="24"/>
          <w:szCs w:val="24"/>
        </w:rPr>
        <w:t xml:space="preserve"> and encouraged them to think about their actions. Seemingly these conditions fostered trust and provided emotional safety so that anxiety was contained</w:t>
      </w:r>
      <w:r w:rsidR="007872C3">
        <w:rPr>
          <w:rFonts w:ascii="Calibri" w:hAnsi="Calibri" w:cs="Calibri"/>
          <w:sz w:val="24"/>
          <w:szCs w:val="24"/>
        </w:rPr>
        <w:t>,</w:t>
      </w:r>
      <w:r>
        <w:rPr>
          <w:rFonts w:ascii="Calibri" w:hAnsi="Calibri" w:cs="Calibri"/>
          <w:sz w:val="24"/>
          <w:szCs w:val="24"/>
        </w:rPr>
        <w:t xml:space="preserve"> and sorties into the wider world and curiosity enabled. This loops back to the importance of the holding environment that </w:t>
      </w:r>
      <w:r w:rsidR="0078788F">
        <w:rPr>
          <w:rFonts w:ascii="Calibri" w:hAnsi="Calibri" w:cs="Calibri"/>
          <w:sz w:val="24"/>
          <w:szCs w:val="24"/>
        </w:rPr>
        <w:t xml:space="preserve">provides containment for </w:t>
      </w:r>
      <w:r>
        <w:rPr>
          <w:rFonts w:ascii="Calibri" w:hAnsi="Calibri" w:cs="Calibri"/>
          <w:sz w:val="24"/>
          <w:szCs w:val="24"/>
        </w:rPr>
        <w:t xml:space="preserve">anxiety </w:t>
      </w:r>
      <w:r w:rsidRPr="00153F4A">
        <w:rPr>
          <w:rFonts w:ascii="Calibri" w:hAnsi="Calibri" w:cs="Calibri"/>
          <w:sz w:val="24"/>
          <w:szCs w:val="24"/>
        </w:rPr>
        <w:t xml:space="preserve">(Greenhalgh, 1994) </w:t>
      </w:r>
      <w:r w:rsidR="00851EE0">
        <w:rPr>
          <w:rFonts w:ascii="Calibri" w:hAnsi="Calibri" w:cs="Calibri"/>
          <w:sz w:val="24"/>
          <w:szCs w:val="24"/>
        </w:rPr>
        <w:t xml:space="preserve">acting </w:t>
      </w:r>
      <w:r>
        <w:rPr>
          <w:rFonts w:ascii="Calibri" w:hAnsi="Calibri" w:cs="Calibri"/>
          <w:sz w:val="24"/>
          <w:szCs w:val="24"/>
        </w:rPr>
        <w:t xml:space="preserve">as a springboard for the development of the </w:t>
      </w:r>
      <w:r w:rsidRPr="003C637B">
        <w:rPr>
          <w:rFonts w:ascii="Calibri" w:eastAsia="Calibri" w:hAnsi="Calibri" w:cs="Times New Roman"/>
          <w:sz w:val="24"/>
          <w:szCs w:val="24"/>
        </w:rPr>
        <w:t>maturational process</w:t>
      </w:r>
      <w:r>
        <w:rPr>
          <w:rFonts w:ascii="Calibri" w:eastAsia="Calibri" w:hAnsi="Calibri" w:cs="Times New Roman"/>
          <w:sz w:val="24"/>
          <w:szCs w:val="24"/>
        </w:rPr>
        <w:t xml:space="preserve"> when a learner. A </w:t>
      </w:r>
      <w:r w:rsidRPr="003C637B">
        <w:rPr>
          <w:rFonts w:ascii="Calibri" w:eastAsia="Calibri" w:hAnsi="Calibri" w:cs="Times New Roman"/>
          <w:sz w:val="24"/>
          <w:szCs w:val="24"/>
        </w:rPr>
        <w:t xml:space="preserve">clime of affective stability (Jacobi, 1990) </w:t>
      </w:r>
      <w:r>
        <w:rPr>
          <w:rFonts w:ascii="Calibri" w:eastAsia="Calibri" w:hAnsi="Calibri" w:cs="Times New Roman"/>
          <w:sz w:val="24"/>
          <w:szCs w:val="24"/>
        </w:rPr>
        <w:t xml:space="preserve">not only </w:t>
      </w:r>
      <w:r w:rsidRPr="003C637B">
        <w:rPr>
          <w:rFonts w:ascii="Calibri" w:eastAsia="Calibri" w:hAnsi="Calibri" w:cs="Times New Roman"/>
          <w:sz w:val="24"/>
          <w:szCs w:val="24"/>
        </w:rPr>
        <w:t xml:space="preserve">involves </w:t>
      </w:r>
      <w:r>
        <w:rPr>
          <w:rFonts w:ascii="Calibri" w:eastAsia="Calibri" w:hAnsi="Calibri" w:cs="Times New Roman"/>
          <w:sz w:val="24"/>
          <w:szCs w:val="24"/>
        </w:rPr>
        <w:t xml:space="preserve">but enables </w:t>
      </w:r>
      <w:r w:rsidRPr="003C637B">
        <w:rPr>
          <w:rFonts w:ascii="Calibri" w:eastAsia="Calibri" w:hAnsi="Calibri" w:cs="Times New Roman"/>
          <w:sz w:val="24"/>
          <w:szCs w:val="24"/>
        </w:rPr>
        <w:t>a progression towards independence (Winnicott, 1</w:t>
      </w:r>
      <w:r w:rsidR="00FC645F">
        <w:rPr>
          <w:rFonts w:ascii="Calibri" w:eastAsia="Calibri" w:hAnsi="Calibri" w:cs="Times New Roman"/>
          <w:sz w:val="24"/>
          <w:szCs w:val="24"/>
        </w:rPr>
        <w:t>965</w:t>
      </w:r>
      <w:r w:rsidRPr="003C637B">
        <w:rPr>
          <w:rFonts w:ascii="Calibri" w:eastAsia="Calibri" w:hAnsi="Calibri" w:cs="Times New Roman"/>
          <w:sz w:val="24"/>
          <w:szCs w:val="24"/>
        </w:rPr>
        <w:t>).</w:t>
      </w:r>
    </w:p>
    <w:p w14:paraId="689195AF" w14:textId="31953EB0" w:rsidR="001872B0" w:rsidRPr="00E318B1" w:rsidRDefault="001872B0" w:rsidP="00665EB5">
      <w:pPr>
        <w:spacing w:line="360" w:lineRule="auto"/>
        <w:rPr>
          <w:rFonts w:ascii="Calibri" w:hAnsi="Calibri" w:cs="Calibri"/>
          <w:sz w:val="24"/>
          <w:szCs w:val="24"/>
        </w:rPr>
      </w:pPr>
      <w:r w:rsidRPr="00EA527D">
        <w:rPr>
          <w:rFonts w:ascii="Calibri" w:hAnsi="Calibri" w:cs="Calibri"/>
          <w:sz w:val="24"/>
          <w:szCs w:val="24"/>
        </w:rPr>
        <w:t>The enabling of sorties beyond</w:t>
      </w:r>
      <w:r>
        <w:rPr>
          <w:rFonts w:ascii="Calibri" w:hAnsi="Calibri" w:cs="Calibri"/>
          <w:b/>
          <w:bCs/>
          <w:i/>
          <w:iCs/>
          <w:sz w:val="24"/>
          <w:szCs w:val="24"/>
        </w:rPr>
        <w:t xml:space="preserve"> </w:t>
      </w:r>
      <w:r w:rsidRPr="00EA527D">
        <w:rPr>
          <w:rFonts w:ascii="Calibri" w:hAnsi="Calibri" w:cs="Calibri"/>
          <w:sz w:val="24"/>
          <w:szCs w:val="24"/>
        </w:rPr>
        <w:t>what is known</w:t>
      </w:r>
      <w:r>
        <w:rPr>
          <w:rFonts w:ascii="Calibri" w:hAnsi="Calibri" w:cs="Calibri"/>
          <w:b/>
          <w:bCs/>
          <w:i/>
          <w:iCs/>
          <w:sz w:val="24"/>
          <w:szCs w:val="24"/>
        </w:rPr>
        <w:t xml:space="preserve"> </w:t>
      </w:r>
      <w:r>
        <w:rPr>
          <w:rFonts w:ascii="Calibri" w:hAnsi="Calibri" w:cs="Calibri"/>
          <w:sz w:val="24"/>
          <w:szCs w:val="24"/>
        </w:rPr>
        <w:t xml:space="preserve">involves the teacher </w:t>
      </w:r>
      <w:r w:rsidR="001829E6">
        <w:rPr>
          <w:rFonts w:ascii="Calibri" w:hAnsi="Calibri" w:cs="Calibri"/>
          <w:sz w:val="24"/>
          <w:szCs w:val="24"/>
        </w:rPr>
        <w:t xml:space="preserve">being aware </w:t>
      </w:r>
      <w:r>
        <w:rPr>
          <w:rFonts w:ascii="Calibri" w:hAnsi="Calibri" w:cs="Calibri"/>
          <w:sz w:val="24"/>
          <w:szCs w:val="24"/>
        </w:rPr>
        <w:t xml:space="preserve">of the emotional impact of the learning material. Jenko recognises students may be emotionally impacted by the content delivered and prepares </w:t>
      </w:r>
      <w:r w:rsidR="005E7672">
        <w:rPr>
          <w:rFonts w:ascii="Calibri" w:hAnsi="Calibri" w:cs="Calibri"/>
          <w:sz w:val="24"/>
          <w:szCs w:val="24"/>
        </w:rPr>
        <w:t>them</w:t>
      </w:r>
      <w:r>
        <w:rPr>
          <w:rFonts w:ascii="Calibri" w:hAnsi="Calibri" w:cs="Calibri"/>
          <w:sz w:val="24"/>
          <w:szCs w:val="24"/>
        </w:rPr>
        <w:t xml:space="preserve"> by adopting a trauma informed approach</w:t>
      </w:r>
      <w:r w:rsidR="001A33D4">
        <w:rPr>
          <w:rFonts w:ascii="Calibri" w:hAnsi="Calibri" w:cs="Calibri"/>
          <w:sz w:val="24"/>
          <w:szCs w:val="24"/>
        </w:rPr>
        <w:t>. B</w:t>
      </w:r>
      <w:r>
        <w:rPr>
          <w:rFonts w:ascii="Calibri" w:hAnsi="Calibri" w:cs="Calibri"/>
          <w:sz w:val="24"/>
          <w:szCs w:val="24"/>
        </w:rPr>
        <w:t xml:space="preserve">y including emotions in </w:t>
      </w:r>
      <w:r w:rsidR="009E52E9">
        <w:rPr>
          <w:rFonts w:ascii="Calibri" w:hAnsi="Calibri" w:cs="Calibri"/>
          <w:sz w:val="24"/>
          <w:szCs w:val="24"/>
        </w:rPr>
        <w:t>teaching,</w:t>
      </w:r>
      <w:r>
        <w:rPr>
          <w:rFonts w:ascii="Calibri" w:hAnsi="Calibri" w:cs="Calibri"/>
          <w:sz w:val="24"/>
          <w:szCs w:val="24"/>
        </w:rPr>
        <w:t xml:space="preserve"> </w:t>
      </w:r>
      <w:r w:rsidR="001A33D4">
        <w:rPr>
          <w:rFonts w:ascii="Calibri" w:hAnsi="Calibri" w:cs="Calibri"/>
          <w:sz w:val="24"/>
          <w:szCs w:val="24"/>
        </w:rPr>
        <w:t xml:space="preserve">he feels </w:t>
      </w:r>
      <w:r>
        <w:rPr>
          <w:rFonts w:ascii="Calibri" w:hAnsi="Calibri" w:cs="Calibri"/>
          <w:sz w:val="24"/>
          <w:szCs w:val="24"/>
        </w:rPr>
        <w:t xml:space="preserve">students </w:t>
      </w:r>
      <w:r w:rsidR="00B5549C">
        <w:rPr>
          <w:rFonts w:ascii="Calibri" w:hAnsi="Calibri" w:cs="Calibri"/>
          <w:sz w:val="24"/>
          <w:szCs w:val="24"/>
        </w:rPr>
        <w:t xml:space="preserve">are better prepared </w:t>
      </w:r>
      <w:r>
        <w:rPr>
          <w:rFonts w:ascii="Calibri" w:hAnsi="Calibri" w:cs="Calibri"/>
          <w:sz w:val="24"/>
          <w:szCs w:val="24"/>
        </w:rPr>
        <w:t>for their impending work as police officers: “</w:t>
      </w:r>
      <w:r w:rsidRPr="00D90800">
        <w:rPr>
          <w:rFonts w:ascii="Calibri" w:hAnsi="Calibri" w:cs="Calibri"/>
          <w:i/>
          <w:iCs/>
          <w:sz w:val="24"/>
          <w:szCs w:val="24"/>
        </w:rPr>
        <w:t>In everything you get taught there should be an emotional aspect to it, so if you are delivering around a pedagogical approach there’s got to be that emotional bit in there</w:t>
      </w:r>
      <w:bookmarkStart w:id="72" w:name="_Hlk173152931"/>
      <w:r>
        <w:rPr>
          <w:rFonts w:ascii="Calibri" w:hAnsi="Calibri" w:cs="Calibri"/>
          <w:sz w:val="24"/>
          <w:szCs w:val="24"/>
        </w:rPr>
        <w:t>” (</w:t>
      </w:r>
      <w:r w:rsidR="005E7672">
        <w:rPr>
          <w:rFonts w:ascii="Calibri" w:hAnsi="Calibri" w:cs="Calibri"/>
          <w:sz w:val="24"/>
          <w:szCs w:val="24"/>
        </w:rPr>
        <w:t xml:space="preserve">Jenko, </w:t>
      </w:r>
      <w:r>
        <w:rPr>
          <w:rFonts w:ascii="Calibri" w:hAnsi="Calibri" w:cs="Calibri"/>
          <w:sz w:val="24"/>
          <w:szCs w:val="24"/>
        </w:rPr>
        <w:t>T1, p.10, par 6). Mo echoes these sentiments:</w:t>
      </w:r>
    </w:p>
    <w:bookmarkEnd w:id="72"/>
    <w:p w14:paraId="192529BC" w14:textId="401993F0" w:rsidR="005A61B5" w:rsidRDefault="001872B0" w:rsidP="00665EB5">
      <w:pPr>
        <w:ind w:left="720"/>
        <w:rPr>
          <w:rFonts w:ascii="Calibri" w:hAnsi="Calibri" w:cs="Calibri"/>
          <w:i/>
          <w:iCs/>
          <w:sz w:val="24"/>
          <w:szCs w:val="24"/>
        </w:rPr>
      </w:pPr>
      <w:r w:rsidRPr="00665EB5">
        <w:rPr>
          <w:rFonts w:ascii="Calibri" w:hAnsi="Calibri" w:cs="Calibri"/>
          <w:i/>
          <w:iCs/>
          <w:sz w:val="24"/>
          <w:szCs w:val="24"/>
        </w:rPr>
        <w:t>Teachers are exposed to so many different situations</w:t>
      </w:r>
      <w:r w:rsidR="009E52E9">
        <w:rPr>
          <w:rFonts w:ascii="Calibri" w:hAnsi="Calibri" w:cs="Calibri"/>
          <w:i/>
          <w:iCs/>
          <w:sz w:val="24"/>
          <w:szCs w:val="24"/>
        </w:rPr>
        <w:t xml:space="preserve"> </w:t>
      </w:r>
      <w:r w:rsidRPr="00665EB5">
        <w:rPr>
          <w:rFonts w:ascii="Calibri" w:hAnsi="Calibri" w:cs="Calibri"/>
          <w:i/>
          <w:iCs/>
          <w:sz w:val="24"/>
          <w:szCs w:val="24"/>
        </w:rPr>
        <w:t>-</w:t>
      </w:r>
      <w:r w:rsidR="009E52E9">
        <w:rPr>
          <w:rFonts w:ascii="Calibri" w:hAnsi="Calibri" w:cs="Calibri"/>
          <w:i/>
          <w:iCs/>
          <w:sz w:val="24"/>
          <w:szCs w:val="24"/>
        </w:rPr>
        <w:t xml:space="preserve"> </w:t>
      </w:r>
      <w:r w:rsidRPr="00665EB5">
        <w:rPr>
          <w:rFonts w:ascii="Calibri" w:hAnsi="Calibri" w:cs="Calibri"/>
          <w:i/>
          <w:iCs/>
          <w:sz w:val="24"/>
          <w:szCs w:val="24"/>
        </w:rPr>
        <w:t>either emotionally uplifting or emotionally draining and I think student teachers need to be aware of that, and they need to be well supported. (</w:t>
      </w:r>
      <w:r w:rsidR="005A61B5">
        <w:rPr>
          <w:rFonts w:ascii="Calibri" w:hAnsi="Calibri" w:cs="Calibri"/>
          <w:i/>
          <w:iCs/>
          <w:sz w:val="24"/>
          <w:szCs w:val="24"/>
        </w:rPr>
        <w:t xml:space="preserve">Mo, </w:t>
      </w:r>
      <w:r w:rsidRPr="00665EB5">
        <w:rPr>
          <w:rFonts w:ascii="Calibri" w:hAnsi="Calibri" w:cs="Calibri"/>
          <w:i/>
          <w:iCs/>
          <w:sz w:val="24"/>
          <w:szCs w:val="24"/>
        </w:rPr>
        <w:t xml:space="preserve">T1, p. 8, par </w:t>
      </w:r>
      <w:r w:rsidR="005C4C0B" w:rsidRPr="00665EB5">
        <w:rPr>
          <w:rFonts w:ascii="Calibri" w:hAnsi="Calibri" w:cs="Calibri"/>
          <w:i/>
          <w:iCs/>
          <w:sz w:val="24"/>
          <w:szCs w:val="24"/>
        </w:rPr>
        <w:t>3)</w:t>
      </w:r>
      <w:r w:rsidR="005C4C0B">
        <w:rPr>
          <w:rFonts w:ascii="Calibri" w:hAnsi="Calibri" w:cs="Calibri"/>
          <w:sz w:val="24"/>
          <w:szCs w:val="24"/>
        </w:rPr>
        <w:t xml:space="preserve"> </w:t>
      </w:r>
    </w:p>
    <w:p w14:paraId="34283C6E" w14:textId="10C9649A" w:rsidR="001872B0" w:rsidRPr="00665EB5" w:rsidRDefault="001872B0" w:rsidP="00665EB5">
      <w:pPr>
        <w:ind w:left="720"/>
        <w:rPr>
          <w:rFonts w:ascii="Calibri" w:hAnsi="Calibri" w:cs="Calibri"/>
          <w:i/>
          <w:iCs/>
          <w:sz w:val="24"/>
          <w:szCs w:val="24"/>
        </w:rPr>
      </w:pPr>
      <w:r w:rsidRPr="00665EB5">
        <w:rPr>
          <w:rFonts w:ascii="Calibri" w:hAnsi="Calibri" w:cs="Calibri"/>
          <w:i/>
          <w:iCs/>
          <w:sz w:val="24"/>
          <w:szCs w:val="24"/>
        </w:rPr>
        <w:t>When you’re dealing with human beings and the complexities of their lives, there are so many things that come up and I don’t think teacher training at the moment really helps you navigate those (</w:t>
      </w:r>
      <w:r w:rsidR="00AB1ADC">
        <w:rPr>
          <w:rFonts w:ascii="Calibri" w:hAnsi="Calibri" w:cs="Calibri"/>
          <w:i/>
          <w:iCs/>
          <w:sz w:val="24"/>
          <w:szCs w:val="24"/>
        </w:rPr>
        <w:t>ibid.</w:t>
      </w:r>
      <w:r w:rsidRPr="00665EB5">
        <w:rPr>
          <w:rFonts w:ascii="Calibri" w:hAnsi="Calibri" w:cs="Calibri"/>
          <w:i/>
          <w:iCs/>
          <w:sz w:val="24"/>
          <w:szCs w:val="24"/>
        </w:rPr>
        <w:t>, p.9, par 6)</w:t>
      </w:r>
    </w:p>
    <w:p w14:paraId="06A32A58" w14:textId="6C2C7842" w:rsidR="001872B0" w:rsidRPr="00923583" w:rsidRDefault="001872B0" w:rsidP="0052490C">
      <w:pPr>
        <w:spacing w:line="360" w:lineRule="auto"/>
        <w:rPr>
          <w:rFonts w:ascii="Calibri" w:hAnsi="Calibri" w:cs="Calibri"/>
          <w:sz w:val="24"/>
          <w:szCs w:val="24"/>
        </w:rPr>
      </w:pPr>
      <w:r>
        <w:rPr>
          <w:rFonts w:ascii="Calibri" w:hAnsi="Calibri" w:cs="Calibri"/>
          <w:sz w:val="24"/>
          <w:szCs w:val="24"/>
        </w:rPr>
        <w:lastRenderedPageBreak/>
        <w:t xml:space="preserve">Describing a necessity to be emotionally aware and attuned, both Jenko and Mo affirm that teachers’ emotions can be impacted by their work, and the wider complexities involved in teaching. Both participants refer to the importance of </w:t>
      </w:r>
      <w:r w:rsidRPr="00B551EF">
        <w:rPr>
          <w:rFonts w:ascii="Calibri" w:hAnsi="Calibri" w:cs="Calibri"/>
          <w:sz w:val="24"/>
          <w:szCs w:val="24"/>
        </w:rPr>
        <w:t>includ</w:t>
      </w:r>
      <w:r>
        <w:rPr>
          <w:rFonts w:ascii="Calibri" w:hAnsi="Calibri" w:cs="Calibri"/>
          <w:sz w:val="24"/>
          <w:szCs w:val="24"/>
        </w:rPr>
        <w:t>ing</w:t>
      </w:r>
      <w:r w:rsidRPr="00B551EF">
        <w:rPr>
          <w:rFonts w:ascii="Calibri" w:hAnsi="Calibri" w:cs="Calibri"/>
          <w:sz w:val="24"/>
          <w:szCs w:val="24"/>
        </w:rPr>
        <w:t xml:space="preserve"> </w:t>
      </w:r>
      <w:r>
        <w:rPr>
          <w:rFonts w:ascii="Calibri" w:hAnsi="Calibri" w:cs="Calibri"/>
          <w:sz w:val="24"/>
          <w:szCs w:val="24"/>
        </w:rPr>
        <w:t xml:space="preserve">the subject of </w:t>
      </w:r>
      <w:r w:rsidRPr="00B551EF">
        <w:rPr>
          <w:rFonts w:ascii="Calibri" w:hAnsi="Calibri" w:cs="Calibri"/>
          <w:sz w:val="24"/>
          <w:szCs w:val="24"/>
        </w:rPr>
        <w:t xml:space="preserve">emotions in both learning to teach and teaching. </w:t>
      </w:r>
      <w:r>
        <w:rPr>
          <w:rFonts w:ascii="Calibri" w:hAnsi="Calibri" w:cs="Calibri"/>
          <w:sz w:val="24"/>
          <w:szCs w:val="24"/>
        </w:rPr>
        <w:t xml:space="preserve">This echoes the findings of Payne (2022) that mental health awareness training be incorporated in core teacher training, and </w:t>
      </w:r>
      <w:r w:rsidRPr="0043115F">
        <w:rPr>
          <w:rFonts w:ascii="Calibri" w:hAnsi="Calibri" w:cs="Calibri"/>
          <w:sz w:val="24"/>
          <w:szCs w:val="24"/>
        </w:rPr>
        <w:t xml:space="preserve">Whyte </w:t>
      </w:r>
      <w:r w:rsidR="00FB3A6E" w:rsidRPr="00FB3A6E">
        <w:rPr>
          <w:rFonts w:ascii="Calibri" w:hAnsi="Calibri" w:cs="Calibri"/>
          <w:i/>
          <w:sz w:val="24"/>
          <w:szCs w:val="24"/>
        </w:rPr>
        <w:t>et al.</w:t>
      </w:r>
      <w:r>
        <w:rPr>
          <w:rFonts w:ascii="Calibri" w:hAnsi="Calibri" w:cs="Calibri"/>
          <w:sz w:val="24"/>
          <w:szCs w:val="24"/>
        </w:rPr>
        <w:t xml:space="preserve"> </w:t>
      </w:r>
      <w:r w:rsidRPr="0043115F">
        <w:rPr>
          <w:rFonts w:ascii="Calibri" w:hAnsi="Calibri" w:cs="Calibri"/>
          <w:sz w:val="24"/>
          <w:szCs w:val="24"/>
        </w:rPr>
        <w:t xml:space="preserve">(2024) </w:t>
      </w:r>
      <w:r>
        <w:rPr>
          <w:rFonts w:ascii="Calibri" w:hAnsi="Calibri" w:cs="Calibri"/>
          <w:sz w:val="24"/>
          <w:szCs w:val="24"/>
        </w:rPr>
        <w:t xml:space="preserve">who suggest the same be offered to new teachers during their induction. </w:t>
      </w:r>
    </w:p>
    <w:p w14:paraId="3C9C3867" w14:textId="460D41BE" w:rsidR="001872B0" w:rsidRDefault="001872B0" w:rsidP="00194DA9">
      <w:pPr>
        <w:spacing w:line="360" w:lineRule="auto"/>
        <w:rPr>
          <w:rFonts w:ascii="Calibri" w:hAnsi="Calibri" w:cs="Calibri"/>
          <w:sz w:val="24"/>
          <w:szCs w:val="24"/>
        </w:rPr>
      </w:pPr>
      <w:r w:rsidRPr="00B40C1E">
        <w:rPr>
          <w:rFonts w:ascii="Calibri" w:hAnsi="Calibri" w:cs="Calibri"/>
          <w:sz w:val="24"/>
          <w:szCs w:val="24"/>
        </w:rPr>
        <w:t xml:space="preserve">During their interviews two participants voiced concern about </w:t>
      </w:r>
      <w:r>
        <w:rPr>
          <w:rFonts w:ascii="Calibri" w:hAnsi="Calibri" w:cs="Calibri"/>
          <w:sz w:val="24"/>
          <w:szCs w:val="24"/>
        </w:rPr>
        <w:t xml:space="preserve">their students’ ability to self-regulate. Laura noted that </w:t>
      </w:r>
      <w:r w:rsidRPr="00E933A9">
        <w:rPr>
          <w:rFonts w:ascii="Calibri" w:hAnsi="Calibri" w:cs="Calibri"/>
          <w:sz w:val="24"/>
          <w:szCs w:val="24"/>
        </w:rPr>
        <w:t>the</w:t>
      </w:r>
      <w:r>
        <w:rPr>
          <w:rFonts w:ascii="Calibri" w:hAnsi="Calibri" w:cs="Calibri"/>
          <w:sz w:val="24"/>
          <w:szCs w:val="24"/>
        </w:rPr>
        <w:t>ir</w:t>
      </w:r>
      <w:r w:rsidRPr="00E933A9">
        <w:rPr>
          <w:rFonts w:ascii="Calibri" w:hAnsi="Calibri" w:cs="Calibri"/>
          <w:sz w:val="24"/>
          <w:szCs w:val="24"/>
        </w:rPr>
        <w:t xml:space="preserve"> inability to regulate has progressed over time</w:t>
      </w:r>
      <w:r>
        <w:rPr>
          <w:rFonts w:ascii="Calibri" w:hAnsi="Calibri" w:cs="Calibri"/>
          <w:sz w:val="24"/>
          <w:szCs w:val="24"/>
        </w:rPr>
        <w:t>: “</w:t>
      </w:r>
      <w:r w:rsidRPr="00DD21B6">
        <w:rPr>
          <w:rFonts w:ascii="Calibri" w:hAnsi="Calibri" w:cs="Calibri"/>
          <w:i/>
          <w:iCs/>
          <w:sz w:val="24"/>
          <w:szCs w:val="24"/>
        </w:rPr>
        <w:t>The students are ‘this is what I’m feeling so whoever I’m with at any given time gets who I am’. They don’t have the same form of regulation with emotions that you might have</w:t>
      </w:r>
      <w:r>
        <w:rPr>
          <w:rFonts w:ascii="Calibri" w:hAnsi="Calibri" w:cs="Calibri"/>
          <w:sz w:val="24"/>
          <w:szCs w:val="24"/>
        </w:rPr>
        <w:t>” (</w:t>
      </w:r>
      <w:r w:rsidR="00104674">
        <w:rPr>
          <w:rFonts w:ascii="Calibri" w:hAnsi="Calibri" w:cs="Calibri"/>
          <w:sz w:val="24"/>
          <w:szCs w:val="24"/>
        </w:rPr>
        <w:t xml:space="preserve">Laura, </w:t>
      </w:r>
      <w:r>
        <w:rPr>
          <w:rFonts w:ascii="Calibri" w:hAnsi="Calibri" w:cs="Calibri"/>
          <w:sz w:val="24"/>
          <w:szCs w:val="24"/>
        </w:rPr>
        <w:t>T1, p. 12, par 3).</w:t>
      </w:r>
      <w:r w:rsidRPr="00E318B1">
        <w:rPr>
          <w:rFonts w:ascii="Calibri" w:hAnsi="Calibri" w:cs="Calibri"/>
          <w:sz w:val="24"/>
          <w:szCs w:val="24"/>
        </w:rPr>
        <w:t xml:space="preserve"> </w:t>
      </w:r>
      <w:r>
        <w:rPr>
          <w:rFonts w:ascii="Calibri" w:hAnsi="Calibri" w:cs="Calibri"/>
          <w:sz w:val="24"/>
          <w:szCs w:val="24"/>
        </w:rPr>
        <w:t>According to Fred: “</w:t>
      </w:r>
      <w:r w:rsidRPr="00DD21B6">
        <w:rPr>
          <w:rFonts w:ascii="Calibri" w:hAnsi="Calibri" w:cs="Calibri"/>
          <w:i/>
          <w:iCs/>
          <w:sz w:val="24"/>
          <w:szCs w:val="24"/>
        </w:rPr>
        <w:t>My British students are significantly more anxious and significantly worse prepared. They don’t deal with adversity</w:t>
      </w:r>
      <w:r>
        <w:rPr>
          <w:rFonts w:ascii="Calibri" w:hAnsi="Calibri" w:cs="Calibri"/>
          <w:sz w:val="24"/>
          <w:szCs w:val="24"/>
        </w:rPr>
        <w:t>”</w:t>
      </w:r>
      <w:r w:rsidRPr="00782AAE">
        <w:rPr>
          <w:rFonts w:ascii="Calibri" w:hAnsi="Calibri" w:cs="Calibri"/>
          <w:sz w:val="24"/>
          <w:szCs w:val="24"/>
        </w:rPr>
        <w:t xml:space="preserve"> </w:t>
      </w:r>
      <w:r>
        <w:rPr>
          <w:rFonts w:ascii="Calibri" w:hAnsi="Calibri" w:cs="Calibri"/>
          <w:sz w:val="24"/>
          <w:szCs w:val="24"/>
        </w:rPr>
        <w:t>(</w:t>
      </w:r>
      <w:r w:rsidR="00104674">
        <w:rPr>
          <w:rFonts w:ascii="Calibri" w:hAnsi="Calibri" w:cs="Calibri"/>
          <w:sz w:val="24"/>
          <w:szCs w:val="24"/>
        </w:rPr>
        <w:t xml:space="preserve">Fred, </w:t>
      </w:r>
      <w:r>
        <w:rPr>
          <w:rFonts w:ascii="Calibri" w:hAnsi="Calibri" w:cs="Calibri"/>
          <w:sz w:val="24"/>
          <w:szCs w:val="24"/>
        </w:rPr>
        <w:t>T1, p.7, par 8). Fred believes this development may be related to the recent COVID era but adds that current students “</w:t>
      </w:r>
      <w:r w:rsidRPr="00DD21B6">
        <w:rPr>
          <w:rFonts w:ascii="Calibri" w:hAnsi="Calibri" w:cs="Calibri"/>
          <w:i/>
          <w:iCs/>
          <w:sz w:val="24"/>
          <w:szCs w:val="24"/>
        </w:rPr>
        <w:t>have not been challenged in their life. I’m a bit worried for them when it comes to the challenges of life later on when there is no safeguarding in place</w:t>
      </w:r>
      <w:r>
        <w:rPr>
          <w:rFonts w:ascii="Calibri" w:hAnsi="Calibri" w:cs="Calibri"/>
          <w:sz w:val="24"/>
          <w:szCs w:val="24"/>
        </w:rPr>
        <w:t xml:space="preserve">” </w:t>
      </w:r>
      <w:r w:rsidR="00EA3E2C">
        <w:rPr>
          <w:rFonts w:ascii="Calibri" w:hAnsi="Calibri" w:cs="Calibri"/>
          <w:sz w:val="24"/>
          <w:szCs w:val="24"/>
        </w:rPr>
        <w:t>(ibid.</w:t>
      </w:r>
      <w:r>
        <w:rPr>
          <w:rFonts w:ascii="Calibri" w:hAnsi="Calibri" w:cs="Calibri"/>
          <w:sz w:val="24"/>
          <w:szCs w:val="24"/>
        </w:rPr>
        <w:t>, p.8, par 8).</w:t>
      </w:r>
      <w:r w:rsidRPr="00EB3607">
        <w:rPr>
          <w:rFonts w:ascii="Calibri" w:hAnsi="Calibri" w:cs="Calibri"/>
          <w:sz w:val="24"/>
          <w:szCs w:val="24"/>
        </w:rPr>
        <w:t xml:space="preserve"> </w:t>
      </w:r>
      <w:bookmarkStart w:id="73" w:name="_Hlk213398641"/>
    </w:p>
    <w:bookmarkEnd w:id="73"/>
    <w:p w14:paraId="502C975E" w14:textId="3DDA0AA8" w:rsidR="001872B0" w:rsidRPr="0068404E" w:rsidRDefault="001872B0" w:rsidP="00194DA9">
      <w:pPr>
        <w:spacing w:line="360" w:lineRule="auto"/>
        <w:rPr>
          <w:rFonts w:ascii="Calibri" w:hAnsi="Calibri" w:cs="Calibri"/>
          <w:color w:val="FF0000"/>
          <w:sz w:val="24"/>
          <w:szCs w:val="24"/>
        </w:rPr>
      </w:pPr>
      <w:r>
        <w:rPr>
          <w:rFonts w:ascii="Calibri" w:hAnsi="Calibri" w:cs="Calibri"/>
          <w:sz w:val="24"/>
          <w:szCs w:val="24"/>
        </w:rPr>
        <w:t>Laura and Fred believe a lack of emotional resilience in students is a recent development, and</w:t>
      </w:r>
      <w:r w:rsidRPr="00B06315">
        <w:rPr>
          <w:rFonts w:ascii="Calibri" w:hAnsi="Calibri" w:cs="Calibri"/>
          <w:sz w:val="24"/>
          <w:szCs w:val="24"/>
        </w:rPr>
        <w:t xml:space="preserve"> </w:t>
      </w:r>
      <w:r>
        <w:rPr>
          <w:rFonts w:ascii="Calibri" w:hAnsi="Calibri" w:cs="Calibri"/>
          <w:sz w:val="24"/>
          <w:szCs w:val="24"/>
        </w:rPr>
        <w:t xml:space="preserve">a report by </w:t>
      </w:r>
      <w:r w:rsidRPr="00226670">
        <w:rPr>
          <w:rFonts w:ascii="Calibri" w:hAnsi="Calibri" w:cs="Calibri"/>
          <w:sz w:val="24"/>
          <w:szCs w:val="24"/>
        </w:rPr>
        <w:t xml:space="preserve">Deloitte Global </w:t>
      </w:r>
      <w:r>
        <w:rPr>
          <w:rFonts w:ascii="Calibri" w:hAnsi="Calibri" w:cs="Calibri"/>
          <w:sz w:val="24"/>
          <w:szCs w:val="24"/>
        </w:rPr>
        <w:t>(</w:t>
      </w:r>
      <w:r w:rsidRPr="00226670">
        <w:rPr>
          <w:rFonts w:ascii="Calibri" w:hAnsi="Calibri" w:cs="Calibri"/>
          <w:sz w:val="24"/>
          <w:szCs w:val="24"/>
        </w:rPr>
        <w:t>2021)</w:t>
      </w:r>
      <w:r>
        <w:rPr>
          <w:rFonts w:ascii="Calibri" w:hAnsi="Calibri" w:cs="Calibri"/>
          <w:sz w:val="24"/>
          <w:szCs w:val="24"/>
        </w:rPr>
        <w:t xml:space="preserve"> </w:t>
      </w:r>
      <w:r w:rsidRPr="00B06315">
        <w:rPr>
          <w:rFonts w:ascii="Calibri" w:hAnsi="Calibri" w:cs="Calibri"/>
          <w:sz w:val="24"/>
          <w:szCs w:val="24"/>
        </w:rPr>
        <w:t xml:space="preserve">supports their claims. Leahy </w:t>
      </w:r>
      <w:r w:rsidR="00FB3A6E" w:rsidRPr="00FB3A6E">
        <w:rPr>
          <w:rFonts w:ascii="Calibri" w:hAnsi="Calibri" w:cs="Calibri"/>
          <w:i/>
          <w:sz w:val="24"/>
          <w:szCs w:val="24"/>
        </w:rPr>
        <w:t>et al.</w:t>
      </w:r>
      <w:r w:rsidRPr="00B06315">
        <w:rPr>
          <w:rFonts w:ascii="Calibri" w:hAnsi="Calibri" w:cs="Calibri"/>
          <w:sz w:val="24"/>
          <w:szCs w:val="24"/>
        </w:rPr>
        <w:t xml:space="preserve"> (2010) highlight that stress in students is four times higher </w:t>
      </w:r>
      <w:r>
        <w:rPr>
          <w:rFonts w:ascii="Calibri" w:hAnsi="Calibri" w:cs="Calibri"/>
          <w:sz w:val="24"/>
          <w:szCs w:val="24"/>
        </w:rPr>
        <w:t xml:space="preserve">than </w:t>
      </w:r>
      <w:r w:rsidRPr="00B06315">
        <w:rPr>
          <w:rFonts w:ascii="Calibri" w:hAnsi="Calibri" w:cs="Calibri"/>
          <w:sz w:val="24"/>
          <w:szCs w:val="24"/>
        </w:rPr>
        <w:t xml:space="preserve">that of the general population of the same age, positioning the term “recent” </w:t>
      </w:r>
      <w:r>
        <w:rPr>
          <w:rFonts w:ascii="Calibri" w:hAnsi="Calibri" w:cs="Calibri"/>
          <w:sz w:val="24"/>
          <w:szCs w:val="24"/>
        </w:rPr>
        <w:t xml:space="preserve">as </w:t>
      </w:r>
      <w:r w:rsidRPr="00B06315">
        <w:rPr>
          <w:rFonts w:ascii="Calibri" w:hAnsi="Calibri" w:cs="Calibri"/>
          <w:sz w:val="24"/>
          <w:szCs w:val="24"/>
        </w:rPr>
        <w:t>covering a 20-year span.</w:t>
      </w:r>
      <w:r>
        <w:rPr>
          <w:rFonts w:ascii="Calibri" w:hAnsi="Calibri" w:cs="Calibri"/>
          <w:sz w:val="24"/>
          <w:szCs w:val="24"/>
        </w:rPr>
        <w:t xml:space="preserve"> The mantra-like declaration of students’ feelings that Laura comments upon has echoes of the slogan “I feel therefore I am” (Mortiboys, 2005, p.142), and an emotional freedom paradigm (Ecclestone and Hayes, 2009) that </w:t>
      </w:r>
      <w:r w:rsidR="00175AAB">
        <w:rPr>
          <w:rFonts w:ascii="Calibri" w:hAnsi="Calibri" w:cs="Calibri"/>
          <w:sz w:val="24"/>
          <w:szCs w:val="24"/>
        </w:rPr>
        <w:t xml:space="preserve">Laura and Fred </w:t>
      </w:r>
      <w:r>
        <w:rPr>
          <w:rFonts w:ascii="Calibri" w:hAnsi="Calibri" w:cs="Calibri"/>
          <w:sz w:val="24"/>
          <w:szCs w:val="24"/>
        </w:rPr>
        <w:t>express some concern over. I am reminded of comments made earlier about preparing students for their future lives</w:t>
      </w:r>
      <w:r w:rsidR="00526051">
        <w:rPr>
          <w:rFonts w:ascii="Calibri" w:hAnsi="Calibri" w:cs="Calibri"/>
          <w:sz w:val="24"/>
          <w:szCs w:val="24"/>
        </w:rPr>
        <w:t xml:space="preserve"> </w:t>
      </w:r>
      <w:r w:rsidR="00526051" w:rsidRPr="00526051">
        <w:rPr>
          <w:rFonts w:ascii="Calibri" w:hAnsi="Calibri" w:cs="Calibri"/>
          <w:sz w:val="24"/>
          <w:szCs w:val="24"/>
        </w:rPr>
        <w:t>(Mo, T 1, pp. 2-3, par 15)</w:t>
      </w:r>
      <w:r w:rsidR="00DB23F6">
        <w:rPr>
          <w:rFonts w:ascii="Calibri" w:hAnsi="Calibri" w:cs="Calibri"/>
          <w:sz w:val="24"/>
          <w:szCs w:val="24"/>
        </w:rPr>
        <w:t>,</w:t>
      </w:r>
      <w:r>
        <w:rPr>
          <w:rFonts w:ascii="Calibri" w:hAnsi="Calibri" w:cs="Calibri"/>
          <w:sz w:val="24"/>
          <w:szCs w:val="24"/>
        </w:rPr>
        <w:t xml:space="preserve"> the</w:t>
      </w:r>
      <w:r w:rsidR="000D5BAE">
        <w:rPr>
          <w:rFonts w:ascii="Calibri" w:hAnsi="Calibri" w:cs="Calibri"/>
          <w:sz w:val="24"/>
          <w:szCs w:val="24"/>
        </w:rPr>
        <w:t xml:space="preserve"> students’</w:t>
      </w:r>
      <w:r w:rsidR="00A67D9B">
        <w:rPr>
          <w:rFonts w:ascii="Calibri" w:hAnsi="Calibri" w:cs="Calibri"/>
          <w:sz w:val="24"/>
          <w:szCs w:val="24"/>
        </w:rPr>
        <w:t xml:space="preserve"> mental, emotional and academic struggles</w:t>
      </w:r>
      <w:r w:rsidR="00DB23F6">
        <w:rPr>
          <w:rFonts w:ascii="Calibri" w:hAnsi="Calibri" w:cs="Calibri"/>
          <w:sz w:val="24"/>
          <w:szCs w:val="24"/>
        </w:rPr>
        <w:t xml:space="preserve"> (</w:t>
      </w:r>
      <w:r w:rsidR="00DB23F6" w:rsidRPr="00DB23F6">
        <w:rPr>
          <w:rFonts w:ascii="Calibri" w:hAnsi="Calibri" w:cs="Calibri"/>
          <w:sz w:val="24"/>
          <w:szCs w:val="24"/>
        </w:rPr>
        <w:t>Jenko, T1, p.4, par 1)</w:t>
      </w:r>
      <w:r>
        <w:rPr>
          <w:rFonts w:ascii="Calibri" w:hAnsi="Calibri" w:cs="Calibri"/>
          <w:sz w:val="24"/>
          <w:szCs w:val="24"/>
        </w:rPr>
        <w:t xml:space="preserve"> </w:t>
      </w:r>
      <w:r w:rsidR="00D352A1">
        <w:rPr>
          <w:rFonts w:ascii="Calibri" w:hAnsi="Calibri" w:cs="Calibri"/>
          <w:sz w:val="24"/>
          <w:szCs w:val="24"/>
        </w:rPr>
        <w:t xml:space="preserve">and their </w:t>
      </w:r>
      <w:r>
        <w:rPr>
          <w:rFonts w:ascii="Calibri" w:hAnsi="Calibri" w:cs="Calibri"/>
          <w:sz w:val="24"/>
          <w:szCs w:val="24"/>
        </w:rPr>
        <w:t>lack of relational skills. There are now four participants that echo the findings of</w:t>
      </w:r>
      <w:r w:rsidRPr="005D4767">
        <w:rPr>
          <w:rFonts w:ascii="Calibri" w:eastAsia="Calibri" w:hAnsi="Calibri" w:cs="Times New Roman"/>
          <w:sz w:val="24"/>
          <w:szCs w:val="24"/>
        </w:rPr>
        <w:t xml:space="preserve"> Ippolito and Kingsbury (2024) </w:t>
      </w:r>
      <w:r>
        <w:rPr>
          <w:rFonts w:ascii="Calibri" w:eastAsia="Calibri" w:hAnsi="Calibri" w:cs="Times New Roman"/>
          <w:sz w:val="24"/>
          <w:szCs w:val="24"/>
        </w:rPr>
        <w:t xml:space="preserve">that current students are lacking in both cognitive skills and </w:t>
      </w:r>
      <w:r w:rsidRPr="005D4767">
        <w:rPr>
          <w:rFonts w:ascii="Calibri" w:eastAsia="Calibri" w:hAnsi="Calibri" w:cs="Times New Roman"/>
          <w:sz w:val="24"/>
          <w:szCs w:val="24"/>
        </w:rPr>
        <w:t>emotional compete</w:t>
      </w:r>
      <w:r>
        <w:rPr>
          <w:rFonts w:ascii="Calibri" w:eastAsia="Calibri" w:hAnsi="Calibri" w:cs="Times New Roman"/>
          <w:sz w:val="24"/>
          <w:szCs w:val="24"/>
        </w:rPr>
        <w:t xml:space="preserve">nce. These pertinent characteristics suggest a need to address these perceived lacks when they are presented in the classroom domain and highlight the need for at least more awareness and training (Hughes and Spanner, 2019). </w:t>
      </w:r>
    </w:p>
    <w:p w14:paraId="59B7C3B8" w14:textId="77777777" w:rsidR="001872B0" w:rsidRPr="00B06315" w:rsidRDefault="001872B0" w:rsidP="00194DA9">
      <w:pPr>
        <w:spacing w:line="360" w:lineRule="auto"/>
        <w:rPr>
          <w:rFonts w:ascii="Calibri" w:hAnsi="Calibri" w:cs="Calibri"/>
          <w:sz w:val="24"/>
          <w:szCs w:val="24"/>
        </w:rPr>
      </w:pPr>
      <w:r>
        <w:rPr>
          <w:rFonts w:ascii="Calibri" w:hAnsi="Calibri" w:cs="Calibri"/>
          <w:sz w:val="24"/>
          <w:szCs w:val="24"/>
        </w:rPr>
        <w:lastRenderedPageBreak/>
        <w:t>A significant aspect of increasing awareness is the sharing of lived experience.</w:t>
      </w:r>
      <w:r w:rsidRPr="00830F4C">
        <w:rPr>
          <w:rFonts w:ascii="Calibri" w:hAnsi="Calibri" w:cs="Calibri"/>
          <w:sz w:val="24"/>
          <w:szCs w:val="24"/>
        </w:rPr>
        <w:t xml:space="preserve"> By sharing their own experiences, Sophie and Jenko suggest that it affords the student a form of protection</w:t>
      </w:r>
      <w:r>
        <w:rPr>
          <w:rFonts w:ascii="Calibri" w:hAnsi="Calibri" w:cs="Calibri"/>
          <w:sz w:val="24"/>
          <w:szCs w:val="24"/>
        </w:rPr>
        <w:t xml:space="preserve"> </w:t>
      </w:r>
      <w:r w:rsidRPr="00830F4C">
        <w:rPr>
          <w:rFonts w:ascii="Calibri" w:hAnsi="Calibri" w:cs="Calibri"/>
          <w:sz w:val="24"/>
          <w:szCs w:val="24"/>
        </w:rPr>
        <w:t xml:space="preserve">which will help them navigate their own difficulties experienced in their </w:t>
      </w:r>
      <w:r>
        <w:rPr>
          <w:rFonts w:ascii="Calibri" w:hAnsi="Calibri" w:cs="Calibri"/>
          <w:sz w:val="24"/>
          <w:szCs w:val="24"/>
        </w:rPr>
        <w:t xml:space="preserve">future work and </w:t>
      </w:r>
      <w:r w:rsidRPr="00830F4C">
        <w:rPr>
          <w:rFonts w:ascii="Calibri" w:hAnsi="Calibri" w:cs="Calibri"/>
          <w:sz w:val="24"/>
          <w:szCs w:val="24"/>
        </w:rPr>
        <w:t>practice</w:t>
      </w:r>
      <w:r>
        <w:rPr>
          <w:rFonts w:ascii="Calibri" w:hAnsi="Calibri" w:cs="Calibri"/>
          <w:sz w:val="24"/>
          <w:szCs w:val="24"/>
        </w:rPr>
        <w:t>:</w:t>
      </w:r>
    </w:p>
    <w:p w14:paraId="79DC4A20" w14:textId="0C272600" w:rsidR="001872B0" w:rsidRPr="00DD21B6" w:rsidRDefault="001872B0" w:rsidP="00DD21B6">
      <w:pPr>
        <w:ind w:left="720"/>
        <w:rPr>
          <w:rFonts w:ascii="Calibri" w:hAnsi="Calibri" w:cs="Calibri"/>
          <w:i/>
          <w:iCs/>
          <w:sz w:val="24"/>
          <w:szCs w:val="24"/>
        </w:rPr>
      </w:pPr>
      <w:r w:rsidRPr="00DD21B6">
        <w:rPr>
          <w:rFonts w:ascii="Calibri" w:hAnsi="Calibri" w:cs="Calibri"/>
          <w:i/>
          <w:iCs/>
          <w:sz w:val="24"/>
          <w:szCs w:val="24"/>
        </w:rPr>
        <w:t>I will use examples from my practice because that’s real, that enriches it</w:t>
      </w:r>
      <w:r w:rsidR="00FA5EEB">
        <w:rPr>
          <w:rFonts w:ascii="Calibri" w:hAnsi="Calibri" w:cs="Calibri"/>
          <w:i/>
          <w:iCs/>
          <w:sz w:val="24"/>
          <w:szCs w:val="24"/>
        </w:rPr>
        <w:t xml:space="preserve"> </w:t>
      </w:r>
      <w:r w:rsidR="0077477C">
        <w:rPr>
          <w:rFonts w:ascii="Calibri" w:hAnsi="Calibri" w:cs="Calibri"/>
          <w:i/>
          <w:iCs/>
          <w:sz w:val="24"/>
          <w:szCs w:val="24"/>
        </w:rPr>
        <w:t>[</w:t>
      </w:r>
      <w:r w:rsidR="0077477C" w:rsidRPr="00DD21B6">
        <w:rPr>
          <w:rFonts w:ascii="Calibri" w:hAnsi="Calibri" w:cs="Calibri"/>
          <w:i/>
          <w:iCs/>
          <w:sz w:val="24"/>
          <w:szCs w:val="24"/>
        </w:rPr>
        <w:t>...</w:t>
      </w:r>
      <w:r w:rsidR="0077477C">
        <w:rPr>
          <w:rFonts w:ascii="Calibri" w:hAnsi="Calibri" w:cs="Calibri"/>
          <w:i/>
          <w:iCs/>
          <w:sz w:val="24"/>
          <w:szCs w:val="24"/>
        </w:rPr>
        <w:t xml:space="preserve">] </w:t>
      </w:r>
      <w:r w:rsidR="0077477C" w:rsidRPr="00DD21B6">
        <w:rPr>
          <w:rFonts w:ascii="Calibri" w:hAnsi="Calibri" w:cs="Calibri"/>
          <w:i/>
          <w:iCs/>
          <w:sz w:val="24"/>
          <w:szCs w:val="24"/>
        </w:rPr>
        <w:t>It’s</w:t>
      </w:r>
      <w:r w:rsidRPr="00DD21B6">
        <w:rPr>
          <w:rFonts w:ascii="Calibri" w:hAnsi="Calibri" w:cs="Calibri"/>
          <w:i/>
          <w:iCs/>
          <w:sz w:val="24"/>
          <w:szCs w:val="24"/>
        </w:rPr>
        <w:t xml:space="preserve"> actually a really important aspect of the work that we have that insight</w:t>
      </w:r>
      <w:r w:rsidR="00195736">
        <w:rPr>
          <w:rFonts w:ascii="Calibri" w:hAnsi="Calibri" w:cs="Calibri"/>
          <w:i/>
          <w:iCs/>
          <w:sz w:val="24"/>
          <w:szCs w:val="24"/>
        </w:rPr>
        <w:t xml:space="preserve"> [</w:t>
      </w:r>
      <w:r w:rsidRPr="00DD21B6">
        <w:rPr>
          <w:rFonts w:ascii="Calibri" w:hAnsi="Calibri" w:cs="Calibri"/>
          <w:i/>
          <w:iCs/>
          <w:sz w:val="24"/>
          <w:szCs w:val="24"/>
        </w:rPr>
        <w:t>…</w:t>
      </w:r>
      <w:r w:rsidR="0040476B">
        <w:rPr>
          <w:rFonts w:ascii="Calibri" w:hAnsi="Calibri" w:cs="Calibri"/>
          <w:i/>
          <w:iCs/>
          <w:sz w:val="24"/>
          <w:szCs w:val="24"/>
        </w:rPr>
        <w:t>]</w:t>
      </w:r>
      <w:r w:rsidRPr="00DD21B6">
        <w:rPr>
          <w:rFonts w:ascii="Calibri" w:hAnsi="Calibri" w:cs="Calibri"/>
          <w:i/>
          <w:iCs/>
          <w:sz w:val="24"/>
          <w:szCs w:val="24"/>
        </w:rPr>
        <w:t xml:space="preserve"> so just that they have that sense that they are not alone in feeling that way (Sophie, </w:t>
      </w:r>
      <w:r w:rsidR="00220A6A">
        <w:rPr>
          <w:rFonts w:ascii="Calibri" w:hAnsi="Calibri" w:cs="Calibri"/>
          <w:i/>
          <w:iCs/>
          <w:sz w:val="24"/>
          <w:szCs w:val="24"/>
        </w:rPr>
        <w:t xml:space="preserve">T1, </w:t>
      </w:r>
      <w:r w:rsidRPr="00DD21B6">
        <w:rPr>
          <w:rFonts w:ascii="Calibri" w:hAnsi="Calibri" w:cs="Calibri"/>
          <w:i/>
          <w:iCs/>
          <w:sz w:val="24"/>
          <w:szCs w:val="24"/>
        </w:rPr>
        <w:t>p.7, par 5).</w:t>
      </w:r>
    </w:p>
    <w:p w14:paraId="13149721" w14:textId="1F328A50" w:rsidR="001872B0" w:rsidRPr="00DD21B6" w:rsidRDefault="001872B0" w:rsidP="00DD21B6">
      <w:pPr>
        <w:ind w:left="720"/>
        <w:rPr>
          <w:rFonts w:ascii="Calibri" w:hAnsi="Calibri" w:cs="Calibri"/>
          <w:i/>
          <w:iCs/>
          <w:sz w:val="24"/>
          <w:szCs w:val="24"/>
        </w:rPr>
      </w:pPr>
      <w:r w:rsidRPr="00DD21B6">
        <w:rPr>
          <w:rFonts w:ascii="Calibri" w:hAnsi="Calibri" w:cs="Calibri"/>
          <w:i/>
          <w:iCs/>
          <w:sz w:val="24"/>
          <w:szCs w:val="24"/>
        </w:rPr>
        <w:t>The policing curriculum it is fraught with that emotional danger throughout (T1, p.11, par 4). The last thing I want is for students to go out into the real world and suddenly be hit with that sort of emotional ‘well I didn’t get taught that at university’ and that’s the difficulty. It’s about putting that lived experience into that real world of teaching (Jenko,</w:t>
      </w:r>
      <w:r w:rsidR="00220A6A">
        <w:rPr>
          <w:rFonts w:ascii="Calibri" w:hAnsi="Calibri" w:cs="Calibri"/>
          <w:i/>
          <w:iCs/>
          <w:sz w:val="24"/>
          <w:szCs w:val="24"/>
        </w:rPr>
        <w:t xml:space="preserve"> T1,</w:t>
      </w:r>
      <w:r w:rsidRPr="00DD21B6">
        <w:rPr>
          <w:rFonts w:ascii="Calibri" w:hAnsi="Calibri" w:cs="Calibri"/>
          <w:i/>
          <w:iCs/>
          <w:sz w:val="24"/>
          <w:szCs w:val="24"/>
        </w:rPr>
        <w:t xml:space="preserve"> p.12, par 1).</w:t>
      </w:r>
    </w:p>
    <w:p w14:paraId="17F676E0" w14:textId="025F7638" w:rsidR="001872B0" w:rsidRPr="00E318B1" w:rsidRDefault="001872B0" w:rsidP="00F569B0">
      <w:pPr>
        <w:spacing w:line="360" w:lineRule="auto"/>
        <w:rPr>
          <w:rFonts w:ascii="Calibri" w:hAnsi="Calibri" w:cs="Calibri"/>
          <w:sz w:val="24"/>
          <w:szCs w:val="24"/>
        </w:rPr>
      </w:pPr>
      <w:bookmarkStart w:id="74" w:name="_Hlk198635829"/>
      <w:r>
        <w:rPr>
          <w:rFonts w:ascii="Calibri" w:hAnsi="Calibri" w:cs="Calibri"/>
          <w:sz w:val="24"/>
          <w:szCs w:val="24"/>
        </w:rPr>
        <w:t xml:space="preserve">The experiences of these participants are an example of the need for students having an educational experience that fosters their holistic development and prepares them for their future lives (Croley </w:t>
      </w:r>
      <w:r w:rsidR="00FB3A6E" w:rsidRPr="00FB3A6E">
        <w:rPr>
          <w:rFonts w:ascii="Calibri" w:hAnsi="Calibri" w:cs="Calibri"/>
          <w:i/>
          <w:sz w:val="24"/>
          <w:szCs w:val="24"/>
        </w:rPr>
        <w:t>et al.</w:t>
      </w:r>
      <w:r>
        <w:rPr>
          <w:rFonts w:ascii="Calibri" w:hAnsi="Calibri" w:cs="Calibri"/>
          <w:sz w:val="24"/>
          <w:szCs w:val="24"/>
        </w:rPr>
        <w:t>, 2022)</w:t>
      </w:r>
      <w:r w:rsidR="008F4DCB">
        <w:rPr>
          <w:rFonts w:ascii="Calibri" w:hAnsi="Calibri" w:cs="Calibri"/>
          <w:sz w:val="24"/>
          <w:szCs w:val="24"/>
        </w:rPr>
        <w:t xml:space="preserve">. </w:t>
      </w:r>
      <w:r>
        <w:rPr>
          <w:rFonts w:ascii="Calibri" w:hAnsi="Calibri" w:cs="Calibri"/>
          <w:sz w:val="24"/>
          <w:szCs w:val="24"/>
        </w:rPr>
        <w:t xml:space="preserve">Sophie and Jenko believe sharing their lived experience facilitates this preparation. They have an eye on the present, and the future and want to ensure students are afforded the skills </w:t>
      </w:r>
      <w:r w:rsidRPr="00E86F5C">
        <w:rPr>
          <w:rFonts w:ascii="Calibri" w:hAnsi="Calibri" w:cs="Calibri"/>
          <w:i/>
          <w:iCs/>
          <w:sz w:val="24"/>
          <w:szCs w:val="24"/>
        </w:rPr>
        <w:t>now</w:t>
      </w:r>
      <w:r>
        <w:rPr>
          <w:rFonts w:ascii="Calibri" w:hAnsi="Calibri" w:cs="Calibri"/>
          <w:sz w:val="24"/>
          <w:szCs w:val="24"/>
        </w:rPr>
        <w:t xml:space="preserve"> that carry them forward into the real world (</w:t>
      </w:r>
      <w:r w:rsidR="0077477C">
        <w:rPr>
          <w:rFonts w:ascii="Calibri" w:hAnsi="Calibri" w:cs="Calibri"/>
          <w:sz w:val="24"/>
          <w:szCs w:val="24"/>
        </w:rPr>
        <w:t>Jenko</w:t>
      </w:r>
      <w:r w:rsidR="0077477C" w:rsidRPr="0077477C">
        <w:rPr>
          <w:rFonts w:ascii="Calibri" w:hAnsi="Calibri" w:cs="Calibri"/>
          <w:sz w:val="24"/>
          <w:szCs w:val="24"/>
        </w:rPr>
        <w:t>, p.12, par 1</w:t>
      </w:r>
      <w:r>
        <w:rPr>
          <w:rFonts w:ascii="Calibri" w:hAnsi="Calibri" w:cs="Calibri"/>
          <w:sz w:val="24"/>
          <w:szCs w:val="24"/>
        </w:rPr>
        <w:t>) by having examples of experiences that other seasoned practitioners have learnt from. Both participants are echoing Winnicott’s (1965) ontological concept of holding that incorporates the relational nature of lived experience that sustains a continuity of whole self-development.</w:t>
      </w:r>
    </w:p>
    <w:bookmarkEnd w:id="74"/>
    <w:p w14:paraId="653B3774" w14:textId="77777777" w:rsidR="001872B0" w:rsidRDefault="001872B0" w:rsidP="00FD7405">
      <w:pPr>
        <w:rPr>
          <w:rFonts w:ascii="Calibri" w:hAnsi="Calibri" w:cs="Calibri"/>
          <w:b/>
          <w:bCs/>
          <w:sz w:val="24"/>
          <w:szCs w:val="24"/>
        </w:rPr>
      </w:pPr>
      <w:r>
        <w:rPr>
          <w:rFonts w:ascii="Calibri" w:hAnsi="Calibri" w:cs="Calibri"/>
          <w:b/>
          <w:bCs/>
          <w:sz w:val="24"/>
          <w:szCs w:val="24"/>
        </w:rPr>
        <w:t>Theme 2: Guardian of the Threshold</w:t>
      </w:r>
    </w:p>
    <w:p w14:paraId="2BCB534E" w14:textId="77777777" w:rsidR="001872B0" w:rsidRDefault="001872B0" w:rsidP="00ED4F82">
      <w:pPr>
        <w:spacing w:line="360" w:lineRule="auto"/>
        <w:rPr>
          <w:rFonts w:ascii="Calibri" w:hAnsi="Calibri" w:cs="Calibri"/>
          <w:sz w:val="24"/>
          <w:szCs w:val="24"/>
        </w:rPr>
      </w:pPr>
      <w:r>
        <w:rPr>
          <w:rFonts w:ascii="Calibri" w:hAnsi="Calibri" w:cs="Calibri"/>
          <w:sz w:val="24"/>
          <w:szCs w:val="24"/>
        </w:rPr>
        <w:t>The guardian in a tale oversees the growth and development of the principal protagonist who is navigating territories unknown. Having established there were a number of obstacles for most participants in their professional training, the subject of support was important to explore.</w:t>
      </w:r>
    </w:p>
    <w:p w14:paraId="32479BF9" w14:textId="77777777" w:rsidR="001872B0" w:rsidRPr="008A7DE9" w:rsidRDefault="001872B0" w:rsidP="008A7DE9">
      <w:pPr>
        <w:ind w:firstLine="720"/>
        <w:rPr>
          <w:rFonts w:ascii="Calibri" w:hAnsi="Calibri" w:cs="Calibri"/>
          <w:b/>
          <w:bCs/>
          <w:i/>
          <w:iCs/>
          <w:sz w:val="24"/>
          <w:szCs w:val="24"/>
        </w:rPr>
      </w:pPr>
      <w:r w:rsidRPr="008A7DE9">
        <w:rPr>
          <w:rFonts w:ascii="Calibri" w:hAnsi="Calibri" w:cs="Calibri"/>
          <w:b/>
          <w:bCs/>
          <w:i/>
          <w:iCs/>
          <w:sz w:val="24"/>
          <w:szCs w:val="24"/>
        </w:rPr>
        <w:t>People: people who need people</w:t>
      </w:r>
    </w:p>
    <w:p w14:paraId="0037619F" w14:textId="77777777" w:rsidR="001872B0" w:rsidRPr="00FF528B" w:rsidRDefault="001872B0" w:rsidP="00031EA4">
      <w:pPr>
        <w:spacing w:line="360" w:lineRule="auto"/>
        <w:rPr>
          <w:rFonts w:ascii="Calibri" w:hAnsi="Calibri" w:cs="Calibri"/>
          <w:sz w:val="24"/>
          <w:szCs w:val="24"/>
        </w:rPr>
      </w:pPr>
      <w:r>
        <w:rPr>
          <w:rFonts w:ascii="Calibri" w:hAnsi="Calibri" w:cs="Calibri"/>
          <w:sz w:val="24"/>
          <w:szCs w:val="24"/>
        </w:rPr>
        <w:t>When asked about support whilst training as teachers, some participants</w:t>
      </w:r>
      <w:r w:rsidRPr="007D03BC">
        <w:rPr>
          <w:rFonts w:ascii="Calibri" w:hAnsi="Calibri" w:cs="Calibri"/>
          <w:sz w:val="24"/>
          <w:szCs w:val="24"/>
        </w:rPr>
        <w:t xml:space="preserve"> referred to the informal nature of conversations with their supervisor, career mentor or colleagues</w:t>
      </w:r>
      <w:r>
        <w:rPr>
          <w:rFonts w:ascii="Calibri" w:hAnsi="Calibri" w:cs="Calibri"/>
          <w:sz w:val="24"/>
          <w:szCs w:val="24"/>
        </w:rPr>
        <w:t xml:space="preserve">: </w:t>
      </w:r>
    </w:p>
    <w:p w14:paraId="67A8D325" w14:textId="714E3DA2" w:rsidR="001872B0" w:rsidRPr="00DD21B6" w:rsidRDefault="001872B0" w:rsidP="00DD21B6">
      <w:pPr>
        <w:ind w:left="720"/>
        <w:rPr>
          <w:rFonts w:ascii="Calibri" w:hAnsi="Calibri" w:cs="Calibri"/>
          <w:i/>
          <w:iCs/>
          <w:sz w:val="24"/>
          <w:szCs w:val="24"/>
        </w:rPr>
      </w:pPr>
      <w:r w:rsidRPr="00DD21B6">
        <w:rPr>
          <w:rFonts w:ascii="Calibri" w:hAnsi="Calibri" w:cs="Calibri"/>
          <w:i/>
          <w:iCs/>
          <w:sz w:val="24"/>
          <w:szCs w:val="24"/>
        </w:rPr>
        <w:t>So, it was the program director and we just kind of fell into it</w:t>
      </w:r>
      <w:r w:rsidR="00A6646C">
        <w:rPr>
          <w:rFonts w:ascii="Calibri" w:hAnsi="Calibri" w:cs="Calibri"/>
          <w:i/>
          <w:iCs/>
          <w:sz w:val="24"/>
          <w:szCs w:val="24"/>
        </w:rPr>
        <w:t xml:space="preserve"> </w:t>
      </w:r>
      <w:r w:rsidRPr="00DD21B6">
        <w:rPr>
          <w:rFonts w:ascii="Calibri" w:hAnsi="Calibri" w:cs="Calibri"/>
          <w:i/>
          <w:iCs/>
          <w:sz w:val="24"/>
          <w:szCs w:val="24"/>
        </w:rPr>
        <w:t>as he was leaving ‘</w:t>
      </w:r>
      <w:r w:rsidR="00A6646C">
        <w:rPr>
          <w:rFonts w:ascii="Calibri" w:hAnsi="Calibri" w:cs="Calibri"/>
          <w:i/>
          <w:iCs/>
          <w:sz w:val="24"/>
          <w:szCs w:val="24"/>
        </w:rPr>
        <w:t>D</w:t>
      </w:r>
      <w:r w:rsidRPr="00DD21B6">
        <w:rPr>
          <w:rFonts w:ascii="Calibri" w:hAnsi="Calibri" w:cs="Calibri"/>
          <w:i/>
          <w:iCs/>
          <w:sz w:val="24"/>
          <w:szCs w:val="24"/>
        </w:rPr>
        <w:t xml:space="preserve">o you just want to have a chat?’, and probably those 20-minute conversations were an </w:t>
      </w:r>
      <w:r w:rsidRPr="00DD21B6">
        <w:rPr>
          <w:rFonts w:ascii="Calibri" w:hAnsi="Calibri" w:cs="Calibri"/>
          <w:i/>
          <w:iCs/>
          <w:sz w:val="24"/>
          <w:szCs w:val="24"/>
        </w:rPr>
        <w:lastRenderedPageBreak/>
        <w:t>opportunity for me to be, like, ‘</w:t>
      </w:r>
      <w:r w:rsidR="00A6646C">
        <w:rPr>
          <w:rFonts w:ascii="Calibri" w:hAnsi="Calibri" w:cs="Calibri"/>
          <w:i/>
          <w:iCs/>
          <w:sz w:val="24"/>
          <w:szCs w:val="24"/>
        </w:rPr>
        <w:t>W</w:t>
      </w:r>
      <w:r w:rsidRPr="00DD21B6">
        <w:rPr>
          <w:rFonts w:ascii="Calibri" w:hAnsi="Calibri" w:cs="Calibri"/>
          <w:i/>
          <w:iCs/>
          <w:sz w:val="24"/>
          <w:szCs w:val="24"/>
        </w:rPr>
        <w:t>hat do you think I can do about that?’ So, it wasn’t like an official mentoring session - it was so serendipitous, almost those ‘watercooler conversations’ that people talk about (Liz, T1, p. 9, par 15).</w:t>
      </w:r>
    </w:p>
    <w:p w14:paraId="52B93019" w14:textId="0193704D" w:rsidR="001872B0" w:rsidRPr="00DD21B6" w:rsidRDefault="001872B0" w:rsidP="00DD21B6">
      <w:pPr>
        <w:ind w:left="720"/>
        <w:rPr>
          <w:rFonts w:ascii="Calibri" w:hAnsi="Calibri" w:cs="Calibri"/>
          <w:i/>
          <w:iCs/>
          <w:sz w:val="24"/>
          <w:szCs w:val="24"/>
        </w:rPr>
      </w:pPr>
      <w:r w:rsidRPr="00DD21B6">
        <w:rPr>
          <w:rFonts w:ascii="Calibri" w:hAnsi="Calibri" w:cs="Calibri"/>
          <w:i/>
          <w:iCs/>
          <w:sz w:val="24"/>
          <w:szCs w:val="24"/>
        </w:rPr>
        <w:t>You would have a meeting following an observation and they would talk to you about how you thought the session had gone - but I didn’t class that as any kind of emotional support</w:t>
      </w:r>
      <w:r w:rsidR="00BC2A40">
        <w:rPr>
          <w:rFonts w:ascii="Calibri" w:hAnsi="Calibri" w:cs="Calibri"/>
          <w:i/>
          <w:iCs/>
          <w:sz w:val="24"/>
          <w:szCs w:val="24"/>
        </w:rPr>
        <w:t>,</w:t>
      </w:r>
      <w:r w:rsidRPr="00DD21B6">
        <w:rPr>
          <w:rFonts w:ascii="Calibri" w:hAnsi="Calibri" w:cs="Calibri"/>
          <w:i/>
          <w:iCs/>
          <w:sz w:val="24"/>
          <w:szCs w:val="24"/>
        </w:rPr>
        <w:t xml:space="preserve"> and that was more of a question to open the door to discussing what happened rather than them wanting to understand how I was feeling and trying to support that (Laura, T1, p. 5, par 12).</w:t>
      </w:r>
    </w:p>
    <w:p w14:paraId="25770866" w14:textId="45D5FB24" w:rsidR="001872B0" w:rsidRPr="00DD21B6" w:rsidRDefault="001872B0" w:rsidP="00DD21B6">
      <w:pPr>
        <w:ind w:left="720"/>
        <w:rPr>
          <w:rFonts w:ascii="Calibri" w:hAnsi="Calibri" w:cs="Calibri"/>
          <w:i/>
          <w:iCs/>
          <w:sz w:val="24"/>
          <w:szCs w:val="24"/>
        </w:rPr>
      </w:pPr>
      <w:r w:rsidRPr="00DD21B6">
        <w:rPr>
          <w:rFonts w:ascii="Calibri" w:hAnsi="Calibri" w:cs="Calibri"/>
          <w:i/>
          <w:iCs/>
          <w:sz w:val="24"/>
          <w:szCs w:val="24"/>
        </w:rPr>
        <w:t>I was swimming in the deep end of it at the time. I didn’t get many opportunities to put my head above the surface and take a breath, but I did when I was speaking to her [supervisor/career mentor]. The career mentoring offered by the supervisor equals space to breathe. A safe space. When you step into that space you are shielding yourself from the mayhem of the outside world. Sometimes it can be the classroom that is a refuge (Miriam</w:t>
      </w:r>
      <w:r w:rsidR="00500CCF">
        <w:rPr>
          <w:rFonts w:ascii="Calibri" w:hAnsi="Calibri" w:cs="Calibri"/>
          <w:i/>
          <w:iCs/>
          <w:sz w:val="24"/>
          <w:szCs w:val="24"/>
        </w:rPr>
        <w:t>, T1, p.10, par 1</w:t>
      </w:r>
      <w:r w:rsidRPr="00DD21B6">
        <w:rPr>
          <w:rFonts w:ascii="Calibri" w:hAnsi="Calibri" w:cs="Calibri"/>
          <w:i/>
          <w:iCs/>
          <w:sz w:val="24"/>
          <w:szCs w:val="24"/>
        </w:rPr>
        <w:t>).</w:t>
      </w:r>
    </w:p>
    <w:p w14:paraId="6289F84F" w14:textId="49D86A25" w:rsidR="001872B0" w:rsidRDefault="001872B0" w:rsidP="00C908E8">
      <w:pPr>
        <w:spacing w:line="360" w:lineRule="auto"/>
        <w:rPr>
          <w:rFonts w:ascii="Calibri" w:hAnsi="Calibri" w:cs="Calibri"/>
          <w:sz w:val="24"/>
          <w:szCs w:val="24"/>
        </w:rPr>
      </w:pPr>
      <w:r>
        <w:rPr>
          <w:rFonts w:ascii="Calibri" w:hAnsi="Calibri" w:cs="Calibri"/>
          <w:sz w:val="24"/>
          <w:szCs w:val="24"/>
        </w:rPr>
        <w:t xml:space="preserve">Ranging from practical support to discuss and process teaching scenarios (Laura, Liz), to a safe space provider (Miriam), the mentor served the function of providing space, and </w:t>
      </w:r>
      <w:r w:rsidR="00AF25DD">
        <w:rPr>
          <w:rFonts w:ascii="Calibri" w:hAnsi="Calibri" w:cs="Calibri"/>
          <w:sz w:val="24"/>
          <w:szCs w:val="24"/>
        </w:rPr>
        <w:t xml:space="preserve">moral </w:t>
      </w:r>
      <w:r>
        <w:rPr>
          <w:rFonts w:ascii="Calibri" w:hAnsi="Calibri" w:cs="Calibri"/>
          <w:sz w:val="24"/>
          <w:szCs w:val="24"/>
        </w:rPr>
        <w:t>support. These comments demonstrate that a</w:t>
      </w:r>
      <w:r w:rsidRPr="001B0BEA">
        <w:rPr>
          <w:rFonts w:ascii="Calibri" w:hAnsi="Calibri" w:cs="Calibri"/>
          <w:sz w:val="24"/>
          <w:szCs w:val="24"/>
        </w:rPr>
        <w:t xml:space="preserve"> strong object constant (Mahler</w:t>
      </w:r>
      <w:r w:rsidR="00820BDF">
        <w:rPr>
          <w:rFonts w:ascii="Calibri" w:hAnsi="Calibri" w:cs="Calibri"/>
          <w:sz w:val="24"/>
          <w:szCs w:val="24"/>
        </w:rPr>
        <w:t xml:space="preserve"> </w:t>
      </w:r>
      <w:r w:rsidR="00FB3A6E" w:rsidRPr="00FB3A6E">
        <w:rPr>
          <w:rFonts w:ascii="Calibri" w:hAnsi="Calibri" w:cs="Calibri"/>
          <w:i/>
          <w:sz w:val="24"/>
          <w:szCs w:val="24"/>
        </w:rPr>
        <w:t>et al.</w:t>
      </w:r>
      <w:r w:rsidRPr="001B0BEA">
        <w:rPr>
          <w:rFonts w:ascii="Calibri" w:hAnsi="Calibri" w:cs="Calibri"/>
          <w:sz w:val="24"/>
          <w:szCs w:val="24"/>
        </w:rPr>
        <w:t>, 1975) and transitional object (Winnicott, 1951</w:t>
      </w:r>
      <w:r>
        <w:rPr>
          <w:rFonts w:ascii="Calibri" w:hAnsi="Calibri" w:cs="Calibri"/>
          <w:sz w:val="24"/>
          <w:szCs w:val="24"/>
        </w:rPr>
        <w:t xml:space="preserve">) </w:t>
      </w:r>
      <w:r w:rsidRPr="001B0BEA">
        <w:rPr>
          <w:rFonts w:ascii="Calibri" w:hAnsi="Calibri" w:cs="Calibri"/>
          <w:sz w:val="24"/>
          <w:szCs w:val="24"/>
        </w:rPr>
        <w:t xml:space="preserve">can provide </w:t>
      </w:r>
      <w:r>
        <w:rPr>
          <w:rFonts w:ascii="Calibri" w:hAnsi="Calibri" w:cs="Calibri"/>
          <w:sz w:val="24"/>
          <w:szCs w:val="24"/>
        </w:rPr>
        <w:t xml:space="preserve">holding, </w:t>
      </w:r>
      <w:r w:rsidRPr="001B0BEA">
        <w:rPr>
          <w:rFonts w:ascii="Calibri" w:hAnsi="Calibri" w:cs="Calibri"/>
          <w:sz w:val="24"/>
          <w:szCs w:val="24"/>
        </w:rPr>
        <w:t>containment (Bion, 1970)</w:t>
      </w:r>
      <w:r>
        <w:rPr>
          <w:rFonts w:ascii="Calibri" w:hAnsi="Calibri" w:cs="Calibri"/>
          <w:sz w:val="24"/>
          <w:szCs w:val="24"/>
        </w:rPr>
        <w:t xml:space="preserve"> and </w:t>
      </w:r>
      <w:r w:rsidRPr="001B0BEA">
        <w:rPr>
          <w:rFonts w:ascii="Calibri" w:hAnsi="Calibri" w:cs="Calibri"/>
          <w:sz w:val="24"/>
          <w:szCs w:val="24"/>
        </w:rPr>
        <w:t>a facilitating environment (Winnicott, 1965)</w:t>
      </w:r>
      <w:r>
        <w:rPr>
          <w:rFonts w:ascii="Calibri" w:hAnsi="Calibri" w:cs="Calibri"/>
          <w:sz w:val="24"/>
          <w:szCs w:val="24"/>
        </w:rPr>
        <w:t xml:space="preserve"> as a </w:t>
      </w:r>
      <w:r w:rsidRPr="001B0BEA">
        <w:rPr>
          <w:rFonts w:ascii="Calibri" w:hAnsi="Calibri" w:cs="Calibri"/>
          <w:sz w:val="24"/>
          <w:szCs w:val="24"/>
        </w:rPr>
        <w:t>safe space and secure base (Bowlby,</w:t>
      </w:r>
      <w:r>
        <w:rPr>
          <w:rFonts w:ascii="Calibri" w:hAnsi="Calibri" w:cs="Calibri"/>
          <w:sz w:val="24"/>
          <w:szCs w:val="24"/>
        </w:rPr>
        <w:t xml:space="preserve"> </w:t>
      </w:r>
      <w:r w:rsidRPr="001B0BEA">
        <w:rPr>
          <w:rFonts w:ascii="Calibri" w:hAnsi="Calibri" w:cs="Calibri"/>
          <w:sz w:val="24"/>
          <w:szCs w:val="24"/>
        </w:rPr>
        <w:t xml:space="preserve">1988). </w:t>
      </w:r>
      <w:r>
        <w:rPr>
          <w:rFonts w:ascii="Calibri" w:hAnsi="Calibri" w:cs="Calibri"/>
          <w:sz w:val="24"/>
          <w:szCs w:val="24"/>
        </w:rPr>
        <w:t>The findings affirm that support comes from</w:t>
      </w:r>
      <w:r w:rsidRPr="001B0BEA">
        <w:rPr>
          <w:rFonts w:ascii="Calibri" w:hAnsi="Calibri" w:cs="Calibri"/>
          <w:sz w:val="24"/>
          <w:szCs w:val="24"/>
        </w:rPr>
        <w:t xml:space="preserve"> object mother</w:t>
      </w:r>
      <w:r>
        <w:rPr>
          <w:rFonts w:ascii="Calibri" w:hAnsi="Calibri" w:cs="Calibri"/>
          <w:sz w:val="24"/>
          <w:szCs w:val="24"/>
        </w:rPr>
        <w:t>s</w:t>
      </w:r>
      <w:r w:rsidRPr="001B0BEA">
        <w:rPr>
          <w:rFonts w:ascii="Calibri" w:hAnsi="Calibri" w:cs="Calibri"/>
          <w:sz w:val="24"/>
          <w:szCs w:val="24"/>
        </w:rPr>
        <w:t xml:space="preserve"> </w:t>
      </w:r>
      <w:r>
        <w:rPr>
          <w:rFonts w:ascii="Calibri" w:hAnsi="Calibri" w:cs="Calibri"/>
          <w:sz w:val="24"/>
          <w:szCs w:val="24"/>
        </w:rPr>
        <w:t xml:space="preserve">and </w:t>
      </w:r>
      <w:r w:rsidRPr="001B0BEA">
        <w:rPr>
          <w:rFonts w:ascii="Calibri" w:hAnsi="Calibri" w:cs="Calibri"/>
          <w:sz w:val="24"/>
          <w:szCs w:val="24"/>
        </w:rPr>
        <w:t>environmental mother</w:t>
      </w:r>
      <w:r>
        <w:rPr>
          <w:rFonts w:ascii="Calibri" w:hAnsi="Calibri" w:cs="Calibri"/>
          <w:sz w:val="24"/>
          <w:szCs w:val="24"/>
        </w:rPr>
        <w:t xml:space="preserve">s </w:t>
      </w:r>
      <w:r w:rsidRPr="001B0BEA">
        <w:rPr>
          <w:rFonts w:ascii="Calibri" w:hAnsi="Calibri" w:cs="Calibri"/>
          <w:sz w:val="24"/>
          <w:szCs w:val="24"/>
        </w:rPr>
        <w:t>(Winnicott, 1960), the frame (Milner, 1952) and transitional object</w:t>
      </w:r>
      <w:r>
        <w:rPr>
          <w:rFonts w:ascii="Calibri" w:hAnsi="Calibri" w:cs="Calibri"/>
          <w:sz w:val="24"/>
          <w:szCs w:val="24"/>
        </w:rPr>
        <w:t>s</w:t>
      </w:r>
      <w:r w:rsidRPr="001B0BEA">
        <w:rPr>
          <w:rFonts w:ascii="Calibri" w:hAnsi="Calibri" w:cs="Calibri"/>
          <w:sz w:val="24"/>
          <w:szCs w:val="24"/>
        </w:rPr>
        <w:t xml:space="preserve"> (Winnicott, 1951)</w:t>
      </w:r>
      <w:r>
        <w:rPr>
          <w:rFonts w:ascii="Calibri" w:hAnsi="Calibri" w:cs="Calibri"/>
          <w:sz w:val="24"/>
          <w:szCs w:val="24"/>
        </w:rPr>
        <w:t xml:space="preserve"> who are holding the space</w:t>
      </w:r>
      <w:r w:rsidRPr="001B0BEA">
        <w:rPr>
          <w:rFonts w:ascii="Calibri" w:hAnsi="Calibri" w:cs="Calibri"/>
          <w:sz w:val="24"/>
          <w:szCs w:val="24"/>
        </w:rPr>
        <w:t>.</w:t>
      </w:r>
      <w:r>
        <w:rPr>
          <w:rFonts w:ascii="Calibri" w:hAnsi="Calibri" w:cs="Calibri"/>
          <w:sz w:val="24"/>
          <w:szCs w:val="24"/>
        </w:rPr>
        <w:t xml:space="preserve"> A further vignette from Liz captures the </w:t>
      </w:r>
      <w:r w:rsidRPr="003F275D">
        <w:rPr>
          <w:rFonts w:ascii="Calibri" w:hAnsi="Calibri" w:cs="Calibri"/>
          <w:i/>
          <w:iCs/>
          <w:sz w:val="24"/>
          <w:szCs w:val="24"/>
        </w:rPr>
        <w:t>experience</w:t>
      </w:r>
      <w:r>
        <w:rPr>
          <w:rFonts w:ascii="Calibri" w:hAnsi="Calibri" w:cs="Calibri"/>
          <w:sz w:val="24"/>
          <w:szCs w:val="24"/>
        </w:rPr>
        <w:t xml:space="preserve"> of being held by her mentor: </w:t>
      </w:r>
    </w:p>
    <w:p w14:paraId="6207E4EF" w14:textId="57EE53EC" w:rsidR="001872B0" w:rsidRPr="00F83E89" w:rsidRDefault="001872B0" w:rsidP="00F83E89">
      <w:pPr>
        <w:ind w:left="720"/>
        <w:rPr>
          <w:rFonts w:ascii="Calibri" w:hAnsi="Calibri" w:cs="Calibri"/>
          <w:i/>
          <w:iCs/>
          <w:sz w:val="24"/>
          <w:szCs w:val="24"/>
        </w:rPr>
      </w:pPr>
      <w:r w:rsidRPr="00F83E89">
        <w:rPr>
          <w:rFonts w:ascii="Calibri" w:hAnsi="Calibri" w:cs="Calibri"/>
          <w:i/>
          <w:iCs/>
          <w:sz w:val="24"/>
          <w:szCs w:val="24"/>
        </w:rPr>
        <w:t>So, I’ve got a picture on my wall, yeah, so it says: ’I’ve got your back’. The person who you’ve got as your teacher/mentor is that person who says: ‘I’ve got your back’, and ‘</w:t>
      </w:r>
      <w:r w:rsidR="00B21865">
        <w:rPr>
          <w:rFonts w:ascii="Calibri" w:hAnsi="Calibri" w:cs="Calibri"/>
          <w:i/>
          <w:iCs/>
          <w:sz w:val="24"/>
          <w:szCs w:val="24"/>
        </w:rPr>
        <w:t>Y</w:t>
      </w:r>
      <w:r w:rsidRPr="00F83E89">
        <w:rPr>
          <w:rFonts w:ascii="Calibri" w:hAnsi="Calibri" w:cs="Calibri"/>
          <w:i/>
          <w:iCs/>
          <w:sz w:val="24"/>
          <w:szCs w:val="24"/>
        </w:rPr>
        <w:t>ou’ve had an awful session. Let’s just have a five minute catch up about it. Okay, let’s just pause, let’s just debrief that’ (Liz</w:t>
      </w:r>
      <w:r w:rsidR="005F0B3D">
        <w:rPr>
          <w:rFonts w:ascii="Calibri" w:hAnsi="Calibri" w:cs="Calibri"/>
          <w:i/>
          <w:iCs/>
          <w:sz w:val="24"/>
          <w:szCs w:val="24"/>
        </w:rPr>
        <w:t>, T1, p.8, par 11</w:t>
      </w:r>
      <w:r w:rsidRPr="00F83E89">
        <w:rPr>
          <w:rFonts w:ascii="Calibri" w:hAnsi="Calibri" w:cs="Calibri"/>
          <w:i/>
          <w:iCs/>
          <w:sz w:val="24"/>
          <w:szCs w:val="24"/>
        </w:rPr>
        <w:t>).</w:t>
      </w:r>
    </w:p>
    <w:p w14:paraId="63E696CA" w14:textId="1C3620B9" w:rsidR="001872B0" w:rsidRDefault="001872B0" w:rsidP="00A60F60">
      <w:pPr>
        <w:spacing w:line="360" w:lineRule="auto"/>
        <w:rPr>
          <w:rFonts w:ascii="Calibri" w:hAnsi="Calibri" w:cs="Calibri"/>
          <w:sz w:val="24"/>
          <w:szCs w:val="24"/>
        </w:rPr>
      </w:pPr>
      <w:r>
        <w:rPr>
          <w:rFonts w:ascii="Calibri" w:hAnsi="Calibri" w:cs="Calibri"/>
          <w:sz w:val="24"/>
          <w:szCs w:val="24"/>
        </w:rPr>
        <w:t xml:space="preserve">Two participants </w:t>
      </w:r>
      <w:r w:rsidRPr="001D6C0C">
        <w:rPr>
          <w:rFonts w:ascii="Calibri" w:hAnsi="Calibri" w:cs="Calibri"/>
          <w:sz w:val="24"/>
          <w:szCs w:val="24"/>
        </w:rPr>
        <w:t xml:space="preserve">describe </w:t>
      </w:r>
      <w:r>
        <w:rPr>
          <w:rFonts w:ascii="Calibri" w:hAnsi="Calibri" w:cs="Calibri"/>
          <w:sz w:val="24"/>
          <w:szCs w:val="24"/>
        </w:rPr>
        <w:t xml:space="preserve">their tutor’s dispositional qualities such as </w:t>
      </w:r>
      <w:r w:rsidRPr="001D6C0C">
        <w:rPr>
          <w:rFonts w:ascii="Calibri" w:hAnsi="Calibri" w:cs="Calibri"/>
          <w:sz w:val="24"/>
          <w:szCs w:val="24"/>
        </w:rPr>
        <w:t>the nature,</w:t>
      </w:r>
      <w:r w:rsidR="00E85EBB">
        <w:rPr>
          <w:rFonts w:ascii="Calibri" w:hAnsi="Calibri" w:cs="Calibri"/>
          <w:sz w:val="24"/>
          <w:szCs w:val="24"/>
        </w:rPr>
        <w:t xml:space="preserve"> </w:t>
      </w:r>
      <w:r w:rsidRPr="001D6C0C">
        <w:rPr>
          <w:rFonts w:ascii="Calibri" w:hAnsi="Calibri" w:cs="Calibri"/>
          <w:sz w:val="24"/>
          <w:szCs w:val="24"/>
        </w:rPr>
        <w:t>attitude</w:t>
      </w:r>
      <w:r>
        <w:rPr>
          <w:rFonts w:ascii="Calibri" w:hAnsi="Calibri" w:cs="Calibri"/>
          <w:sz w:val="24"/>
          <w:szCs w:val="24"/>
        </w:rPr>
        <w:t xml:space="preserve"> and </w:t>
      </w:r>
      <w:r w:rsidRPr="001D6C0C">
        <w:rPr>
          <w:rFonts w:ascii="Calibri" w:hAnsi="Calibri" w:cs="Calibri"/>
          <w:sz w:val="24"/>
          <w:szCs w:val="24"/>
        </w:rPr>
        <w:t xml:space="preserve">relational skills </w:t>
      </w:r>
      <w:r w:rsidR="0075256B">
        <w:rPr>
          <w:rFonts w:ascii="Calibri" w:hAnsi="Calibri" w:cs="Calibri"/>
          <w:sz w:val="24"/>
          <w:szCs w:val="24"/>
        </w:rPr>
        <w:t xml:space="preserve">as </w:t>
      </w:r>
      <w:r w:rsidR="00E85EBB">
        <w:rPr>
          <w:rFonts w:ascii="Calibri" w:hAnsi="Calibri" w:cs="Calibri"/>
          <w:sz w:val="24"/>
          <w:szCs w:val="24"/>
        </w:rPr>
        <w:t>providing</w:t>
      </w:r>
      <w:r w:rsidRPr="001D6C0C">
        <w:rPr>
          <w:rFonts w:ascii="Calibri" w:hAnsi="Calibri" w:cs="Calibri"/>
          <w:sz w:val="24"/>
          <w:szCs w:val="24"/>
        </w:rPr>
        <w:t xml:space="preserve"> the</w:t>
      </w:r>
      <w:r>
        <w:rPr>
          <w:rFonts w:ascii="Calibri" w:hAnsi="Calibri" w:cs="Calibri"/>
          <w:sz w:val="24"/>
          <w:szCs w:val="24"/>
        </w:rPr>
        <w:t>m with support. According to Sally: “</w:t>
      </w:r>
      <w:r w:rsidRPr="00F83E89">
        <w:rPr>
          <w:rFonts w:ascii="Calibri" w:hAnsi="Calibri" w:cs="Calibri"/>
          <w:i/>
          <w:iCs/>
          <w:sz w:val="24"/>
          <w:szCs w:val="24"/>
        </w:rPr>
        <w:t>I remember the tutors being nice, for want of a better word, and being supportive. I remember a particular tutor being very supportive and encouraging</w:t>
      </w:r>
      <w:r>
        <w:rPr>
          <w:rFonts w:ascii="Calibri" w:hAnsi="Calibri" w:cs="Calibri"/>
          <w:sz w:val="24"/>
          <w:szCs w:val="24"/>
        </w:rPr>
        <w:t>” (</w:t>
      </w:r>
      <w:r w:rsidR="00477C6F">
        <w:rPr>
          <w:rFonts w:ascii="Calibri" w:hAnsi="Calibri" w:cs="Calibri"/>
          <w:sz w:val="24"/>
          <w:szCs w:val="24"/>
        </w:rPr>
        <w:t xml:space="preserve">Sally, </w:t>
      </w:r>
      <w:r>
        <w:rPr>
          <w:rFonts w:ascii="Calibri" w:hAnsi="Calibri" w:cs="Calibri"/>
          <w:sz w:val="24"/>
          <w:szCs w:val="24"/>
        </w:rPr>
        <w:t>T1, p. 6, par 2). The second example comes from Sophie:</w:t>
      </w:r>
    </w:p>
    <w:p w14:paraId="2033A7CA" w14:textId="19F13D8F" w:rsidR="001872B0" w:rsidRPr="00F83E89" w:rsidRDefault="001872B0" w:rsidP="00F83E89">
      <w:pPr>
        <w:ind w:left="720"/>
        <w:rPr>
          <w:rFonts w:ascii="Calibri" w:hAnsi="Calibri" w:cs="Calibri"/>
          <w:i/>
          <w:iCs/>
          <w:sz w:val="24"/>
          <w:szCs w:val="24"/>
        </w:rPr>
      </w:pPr>
      <w:r w:rsidRPr="00F83E89">
        <w:rPr>
          <w:rFonts w:ascii="Calibri" w:hAnsi="Calibri" w:cs="Calibri"/>
          <w:i/>
          <w:iCs/>
          <w:sz w:val="24"/>
          <w:szCs w:val="24"/>
        </w:rPr>
        <w:t>I think the teacher was very approachable by email and in the session</w:t>
      </w:r>
      <w:r w:rsidR="009A4F08">
        <w:rPr>
          <w:rFonts w:ascii="Calibri" w:hAnsi="Calibri" w:cs="Calibri"/>
          <w:i/>
          <w:iCs/>
          <w:sz w:val="24"/>
          <w:szCs w:val="24"/>
        </w:rPr>
        <w:t>,</w:t>
      </w:r>
      <w:r w:rsidRPr="00F83E89">
        <w:rPr>
          <w:rFonts w:ascii="Calibri" w:hAnsi="Calibri" w:cs="Calibri"/>
          <w:i/>
          <w:iCs/>
          <w:sz w:val="24"/>
          <w:szCs w:val="24"/>
        </w:rPr>
        <w:t xml:space="preserve"> and was very encouraging not only of myself, but others</w:t>
      </w:r>
      <w:r w:rsidR="009A4F08">
        <w:rPr>
          <w:rFonts w:ascii="Calibri" w:hAnsi="Calibri" w:cs="Calibri"/>
          <w:i/>
          <w:iCs/>
          <w:sz w:val="24"/>
          <w:szCs w:val="24"/>
        </w:rPr>
        <w:t>,</w:t>
      </w:r>
      <w:r w:rsidRPr="00F83E89">
        <w:rPr>
          <w:rFonts w:ascii="Calibri" w:hAnsi="Calibri" w:cs="Calibri"/>
          <w:i/>
          <w:iCs/>
          <w:sz w:val="24"/>
          <w:szCs w:val="24"/>
        </w:rPr>
        <w:t xml:space="preserve"> and I noticed he was very encouraging of others who had more specific difficulties or challenges. I saw that support being given </w:t>
      </w:r>
      <w:r w:rsidRPr="00F83E89">
        <w:rPr>
          <w:rFonts w:ascii="Calibri" w:hAnsi="Calibri" w:cs="Calibri"/>
          <w:i/>
          <w:iCs/>
          <w:sz w:val="24"/>
          <w:szCs w:val="24"/>
        </w:rPr>
        <w:lastRenderedPageBreak/>
        <w:t>in a practical sense and delivered in a way that was really compassionate (</w:t>
      </w:r>
      <w:r w:rsidR="00220A6A">
        <w:rPr>
          <w:rFonts w:ascii="Calibri" w:hAnsi="Calibri" w:cs="Calibri"/>
          <w:i/>
          <w:iCs/>
          <w:sz w:val="24"/>
          <w:szCs w:val="24"/>
        </w:rPr>
        <w:t xml:space="preserve">Sophie, </w:t>
      </w:r>
      <w:r w:rsidRPr="00F83E89">
        <w:rPr>
          <w:rFonts w:ascii="Calibri" w:hAnsi="Calibri" w:cs="Calibri"/>
          <w:i/>
          <w:iCs/>
          <w:sz w:val="24"/>
          <w:szCs w:val="24"/>
        </w:rPr>
        <w:t>T1, p.5, par 15).</w:t>
      </w:r>
    </w:p>
    <w:p w14:paraId="78B8B324" w14:textId="734C4055" w:rsidR="001872B0" w:rsidRDefault="001872B0" w:rsidP="00601D71">
      <w:pPr>
        <w:spacing w:line="360" w:lineRule="auto"/>
        <w:rPr>
          <w:rFonts w:ascii="Calibri" w:hAnsi="Calibri" w:cs="Calibri"/>
          <w:sz w:val="24"/>
          <w:szCs w:val="24"/>
        </w:rPr>
      </w:pPr>
      <w:r>
        <w:rPr>
          <w:rFonts w:ascii="Calibri" w:hAnsi="Calibri" w:cs="Calibri"/>
          <w:sz w:val="24"/>
          <w:szCs w:val="24"/>
        </w:rPr>
        <w:t xml:space="preserve">Although practical, the ring that was holding (MacCallum-Sullivan and Goldberg, 2003) was caring. These findings prompt a reconsideration of the notion of holding being solely an emotional experience. Winnicott </w:t>
      </w:r>
      <w:r w:rsidR="002C1565">
        <w:rPr>
          <w:rFonts w:ascii="Calibri" w:hAnsi="Calibri" w:cs="Calibri"/>
          <w:sz w:val="24"/>
          <w:szCs w:val="24"/>
        </w:rPr>
        <w:t xml:space="preserve">(1965) </w:t>
      </w:r>
      <w:r>
        <w:rPr>
          <w:rFonts w:ascii="Calibri" w:hAnsi="Calibri" w:cs="Calibri"/>
          <w:sz w:val="24"/>
          <w:szCs w:val="24"/>
        </w:rPr>
        <w:t xml:space="preserve">delineates the physical and the environmental provision that holding affords an infant to allow them to be, grow and develop and this includes their emotions, however holding is also practical. Given that teachers </w:t>
      </w:r>
      <w:r w:rsidRPr="001C5567">
        <w:rPr>
          <w:rFonts w:ascii="Calibri" w:hAnsi="Calibri" w:cs="Calibri"/>
          <w:i/>
          <w:iCs/>
          <w:sz w:val="24"/>
          <w:szCs w:val="24"/>
        </w:rPr>
        <w:t>are</w:t>
      </w:r>
      <w:r>
        <w:rPr>
          <w:rFonts w:ascii="Calibri" w:hAnsi="Calibri" w:cs="Calibri"/>
          <w:sz w:val="24"/>
          <w:szCs w:val="24"/>
        </w:rPr>
        <w:t xml:space="preserve"> the environmental provision, commentary from these participants is a stark reminder that support required cannot be assumed to equate to emotional support.</w:t>
      </w:r>
    </w:p>
    <w:p w14:paraId="60BD6636" w14:textId="77777777" w:rsidR="001872B0" w:rsidRPr="00B641F6" w:rsidRDefault="001872B0" w:rsidP="00601D71">
      <w:pPr>
        <w:spacing w:line="360" w:lineRule="auto"/>
        <w:rPr>
          <w:rFonts w:ascii="Calibri" w:hAnsi="Calibri" w:cs="Calibri"/>
          <w:color w:val="FF0000"/>
          <w:sz w:val="24"/>
          <w:szCs w:val="24"/>
        </w:rPr>
      </w:pPr>
      <w:r>
        <w:rPr>
          <w:rFonts w:ascii="Calibri" w:hAnsi="Calibri" w:cs="Calibri"/>
          <w:sz w:val="24"/>
          <w:szCs w:val="24"/>
        </w:rPr>
        <w:t>When asked about emotional support, some participants definitively talked about its importance:</w:t>
      </w:r>
    </w:p>
    <w:p w14:paraId="5D070274" w14:textId="758FE8F9" w:rsidR="001872B0" w:rsidRPr="00F83E89" w:rsidRDefault="001872B0" w:rsidP="00F83E89">
      <w:pPr>
        <w:ind w:left="720"/>
        <w:rPr>
          <w:rFonts w:ascii="Calibri" w:hAnsi="Calibri" w:cs="Calibri"/>
          <w:i/>
          <w:iCs/>
          <w:sz w:val="24"/>
          <w:szCs w:val="24"/>
        </w:rPr>
      </w:pPr>
      <w:r w:rsidRPr="00F83E89">
        <w:rPr>
          <w:rFonts w:ascii="Calibri" w:hAnsi="Calibri" w:cs="Calibri"/>
          <w:i/>
          <w:iCs/>
          <w:sz w:val="24"/>
          <w:szCs w:val="24"/>
        </w:rPr>
        <w:t>Emotional support came from my family, my wife and my kids, and that’s where the difficulty lies because I was working, having to deal with day-to-day work, and</w:t>
      </w:r>
      <w:r w:rsidR="002C1565">
        <w:rPr>
          <w:rFonts w:ascii="Calibri" w:hAnsi="Calibri" w:cs="Calibri"/>
          <w:i/>
          <w:iCs/>
          <w:sz w:val="24"/>
          <w:szCs w:val="24"/>
        </w:rPr>
        <w:t>,</w:t>
      </w:r>
      <w:r w:rsidRPr="00F83E89">
        <w:rPr>
          <w:rFonts w:ascii="Calibri" w:hAnsi="Calibri" w:cs="Calibri"/>
          <w:i/>
          <w:iCs/>
          <w:sz w:val="24"/>
          <w:szCs w:val="24"/>
        </w:rPr>
        <w:t xml:space="preserve"> in my </w:t>
      </w:r>
      <w:r w:rsidR="0040476B" w:rsidRPr="00F83E89">
        <w:rPr>
          <w:rFonts w:ascii="Calibri" w:hAnsi="Calibri" w:cs="Calibri"/>
          <w:i/>
          <w:iCs/>
          <w:sz w:val="24"/>
          <w:szCs w:val="24"/>
        </w:rPr>
        <w:t>job,</w:t>
      </w:r>
      <w:r w:rsidR="002C1565">
        <w:rPr>
          <w:rFonts w:ascii="Calibri" w:hAnsi="Calibri" w:cs="Calibri"/>
          <w:i/>
          <w:iCs/>
          <w:sz w:val="24"/>
          <w:szCs w:val="24"/>
        </w:rPr>
        <w:t xml:space="preserve"> </w:t>
      </w:r>
      <w:r w:rsidRPr="00F83E89">
        <w:rPr>
          <w:rFonts w:ascii="Calibri" w:hAnsi="Calibri" w:cs="Calibri"/>
          <w:i/>
          <w:iCs/>
          <w:sz w:val="24"/>
          <w:szCs w:val="24"/>
        </w:rPr>
        <w:t>things change on a daily basis. But I also had the academic pressure to deliver a desirable and acceptable piece of work every so often. That was really quite an emotional ask and it was a mixed bag of emotions throughout the journey. Sometimes it can be a dangerous game to play because you are mixing those emotions up and diluting where you need to be with it (Jenko, T1, p. 5, par 7; p.6, par 1).</w:t>
      </w:r>
    </w:p>
    <w:p w14:paraId="70F5F800" w14:textId="79B2784A" w:rsidR="001872B0" w:rsidRPr="00F83E89" w:rsidRDefault="001872B0" w:rsidP="00F83E89">
      <w:pPr>
        <w:ind w:left="720"/>
        <w:rPr>
          <w:rFonts w:ascii="Calibri" w:hAnsi="Calibri" w:cs="Calibri"/>
          <w:i/>
          <w:iCs/>
          <w:sz w:val="24"/>
          <w:szCs w:val="24"/>
        </w:rPr>
      </w:pPr>
      <w:r w:rsidRPr="00F83E89">
        <w:rPr>
          <w:rFonts w:ascii="Calibri" w:hAnsi="Calibri" w:cs="Calibri"/>
          <w:i/>
          <w:iCs/>
          <w:sz w:val="24"/>
          <w:szCs w:val="24"/>
        </w:rPr>
        <w:t>The emotional support was with friends on the [teacher training] weekend retreat and people [teacher assistants] were always on the lookout. They pause the sessions, ‘</w:t>
      </w:r>
      <w:r w:rsidR="007F559E">
        <w:rPr>
          <w:rFonts w:ascii="Calibri" w:hAnsi="Calibri" w:cs="Calibri"/>
          <w:i/>
          <w:iCs/>
          <w:sz w:val="24"/>
          <w:szCs w:val="24"/>
        </w:rPr>
        <w:t>Y</w:t>
      </w:r>
      <w:r w:rsidRPr="00F83E89">
        <w:rPr>
          <w:rFonts w:ascii="Calibri" w:hAnsi="Calibri" w:cs="Calibri"/>
          <w:i/>
          <w:iCs/>
          <w:sz w:val="24"/>
          <w:szCs w:val="24"/>
        </w:rPr>
        <w:t>ou need to reflect on this, discuss what actually happened, why it happened’ and it’s a very flexible system</w:t>
      </w:r>
      <w:r w:rsidR="007F559E">
        <w:rPr>
          <w:rFonts w:ascii="Calibri" w:hAnsi="Calibri" w:cs="Calibri"/>
          <w:i/>
          <w:iCs/>
          <w:sz w:val="24"/>
          <w:szCs w:val="24"/>
        </w:rPr>
        <w:t xml:space="preserve"> [</w:t>
      </w:r>
      <w:r w:rsidRPr="00F83E89">
        <w:rPr>
          <w:rFonts w:ascii="Calibri" w:hAnsi="Calibri" w:cs="Calibri"/>
          <w:i/>
          <w:iCs/>
          <w:sz w:val="24"/>
          <w:szCs w:val="24"/>
        </w:rPr>
        <w:t>…</w:t>
      </w:r>
      <w:r w:rsidR="007F559E">
        <w:rPr>
          <w:rFonts w:ascii="Calibri" w:hAnsi="Calibri" w:cs="Calibri"/>
          <w:i/>
          <w:iCs/>
          <w:sz w:val="24"/>
          <w:szCs w:val="24"/>
        </w:rPr>
        <w:t xml:space="preserve">] </w:t>
      </w:r>
      <w:r w:rsidRPr="00F83E89">
        <w:rPr>
          <w:rFonts w:ascii="Calibri" w:hAnsi="Calibri" w:cs="Calibri"/>
          <w:i/>
          <w:iCs/>
          <w:sz w:val="24"/>
          <w:szCs w:val="24"/>
        </w:rPr>
        <w:t>It’s less that they offered support during the session, but it’s a safe space (Fred, T1, p.6, pars 7-9).</w:t>
      </w:r>
    </w:p>
    <w:p w14:paraId="27380C5E" w14:textId="19A98C73" w:rsidR="001872B0" w:rsidRDefault="001872B0" w:rsidP="00412C8A">
      <w:pPr>
        <w:spacing w:line="360" w:lineRule="auto"/>
        <w:rPr>
          <w:rFonts w:ascii="Calibri" w:eastAsia="Calibri" w:hAnsi="Calibri" w:cs="Times New Roman"/>
          <w:sz w:val="24"/>
          <w:szCs w:val="24"/>
        </w:rPr>
      </w:pPr>
      <w:r>
        <w:rPr>
          <w:rFonts w:ascii="Calibri" w:hAnsi="Calibri" w:cs="Calibri"/>
          <w:sz w:val="24"/>
          <w:szCs w:val="24"/>
        </w:rPr>
        <w:t xml:space="preserve">For Fred, fellow students and other teacher assistants provided </w:t>
      </w:r>
      <w:r w:rsidRPr="00720240">
        <w:rPr>
          <w:rFonts w:ascii="Calibri" w:hAnsi="Calibri" w:cs="Calibri"/>
          <w:sz w:val="24"/>
          <w:szCs w:val="24"/>
        </w:rPr>
        <w:t>“potential space” (Winnicott, 1986, p.36)</w:t>
      </w:r>
      <w:r w:rsidR="00964B9D">
        <w:rPr>
          <w:rFonts w:ascii="Calibri" w:hAnsi="Calibri" w:cs="Calibri"/>
          <w:sz w:val="24"/>
          <w:szCs w:val="24"/>
        </w:rPr>
        <w:t xml:space="preserve"> </w:t>
      </w:r>
      <w:r>
        <w:rPr>
          <w:rFonts w:ascii="Calibri" w:hAnsi="Calibri" w:cs="Calibri"/>
          <w:sz w:val="24"/>
          <w:szCs w:val="24"/>
        </w:rPr>
        <w:t>- a space to reflect, to process</w:t>
      </w:r>
      <w:r w:rsidR="00FE3699">
        <w:rPr>
          <w:rFonts w:ascii="Calibri" w:hAnsi="Calibri" w:cs="Calibri"/>
          <w:sz w:val="24"/>
          <w:szCs w:val="24"/>
        </w:rPr>
        <w:t>,</w:t>
      </w:r>
      <w:r>
        <w:rPr>
          <w:rFonts w:ascii="Calibri" w:hAnsi="Calibri" w:cs="Calibri"/>
          <w:sz w:val="24"/>
          <w:szCs w:val="24"/>
        </w:rPr>
        <w:t xml:space="preserve"> and to hold. For Jenko the space mitigated against difficulties experienced and allowed him to recover </w:t>
      </w:r>
      <w:r w:rsidR="005B17D3">
        <w:rPr>
          <w:rFonts w:ascii="Calibri" w:hAnsi="Calibri" w:cs="Calibri"/>
          <w:sz w:val="24"/>
          <w:szCs w:val="24"/>
        </w:rPr>
        <w:t xml:space="preserve">by providing </w:t>
      </w:r>
      <w:r>
        <w:rPr>
          <w:rFonts w:ascii="Calibri" w:hAnsi="Calibri" w:cs="Calibri"/>
          <w:sz w:val="24"/>
          <w:szCs w:val="24"/>
        </w:rPr>
        <w:t>care, welfare and maintenance (Noddings, 1984; 1988</w:t>
      </w:r>
      <w:r w:rsidR="00C545E1">
        <w:rPr>
          <w:rFonts w:ascii="Calibri" w:hAnsi="Calibri" w:cs="Calibri"/>
          <w:sz w:val="24"/>
          <w:szCs w:val="24"/>
        </w:rPr>
        <w:t>; 2002</w:t>
      </w:r>
      <w:r>
        <w:rPr>
          <w:rFonts w:ascii="Calibri" w:hAnsi="Calibri" w:cs="Calibri"/>
          <w:sz w:val="24"/>
          <w:szCs w:val="24"/>
        </w:rPr>
        <w:t xml:space="preserve">) </w:t>
      </w:r>
      <w:r w:rsidR="00743845">
        <w:rPr>
          <w:rFonts w:ascii="Calibri" w:hAnsi="Calibri" w:cs="Calibri"/>
          <w:sz w:val="24"/>
          <w:szCs w:val="24"/>
        </w:rPr>
        <w:t>which was found in</w:t>
      </w:r>
      <w:r>
        <w:rPr>
          <w:rFonts w:ascii="Calibri" w:hAnsi="Calibri" w:cs="Calibri"/>
          <w:sz w:val="24"/>
          <w:szCs w:val="24"/>
        </w:rPr>
        <w:t xml:space="preserve"> his familial circle. He points out the dangers when juggling emotions arising from professional work and those ignited whilst learning, therein highlighting a need for </w:t>
      </w:r>
      <w:r w:rsidRPr="00D127A1">
        <w:rPr>
          <w:rFonts w:ascii="Calibri" w:eastAsia="Calibri" w:hAnsi="Calibri" w:cs="Times New Roman"/>
          <w:sz w:val="24"/>
          <w:szCs w:val="24"/>
        </w:rPr>
        <w:t xml:space="preserve">a personalistic approach (Coombs, 1972; Zeichner, 1983) </w:t>
      </w:r>
      <w:r>
        <w:rPr>
          <w:rFonts w:ascii="Calibri" w:eastAsia="Calibri" w:hAnsi="Calibri" w:cs="Times New Roman"/>
          <w:sz w:val="24"/>
          <w:szCs w:val="24"/>
        </w:rPr>
        <w:t>to support needs. These findings affirm</w:t>
      </w:r>
      <w:r w:rsidRPr="00D127A1">
        <w:rPr>
          <w:rFonts w:ascii="Calibri" w:eastAsia="Calibri" w:hAnsi="Calibri" w:cs="Times New Roman"/>
          <w:sz w:val="24"/>
          <w:szCs w:val="24"/>
        </w:rPr>
        <w:t xml:space="preserve"> </w:t>
      </w:r>
      <w:r>
        <w:rPr>
          <w:rFonts w:ascii="Calibri" w:eastAsia="Calibri" w:hAnsi="Calibri" w:cs="Times New Roman"/>
          <w:sz w:val="24"/>
          <w:szCs w:val="24"/>
        </w:rPr>
        <w:t xml:space="preserve">both </w:t>
      </w:r>
      <w:r w:rsidRPr="00D127A1">
        <w:rPr>
          <w:rFonts w:ascii="Calibri" w:eastAsia="Calibri" w:hAnsi="Calibri" w:cs="Times New Roman"/>
          <w:sz w:val="24"/>
          <w:szCs w:val="24"/>
        </w:rPr>
        <w:t xml:space="preserve">the subjective </w:t>
      </w:r>
      <w:r>
        <w:rPr>
          <w:rFonts w:ascii="Calibri" w:eastAsia="Calibri" w:hAnsi="Calibri" w:cs="Times New Roman"/>
          <w:sz w:val="24"/>
          <w:szCs w:val="24"/>
        </w:rPr>
        <w:t xml:space="preserve">emotional </w:t>
      </w:r>
      <w:r w:rsidRPr="00D127A1">
        <w:rPr>
          <w:rFonts w:ascii="Calibri" w:eastAsia="Calibri" w:hAnsi="Calibri" w:cs="Times New Roman"/>
          <w:sz w:val="24"/>
          <w:szCs w:val="24"/>
        </w:rPr>
        <w:t xml:space="preserve">experience, and the complexities of human encounters </w:t>
      </w:r>
      <w:r>
        <w:rPr>
          <w:rFonts w:ascii="Calibri" w:eastAsia="Calibri" w:hAnsi="Calibri" w:cs="Times New Roman"/>
          <w:sz w:val="24"/>
          <w:szCs w:val="24"/>
        </w:rPr>
        <w:t>that teachers as learners are having to manage</w:t>
      </w:r>
      <w:r w:rsidRPr="00D127A1">
        <w:rPr>
          <w:rFonts w:ascii="Calibri" w:eastAsia="Calibri" w:hAnsi="Calibri" w:cs="Times New Roman"/>
          <w:sz w:val="24"/>
          <w:szCs w:val="24"/>
        </w:rPr>
        <w:t xml:space="preserve">. </w:t>
      </w:r>
      <w:r>
        <w:rPr>
          <w:rFonts w:ascii="Calibri" w:eastAsia="Calibri" w:hAnsi="Calibri" w:cs="Times New Roman"/>
          <w:sz w:val="24"/>
          <w:szCs w:val="24"/>
        </w:rPr>
        <w:t xml:space="preserve">It was highlighted in the literature review </w:t>
      </w:r>
      <w:r w:rsidR="00964B9D">
        <w:rPr>
          <w:rFonts w:ascii="Calibri" w:eastAsia="Calibri" w:hAnsi="Calibri" w:cs="Times New Roman"/>
          <w:sz w:val="24"/>
          <w:szCs w:val="24"/>
        </w:rPr>
        <w:t xml:space="preserve">(Chapter </w:t>
      </w:r>
      <w:r w:rsidR="008504B2">
        <w:rPr>
          <w:rFonts w:ascii="Calibri" w:eastAsia="Calibri" w:hAnsi="Calibri" w:cs="Times New Roman"/>
          <w:sz w:val="24"/>
          <w:szCs w:val="24"/>
        </w:rPr>
        <w:t>Three</w:t>
      </w:r>
      <w:r w:rsidR="00964B9D">
        <w:rPr>
          <w:rFonts w:ascii="Calibri" w:eastAsia="Calibri" w:hAnsi="Calibri" w:cs="Times New Roman"/>
          <w:sz w:val="24"/>
          <w:szCs w:val="24"/>
        </w:rPr>
        <w:t>)</w:t>
      </w:r>
      <w:r w:rsidR="00DF3274">
        <w:rPr>
          <w:rFonts w:ascii="Calibri" w:eastAsia="Calibri" w:hAnsi="Calibri" w:cs="Times New Roman"/>
          <w:sz w:val="24"/>
          <w:szCs w:val="24"/>
        </w:rPr>
        <w:t xml:space="preserve"> </w:t>
      </w:r>
      <w:r>
        <w:rPr>
          <w:rFonts w:ascii="Calibri" w:eastAsia="Calibri" w:hAnsi="Calibri" w:cs="Times New Roman"/>
          <w:sz w:val="24"/>
          <w:szCs w:val="24"/>
        </w:rPr>
        <w:t xml:space="preserve">that from a </w:t>
      </w:r>
      <w:r w:rsidRPr="00D127A1">
        <w:rPr>
          <w:rFonts w:ascii="Calibri" w:eastAsia="Calibri" w:hAnsi="Calibri" w:cs="Times New Roman"/>
          <w:sz w:val="24"/>
          <w:szCs w:val="24"/>
        </w:rPr>
        <w:t>relational perspective</w:t>
      </w:r>
      <w:r>
        <w:rPr>
          <w:rFonts w:ascii="Calibri" w:eastAsia="Calibri" w:hAnsi="Calibri" w:cs="Times New Roman"/>
          <w:sz w:val="24"/>
          <w:szCs w:val="24"/>
        </w:rPr>
        <w:t xml:space="preserve"> </w:t>
      </w:r>
      <w:r w:rsidRPr="00D127A1">
        <w:rPr>
          <w:rFonts w:ascii="Calibri" w:eastAsia="Calibri" w:hAnsi="Calibri" w:cs="Times New Roman"/>
          <w:sz w:val="24"/>
          <w:szCs w:val="24"/>
        </w:rPr>
        <w:t xml:space="preserve">human encounters </w:t>
      </w:r>
      <w:r>
        <w:rPr>
          <w:rFonts w:ascii="Calibri" w:eastAsia="Calibri" w:hAnsi="Calibri" w:cs="Times New Roman"/>
          <w:sz w:val="24"/>
          <w:szCs w:val="24"/>
        </w:rPr>
        <w:t xml:space="preserve">involve </w:t>
      </w:r>
      <w:r w:rsidRPr="00D127A1">
        <w:rPr>
          <w:rFonts w:ascii="Calibri" w:eastAsia="Calibri" w:hAnsi="Calibri" w:cs="Times New Roman"/>
          <w:sz w:val="24"/>
          <w:szCs w:val="24"/>
        </w:rPr>
        <w:t>emotion</w:t>
      </w:r>
      <w:r>
        <w:rPr>
          <w:rFonts w:ascii="Calibri" w:eastAsia="Calibri" w:hAnsi="Calibri" w:cs="Times New Roman"/>
          <w:sz w:val="24"/>
          <w:szCs w:val="24"/>
        </w:rPr>
        <w:t>s</w:t>
      </w:r>
      <w:r w:rsidRPr="00D127A1">
        <w:rPr>
          <w:rFonts w:ascii="Calibri" w:eastAsia="Calibri" w:hAnsi="Calibri" w:cs="Times New Roman"/>
          <w:sz w:val="24"/>
          <w:szCs w:val="24"/>
        </w:rPr>
        <w:t xml:space="preserve">, identity and complexity and </w:t>
      </w:r>
      <w:r w:rsidRPr="00D127A1">
        <w:rPr>
          <w:rFonts w:ascii="Calibri" w:eastAsia="Calibri" w:hAnsi="Calibri" w:cs="Times New Roman"/>
          <w:sz w:val="24"/>
          <w:szCs w:val="24"/>
        </w:rPr>
        <w:lastRenderedPageBreak/>
        <w:t>supervision</w:t>
      </w:r>
      <w:r>
        <w:rPr>
          <w:rFonts w:ascii="Calibri" w:eastAsia="Calibri" w:hAnsi="Calibri" w:cs="Times New Roman"/>
          <w:sz w:val="24"/>
          <w:szCs w:val="24"/>
        </w:rPr>
        <w:t>, a designated holding space,</w:t>
      </w:r>
      <w:r w:rsidRPr="00D127A1">
        <w:rPr>
          <w:rFonts w:ascii="Calibri" w:eastAsia="Calibri" w:hAnsi="Calibri" w:cs="Times New Roman"/>
          <w:sz w:val="24"/>
          <w:szCs w:val="24"/>
        </w:rPr>
        <w:t xml:space="preserve"> </w:t>
      </w:r>
      <w:r>
        <w:rPr>
          <w:rFonts w:ascii="Calibri" w:eastAsia="Calibri" w:hAnsi="Calibri" w:cs="Times New Roman"/>
          <w:sz w:val="24"/>
          <w:szCs w:val="24"/>
        </w:rPr>
        <w:t xml:space="preserve">was recommended </w:t>
      </w:r>
      <w:r w:rsidRPr="00D127A1">
        <w:rPr>
          <w:rFonts w:ascii="Calibri" w:eastAsia="Calibri" w:hAnsi="Calibri" w:cs="Times New Roman"/>
          <w:sz w:val="24"/>
          <w:szCs w:val="24"/>
        </w:rPr>
        <w:t>for the</w:t>
      </w:r>
      <w:r>
        <w:rPr>
          <w:rFonts w:ascii="Calibri" w:eastAsia="Calibri" w:hAnsi="Calibri" w:cs="Times New Roman"/>
          <w:sz w:val="24"/>
          <w:szCs w:val="24"/>
        </w:rPr>
        <w:t xml:space="preserve">se elements. Jenko is bringing to the fore the idea of the importance of somewhere or someone to mediate, support and help process the variety of emotions that arise from the complexity of learning and teaching. </w:t>
      </w:r>
    </w:p>
    <w:p w14:paraId="2C3F2913" w14:textId="128A5758" w:rsidR="001872B0" w:rsidRPr="00BE417C" w:rsidRDefault="001872B0" w:rsidP="00AA494C">
      <w:pPr>
        <w:spacing w:line="360" w:lineRule="auto"/>
        <w:rPr>
          <w:rFonts w:ascii="Calibri" w:eastAsia="Calibri" w:hAnsi="Calibri" w:cs="Times New Roman"/>
          <w:sz w:val="24"/>
          <w:szCs w:val="24"/>
        </w:rPr>
      </w:pPr>
      <w:r>
        <w:rPr>
          <w:rFonts w:ascii="Calibri" w:eastAsia="Calibri" w:hAnsi="Calibri" w:cs="Times New Roman"/>
          <w:sz w:val="24"/>
          <w:szCs w:val="24"/>
        </w:rPr>
        <w:t xml:space="preserve">Two participants describe definitively a lack of support in their trainings. Mo reported that teacher trainers lacked understanding for </w:t>
      </w:r>
      <w:r w:rsidRPr="00B42252">
        <w:rPr>
          <w:rFonts w:ascii="Calibri" w:eastAsia="Calibri" w:hAnsi="Calibri" w:cs="Times New Roman"/>
          <w:sz w:val="24"/>
          <w:szCs w:val="24"/>
        </w:rPr>
        <w:t>mature students who have been out of education for a long time</w:t>
      </w:r>
      <w:r>
        <w:rPr>
          <w:rFonts w:ascii="Calibri" w:eastAsia="Calibri" w:hAnsi="Calibri" w:cs="Times New Roman"/>
          <w:sz w:val="24"/>
          <w:szCs w:val="24"/>
        </w:rPr>
        <w:t xml:space="preserve"> (</w:t>
      </w:r>
      <w:r w:rsidR="004F6FE6">
        <w:rPr>
          <w:rFonts w:ascii="Calibri" w:eastAsia="Calibri" w:hAnsi="Calibri" w:cs="Times New Roman"/>
          <w:sz w:val="24"/>
          <w:szCs w:val="24"/>
        </w:rPr>
        <w:t xml:space="preserve">Mo, </w:t>
      </w:r>
      <w:r>
        <w:rPr>
          <w:rFonts w:ascii="Calibri" w:eastAsia="Calibri" w:hAnsi="Calibri" w:cs="Times New Roman"/>
          <w:sz w:val="24"/>
          <w:szCs w:val="24"/>
        </w:rPr>
        <w:t>T1). Fred did not feel emotional support was offered</w:t>
      </w:r>
      <w:r w:rsidR="007F1CA3">
        <w:rPr>
          <w:rFonts w:ascii="Calibri" w:eastAsia="Calibri" w:hAnsi="Calibri" w:cs="Times New Roman"/>
          <w:sz w:val="24"/>
          <w:szCs w:val="24"/>
        </w:rPr>
        <w:t xml:space="preserve"> by his </w:t>
      </w:r>
      <w:r w:rsidR="00670774">
        <w:rPr>
          <w:rFonts w:ascii="Calibri" w:eastAsia="Calibri" w:hAnsi="Calibri" w:cs="Times New Roman"/>
          <w:sz w:val="24"/>
          <w:szCs w:val="24"/>
        </w:rPr>
        <w:t>instructors</w:t>
      </w:r>
      <w:r w:rsidR="00964E54">
        <w:rPr>
          <w:rFonts w:ascii="Calibri" w:eastAsia="Calibri" w:hAnsi="Calibri" w:cs="Times New Roman"/>
          <w:sz w:val="24"/>
          <w:szCs w:val="24"/>
        </w:rPr>
        <w:t xml:space="preserve">: </w:t>
      </w:r>
      <w:r w:rsidR="00964E54" w:rsidRPr="00964E54">
        <w:rPr>
          <w:rFonts w:ascii="Calibri" w:eastAsia="Calibri" w:hAnsi="Calibri" w:cs="Times New Roman"/>
          <w:i/>
          <w:iCs/>
          <w:sz w:val="24"/>
          <w:szCs w:val="24"/>
        </w:rPr>
        <w:t>“They</w:t>
      </w:r>
      <w:r w:rsidRPr="009B4660">
        <w:rPr>
          <w:rFonts w:ascii="Calibri" w:hAnsi="Calibri" w:cs="Calibri"/>
          <w:i/>
          <w:iCs/>
          <w:sz w:val="24"/>
          <w:szCs w:val="24"/>
        </w:rPr>
        <w:t xml:space="preserve"> genuinely wanted us to be well, but I don’t think they really have the tools to facilitate this in a meaningful way which comes down to the setting</w:t>
      </w:r>
      <w:r>
        <w:rPr>
          <w:rFonts w:ascii="Calibri" w:hAnsi="Calibri" w:cs="Calibri"/>
          <w:sz w:val="24"/>
          <w:szCs w:val="24"/>
        </w:rPr>
        <w:t>” (</w:t>
      </w:r>
      <w:r w:rsidR="00295D66">
        <w:rPr>
          <w:rFonts w:ascii="Calibri" w:hAnsi="Calibri" w:cs="Calibri"/>
          <w:sz w:val="24"/>
          <w:szCs w:val="24"/>
        </w:rPr>
        <w:t xml:space="preserve">Fred, </w:t>
      </w:r>
      <w:r>
        <w:rPr>
          <w:rFonts w:ascii="Calibri" w:hAnsi="Calibri" w:cs="Calibri"/>
          <w:sz w:val="24"/>
          <w:szCs w:val="24"/>
        </w:rPr>
        <w:t>T1, p.15, par 2).</w:t>
      </w:r>
      <w:r>
        <w:rPr>
          <w:rFonts w:ascii="Calibri" w:eastAsia="Calibri" w:hAnsi="Calibri" w:cs="Times New Roman"/>
          <w:sz w:val="24"/>
          <w:szCs w:val="24"/>
        </w:rPr>
        <w:t xml:space="preserve"> </w:t>
      </w:r>
      <w:r w:rsidRPr="00BE417C">
        <w:rPr>
          <w:rFonts w:ascii="Calibri" w:hAnsi="Calibri" w:cs="Calibri"/>
          <w:sz w:val="24"/>
          <w:szCs w:val="24"/>
        </w:rPr>
        <w:t xml:space="preserve">Fred stating that his instructors might say support was offered raises questions about the receipt of support. The trainee teacher might not be ready to receive support or might not feel able to explicitly ask for it. This notion suggests the possibility for vulnerability, and even fragility, potential humiliation and infantilisation being experienced by the teacher in asking for help. </w:t>
      </w:r>
      <w:r w:rsidRPr="00BE417C">
        <w:rPr>
          <w:rFonts w:ascii="Calibri" w:eastAsia="Calibri" w:hAnsi="Calibri" w:cs="Times New Roman"/>
          <w:sz w:val="24"/>
          <w:szCs w:val="24"/>
        </w:rPr>
        <w:t xml:space="preserve">This has implications for the “therapeutic university” (Hermanowicz, 2024, p.506) that finds itself in a new role of nurturing parent </w:t>
      </w:r>
      <w:r w:rsidRPr="00BE417C">
        <w:rPr>
          <w:rFonts w:ascii="Calibri" w:eastAsia="Calibri" w:hAnsi="Calibri" w:cs="Times New Roman"/>
          <w:i/>
          <w:iCs/>
          <w:sz w:val="24"/>
          <w:szCs w:val="24"/>
        </w:rPr>
        <w:t>in loco parentis</w:t>
      </w:r>
      <w:r w:rsidRPr="00BE417C">
        <w:rPr>
          <w:rFonts w:ascii="Calibri" w:eastAsia="Calibri" w:hAnsi="Calibri" w:cs="Times New Roman"/>
          <w:sz w:val="24"/>
          <w:szCs w:val="24"/>
        </w:rPr>
        <w:t xml:space="preserve"> and whether the support it currently offers might be seen as disempowering or infantilising the student. Damned if you do, and damned if you don’t.</w:t>
      </w:r>
    </w:p>
    <w:p w14:paraId="0E1776DA" w14:textId="43713DCD" w:rsidR="001872B0" w:rsidRPr="00277A48" w:rsidRDefault="001872B0" w:rsidP="00D860DD">
      <w:pPr>
        <w:spacing w:line="360" w:lineRule="auto"/>
        <w:rPr>
          <w:rFonts w:ascii="Calibri" w:hAnsi="Calibri" w:cs="Calibri"/>
          <w:sz w:val="24"/>
          <w:szCs w:val="24"/>
        </w:rPr>
      </w:pPr>
      <w:r>
        <w:rPr>
          <w:rFonts w:ascii="Calibri" w:hAnsi="Calibri" w:cs="Calibri"/>
          <w:sz w:val="24"/>
          <w:szCs w:val="24"/>
        </w:rPr>
        <w:t>There were a number of ways in which participants garnered support for themselves. Sally</w:t>
      </w:r>
      <w:r w:rsidR="0053659E">
        <w:rPr>
          <w:rFonts w:ascii="Calibri" w:hAnsi="Calibri" w:cs="Calibri"/>
          <w:sz w:val="24"/>
          <w:szCs w:val="24"/>
        </w:rPr>
        <w:t xml:space="preserve"> </w:t>
      </w:r>
      <w:r>
        <w:rPr>
          <w:rFonts w:ascii="Calibri" w:hAnsi="Calibri" w:cs="Calibri"/>
          <w:sz w:val="24"/>
          <w:szCs w:val="24"/>
        </w:rPr>
        <w:t>recognised the need for self-care: “</w:t>
      </w:r>
      <w:r w:rsidRPr="009B4660">
        <w:rPr>
          <w:rFonts w:ascii="Calibri" w:hAnsi="Calibri" w:cs="Calibri"/>
          <w:i/>
          <w:iCs/>
          <w:sz w:val="24"/>
          <w:szCs w:val="24"/>
        </w:rPr>
        <w:t>I’m aware of the need to look after myself. Great family, great friends, WhatsApp group, we go for a walk, go swimming a lot, a good work life balance</w:t>
      </w:r>
      <w:r>
        <w:rPr>
          <w:rFonts w:ascii="Calibri" w:hAnsi="Calibri" w:cs="Calibri"/>
          <w:sz w:val="24"/>
          <w:szCs w:val="24"/>
        </w:rPr>
        <w:t>” (</w:t>
      </w:r>
      <w:r w:rsidR="0053659E">
        <w:rPr>
          <w:rFonts w:ascii="Calibri" w:hAnsi="Calibri" w:cs="Calibri"/>
          <w:sz w:val="24"/>
          <w:szCs w:val="24"/>
        </w:rPr>
        <w:t xml:space="preserve">Sally, </w:t>
      </w:r>
      <w:r>
        <w:rPr>
          <w:rFonts w:ascii="Calibri" w:hAnsi="Calibri" w:cs="Calibri"/>
          <w:sz w:val="24"/>
          <w:szCs w:val="24"/>
        </w:rPr>
        <w:t>T1, p. 9, par 1). Fred used an interesting mix of support mechanisms for his feelings which he mostly “</w:t>
      </w:r>
      <w:r w:rsidRPr="009B4660">
        <w:rPr>
          <w:rFonts w:ascii="Calibri" w:hAnsi="Calibri" w:cs="Calibri"/>
          <w:i/>
          <w:iCs/>
          <w:sz w:val="24"/>
          <w:szCs w:val="24"/>
        </w:rPr>
        <w:t>just dealt with</w:t>
      </w:r>
      <w:r w:rsidR="003C3ED8">
        <w:rPr>
          <w:rFonts w:ascii="Calibri" w:hAnsi="Calibri" w:cs="Calibri"/>
          <w:sz w:val="24"/>
          <w:szCs w:val="24"/>
        </w:rPr>
        <w:t xml:space="preserve">. </w:t>
      </w:r>
      <w:r w:rsidR="00F94818" w:rsidRPr="00F94818">
        <w:rPr>
          <w:rFonts w:ascii="Calibri" w:hAnsi="Calibri" w:cs="Calibri"/>
          <w:i/>
          <w:iCs/>
          <w:sz w:val="24"/>
          <w:szCs w:val="24"/>
        </w:rPr>
        <w:t xml:space="preserve">[…] </w:t>
      </w:r>
      <w:r w:rsidRPr="009B4660">
        <w:rPr>
          <w:rFonts w:ascii="Calibri" w:hAnsi="Calibri" w:cs="Calibri"/>
          <w:i/>
          <w:iCs/>
          <w:sz w:val="24"/>
          <w:szCs w:val="24"/>
        </w:rPr>
        <w:t>I talk a lot with my wife, with my partner. We have shared experiences. Talking them [emotions] through and sometimes just venting with my colleagues</w:t>
      </w:r>
      <w:r w:rsidR="00F94818">
        <w:rPr>
          <w:rFonts w:ascii="Calibri" w:hAnsi="Calibri" w:cs="Calibri"/>
          <w:i/>
          <w:iCs/>
          <w:sz w:val="24"/>
          <w:szCs w:val="24"/>
        </w:rPr>
        <w:t xml:space="preserve"> </w:t>
      </w:r>
      <w:r w:rsidRPr="009B4660">
        <w:rPr>
          <w:rFonts w:ascii="Calibri" w:hAnsi="Calibri" w:cs="Calibri"/>
          <w:i/>
          <w:iCs/>
          <w:sz w:val="24"/>
          <w:szCs w:val="24"/>
        </w:rPr>
        <w:t>-</w:t>
      </w:r>
      <w:r w:rsidR="00F94818">
        <w:rPr>
          <w:rFonts w:ascii="Calibri" w:hAnsi="Calibri" w:cs="Calibri"/>
          <w:i/>
          <w:iCs/>
          <w:sz w:val="24"/>
          <w:szCs w:val="24"/>
        </w:rPr>
        <w:t xml:space="preserve"> </w:t>
      </w:r>
      <w:r w:rsidRPr="009B4660">
        <w:rPr>
          <w:rFonts w:ascii="Calibri" w:hAnsi="Calibri" w:cs="Calibri"/>
          <w:i/>
          <w:iCs/>
          <w:sz w:val="24"/>
          <w:szCs w:val="24"/>
        </w:rPr>
        <w:t>just venting</w:t>
      </w:r>
      <w:r>
        <w:rPr>
          <w:rFonts w:ascii="Calibri" w:hAnsi="Calibri" w:cs="Calibri"/>
          <w:sz w:val="24"/>
          <w:szCs w:val="24"/>
        </w:rPr>
        <w:t>” (</w:t>
      </w:r>
      <w:r w:rsidR="0053659E">
        <w:rPr>
          <w:rFonts w:ascii="Calibri" w:hAnsi="Calibri" w:cs="Calibri"/>
          <w:sz w:val="24"/>
          <w:szCs w:val="24"/>
        </w:rPr>
        <w:t xml:space="preserve">Fred, </w:t>
      </w:r>
      <w:r>
        <w:rPr>
          <w:rFonts w:ascii="Calibri" w:hAnsi="Calibri" w:cs="Calibri"/>
          <w:sz w:val="24"/>
          <w:szCs w:val="24"/>
        </w:rPr>
        <w:t>T1, p.15, par 9). Fred also mentioned his cat: “</w:t>
      </w:r>
      <w:r w:rsidRPr="009B4660">
        <w:rPr>
          <w:rFonts w:ascii="Calibri" w:hAnsi="Calibri" w:cs="Calibri"/>
          <w:i/>
          <w:iCs/>
          <w:sz w:val="24"/>
          <w:szCs w:val="24"/>
        </w:rPr>
        <w:t>I have what I call an emotional support cat</w:t>
      </w:r>
      <w:r>
        <w:rPr>
          <w:rFonts w:ascii="Calibri" w:hAnsi="Calibri" w:cs="Calibri"/>
          <w:sz w:val="24"/>
          <w:szCs w:val="24"/>
        </w:rPr>
        <w:t>” (</w:t>
      </w:r>
      <w:r w:rsidR="00AB1ADC">
        <w:rPr>
          <w:rFonts w:ascii="Calibri" w:hAnsi="Calibri" w:cs="Calibri"/>
          <w:sz w:val="24"/>
          <w:szCs w:val="24"/>
        </w:rPr>
        <w:t>ibid.</w:t>
      </w:r>
      <w:r>
        <w:rPr>
          <w:rFonts w:ascii="Calibri" w:hAnsi="Calibri" w:cs="Calibri"/>
          <w:sz w:val="24"/>
          <w:szCs w:val="24"/>
        </w:rPr>
        <w:t xml:space="preserve">, par 8). Liz was able to debrief and be held by her partner (T1). Similarly, Laura defers to her </w:t>
      </w:r>
      <w:r w:rsidR="0053659E">
        <w:rPr>
          <w:rFonts w:ascii="Calibri" w:hAnsi="Calibri" w:cs="Calibri"/>
          <w:sz w:val="24"/>
          <w:szCs w:val="24"/>
        </w:rPr>
        <w:t>partner,</w:t>
      </w:r>
      <w:r>
        <w:rPr>
          <w:rFonts w:ascii="Calibri" w:hAnsi="Calibri" w:cs="Calibri"/>
          <w:sz w:val="24"/>
          <w:szCs w:val="24"/>
        </w:rPr>
        <w:t xml:space="preserve"> but her </w:t>
      </w:r>
      <w:r w:rsidRPr="00B07D61">
        <w:rPr>
          <w:rFonts w:ascii="Calibri" w:hAnsi="Calibri" w:cs="Calibri"/>
          <w:sz w:val="24"/>
          <w:szCs w:val="24"/>
        </w:rPr>
        <w:t xml:space="preserve">trusted colleagues are the main form of emotional support </w:t>
      </w:r>
      <w:r>
        <w:rPr>
          <w:rFonts w:ascii="Calibri" w:hAnsi="Calibri" w:cs="Calibri"/>
          <w:sz w:val="24"/>
          <w:szCs w:val="24"/>
        </w:rPr>
        <w:t>she</w:t>
      </w:r>
      <w:r w:rsidRPr="00B07D61">
        <w:rPr>
          <w:rFonts w:ascii="Calibri" w:hAnsi="Calibri" w:cs="Calibri"/>
          <w:sz w:val="24"/>
          <w:szCs w:val="24"/>
        </w:rPr>
        <w:t xml:space="preserve"> draw</w:t>
      </w:r>
      <w:r>
        <w:rPr>
          <w:rFonts w:ascii="Calibri" w:hAnsi="Calibri" w:cs="Calibri"/>
          <w:sz w:val="24"/>
          <w:szCs w:val="24"/>
        </w:rPr>
        <w:t>s</w:t>
      </w:r>
      <w:r w:rsidRPr="00B07D61">
        <w:rPr>
          <w:rFonts w:ascii="Calibri" w:hAnsi="Calibri" w:cs="Calibri"/>
          <w:sz w:val="24"/>
          <w:szCs w:val="24"/>
        </w:rPr>
        <w:t xml:space="preserve"> upo</w:t>
      </w:r>
      <w:r>
        <w:rPr>
          <w:rFonts w:ascii="Calibri" w:hAnsi="Calibri" w:cs="Calibri"/>
          <w:sz w:val="24"/>
          <w:szCs w:val="24"/>
        </w:rPr>
        <w:t>n. She also attends monthly therapy where she can talk about work-related matters (T1). Miriam highlighted a potential difficulty in solely relying on colleagues for support: the potential for disagreements</w:t>
      </w:r>
      <w:r w:rsidRPr="00721355">
        <w:rPr>
          <w:rFonts w:ascii="Calibri" w:hAnsi="Calibri" w:cs="Calibri"/>
          <w:sz w:val="24"/>
          <w:szCs w:val="24"/>
        </w:rPr>
        <w:t xml:space="preserve">. </w:t>
      </w:r>
      <w:r>
        <w:rPr>
          <w:rFonts w:ascii="Calibri" w:hAnsi="Calibri" w:cs="Calibri"/>
          <w:sz w:val="24"/>
          <w:szCs w:val="24"/>
        </w:rPr>
        <w:t>She goes on to say, “</w:t>
      </w:r>
      <w:r w:rsidRPr="009B4660">
        <w:rPr>
          <w:rFonts w:ascii="Calibri" w:hAnsi="Calibri" w:cs="Calibri"/>
          <w:i/>
          <w:iCs/>
          <w:sz w:val="24"/>
          <w:szCs w:val="24"/>
        </w:rPr>
        <w:t>and for whatever reason they will never be able to fully satisfy all of my needs. So, I have a separate source which isn’t earthly, if that makes sense</w:t>
      </w:r>
      <w:r>
        <w:rPr>
          <w:rFonts w:ascii="Calibri" w:hAnsi="Calibri" w:cs="Calibri"/>
          <w:sz w:val="24"/>
          <w:szCs w:val="24"/>
        </w:rPr>
        <w:t>” (</w:t>
      </w:r>
      <w:r w:rsidR="0053659E">
        <w:rPr>
          <w:rFonts w:ascii="Calibri" w:hAnsi="Calibri" w:cs="Calibri"/>
          <w:sz w:val="24"/>
          <w:szCs w:val="24"/>
        </w:rPr>
        <w:t xml:space="preserve">Miriam, </w:t>
      </w:r>
      <w:r>
        <w:rPr>
          <w:rFonts w:ascii="Calibri" w:hAnsi="Calibri" w:cs="Calibri"/>
          <w:sz w:val="24"/>
          <w:szCs w:val="24"/>
        </w:rPr>
        <w:t>T1, p.13, par 15)</w:t>
      </w:r>
      <w:r w:rsidRPr="00C83BD8">
        <w:rPr>
          <w:rFonts w:ascii="Calibri" w:hAnsi="Calibri" w:cs="Calibri"/>
          <w:sz w:val="24"/>
          <w:szCs w:val="24"/>
        </w:rPr>
        <w:t>.</w:t>
      </w:r>
      <w:r>
        <w:rPr>
          <w:rFonts w:ascii="Calibri" w:hAnsi="Calibri" w:cs="Calibri"/>
          <w:sz w:val="24"/>
          <w:szCs w:val="24"/>
        </w:rPr>
        <w:t xml:space="preserve"> Sophie </w:t>
      </w:r>
      <w:r w:rsidR="001F1F7C">
        <w:rPr>
          <w:rFonts w:ascii="Calibri" w:hAnsi="Calibri" w:cs="Calibri"/>
          <w:sz w:val="24"/>
          <w:szCs w:val="24"/>
        </w:rPr>
        <w:lastRenderedPageBreak/>
        <w:t xml:space="preserve">likes to </w:t>
      </w:r>
      <w:r>
        <w:rPr>
          <w:rFonts w:ascii="Calibri" w:hAnsi="Calibri" w:cs="Calibri"/>
          <w:sz w:val="24"/>
          <w:szCs w:val="24"/>
        </w:rPr>
        <w:t>“</w:t>
      </w:r>
      <w:r w:rsidRPr="009B4660">
        <w:rPr>
          <w:rFonts w:ascii="Calibri" w:hAnsi="Calibri" w:cs="Calibri"/>
          <w:i/>
          <w:iCs/>
          <w:sz w:val="24"/>
          <w:szCs w:val="24"/>
        </w:rPr>
        <w:t>name</w:t>
      </w:r>
      <w:r>
        <w:rPr>
          <w:rFonts w:ascii="Calibri" w:hAnsi="Calibri" w:cs="Calibri"/>
          <w:sz w:val="24"/>
          <w:szCs w:val="24"/>
        </w:rPr>
        <w:t>” any difficulties encountered and in the workplace her “</w:t>
      </w:r>
      <w:r w:rsidRPr="009B4660">
        <w:rPr>
          <w:rFonts w:ascii="Calibri" w:hAnsi="Calibri" w:cs="Calibri"/>
          <w:i/>
          <w:iCs/>
          <w:sz w:val="24"/>
          <w:szCs w:val="24"/>
        </w:rPr>
        <w:t>naming</w:t>
      </w:r>
      <w:r>
        <w:rPr>
          <w:rFonts w:ascii="Calibri" w:hAnsi="Calibri" w:cs="Calibri"/>
          <w:sz w:val="24"/>
          <w:szCs w:val="24"/>
        </w:rPr>
        <w:t>” is not necessarily actioned: “</w:t>
      </w:r>
      <w:r w:rsidRPr="009B4660">
        <w:rPr>
          <w:rFonts w:ascii="Calibri" w:hAnsi="Calibri" w:cs="Calibri"/>
          <w:i/>
          <w:iCs/>
          <w:sz w:val="24"/>
          <w:szCs w:val="24"/>
        </w:rPr>
        <w:t>So, for that reason I seek that emotional support from my peers, not all of them, those that I feel I can trust that with</w:t>
      </w:r>
      <w:r w:rsidR="00370EC3">
        <w:rPr>
          <w:rFonts w:ascii="Calibri" w:hAnsi="Calibri" w:cs="Calibri"/>
          <w:i/>
          <w:iCs/>
          <w:sz w:val="24"/>
          <w:szCs w:val="24"/>
        </w:rPr>
        <w:t>,</w:t>
      </w:r>
      <w:r w:rsidRPr="009B4660">
        <w:rPr>
          <w:rFonts w:ascii="Calibri" w:hAnsi="Calibri" w:cs="Calibri"/>
          <w:i/>
          <w:iCs/>
          <w:sz w:val="24"/>
          <w:szCs w:val="24"/>
        </w:rPr>
        <w:t xml:space="preserve"> and who will understand where I’m coming from</w:t>
      </w:r>
      <w:r>
        <w:rPr>
          <w:rFonts w:ascii="Calibri" w:hAnsi="Calibri" w:cs="Calibri"/>
          <w:sz w:val="24"/>
          <w:szCs w:val="24"/>
        </w:rPr>
        <w:t>” (</w:t>
      </w:r>
      <w:r w:rsidR="001F1F7C">
        <w:rPr>
          <w:rFonts w:ascii="Calibri" w:hAnsi="Calibri" w:cs="Calibri"/>
          <w:sz w:val="24"/>
          <w:szCs w:val="24"/>
        </w:rPr>
        <w:t xml:space="preserve">Sophie, </w:t>
      </w:r>
      <w:r>
        <w:rPr>
          <w:rFonts w:ascii="Calibri" w:hAnsi="Calibri" w:cs="Calibri"/>
          <w:sz w:val="24"/>
          <w:szCs w:val="24"/>
        </w:rPr>
        <w:t>T1, p. 8, par 5). Beyond peers, Sophie’s</w:t>
      </w:r>
      <w:r w:rsidRPr="0041054C">
        <w:rPr>
          <w:rFonts w:ascii="Calibri" w:hAnsi="Calibri" w:cs="Calibri"/>
          <w:sz w:val="24"/>
          <w:szCs w:val="24"/>
        </w:rPr>
        <w:t xml:space="preserve"> husband, parents </w:t>
      </w:r>
      <w:r>
        <w:rPr>
          <w:rFonts w:ascii="Calibri" w:hAnsi="Calibri" w:cs="Calibri"/>
          <w:sz w:val="24"/>
          <w:szCs w:val="24"/>
        </w:rPr>
        <w:t>and</w:t>
      </w:r>
      <w:r w:rsidRPr="0041054C">
        <w:rPr>
          <w:rFonts w:ascii="Calibri" w:hAnsi="Calibri" w:cs="Calibri"/>
          <w:sz w:val="24"/>
          <w:szCs w:val="24"/>
        </w:rPr>
        <w:t xml:space="preserve"> friends </w:t>
      </w:r>
      <w:r>
        <w:rPr>
          <w:rFonts w:ascii="Calibri" w:hAnsi="Calibri" w:cs="Calibri"/>
          <w:sz w:val="24"/>
          <w:szCs w:val="24"/>
        </w:rPr>
        <w:t>“</w:t>
      </w:r>
      <w:r w:rsidRPr="009B4660">
        <w:rPr>
          <w:rFonts w:ascii="Calibri" w:hAnsi="Calibri" w:cs="Calibri"/>
          <w:i/>
          <w:iCs/>
          <w:sz w:val="24"/>
          <w:szCs w:val="24"/>
        </w:rPr>
        <w:t>that know me very well, trusted people</w:t>
      </w:r>
      <w:r>
        <w:rPr>
          <w:rFonts w:ascii="Calibri" w:hAnsi="Calibri" w:cs="Calibri"/>
          <w:sz w:val="24"/>
          <w:szCs w:val="24"/>
        </w:rPr>
        <w:t>” provide further support (</w:t>
      </w:r>
      <w:r w:rsidR="00AB1ADC">
        <w:rPr>
          <w:rFonts w:ascii="Calibri" w:hAnsi="Calibri" w:cs="Calibri"/>
          <w:sz w:val="24"/>
          <w:szCs w:val="24"/>
        </w:rPr>
        <w:t>ibid.</w:t>
      </w:r>
      <w:r>
        <w:rPr>
          <w:rFonts w:ascii="Calibri" w:hAnsi="Calibri" w:cs="Calibri"/>
          <w:sz w:val="24"/>
          <w:szCs w:val="24"/>
        </w:rPr>
        <w:t>).</w:t>
      </w:r>
    </w:p>
    <w:p w14:paraId="35373E78" w14:textId="73722EB8" w:rsidR="001872B0" w:rsidRDefault="001872B0" w:rsidP="00321E68">
      <w:pPr>
        <w:spacing w:line="360" w:lineRule="auto"/>
        <w:rPr>
          <w:rFonts w:ascii="Calibri" w:hAnsi="Calibri" w:cs="Calibri"/>
          <w:sz w:val="24"/>
          <w:szCs w:val="24"/>
        </w:rPr>
      </w:pPr>
      <w:r>
        <w:rPr>
          <w:rFonts w:ascii="Calibri" w:hAnsi="Calibri" w:cs="Calibri"/>
          <w:sz w:val="24"/>
          <w:szCs w:val="24"/>
        </w:rPr>
        <w:t xml:space="preserve">Within their diverse support networks </w:t>
      </w:r>
      <w:r w:rsidRPr="005F1EAC">
        <w:rPr>
          <w:rFonts w:ascii="Calibri" w:hAnsi="Calibri" w:cs="Calibri"/>
          <w:sz w:val="24"/>
          <w:szCs w:val="24"/>
        </w:rPr>
        <w:t xml:space="preserve">all participants recognise the need for, and importance of support. </w:t>
      </w:r>
      <w:r>
        <w:rPr>
          <w:rFonts w:ascii="Calibri" w:hAnsi="Calibri" w:cs="Calibri"/>
          <w:sz w:val="24"/>
          <w:szCs w:val="24"/>
        </w:rPr>
        <w:t>An overarching theme in these support networks is the comfort they provide, the reciprocal trust embodied and engendered in these relationships</w:t>
      </w:r>
      <w:r w:rsidR="001E313A">
        <w:rPr>
          <w:rFonts w:ascii="Calibri" w:hAnsi="Calibri" w:cs="Calibri"/>
          <w:sz w:val="24"/>
          <w:szCs w:val="24"/>
        </w:rPr>
        <w:t>,</w:t>
      </w:r>
      <w:r>
        <w:rPr>
          <w:rFonts w:ascii="Calibri" w:hAnsi="Calibri" w:cs="Calibri"/>
          <w:sz w:val="24"/>
          <w:szCs w:val="24"/>
        </w:rPr>
        <w:t xml:space="preserve"> and the ability to risk being seen in a vulnerable state. As alluded to earlier in the thesis, Winnicott (1965) stated that although it is a joy to keep oneself hidden, it is a disaster if the self, the true self, is not found. I read the true self as containing both strengths and vulnerabilities. The participants seemed judicious about revealing vulnerability and their emotions in their contexts which suggest</w:t>
      </w:r>
      <w:r w:rsidR="00AA21C4">
        <w:rPr>
          <w:rFonts w:ascii="Calibri" w:hAnsi="Calibri" w:cs="Calibri"/>
          <w:sz w:val="24"/>
          <w:szCs w:val="24"/>
        </w:rPr>
        <w:t>s</w:t>
      </w:r>
      <w:r>
        <w:rPr>
          <w:rFonts w:ascii="Calibri" w:hAnsi="Calibri" w:cs="Calibri"/>
          <w:sz w:val="24"/>
          <w:szCs w:val="24"/>
        </w:rPr>
        <w:t xml:space="preserve"> that trust versus mistrust (Erikson, 1963) is part of their considerations of who/what holds them at work. </w:t>
      </w:r>
    </w:p>
    <w:p w14:paraId="2364610E" w14:textId="35828199" w:rsidR="001872B0" w:rsidRPr="005F1EAC" w:rsidRDefault="001872B0" w:rsidP="00321E68">
      <w:pPr>
        <w:spacing w:line="360" w:lineRule="auto"/>
        <w:rPr>
          <w:rFonts w:ascii="Calibri" w:hAnsi="Calibri" w:cs="Calibri"/>
          <w:sz w:val="24"/>
          <w:szCs w:val="24"/>
        </w:rPr>
      </w:pPr>
      <w:r w:rsidRPr="00335B76">
        <w:rPr>
          <w:rFonts w:ascii="Calibri" w:hAnsi="Calibri" w:cs="Calibri"/>
          <w:sz w:val="24"/>
          <w:szCs w:val="24"/>
        </w:rPr>
        <w:t xml:space="preserve">The </w:t>
      </w:r>
      <w:r>
        <w:rPr>
          <w:rFonts w:ascii="Calibri" w:hAnsi="Calibri" w:cs="Calibri"/>
          <w:sz w:val="24"/>
          <w:szCs w:val="24"/>
        </w:rPr>
        <w:t xml:space="preserve">findings have highlighted that the </w:t>
      </w:r>
      <w:r w:rsidRPr="00335B76">
        <w:rPr>
          <w:rFonts w:ascii="Calibri" w:hAnsi="Calibri" w:cs="Calibri"/>
          <w:sz w:val="24"/>
          <w:szCs w:val="24"/>
        </w:rPr>
        <w:t xml:space="preserve">holding mechanism does not have to be a person, or method, </w:t>
      </w:r>
      <w:r>
        <w:rPr>
          <w:rFonts w:ascii="Calibri" w:hAnsi="Calibri" w:cs="Calibri"/>
          <w:sz w:val="24"/>
          <w:szCs w:val="24"/>
        </w:rPr>
        <w:t>or theory</w:t>
      </w:r>
      <w:r w:rsidRPr="00335B76">
        <w:rPr>
          <w:rFonts w:ascii="Calibri" w:hAnsi="Calibri" w:cs="Calibri"/>
          <w:sz w:val="24"/>
          <w:szCs w:val="24"/>
        </w:rPr>
        <w:t xml:space="preserve">, it can be an </w:t>
      </w:r>
      <w:r>
        <w:rPr>
          <w:rFonts w:ascii="Calibri" w:hAnsi="Calibri" w:cs="Calibri"/>
          <w:sz w:val="24"/>
          <w:szCs w:val="24"/>
        </w:rPr>
        <w:t xml:space="preserve">animal or an activity. It can also be an </w:t>
      </w:r>
      <w:r w:rsidRPr="00335B76">
        <w:rPr>
          <w:rFonts w:ascii="Calibri" w:hAnsi="Calibri" w:cs="Calibri"/>
          <w:sz w:val="24"/>
          <w:szCs w:val="24"/>
        </w:rPr>
        <w:t>ontological philosophy or religion,</w:t>
      </w:r>
      <w:r>
        <w:rPr>
          <w:rFonts w:ascii="Calibri" w:hAnsi="Calibri" w:cs="Calibri"/>
          <w:sz w:val="24"/>
          <w:szCs w:val="24"/>
        </w:rPr>
        <w:t xml:space="preserve"> and </w:t>
      </w:r>
      <w:r w:rsidRPr="00335B76">
        <w:rPr>
          <w:rFonts w:ascii="Calibri" w:hAnsi="Calibri" w:cs="Calibri"/>
          <w:sz w:val="24"/>
          <w:szCs w:val="24"/>
        </w:rPr>
        <w:t>I</w:t>
      </w:r>
      <w:r>
        <w:rPr>
          <w:rFonts w:ascii="Calibri" w:hAnsi="Calibri" w:cs="Calibri"/>
          <w:sz w:val="24"/>
          <w:szCs w:val="24"/>
        </w:rPr>
        <w:t xml:space="preserve"> draw the reader to the “</w:t>
      </w:r>
      <w:r w:rsidRPr="00AF768F">
        <w:rPr>
          <w:rFonts w:ascii="Calibri" w:hAnsi="Calibri" w:cs="Calibri"/>
          <w:i/>
          <w:iCs/>
          <w:sz w:val="24"/>
          <w:szCs w:val="24"/>
        </w:rPr>
        <w:t>not-earthly</w:t>
      </w:r>
      <w:r>
        <w:rPr>
          <w:rFonts w:ascii="Calibri" w:hAnsi="Calibri" w:cs="Calibri"/>
          <w:sz w:val="24"/>
          <w:szCs w:val="24"/>
        </w:rPr>
        <w:t>” support source named by Miriam as her belief system</w:t>
      </w:r>
      <w:r w:rsidR="00B66E13">
        <w:rPr>
          <w:rFonts w:ascii="Calibri" w:hAnsi="Calibri" w:cs="Calibri"/>
          <w:sz w:val="24"/>
          <w:szCs w:val="24"/>
        </w:rPr>
        <w:t xml:space="preserve"> (</w:t>
      </w:r>
      <w:r w:rsidR="00620EDB">
        <w:rPr>
          <w:rFonts w:ascii="Calibri" w:hAnsi="Calibri" w:cs="Calibri"/>
          <w:sz w:val="24"/>
          <w:szCs w:val="24"/>
        </w:rPr>
        <w:t xml:space="preserve">Miriam, </w:t>
      </w:r>
      <w:r w:rsidR="00B66E13" w:rsidRPr="00B66E13">
        <w:rPr>
          <w:rFonts w:ascii="Calibri" w:hAnsi="Calibri" w:cs="Calibri"/>
          <w:sz w:val="24"/>
          <w:szCs w:val="24"/>
        </w:rPr>
        <w:t>T1, p.13, par 15</w:t>
      </w:r>
      <w:r w:rsidR="00B66E13">
        <w:rPr>
          <w:rFonts w:ascii="Calibri" w:hAnsi="Calibri" w:cs="Calibri"/>
          <w:sz w:val="24"/>
          <w:szCs w:val="24"/>
        </w:rPr>
        <w:t>)</w:t>
      </w:r>
      <w:r>
        <w:rPr>
          <w:rFonts w:ascii="Calibri" w:hAnsi="Calibri" w:cs="Calibri"/>
          <w:sz w:val="24"/>
          <w:szCs w:val="24"/>
        </w:rPr>
        <w:t xml:space="preserve">. These findings indicate a significant difference from the conceptual framework in the </w:t>
      </w:r>
      <w:r w:rsidRPr="003E655A">
        <w:rPr>
          <w:rFonts w:ascii="Calibri" w:hAnsi="Calibri" w:cs="Calibri"/>
          <w:i/>
          <w:iCs/>
          <w:sz w:val="24"/>
          <w:szCs w:val="24"/>
        </w:rPr>
        <w:t>type</w:t>
      </w:r>
      <w:r>
        <w:rPr>
          <w:rFonts w:ascii="Calibri" w:hAnsi="Calibri" w:cs="Calibri"/>
          <w:sz w:val="24"/>
          <w:szCs w:val="24"/>
        </w:rPr>
        <w:t xml:space="preserve"> and source of support drawn upon, the transitional objects (Winnicott, 1958) students can use to help and support them</w:t>
      </w:r>
      <w:r w:rsidRPr="00C91485">
        <w:rPr>
          <w:rFonts w:ascii="Calibri" w:eastAsia="Calibri" w:hAnsi="Calibri" w:cs="Times New Roman"/>
          <w:sz w:val="24"/>
          <w:szCs w:val="24"/>
        </w:rPr>
        <w:t xml:space="preserve"> </w:t>
      </w:r>
      <w:r>
        <w:rPr>
          <w:rFonts w:ascii="Calibri" w:eastAsia="Calibri" w:hAnsi="Calibri" w:cs="Times New Roman"/>
          <w:sz w:val="24"/>
          <w:szCs w:val="24"/>
        </w:rPr>
        <w:t>in their learning journeys. Furthermore, the findings note that the choosing of the transitional object, or “good object” (Winnicott, 1965, p.181), the agency to discern what or who provides support, is important and cannot be imposed: “A good object is no good to the infant unless created by the infant” (</w:t>
      </w:r>
      <w:r w:rsidR="00AB1ADC">
        <w:rPr>
          <w:rFonts w:ascii="Calibri" w:eastAsia="Calibri" w:hAnsi="Calibri" w:cs="Times New Roman"/>
          <w:sz w:val="24"/>
          <w:szCs w:val="24"/>
        </w:rPr>
        <w:t>ibid.</w:t>
      </w:r>
      <w:r>
        <w:rPr>
          <w:rFonts w:ascii="Calibri" w:eastAsia="Calibri" w:hAnsi="Calibri" w:cs="Times New Roman"/>
          <w:sz w:val="24"/>
          <w:szCs w:val="24"/>
        </w:rPr>
        <w:t>). This has implications for the imposition of any form of support in teacher training; it must be chosen.</w:t>
      </w:r>
    </w:p>
    <w:p w14:paraId="5CEC194C" w14:textId="2C6D7375" w:rsidR="001872B0" w:rsidRPr="00316286" w:rsidRDefault="00D34F5C">
      <w:pPr>
        <w:rPr>
          <w:rFonts w:ascii="Calibri" w:hAnsi="Calibri" w:cs="Calibri"/>
          <w:b/>
          <w:bCs/>
          <w:sz w:val="24"/>
          <w:szCs w:val="24"/>
        </w:rPr>
      </w:pPr>
      <w:r>
        <w:rPr>
          <w:rFonts w:ascii="Calibri" w:hAnsi="Calibri" w:cs="Calibri"/>
          <w:b/>
          <w:bCs/>
          <w:sz w:val="24"/>
          <w:szCs w:val="24"/>
        </w:rPr>
        <w:t>Summary</w:t>
      </w:r>
    </w:p>
    <w:p w14:paraId="68934FD3" w14:textId="5D2D86A7" w:rsidR="001872B0" w:rsidRPr="006236E9" w:rsidRDefault="001872B0" w:rsidP="000F6EC8">
      <w:pPr>
        <w:spacing w:line="360" w:lineRule="auto"/>
        <w:rPr>
          <w:rFonts w:ascii="Calibri" w:hAnsi="Calibri" w:cs="Calibri"/>
          <w:sz w:val="24"/>
          <w:szCs w:val="24"/>
          <w:lang w:val="en-US"/>
        </w:rPr>
      </w:pPr>
      <w:r>
        <w:rPr>
          <w:rFonts w:ascii="Calibri" w:hAnsi="Calibri" w:cs="Calibri"/>
          <w:sz w:val="24"/>
          <w:szCs w:val="24"/>
          <w:lang w:val="en-US"/>
        </w:rPr>
        <w:t>The experiences and perspectives of the HE teachers</w:t>
      </w:r>
      <w:r w:rsidRPr="00EC43D0">
        <w:rPr>
          <w:rFonts w:ascii="Calibri" w:hAnsi="Calibri" w:cs="Calibri"/>
          <w:sz w:val="24"/>
          <w:szCs w:val="24"/>
          <w:lang w:val="en-US"/>
        </w:rPr>
        <w:t xml:space="preserve"> </w:t>
      </w:r>
      <w:r>
        <w:rPr>
          <w:rFonts w:ascii="Calibri" w:hAnsi="Calibri" w:cs="Calibri"/>
          <w:sz w:val="24"/>
          <w:szCs w:val="24"/>
          <w:lang w:val="en-US"/>
        </w:rPr>
        <w:t>in this study suggest that participants recognize that their emotions feature in their learning, their learning to teach and in their teaching. They acknowledged the need for a frame</w:t>
      </w:r>
      <w:r w:rsidR="00CD2FED">
        <w:rPr>
          <w:rFonts w:ascii="Calibri" w:hAnsi="Calibri" w:cs="Calibri"/>
          <w:sz w:val="24"/>
          <w:szCs w:val="24"/>
          <w:lang w:val="en-US"/>
        </w:rPr>
        <w:t xml:space="preserve"> (Milner, 1952)</w:t>
      </w:r>
      <w:r>
        <w:rPr>
          <w:rFonts w:ascii="Calibri" w:hAnsi="Calibri" w:cs="Calibri"/>
          <w:sz w:val="24"/>
          <w:szCs w:val="24"/>
          <w:lang w:val="en-US"/>
        </w:rPr>
        <w:t xml:space="preserve"> to emotionally support them whilst they were learning, and for the students they taught. Participants understood </w:t>
      </w:r>
      <w:r>
        <w:rPr>
          <w:rFonts w:ascii="Calibri" w:hAnsi="Calibri" w:cs="Calibri"/>
          <w:sz w:val="24"/>
          <w:szCs w:val="24"/>
          <w:lang w:val="en-US"/>
        </w:rPr>
        <w:lastRenderedPageBreak/>
        <w:t xml:space="preserve">the pastoral nature of their role as teachers, the </w:t>
      </w:r>
      <w:r w:rsidRPr="00255375">
        <w:rPr>
          <w:rFonts w:ascii="Calibri" w:hAnsi="Calibri" w:cs="Calibri"/>
          <w:i/>
          <w:iCs/>
          <w:sz w:val="24"/>
          <w:szCs w:val="24"/>
          <w:lang w:val="en-US"/>
        </w:rPr>
        <w:t>anima</w:t>
      </w:r>
      <w:r>
        <w:rPr>
          <w:rFonts w:ascii="Calibri" w:hAnsi="Calibri" w:cs="Calibri"/>
          <w:sz w:val="24"/>
          <w:szCs w:val="24"/>
          <w:lang w:val="en-US"/>
        </w:rPr>
        <w:t xml:space="preserve"> principle (Jung, 1959) and were enthusiastic about creating the optimum conditions for their students to develop, grow, learn and</w:t>
      </w:r>
      <w:r w:rsidRPr="0023141C">
        <w:rPr>
          <w:rFonts w:ascii="Calibri" w:hAnsi="Calibri" w:cs="Calibri"/>
          <w:i/>
          <w:iCs/>
          <w:sz w:val="24"/>
          <w:szCs w:val="24"/>
          <w:lang w:val="en-US"/>
        </w:rPr>
        <w:t xml:space="preserve"> become</w:t>
      </w:r>
      <w:r w:rsidR="00B47DF2" w:rsidRPr="00B47DF2">
        <w:rPr>
          <w:rFonts w:ascii="Calibri" w:hAnsi="Calibri" w:cs="Calibri"/>
          <w:sz w:val="24"/>
          <w:szCs w:val="24"/>
          <w:lang w:val="en-US"/>
        </w:rPr>
        <w:t>,</w:t>
      </w:r>
      <w:r w:rsidR="00B47DF2">
        <w:rPr>
          <w:rFonts w:ascii="Calibri" w:hAnsi="Calibri" w:cs="Calibri"/>
          <w:sz w:val="24"/>
          <w:szCs w:val="24"/>
          <w:lang w:val="en-US"/>
        </w:rPr>
        <w:t xml:space="preserve"> </w:t>
      </w:r>
      <w:r>
        <w:rPr>
          <w:rFonts w:ascii="Calibri" w:hAnsi="Calibri" w:cs="Calibri"/>
          <w:sz w:val="24"/>
          <w:szCs w:val="24"/>
          <w:lang w:val="en-US"/>
        </w:rPr>
        <w:t xml:space="preserve">and that students need to be better prepared for their futures (Bakshi </w:t>
      </w:r>
      <w:r w:rsidR="00FB3A6E" w:rsidRPr="00FB3A6E">
        <w:rPr>
          <w:rFonts w:ascii="Calibri" w:hAnsi="Calibri" w:cs="Calibri"/>
          <w:i/>
          <w:sz w:val="24"/>
          <w:szCs w:val="24"/>
          <w:lang w:val="en-US"/>
        </w:rPr>
        <w:t>et al.</w:t>
      </w:r>
      <w:r>
        <w:rPr>
          <w:rFonts w:ascii="Calibri" w:hAnsi="Calibri" w:cs="Calibri"/>
          <w:sz w:val="24"/>
          <w:szCs w:val="24"/>
          <w:lang w:val="en-US"/>
        </w:rPr>
        <w:t xml:space="preserve">, 2017; WEF, 2019). </w:t>
      </w:r>
      <w:r w:rsidRPr="00EC43D0">
        <w:rPr>
          <w:rFonts w:ascii="Calibri" w:hAnsi="Calibri" w:cs="Calibri"/>
          <w:sz w:val="24"/>
          <w:szCs w:val="24"/>
          <w:lang w:val="en-US"/>
        </w:rPr>
        <w:t xml:space="preserve">The </w:t>
      </w:r>
      <w:r>
        <w:rPr>
          <w:rFonts w:ascii="Calibri" w:hAnsi="Calibri" w:cs="Calibri"/>
          <w:sz w:val="24"/>
          <w:szCs w:val="24"/>
          <w:lang w:val="en-US"/>
        </w:rPr>
        <w:t xml:space="preserve">interview findings </w:t>
      </w:r>
      <w:r w:rsidRPr="00EC43D0">
        <w:rPr>
          <w:rFonts w:ascii="Calibri" w:hAnsi="Calibri" w:cs="Calibri"/>
          <w:sz w:val="24"/>
          <w:szCs w:val="24"/>
          <w:lang w:val="en-US"/>
        </w:rPr>
        <w:t xml:space="preserve">suggest </w:t>
      </w:r>
      <w:r>
        <w:rPr>
          <w:rFonts w:ascii="Calibri" w:hAnsi="Calibri" w:cs="Calibri"/>
          <w:sz w:val="24"/>
          <w:szCs w:val="24"/>
          <w:lang w:val="en-US"/>
        </w:rPr>
        <w:t xml:space="preserve">participants were highly attuned to their own emotions and those of their students and recognized that the soft skills of emotional attunement (Erskine and Trautman, 1997) and support were, for the most part, lacking in their training experiences. The findings highlight the devastating impact when the practical and emotional support needs of trainee teachers, preparation for the moral side of the role of teacher and the emotional side of teaching are lacking. Any form of support offered to a student needs to include judicious considerations of the right to choose, and therefore not be a mandatory inclusion. </w:t>
      </w:r>
      <w:r w:rsidRPr="002609B6">
        <w:rPr>
          <w:rFonts w:ascii="Calibri" w:hAnsi="Calibri" w:cs="Calibri"/>
          <w:sz w:val="24"/>
          <w:szCs w:val="24"/>
        </w:rPr>
        <w:t xml:space="preserve">The need for support </w:t>
      </w:r>
      <w:r>
        <w:rPr>
          <w:rFonts w:ascii="Calibri" w:hAnsi="Calibri" w:cs="Calibri"/>
          <w:sz w:val="24"/>
          <w:szCs w:val="24"/>
        </w:rPr>
        <w:t xml:space="preserve">for teachers </w:t>
      </w:r>
      <w:r w:rsidRPr="002609B6">
        <w:rPr>
          <w:rFonts w:ascii="Calibri" w:hAnsi="Calibri" w:cs="Calibri"/>
          <w:sz w:val="24"/>
          <w:szCs w:val="24"/>
        </w:rPr>
        <w:t xml:space="preserve">is encapsulated </w:t>
      </w:r>
      <w:r>
        <w:rPr>
          <w:rFonts w:ascii="Calibri" w:hAnsi="Calibri" w:cs="Calibri"/>
          <w:sz w:val="24"/>
          <w:szCs w:val="24"/>
        </w:rPr>
        <w:t xml:space="preserve">in brief </w:t>
      </w:r>
      <w:r w:rsidRPr="002609B6">
        <w:rPr>
          <w:rFonts w:ascii="Calibri" w:hAnsi="Calibri" w:cs="Calibri"/>
          <w:sz w:val="24"/>
          <w:szCs w:val="24"/>
        </w:rPr>
        <w:t>by Miriam’s considerations:</w:t>
      </w:r>
    </w:p>
    <w:p w14:paraId="766A3BF9" w14:textId="77777777" w:rsidR="001872B0" w:rsidRPr="00AF768F" w:rsidRDefault="001872B0" w:rsidP="00AF768F">
      <w:pPr>
        <w:ind w:left="720"/>
        <w:rPr>
          <w:rFonts w:ascii="Calibri" w:hAnsi="Calibri" w:cs="Calibri"/>
          <w:i/>
          <w:iCs/>
          <w:sz w:val="24"/>
          <w:szCs w:val="24"/>
        </w:rPr>
      </w:pPr>
      <w:r w:rsidRPr="00AF768F">
        <w:rPr>
          <w:rFonts w:ascii="Calibri" w:hAnsi="Calibri" w:cs="Calibri"/>
          <w:i/>
          <w:iCs/>
          <w:sz w:val="24"/>
          <w:szCs w:val="24"/>
        </w:rPr>
        <w:t>When anyone is being developed in any career, they need to be supported. Particularly in teaching because it is challenging: a high workload, a lot of stakeholders, a lot of people demanding from you, the dynamic of the relationship between students and teachers. (Miriam, T1, p.9, pars 2-3).</w:t>
      </w:r>
    </w:p>
    <w:p w14:paraId="648BB5FE" w14:textId="77777777" w:rsidR="001872B0" w:rsidRDefault="001872B0" w:rsidP="00630B4F">
      <w:pPr>
        <w:rPr>
          <w:rFonts w:ascii="Calibri" w:hAnsi="Calibri" w:cs="Calibri"/>
          <w:b/>
          <w:bCs/>
          <w:sz w:val="24"/>
          <w:szCs w:val="24"/>
        </w:rPr>
      </w:pPr>
    </w:p>
    <w:p w14:paraId="5ED1B8E6" w14:textId="77777777" w:rsidR="001872B0" w:rsidRDefault="001872B0" w:rsidP="00630B4F">
      <w:pPr>
        <w:rPr>
          <w:rFonts w:ascii="Calibri" w:hAnsi="Calibri" w:cs="Calibri"/>
          <w:b/>
          <w:bCs/>
          <w:sz w:val="24"/>
          <w:szCs w:val="24"/>
        </w:rPr>
      </w:pPr>
    </w:p>
    <w:p w14:paraId="2EAF316A" w14:textId="77777777" w:rsidR="001872B0" w:rsidRDefault="001872B0" w:rsidP="00630B4F">
      <w:pPr>
        <w:rPr>
          <w:rFonts w:ascii="Calibri" w:hAnsi="Calibri" w:cs="Calibri"/>
          <w:b/>
          <w:bCs/>
          <w:sz w:val="24"/>
          <w:szCs w:val="24"/>
        </w:rPr>
      </w:pPr>
    </w:p>
    <w:p w14:paraId="12076B87" w14:textId="77777777" w:rsidR="001872B0" w:rsidRDefault="001872B0" w:rsidP="00630B4F">
      <w:pPr>
        <w:rPr>
          <w:rFonts w:ascii="Calibri" w:hAnsi="Calibri" w:cs="Calibri"/>
          <w:b/>
          <w:bCs/>
          <w:sz w:val="24"/>
          <w:szCs w:val="24"/>
        </w:rPr>
      </w:pPr>
    </w:p>
    <w:p w14:paraId="41B4E07A" w14:textId="77777777" w:rsidR="001872B0" w:rsidRDefault="001872B0" w:rsidP="00630B4F">
      <w:pPr>
        <w:rPr>
          <w:rFonts w:ascii="Calibri" w:hAnsi="Calibri" w:cs="Calibri"/>
          <w:b/>
          <w:bCs/>
          <w:sz w:val="24"/>
          <w:szCs w:val="24"/>
        </w:rPr>
      </w:pPr>
    </w:p>
    <w:p w14:paraId="53147845" w14:textId="77777777" w:rsidR="001872B0" w:rsidRDefault="001872B0" w:rsidP="00630B4F">
      <w:pPr>
        <w:rPr>
          <w:rFonts w:ascii="Calibri" w:hAnsi="Calibri" w:cs="Calibri"/>
          <w:b/>
          <w:bCs/>
          <w:sz w:val="24"/>
          <w:szCs w:val="24"/>
        </w:rPr>
      </w:pPr>
    </w:p>
    <w:p w14:paraId="5356C1A3" w14:textId="77777777" w:rsidR="001872B0" w:rsidRDefault="001872B0" w:rsidP="00630B4F">
      <w:pPr>
        <w:rPr>
          <w:rFonts w:ascii="Calibri" w:hAnsi="Calibri" w:cs="Calibri"/>
          <w:b/>
          <w:bCs/>
          <w:sz w:val="24"/>
          <w:szCs w:val="24"/>
        </w:rPr>
      </w:pPr>
    </w:p>
    <w:p w14:paraId="424F6A7F" w14:textId="77777777" w:rsidR="001872B0" w:rsidRDefault="001872B0" w:rsidP="00630B4F">
      <w:pPr>
        <w:rPr>
          <w:rFonts w:ascii="Calibri" w:hAnsi="Calibri" w:cs="Calibri"/>
          <w:b/>
          <w:bCs/>
          <w:sz w:val="24"/>
          <w:szCs w:val="24"/>
        </w:rPr>
      </w:pPr>
    </w:p>
    <w:p w14:paraId="7693C62E" w14:textId="77777777" w:rsidR="00AF768F" w:rsidRDefault="00AF768F" w:rsidP="00630B4F">
      <w:pPr>
        <w:rPr>
          <w:rFonts w:ascii="Calibri" w:hAnsi="Calibri" w:cs="Calibri"/>
          <w:b/>
          <w:bCs/>
          <w:sz w:val="24"/>
          <w:szCs w:val="24"/>
        </w:rPr>
      </w:pPr>
    </w:p>
    <w:p w14:paraId="5222D094" w14:textId="77777777" w:rsidR="00AF768F" w:rsidRDefault="00AF768F" w:rsidP="00630B4F">
      <w:pPr>
        <w:rPr>
          <w:rFonts w:ascii="Calibri" w:hAnsi="Calibri" w:cs="Calibri"/>
          <w:b/>
          <w:bCs/>
          <w:sz w:val="24"/>
          <w:szCs w:val="24"/>
        </w:rPr>
      </w:pPr>
    </w:p>
    <w:p w14:paraId="0D7BE813" w14:textId="77777777" w:rsidR="00AF768F" w:rsidRDefault="00AF768F" w:rsidP="00630B4F">
      <w:pPr>
        <w:rPr>
          <w:rFonts w:ascii="Calibri" w:hAnsi="Calibri" w:cs="Calibri"/>
          <w:b/>
          <w:bCs/>
          <w:sz w:val="24"/>
          <w:szCs w:val="24"/>
        </w:rPr>
      </w:pPr>
    </w:p>
    <w:p w14:paraId="7BB573A2" w14:textId="77777777" w:rsidR="001872B0" w:rsidRDefault="001872B0" w:rsidP="00630B4F">
      <w:pPr>
        <w:rPr>
          <w:rFonts w:ascii="Calibri" w:hAnsi="Calibri" w:cs="Calibri"/>
          <w:b/>
          <w:bCs/>
          <w:sz w:val="24"/>
          <w:szCs w:val="24"/>
        </w:rPr>
      </w:pPr>
    </w:p>
    <w:p w14:paraId="03FFB9CF" w14:textId="77777777" w:rsidR="00C756D4" w:rsidRDefault="00C756D4" w:rsidP="00630B4F">
      <w:pPr>
        <w:rPr>
          <w:rFonts w:ascii="Calibri" w:hAnsi="Calibri" w:cs="Calibri"/>
          <w:b/>
          <w:bCs/>
          <w:sz w:val="24"/>
          <w:szCs w:val="24"/>
        </w:rPr>
      </w:pPr>
    </w:p>
    <w:p w14:paraId="7B220476" w14:textId="77777777" w:rsidR="001872B0" w:rsidRDefault="001872B0" w:rsidP="00630B4F">
      <w:pPr>
        <w:rPr>
          <w:rFonts w:ascii="Calibri" w:hAnsi="Calibri" w:cs="Calibri"/>
          <w:b/>
          <w:bCs/>
          <w:sz w:val="24"/>
          <w:szCs w:val="24"/>
        </w:rPr>
      </w:pPr>
    </w:p>
    <w:p w14:paraId="63121162" w14:textId="4BD23E9D" w:rsidR="001872B0" w:rsidRPr="005E1922" w:rsidRDefault="001872B0" w:rsidP="009A2AA3">
      <w:pPr>
        <w:ind w:left="2160" w:firstLine="720"/>
        <w:rPr>
          <w:rFonts w:ascii="Calibri" w:hAnsi="Calibri" w:cs="Calibri"/>
          <w:b/>
          <w:bCs/>
          <w:sz w:val="28"/>
          <w:szCs w:val="28"/>
        </w:rPr>
      </w:pPr>
      <w:r w:rsidRPr="005E1922">
        <w:rPr>
          <w:rFonts w:ascii="Calibri" w:hAnsi="Calibri" w:cs="Calibri"/>
          <w:b/>
          <w:bCs/>
          <w:sz w:val="28"/>
          <w:szCs w:val="28"/>
        </w:rPr>
        <w:lastRenderedPageBreak/>
        <w:t xml:space="preserve">Chapter </w:t>
      </w:r>
      <w:r w:rsidR="00B71EE2" w:rsidRPr="005E1922">
        <w:rPr>
          <w:rFonts w:ascii="Calibri" w:hAnsi="Calibri" w:cs="Calibri"/>
          <w:b/>
          <w:bCs/>
          <w:sz w:val="28"/>
          <w:szCs w:val="28"/>
        </w:rPr>
        <w:t>Six</w:t>
      </w:r>
      <w:r w:rsidR="009A2AA3" w:rsidRPr="005E1922">
        <w:rPr>
          <w:rFonts w:ascii="Calibri" w:hAnsi="Calibri" w:cs="Calibri"/>
          <w:b/>
          <w:bCs/>
          <w:sz w:val="28"/>
          <w:szCs w:val="28"/>
        </w:rPr>
        <w:t>: Analysis (Part Two)</w:t>
      </w:r>
    </w:p>
    <w:p w14:paraId="4731D9CE" w14:textId="77777777" w:rsidR="001872B0" w:rsidRDefault="001872B0">
      <w:pPr>
        <w:rPr>
          <w:rFonts w:ascii="Calibri" w:hAnsi="Calibri" w:cs="Calibri"/>
          <w:b/>
          <w:bCs/>
          <w:sz w:val="24"/>
          <w:szCs w:val="24"/>
        </w:rPr>
      </w:pPr>
    </w:p>
    <w:p w14:paraId="5E7DA1AE" w14:textId="77777777" w:rsidR="001872B0" w:rsidRPr="0068794C" w:rsidRDefault="001872B0">
      <w:pPr>
        <w:rPr>
          <w:rFonts w:ascii="Calibri" w:hAnsi="Calibri" w:cs="Calibri"/>
          <w:b/>
          <w:bCs/>
          <w:sz w:val="24"/>
          <w:szCs w:val="24"/>
        </w:rPr>
      </w:pPr>
      <w:r w:rsidRPr="0068794C">
        <w:rPr>
          <w:rFonts w:ascii="Calibri" w:hAnsi="Calibri" w:cs="Calibri"/>
          <w:b/>
          <w:bCs/>
          <w:sz w:val="24"/>
          <w:szCs w:val="24"/>
        </w:rPr>
        <w:t xml:space="preserve">Coding: </w:t>
      </w:r>
      <w:r>
        <w:rPr>
          <w:rFonts w:ascii="Calibri" w:hAnsi="Calibri" w:cs="Calibri"/>
          <w:b/>
          <w:bCs/>
          <w:sz w:val="24"/>
          <w:szCs w:val="24"/>
        </w:rPr>
        <w:t>Teacher Identity- so what?</w:t>
      </w:r>
    </w:p>
    <w:p w14:paraId="14B074FE" w14:textId="2483AE31" w:rsidR="001872B0" w:rsidRDefault="001872B0" w:rsidP="002B3B89">
      <w:pPr>
        <w:rPr>
          <w:rFonts w:ascii="Calibri" w:hAnsi="Calibri" w:cs="Calibri"/>
          <w:b/>
          <w:bCs/>
          <w:sz w:val="24"/>
          <w:szCs w:val="24"/>
        </w:rPr>
      </w:pPr>
      <w:r w:rsidRPr="0068794C">
        <w:rPr>
          <w:rFonts w:ascii="Calibri" w:hAnsi="Calibri" w:cs="Calibri"/>
          <w:b/>
          <w:bCs/>
          <w:sz w:val="24"/>
          <w:szCs w:val="24"/>
        </w:rPr>
        <w:t>Theme</w:t>
      </w:r>
      <w:r>
        <w:rPr>
          <w:rFonts w:ascii="Calibri" w:hAnsi="Calibri" w:cs="Calibri"/>
          <w:b/>
          <w:bCs/>
          <w:sz w:val="24"/>
          <w:szCs w:val="24"/>
        </w:rPr>
        <w:t xml:space="preserve"> 3</w:t>
      </w:r>
      <w:r w:rsidRPr="0068794C">
        <w:rPr>
          <w:rFonts w:ascii="Calibri" w:hAnsi="Calibri" w:cs="Calibri"/>
          <w:b/>
          <w:bCs/>
          <w:sz w:val="24"/>
          <w:szCs w:val="24"/>
        </w:rPr>
        <w:t>: Mirror</w:t>
      </w:r>
      <w:r w:rsidR="008462F2">
        <w:rPr>
          <w:rFonts w:ascii="Calibri" w:hAnsi="Calibri" w:cs="Calibri"/>
          <w:b/>
          <w:bCs/>
          <w:sz w:val="24"/>
          <w:szCs w:val="24"/>
        </w:rPr>
        <w:t>,</w:t>
      </w:r>
      <w:r w:rsidRPr="0068794C">
        <w:rPr>
          <w:rFonts w:ascii="Calibri" w:hAnsi="Calibri" w:cs="Calibri"/>
          <w:b/>
          <w:bCs/>
          <w:sz w:val="24"/>
          <w:szCs w:val="24"/>
        </w:rPr>
        <w:t xml:space="preserve"> Mirror on the Wall</w:t>
      </w:r>
    </w:p>
    <w:p w14:paraId="5084F383" w14:textId="77777777" w:rsidR="001872B0" w:rsidRDefault="001872B0" w:rsidP="002B3B89">
      <w:pPr>
        <w:rPr>
          <w:rFonts w:ascii="Calibri" w:hAnsi="Calibri" w:cs="Calibri"/>
          <w:b/>
          <w:bCs/>
          <w:sz w:val="24"/>
          <w:szCs w:val="24"/>
          <w:lang w:val="en-US"/>
        </w:rPr>
      </w:pPr>
      <w:r w:rsidRPr="009B3F47">
        <w:rPr>
          <w:rFonts w:ascii="Calibri" w:hAnsi="Calibri" w:cs="Calibri"/>
          <w:b/>
          <w:bCs/>
          <w:sz w:val="24"/>
          <w:szCs w:val="24"/>
        </w:rPr>
        <w:t xml:space="preserve">Research question 2: </w:t>
      </w:r>
      <w:r w:rsidRPr="003A0DD4">
        <w:rPr>
          <w:rFonts w:ascii="Calibri" w:hAnsi="Calibri" w:cs="Calibri"/>
          <w:b/>
          <w:bCs/>
          <w:sz w:val="24"/>
          <w:szCs w:val="24"/>
          <w:lang w:val="en-US"/>
        </w:rPr>
        <w:t>What role does reflective practice play in the teaching practices of HE teachers?</w:t>
      </w:r>
    </w:p>
    <w:p w14:paraId="11139847" w14:textId="77777777" w:rsidR="00090F94" w:rsidRDefault="00090F94" w:rsidP="002B3B89">
      <w:pPr>
        <w:rPr>
          <w:rFonts w:ascii="Calibri" w:hAnsi="Calibri" w:cs="Calibri"/>
          <w:b/>
          <w:bCs/>
          <w:sz w:val="24"/>
          <w:szCs w:val="24"/>
        </w:rPr>
      </w:pPr>
    </w:p>
    <w:p w14:paraId="177ECE1F" w14:textId="611EECFE" w:rsidR="001872B0" w:rsidRDefault="001872B0" w:rsidP="00F20908">
      <w:pPr>
        <w:spacing w:line="360" w:lineRule="auto"/>
        <w:rPr>
          <w:rFonts w:ascii="Calibri" w:hAnsi="Calibri" w:cs="Calibri"/>
          <w:sz w:val="24"/>
          <w:szCs w:val="24"/>
          <w:lang w:val="en-US"/>
        </w:rPr>
      </w:pPr>
      <w:r>
        <w:rPr>
          <w:rFonts w:ascii="Calibri" w:hAnsi="Calibri" w:cs="Calibri"/>
          <w:sz w:val="24"/>
          <w:szCs w:val="24"/>
          <w:lang w:val="en-US"/>
        </w:rPr>
        <w:t>R</w:t>
      </w:r>
      <w:r w:rsidRPr="007C2622">
        <w:rPr>
          <w:rFonts w:ascii="Calibri" w:hAnsi="Calibri" w:cs="Calibri"/>
          <w:sz w:val="24"/>
          <w:szCs w:val="24"/>
          <w:lang w:val="en-US"/>
        </w:rPr>
        <w:t xml:space="preserve">eflection is an important form of self-knowledge which Bettelheim (1972) believes is wholly overlooked </w:t>
      </w:r>
      <w:r>
        <w:rPr>
          <w:rFonts w:ascii="Calibri" w:hAnsi="Calibri" w:cs="Calibri"/>
          <w:sz w:val="24"/>
          <w:szCs w:val="24"/>
          <w:lang w:val="en-US"/>
        </w:rPr>
        <w:t xml:space="preserve">in </w:t>
      </w:r>
      <w:r w:rsidRPr="007C2622">
        <w:rPr>
          <w:rFonts w:ascii="Calibri" w:hAnsi="Calibri" w:cs="Calibri"/>
          <w:sz w:val="24"/>
          <w:szCs w:val="24"/>
          <w:lang w:val="en-US"/>
        </w:rPr>
        <w:t xml:space="preserve">modern education </w:t>
      </w:r>
      <w:r>
        <w:rPr>
          <w:rFonts w:ascii="Calibri" w:hAnsi="Calibri" w:cs="Calibri"/>
          <w:sz w:val="24"/>
          <w:szCs w:val="24"/>
          <w:lang w:val="en-US"/>
        </w:rPr>
        <w:t>practices</w:t>
      </w:r>
      <w:r w:rsidR="00AB5501">
        <w:rPr>
          <w:rFonts w:ascii="Calibri" w:hAnsi="Calibri" w:cs="Calibri"/>
          <w:sz w:val="24"/>
          <w:szCs w:val="24"/>
          <w:lang w:val="en-US"/>
        </w:rPr>
        <w:t xml:space="preserve">, </w:t>
      </w:r>
      <w:r w:rsidRPr="007C2622">
        <w:rPr>
          <w:rFonts w:ascii="Calibri" w:hAnsi="Calibri" w:cs="Calibri"/>
          <w:sz w:val="24"/>
          <w:szCs w:val="24"/>
          <w:lang w:val="en-US"/>
        </w:rPr>
        <w:t xml:space="preserve">and I </w:t>
      </w:r>
      <w:r w:rsidR="004C6C5C">
        <w:rPr>
          <w:rFonts w:ascii="Calibri" w:hAnsi="Calibri" w:cs="Calibri"/>
          <w:sz w:val="24"/>
          <w:szCs w:val="24"/>
          <w:lang w:val="en-US"/>
        </w:rPr>
        <w:t xml:space="preserve">wished </w:t>
      </w:r>
      <w:r w:rsidRPr="007C2622">
        <w:rPr>
          <w:rFonts w:ascii="Calibri" w:hAnsi="Calibri" w:cs="Calibri"/>
          <w:sz w:val="24"/>
          <w:szCs w:val="24"/>
          <w:lang w:val="en-US"/>
        </w:rPr>
        <w:t>to garner the views of participants on the role of reflection as a praxis and self-knowledge tool.</w:t>
      </w:r>
    </w:p>
    <w:p w14:paraId="76B63374" w14:textId="77777777" w:rsidR="001872B0" w:rsidRPr="006A1679" w:rsidRDefault="001872B0" w:rsidP="006A1679">
      <w:pPr>
        <w:ind w:firstLine="720"/>
        <w:rPr>
          <w:rFonts w:ascii="Calibri" w:hAnsi="Calibri" w:cs="Calibri"/>
          <w:b/>
          <w:bCs/>
          <w:i/>
          <w:iCs/>
          <w:sz w:val="24"/>
          <w:szCs w:val="24"/>
          <w:lang w:val="en-US"/>
        </w:rPr>
      </w:pPr>
      <w:r w:rsidRPr="006A1679">
        <w:rPr>
          <w:rFonts w:ascii="Calibri" w:hAnsi="Calibri" w:cs="Calibri"/>
          <w:b/>
          <w:bCs/>
          <w:i/>
          <w:iCs/>
          <w:sz w:val="24"/>
          <w:szCs w:val="24"/>
          <w:lang w:val="en-US"/>
        </w:rPr>
        <w:t>A tool</w:t>
      </w:r>
    </w:p>
    <w:p w14:paraId="46E0F22F" w14:textId="14EB2255" w:rsidR="001872B0" w:rsidRPr="006A1679" w:rsidRDefault="001872B0" w:rsidP="0059774E">
      <w:pPr>
        <w:spacing w:line="360" w:lineRule="auto"/>
        <w:rPr>
          <w:rFonts w:ascii="Calibri" w:hAnsi="Calibri" w:cs="Calibri"/>
          <w:sz w:val="24"/>
          <w:szCs w:val="24"/>
        </w:rPr>
      </w:pPr>
      <w:r>
        <w:rPr>
          <w:rFonts w:ascii="Calibri" w:hAnsi="Calibri" w:cs="Calibri"/>
          <w:sz w:val="24"/>
          <w:szCs w:val="24"/>
        </w:rPr>
        <w:t xml:space="preserve">Initially participants were asked if reflective practice was taught on their teacher training. Here </w:t>
      </w:r>
      <w:r w:rsidRPr="007C2622">
        <w:rPr>
          <w:rFonts w:ascii="Calibri" w:hAnsi="Calibri" w:cs="Calibri"/>
          <w:sz w:val="24"/>
          <w:szCs w:val="24"/>
        </w:rPr>
        <w:t xml:space="preserve">are some </w:t>
      </w:r>
      <w:r>
        <w:rPr>
          <w:rFonts w:ascii="Calibri" w:hAnsi="Calibri" w:cs="Calibri"/>
          <w:sz w:val="24"/>
          <w:szCs w:val="24"/>
        </w:rPr>
        <w:t>participants</w:t>
      </w:r>
      <w:r w:rsidR="00910B93">
        <w:rPr>
          <w:rFonts w:ascii="Calibri" w:hAnsi="Calibri" w:cs="Calibri"/>
          <w:sz w:val="24"/>
          <w:szCs w:val="24"/>
        </w:rPr>
        <w:t>’</w:t>
      </w:r>
      <w:r>
        <w:rPr>
          <w:rFonts w:ascii="Calibri" w:hAnsi="Calibri" w:cs="Calibri"/>
          <w:sz w:val="24"/>
          <w:szCs w:val="24"/>
        </w:rPr>
        <w:t xml:space="preserve"> comments </w:t>
      </w:r>
      <w:r w:rsidRPr="007C2622">
        <w:rPr>
          <w:rFonts w:ascii="Calibri" w:hAnsi="Calibri" w:cs="Calibri"/>
          <w:sz w:val="24"/>
          <w:szCs w:val="24"/>
        </w:rPr>
        <w:t xml:space="preserve">illustrating their thoughts about </w:t>
      </w:r>
      <w:r>
        <w:rPr>
          <w:rFonts w:ascii="Calibri" w:hAnsi="Calibri" w:cs="Calibri"/>
          <w:sz w:val="24"/>
          <w:szCs w:val="24"/>
        </w:rPr>
        <w:t xml:space="preserve">how </w:t>
      </w:r>
      <w:r w:rsidRPr="007C2622">
        <w:rPr>
          <w:rFonts w:ascii="Calibri" w:hAnsi="Calibri" w:cs="Calibri"/>
          <w:sz w:val="24"/>
          <w:szCs w:val="24"/>
        </w:rPr>
        <w:t>reflective practice</w:t>
      </w:r>
      <w:r>
        <w:rPr>
          <w:rFonts w:ascii="Calibri" w:hAnsi="Calibri" w:cs="Calibri"/>
          <w:sz w:val="24"/>
          <w:szCs w:val="24"/>
        </w:rPr>
        <w:t xml:space="preserve"> was operationalised:</w:t>
      </w:r>
      <w:r w:rsidRPr="007C2622">
        <w:rPr>
          <w:rFonts w:ascii="Calibri" w:hAnsi="Calibri" w:cs="Calibri"/>
          <w:sz w:val="24"/>
          <w:szCs w:val="24"/>
        </w:rPr>
        <w:t xml:space="preserve"> </w:t>
      </w:r>
    </w:p>
    <w:p w14:paraId="3EB7D775" w14:textId="77777777" w:rsidR="001872B0" w:rsidRPr="005968C4" w:rsidRDefault="001872B0" w:rsidP="005968C4">
      <w:pPr>
        <w:ind w:left="720"/>
        <w:rPr>
          <w:rFonts w:ascii="Calibri" w:hAnsi="Calibri" w:cs="Calibri"/>
          <w:i/>
          <w:iCs/>
          <w:color w:val="EE0000"/>
          <w:sz w:val="24"/>
          <w:szCs w:val="24"/>
        </w:rPr>
      </w:pPr>
      <w:r w:rsidRPr="005968C4">
        <w:rPr>
          <w:rFonts w:ascii="Calibri" w:hAnsi="Calibri" w:cs="Calibri"/>
          <w:i/>
          <w:iCs/>
          <w:sz w:val="24"/>
          <w:szCs w:val="24"/>
        </w:rPr>
        <w:t xml:space="preserve">Reflective practice as a method, no, but we were encouraged to complete reflections on a weekly basis. Yes, but I don’t think the intricacies of how that should be completed or reflective practice as a methodology was taught (Laura, T1, p. 7, par 13). </w:t>
      </w:r>
      <w:r w:rsidRPr="005968C4">
        <w:rPr>
          <w:rFonts w:ascii="Calibri" w:hAnsi="Calibri" w:cs="Calibri"/>
          <w:i/>
          <w:iCs/>
          <w:color w:val="EE0000"/>
          <w:sz w:val="24"/>
          <w:szCs w:val="24"/>
        </w:rPr>
        <w:t xml:space="preserve"> </w:t>
      </w:r>
    </w:p>
    <w:p w14:paraId="2DD169F0" w14:textId="7E7CF6A1" w:rsidR="001872B0" w:rsidRPr="005968C4" w:rsidRDefault="001872B0" w:rsidP="005968C4">
      <w:pPr>
        <w:ind w:left="720"/>
        <w:rPr>
          <w:rFonts w:ascii="Calibri" w:hAnsi="Calibri" w:cs="Calibri"/>
          <w:i/>
          <w:iCs/>
          <w:sz w:val="24"/>
          <w:szCs w:val="24"/>
        </w:rPr>
      </w:pPr>
      <w:r w:rsidRPr="005968C4">
        <w:rPr>
          <w:rFonts w:ascii="Calibri" w:hAnsi="Calibri" w:cs="Calibri"/>
          <w:i/>
          <w:iCs/>
          <w:sz w:val="24"/>
          <w:szCs w:val="24"/>
        </w:rPr>
        <w:t>They try to tag it on in the English system, but I don’t think you can get reflection if you have nothing to reflect about or if all you talked about is very hollow</w:t>
      </w:r>
      <w:r w:rsidR="00AB0F46">
        <w:rPr>
          <w:rFonts w:ascii="Calibri" w:hAnsi="Calibri" w:cs="Calibri"/>
          <w:i/>
          <w:iCs/>
          <w:sz w:val="24"/>
          <w:szCs w:val="24"/>
        </w:rPr>
        <w:t xml:space="preserve"> - w</w:t>
      </w:r>
      <w:r w:rsidRPr="005968C4">
        <w:rPr>
          <w:rFonts w:ascii="Calibri" w:hAnsi="Calibri" w:cs="Calibri"/>
          <w:i/>
          <w:iCs/>
          <w:sz w:val="24"/>
          <w:szCs w:val="24"/>
        </w:rPr>
        <w:t>hat are you going to reflect about? Do you uncover any ground truth about yourself if you’ve only got pop psychology, if you’ve only got shallow thoughts? Precise teaching realities paid little to no role in our actual reflections (Fred, T1, p.11, par 9).</w:t>
      </w:r>
    </w:p>
    <w:p w14:paraId="55D9EC23" w14:textId="2B87264F" w:rsidR="001872B0" w:rsidRPr="005968C4" w:rsidRDefault="001872B0" w:rsidP="005968C4">
      <w:pPr>
        <w:ind w:left="720"/>
        <w:rPr>
          <w:rFonts w:ascii="Calibri" w:hAnsi="Calibri" w:cs="Calibri"/>
          <w:i/>
          <w:iCs/>
          <w:sz w:val="24"/>
          <w:szCs w:val="24"/>
        </w:rPr>
      </w:pPr>
      <w:r w:rsidRPr="005968C4">
        <w:rPr>
          <w:rFonts w:ascii="Calibri" w:hAnsi="Calibri" w:cs="Calibri"/>
          <w:i/>
          <w:iCs/>
          <w:sz w:val="24"/>
          <w:szCs w:val="24"/>
        </w:rPr>
        <w:t>There was no mention of reflective practice in terms of your own skills</w:t>
      </w:r>
      <w:r w:rsidR="00AB0F46">
        <w:rPr>
          <w:rFonts w:ascii="Calibri" w:hAnsi="Calibri" w:cs="Calibri"/>
          <w:i/>
          <w:iCs/>
          <w:sz w:val="24"/>
          <w:szCs w:val="24"/>
        </w:rPr>
        <w:t xml:space="preserve"> </w:t>
      </w:r>
      <w:r w:rsidRPr="005968C4">
        <w:rPr>
          <w:rFonts w:ascii="Calibri" w:hAnsi="Calibri" w:cs="Calibri"/>
          <w:i/>
          <w:iCs/>
          <w:sz w:val="24"/>
          <w:szCs w:val="24"/>
        </w:rPr>
        <w:t>-</w:t>
      </w:r>
      <w:r w:rsidR="00AB0F46">
        <w:rPr>
          <w:rFonts w:ascii="Calibri" w:hAnsi="Calibri" w:cs="Calibri"/>
          <w:i/>
          <w:iCs/>
          <w:sz w:val="24"/>
          <w:szCs w:val="24"/>
        </w:rPr>
        <w:t xml:space="preserve"> </w:t>
      </w:r>
      <w:r w:rsidRPr="005968C4">
        <w:rPr>
          <w:rFonts w:ascii="Calibri" w:hAnsi="Calibri" w:cs="Calibri"/>
          <w:i/>
          <w:iCs/>
          <w:sz w:val="24"/>
          <w:szCs w:val="24"/>
        </w:rPr>
        <w:t>it was kind of chucked in as a word towards the end of lesson observations</w:t>
      </w:r>
      <w:r w:rsidR="00AB0F46">
        <w:rPr>
          <w:rFonts w:ascii="Calibri" w:hAnsi="Calibri" w:cs="Calibri"/>
          <w:i/>
          <w:iCs/>
          <w:sz w:val="24"/>
          <w:szCs w:val="24"/>
        </w:rPr>
        <w:t>:</w:t>
      </w:r>
      <w:r w:rsidRPr="005968C4">
        <w:rPr>
          <w:rFonts w:ascii="Calibri" w:hAnsi="Calibri" w:cs="Calibri"/>
          <w:i/>
          <w:iCs/>
          <w:sz w:val="24"/>
          <w:szCs w:val="24"/>
        </w:rPr>
        <w:t xml:space="preserve"> ‘</w:t>
      </w:r>
      <w:r w:rsidR="00AB0F46">
        <w:rPr>
          <w:rFonts w:ascii="Calibri" w:hAnsi="Calibri" w:cs="Calibri"/>
          <w:i/>
          <w:iCs/>
          <w:sz w:val="24"/>
          <w:szCs w:val="24"/>
        </w:rPr>
        <w:t>R</w:t>
      </w:r>
      <w:r w:rsidRPr="005968C4">
        <w:rPr>
          <w:rFonts w:ascii="Calibri" w:hAnsi="Calibri" w:cs="Calibri"/>
          <w:i/>
          <w:iCs/>
          <w:sz w:val="24"/>
          <w:szCs w:val="24"/>
        </w:rPr>
        <w:t>eflect on your feedback’. I think you have to actually understand what reflection means first (Mo, T1, p.6, par 9).</w:t>
      </w:r>
    </w:p>
    <w:p w14:paraId="2444CD4A" w14:textId="2AAA82E5" w:rsidR="001872B0" w:rsidRDefault="001872B0" w:rsidP="00480AFF">
      <w:pPr>
        <w:spacing w:line="360" w:lineRule="auto"/>
        <w:rPr>
          <w:rFonts w:ascii="Calibri" w:hAnsi="Calibri" w:cs="Calibri"/>
          <w:sz w:val="24"/>
          <w:szCs w:val="24"/>
        </w:rPr>
      </w:pPr>
      <w:r>
        <w:rPr>
          <w:rFonts w:ascii="Calibri" w:hAnsi="Calibri" w:cs="Calibri"/>
          <w:sz w:val="24"/>
          <w:szCs w:val="24"/>
        </w:rPr>
        <w:t>For these three participants reflection was an academic expectation. However, the nuances of what it meant, its application and relevance to their work was neither clear</w:t>
      </w:r>
      <w:r w:rsidR="004C6C5C">
        <w:rPr>
          <w:rFonts w:ascii="Calibri" w:hAnsi="Calibri" w:cs="Calibri"/>
          <w:sz w:val="24"/>
          <w:szCs w:val="24"/>
        </w:rPr>
        <w:t>,</w:t>
      </w:r>
      <w:r>
        <w:rPr>
          <w:rFonts w:ascii="Calibri" w:hAnsi="Calibri" w:cs="Calibri"/>
          <w:sz w:val="24"/>
          <w:szCs w:val="24"/>
        </w:rPr>
        <w:t xml:space="preserve"> no</w:t>
      </w:r>
      <w:r w:rsidR="0006561B">
        <w:rPr>
          <w:rFonts w:ascii="Calibri" w:hAnsi="Calibri" w:cs="Calibri"/>
          <w:sz w:val="24"/>
          <w:szCs w:val="24"/>
        </w:rPr>
        <w:t>r</w:t>
      </w:r>
      <w:r>
        <w:rPr>
          <w:rFonts w:ascii="Calibri" w:hAnsi="Calibri" w:cs="Calibri"/>
          <w:sz w:val="24"/>
          <w:szCs w:val="24"/>
        </w:rPr>
        <w:t xml:space="preserve"> specific enough. </w:t>
      </w:r>
      <w:r w:rsidRPr="001A6911">
        <w:rPr>
          <w:rFonts w:ascii="Calibri" w:hAnsi="Calibri" w:cs="Calibri"/>
          <w:sz w:val="24"/>
          <w:szCs w:val="24"/>
        </w:rPr>
        <w:t>As supported by the literature</w:t>
      </w:r>
      <w:r>
        <w:rPr>
          <w:rFonts w:ascii="Calibri" w:hAnsi="Calibri" w:cs="Calibri"/>
          <w:sz w:val="24"/>
          <w:szCs w:val="24"/>
        </w:rPr>
        <w:t xml:space="preserve"> (Chapter </w:t>
      </w:r>
      <w:r w:rsidR="008504B2">
        <w:rPr>
          <w:rFonts w:ascii="Calibri" w:hAnsi="Calibri" w:cs="Calibri"/>
          <w:sz w:val="24"/>
          <w:szCs w:val="24"/>
        </w:rPr>
        <w:t>Three</w:t>
      </w:r>
      <w:r>
        <w:rPr>
          <w:rFonts w:ascii="Calibri" w:hAnsi="Calibri" w:cs="Calibri"/>
          <w:sz w:val="24"/>
          <w:szCs w:val="24"/>
        </w:rPr>
        <w:t>),</w:t>
      </w:r>
      <w:r w:rsidRPr="001A6911">
        <w:rPr>
          <w:rFonts w:ascii="Calibri" w:hAnsi="Calibri" w:cs="Calibri"/>
          <w:sz w:val="24"/>
          <w:szCs w:val="24"/>
        </w:rPr>
        <w:t xml:space="preserve"> reflection as a term is elusive</w:t>
      </w:r>
      <w:r>
        <w:rPr>
          <w:rFonts w:ascii="Calibri" w:hAnsi="Calibri" w:cs="Calibri"/>
          <w:sz w:val="24"/>
          <w:szCs w:val="24"/>
        </w:rPr>
        <w:t xml:space="preserve"> and </w:t>
      </w:r>
      <w:r w:rsidRPr="001A6911">
        <w:rPr>
          <w:rFonts w:ascii="Calibri" w:hAnsi="Calibri" w:cs="Calibri"/>
          <w:sz w:val="24"/>
          <w:szCs w:val="24"/>
        </w:rPr>
        <w:t>confusing (Swan and Bailey, 2004)</w:t>
      </w:r>
      <w:r>
        <w:rPr>
          <w:rFonts w:ascii="Calibri" w:hAnsi="Calibri" w:cs="Calibri"/>
          <w:sz w:val="24"/>
          <w:szCs w:val="24"/>
        </w:rPr>
        <w:t xml:space="preserve">, </w:t>
      </w:r>
      <w:r w:rsidRPr="001A6911">
        <w:rPr>
          <w:rFonts w:ascii="Calibri" w:hAnsi="Calibri" w:cs="Calibri"/>
          <w:sz w:val="24"/>
          <w:szCs w:val="24"/>
        </w:rPr>
        <w:t>“a misleading word” (</w:t>
      </w:r>
      <w:r>
        <w:rPr>
          <w:rFonts w:ascii="Calibri" w:hAnsi="Calibri" w:cs="Calibri"/>
          <w:sz w:val="24"/>
          <w:szCs w:val="24"/>
        </w:rPr>
        <w:t xml:space="preserve">Biggs and Tang, 1999, </w:t>
      </w:r>
      <w:r w:rsidRPr="001A6911">
        <w:rPr>
          <w:rFonts w:ascii="Calibri" w:hAnsi="Calibri" w:cs="Calibri"/>
          <w:sz w:val="24"/>
          <w:szCs w:val="24"/>
        </w:rPr>
        <w:t xml:space="preserve">p.45). </w:t>
      </w:r>
      <w:r>
        <w:rPr>
          <w:rFonts w:ascii="Calibri" w:hAnsi="Calibri" w:cs="Calibri"/>
          <w:sz w:val="24"/>
          <w:szCs w:val="24"/>
        </w:rPr>
        <w:t xml:space="preserve">The findings lend support for the fact that this lack of clarity renders reflection a task to be completed to meet course requirements (Biggs and Tang, 1999/2011). Thus, without depth </w:t>
      </w:r>
      <w:r>
        <w:rPr>
          <w:rFonts w:ascii="Calibri" w:hAnsi="Calibri" w:cs="Calibri"/>
          <w:sz w:val="24"/>
          <w:szCs w:val="24"/>
        </w:rPr>
        <w:lastRenderedPageBreak/>
        <w:t xml:space="preserve">of understanding, meaning and application, the findings affirm that reflection is reduced to static techniques and encourages superficial thinking (Fook, </w:t>
      </w:r>
      <w:r w:rsidR="00FB3A6E" w:rsidRPr="00FB3A6E">
        <w:rPr>
          <w:rFonts w:ascii="Calibri" w:hAnsi="Calibri" w:cs="Calibri"/>
          <w:i/>
          <w:sz w:val="24"/>
          <w:szCs w:val="24"/>
        </w:rPr>
        <w:t>et al.</w:t>
      </w:r>
      <w:r>
        <w:rPr>
          <w:rFonts w:ascii="Calibri" w:hAnsi="Calibri" w:cs="Calibri"/>
          <w:sz w:val="24"/>
          <w:szCs w:val="24"/>
        </w:rPr>
        <w:t>, 2006). For Fred, used to utilising reflection to transform methods, relationships and teaching realities, the “</w:t>
      </w:r>
      <w:r w:rsidRPr="005968C4">
        <w:rPr>
          <w:rFonts w:ascii="Calibri" w:hAnsi="Calibri" w:cs="Calibri"/>
          <w:i/>
          <w:iCs/>
          <w:sz w:val="24"/>
          <w:szCs w:val="24"/>
        </w:rPr>
        <w:t>tagging on</w:t>
      </w:r>
      <w:r>
        <w:rPr>
          <w:rFonts w:ascii="Calibri" w:hAnsi="Calibri" w:cs="Calibri"/>
          <w:sz w:val="24"/>
          <w:szCs w:val="24"/>
        </w:rPr>
        <w:t>” of reflection in the English system felt procedural and failed to transform personal “</w:t>
      </w:r>
      <w:r w:rsidRPr="005968C4">
        <w:rPr>
          <w:rFonts w:ascii="Calibri" w:hAnsi="Calibri" w:cs="Calibri"/>
          <w:i/>
          <w:iCs/>
          <w:sz w:val="24"/>
          <w:szCs w:val="24"/>
        </w:rPr>
        <w:t>ground truths</w:t>
      </w:r>
      <w:r>
        <w:rPr>
          <w:rFonts w:ascii="Calibri" w:hAnsi="Calibri" w:cs="Calibri"/>
          <w:sz w:val="24"/>
          <w:szCs w:val="24"/>
        </w:rPr>
        <w:t>” (</w:t>
      </w:r>
      <w:r w:rsidR="00681B39">
        <w:rPr>
          <w:rFonts w:ascii="Calibri" w:hAnsi="Calibri" w:cs="Calibri"/>
          <w:sz w:val="24"/>
          <w:szCs w:val="24"/>
        </w:rPr>
        <w:t xml:space="preserve">Fred, </w:t>
      </w:r>
      <w:r>
        <w:rPr>
          <w:rFonts w:ascii="Calibri" w:hAnsi="Calibri" w:cs="Calibri"/>
          <w:sz w:val="24"/>
          <w:szCs w:val="24"/>
        </w:rPr>
        <w:t>T1, p. 11, par 9). Biggs and Tang (1999) liken transformative reflection to a mirror in the fairy tale Snow White: “</w:t>
      </w:r>
      <w:r w:rsidR="000321E1">
        <w:rPr>
          <w:rFonts w:ascii="Calibri" w:hAnsi="Calibri" w:cs="Calibri"/>
          <w:sz w:val="24"/>
          <w:szCs w:val="24"/>
        </w:rPr>
        <w:t>I</w:t>
      </w:r>
      <w:r>
        <w:rPr>
          <w:rFonts w:ascii="Calibri" w:hAnsi="Calibri" w:cs="Calibri"/>
          <w:sz w:val="24"/>
          <w:szCs w:val="24"/>
        </w:rPr>
        <w:t>t tells you what you might be” (</w:t>
      </w:r>
      <w:r w:rsidR="00AB1ADC">
        <w:rPr>
          <w:rFonts w:ascii="Calibri" w:hAnsi="Calibri" w:cs="Calibri"/>
          <w:sz w:val="24"/>
          <w:szCs w:val="24"/>
        </w:rPr>
        <w:t>ibid.</w:t>
      </w:r>
      <w:r w:rsidR="00A97D3A">
        <w:rPr>
          <w:rFonts w:ascii="Calibri" w:hAnsi="Calibri" w:cs="Calibri"/>
          <w:sz w:val="24"/>
          <w:szCs w:val="24"/>
        </w:rPr>
        <w:t xml:space="preserve">, </w:t>
      </w:r>
      <w:r w:rsidR="003A1C32">
        <w:rPr>
          <w:rFonts w:ascii="Calibri" w:hAnsi="Calibri" w:cs="Calibri"/>
          <w:sz w:val="24"/>
          <w:szCs w:val="24"/>
        </w:rPr>
        <w:t>p.45</w:t>
      </w:r>
      <w:r>
        <w:rPr>
          <w:rFonts w:ascii="Calibri" w:hAnsi="Calibri" w:cs="Calibri"/>
          <w:sz w:val="24"/>
          <w:szCs w:val="24"/>
        </w:rPr>
        <w:t xml:space="preserve">). Faced with a surface, instrumental approach, the teacher may approach the task without enjoyment: </w:t>
      </w:r>
      <w:r w:rsidRPr="00DB6B4E">
        <w:rPr>
          <w:rFonts w:ascii="Calibri" w:hAnsi="Calibri" w:cs="Calibri"/>
          <w:sz w:val="24"/>
          <w:szCs w:val="24"/>
        </w:rPr>
        <w:t xml:space="preserve">“Exhilaration or enjoyment of the task is not part of the surface approach” (Biggs and Tang, 1999/2011, p.25). </w:t>
      </w:r>
    </w:p>
    <w:p w14:paraId="7E8449CD" w14:textId="56C52647" w:rsidR="001872B0" w:rsidRPr="00E318B1" w:rsidRDefault="001872B0" w:rsidP="00480AFF">
      <w:pPr>
        <w:spacing w:line="360" w:lineRule="auto"/>
        <w:rPr>
          <w:rFonts w:ascii="Calibri" w:hAnsi="Calibri" w:cs="Calibri"/>
          <w:sz w:val="24"/>
          <w:szCs w:val="24"/>
        </w:rPr>
      </w:pPr>
      <w:r>
        <w:rPr>
          <w:rFonts w:ascii="Calibri" w:hAnsi="Calibri" w:cs="Calibri"/>
          <w:sz w:val="24"/>
          <w:szCs w:val="24"/>
        </w:rPr>
        <w:t>Hughes and Spanner (2019) recommend that reflective practice is an effective tool for the teacher in the current mental health crisis in education, and it seems their recommendations have not yet been embodied into teacher training</w:t>
      </w:r>
      <w:r w:rsidR="0022623D">
        <w:rPr>
          <w:rFonts w:ascii="Calibri" w:hAnsi="Calibri" w:cs="Calibri"/>
          <w:sz w:val="24"/>
          <w:szCs w:val="24"/>
        </w:rPr>
        <w:t>,</w:t>
      </w:r>
      <w:r>
        <w:rPr>
          <w:rFonts w:ascii="Calibri" w:hAnsi="Calibri" w:cs="Calibri"/>
          <w:sz w:val="24"/>
          <w:szCs w:val="24"/>
        </w:rPr>
        <w:t xml:space="preserve"> or indeed teachers’ praxis. This is evidenced by two participants in particular. Jenko reported: “</w:t>
      </w:r>
      <w:r w:rsidRPr="005968C4">
        <w:rPr>
          <w:rFonts w:ascii="Calibri" w:hAnsi="Calibri" w:cs="Calibri"/>
          <w:i/>
          <w:iCs/>
          <w:sz w:val="24"/>
          <w:szCs w:val="24"/>
        </w:rPr>
        <w:t>The importance of why you need to reflect needs to be put out there very early on</w:t>
      </w:r>
      <w:r>
        <w:rPr>
          <w:rFonts w:ascii="Calibri" w:hAnsi="Calibri" w:cs="Calibri"/>
          <w:sz w:val="24"/>
          <w:szCs w:val="24"/>
        </w:rPr>
        <w:t>” (</w:t>
      </w:r>
      <w:r w:rsidR="005669A5">
        <w:rPr>
          <w:rFonts w:ascii="Calibri" w:hAnsi="Calibri" w:cs="Calibri"/>
          <w:sz w:val="24"/>
          <w:szCs w:val="24"/>
        </w:rPr>
        <w:t xml:space="preserve">Jenko, </w:t>
      </w:r>
      <w:r>
        <w:rPr>
          <w:rFonts w:ascii="Calibri" w:hAnsi="Calibri" w:cs="Calibri"/>
          <w:sz w:val="24"/>
          <w:szCs w:val="24"/>
        </w:rPr>
        <w:t xml:space="preserve">T1, p.7, par 10). Recalling that reflective practice was not explicitly taught, Sophie remembered the way in which it was taught was through the teacher </w:t>
      </w:r>
      <w:r w:rsidRPr="00E318B1">
        <w:rPr>
          <w:rFonts w:ascii="Calibri" w:hAnsi="Calibri" w:cs="Calibri"/>
          <w:sz w:val="24"/>
          <w:szCs w:val="24"/>
        </w:rPr>
        <w:t xml:space="preserve">embedding </w:t>
      </w:r>
      <w:r w:rsidR="009D5427" w:rsidRPr="00E318B1">
        <w:rPr>
          <w:rFonts w:ascii="Calibri" w:hAnsi="Calibri" w:cs="Calibri"/>
          <w:sz w:val="24"/>
          <w:szCs w:val="24"/>
        </w:rPr>
        <w:t>th</w:t>
      </w:r>
      <w:r w:rsidR="009D5427">
        <w:rPr>
          <w:rFonts w:ascii="Calibri" w:hAnsi="Calibri" w:cs="Calibri"/>
          <w:sz w:val="24"/>
          <w:szCs w:val="24"/>
        </w:rPr>
        <w:t>eir experiences</w:t>
      </w:r>
      <w:r w:rsidRPr="00E318B1">
        <w:rPr>
          <w:rFonts w:ascii="Calibri" w:hAnsi="Calibri" w:cs="Calibri"/>
          <w:sz w:val="24"/>
          <w:szCs w:val="24"/>
        </w:rPr>
        <w:t xml:space="preserve"> in actions and words rather than specifically </w:t>
      </w:r>
      <w:r w:rsidR="00481E4F">
        <w:rPr>
          <w:rFonts w:ascii="Calibri" w:hAnsi="Calibri" w:cs="Calibri"/>
          <w:sz w:val="24"/>
          <w:szCs w:val="24"/>
        </w:rPr>
        <w:t xml:space="preserve">teaching </w:t>
      </w:r>
      <w:r w:rsidR="003F62B7">
        <w:rPr>
          <w:rFonts w:ascii="Calibri" w:hAnsi="Calibri" w:cs="Calibri"/>
          <w:sz w:val="24"/>
          <w:szCs w:val="24"/>
        </w:rPr>
        <w:t xml:space="preserve">reflective practice </w:t>
      </w:r>
      <w:r w:rsidRPr="00E318B1">
        <w:rPr>
          <w:rFonts w:ascii="Calibri" w:hAnsi="Calibri" w:cs="Calibri"/>
          <w:sz w:val="24"/>
          <w:szCs w:val="24"/>
        </w:rPr>
        <w:t>on the curriculum</w:t>
      </w:r>
      <w:r>
        <w:rPr>
          <w:rFonts w:ascii="Calibri" w:hAnsi="Calibri" w:cs="Calibri"/>
          <w:sz w:val="24"/>
          <w:szCs w:val="24"/>
        </w:rPr>
        <w:t xml:space="preserve"> (T1).</w:t>
      </w:r>
    </w:p>
    <w:p w14:paraId="443ACC31" w14:textId="645A46E9" w:rsidR="009A2AA3" w:rsidRPr="002D49C9" w:rsidRDefault="001872B0" w:rsidP="002D49C9">
      <w:pPr>
        <w:spacing w:line="360" w:lineRule="auto"/>
        <w:rPr>
          <w:rFonts w:ascii="Calibri" w:hAnsi="Calibri" w:cs="Calibri"/>
          <w:sz w:val="24"/>
          <w:szCs w:val="24"/>
        </w:rPr>
      </w:pPr>
      <w:r>
        <w:rPr>
          <w:rFonts w:ascii="Calibri" w:hAnsi="Calibri" w:cs="Calibri"/>
          <w:sz w:val="24"/>
          <w:szCs w:val="24"/>
        </w:rPr>
        <w:t>With very differing experiences, the findings signify the importance of embodying reflective practice by being taught the purpose and practical application of it. Jenko highlights the importance of understanding the relevance and meaning of reflection, rather than simply being presented with the concept. Although ex</w:t>
      </w:r>
      <w:r w:rsidR="004B6E5F">
        <w:rPr>
          <w:rFonts w:ascii="Calibri" w:hAnsi="Calibri" w:cs="Calibri"/>
          <w:sz w:val="24"/>
          <w:szCs w:val="24"/>
        </w:rPr>
        <w:t>h</w:t>
      </w:r>
      <w:r>
        <w:rPr>
          <w:rFonts w:ascii="Calibri" w:hAnsi="Calibri" w:cs="Calibri"/>
          <w:sz w:val="24"/>
          <w:szCs w:val="24"/>
        </w:rPr>
        <w:t>orted as a method and process for making sense and meaning (</w:t>
      </w:r>
      <w:r w:rsidRPr="00A252AF">
        <w:rPr>
          <w:rFonts w:ascii="Calibri" w:eastAsia="Calibri" w:hAnsi="Calibri" w:cs="Times New Roman"/>
          <w:sz w:val="24"/>
          <w:szCs w:val="24"/>
        </w:rPr>
        <w:t xml:space="preserve">Chappell, </w:t>
      </w:r>
      <w:r w:rsidR="00FB3A6E" w:rsidRPr="00FB3A6E">
        <w:rPr>
          <w:rFonts w:ascii="Calibri" w:eastAsia="Calibri" w:hAnsi="Calibri" w:cs="Times New Roman"/>
          <w:i/>
          <w:sz w:val="24"/>
          <w:szCs w:val="24"/>
        </w:rPr>
        <w:t>et al.</w:t>
      </w:r>
      <w:r w:rsidRPr="00A252AF">
        <w:rPr>
          <w:rFonts w:ascii="Calibri" w:eastAsia="Calibri" w:hAnsi="Calibri" w:cs="Times New Roman"/>
          <w:sz w:val="24"/>
          <w:szCs w:val="24"/>
        </w:rPr>
        <w:t xml:space="preserve">, 2003; </w:t>
      </w:r>
      <w:r w:rsidRPr="00CD4652">
        <w:rPr>
          <w:rFonts w:ascii="Calibri" w:eastAsia="Calibri" w:hAnsi="Calibri" w:cs="Times New Roman"/>
          <w:sz w:val="24"/>
          <w:szCs w:val="24"/>
        </w:rPr>
        <w:t xml:space="preserve">Hodkinson </w:t>
      </w:r>
      <w:r w:rsidR="00FB3A6E" w:rsidRPr="00FB3A6E">
        <w:rPr>
          <w:rFonts w:ascii="Calibri" w:eastAsia="Calibri" w:hAnsi="Calibri" w:cs="Times New Roman"/>
          <w:i/>
          <w:sz w:val="24"/>
          <w:szCs w:val="24"/>
        </w:rPr>
        <w:t>et al.</w:t>
      </w:r>
      <w:r w:rsidRPr="00CD4652">
        <w:rPr>
          <w:rFonts w:ascii="Calibri" w:eastAsia="Calibri" w:hAnsi="Calibri" w:cs="Times New Roman"/>
          <w:sz w:val="24"/>
          <w:szCs w:val="24"/>
        </w:rPr>
        <w:t xml:space="preserve">, 2008; </w:t>
      </w:r>
      <w:r w:rsidRPr="00A252AF">
        <w:rPr>
          <w:rFonts w:ascii="Calibri" w:eastAsia="Calibri" w:hAnsi="Calibri" w:cs="Times New Roman"/>
          <w:sz w:val="24"/>
          <w:szCs w:val="24"/>
        </w:rPr>
        <w:t>Kolb, 1984)</w:t>
      </w:r>
      <w:r>
        <w:rPr>
          <w:rFonts w:ascii="Calibri" w:eastAsia="Calibri" w:hAnsi="Calibri" w:cs="Times New Roman"/>
          <w:sz w:val="24"/>
          <w:szCs w:val="24"/>
        </w:rPr>
        <w:t>, by not understanding the meaning of reflection from the outset, findings suggest that the process will inevitably remain at a surface level. It is how reflection is understood and who animates the process that is important.</w:t>
      </w:r>
      <w:r>
        <w:rPr>
          <w:rFonts w:ascii="Calibri" w:hAnsi="Calibri" w:cs="Calibri"/>
          <w:sz w:val="24"/>
          <w:szCs w:val="24"/>
        </w:rPr>
        <w:t xml:space="preserve"> For Sophie her teacher breathed life into the process by modelling what reflection meant and therein embodied a “deep approach” (Biggs and Tang, 1999, p.27) by explicitly demonstrating </w:t>
      </w:r>
      <w:r w:rsidRPr="00A252F7">
        <w:rPr>
          <w:rFonts w:ascii="Calibri" w:hAnsi="Calibri" w:cs="Calibri"/>
          <w:sz w:val="24"/>
          <w:szCs w:val="24"/>
        </w:rPr>
        <w:t>learning by doing (Dewey, 1938)</w:t>
      </w:r>
      <w:r>
        <w:rPr>
          <w:rFonts w:ascii="Calibri" w:hAnsi="Calibri" w:cs="Calibri"/>
          <w:sz w:val="24"/>
          <w:szCs w:val="24"/>
        </w:rPr>
        <w:t xml:space="preserve"> in his actions in the classroom. The findings suggest that </w:t>
      </w:r>
      <w:r w:rsidR="00C718DB">
        <w:rPr>
          <w:rFonts w:ascii="Calibri" w:hAnsi="Calibri" w:cs="Calibri"/>
          <w:sz w:val="24"/>
          <w:szCs w:val="24"/>
        </w:rPr>
        <w:t>i</w:t>
      </w:r>
      <w:r>
        <w:rPr>
          <w:rFonts w:ascii="Calibri" w:hAnsi="Calibri" w:cs="Calibri"/>
          <w:sz w:val="24"/>
          <w:szCs w:val="24"/>
        </w:rPr>
        <w:t xml:space="preserve">t was a lack of understanding of the process itself that became a significant obstacle to embodying reflective practice </w:t>
      </w:r>
      <w:r w:rsidR="00D55A26">
        <w:rPr>
          <w:rFonts w:ascii="Calibri" w:hAnsi="Calibri" w:cs="Calibri"/>
          <w:sz w:val="24"/>
          <w:szCs w:val="24"/>
        </w:rPr>
        <w:t xml:space="preserve">which </w:t>
      </w:r>
      <w:r>
        <w:rPr>
          <w:rFonts w:ascii="Calibri" w:hAnsi="Calibri" w:cs="Calibri"/>
          <w:sz w:val="24"/>
          <w:szCs w:val="24"/>
        </w:rPr>
        <w:t>signifies a need to clarify, simplify and model the reflective process.</w:t>
      </w:r>
    </w:p>
    <w:p w14:paraId="6AB3EEB4" w14:textId="2FD973C3" w:rsidR="001872B0" w:rsidRDefault="001872B0" w:rsidP="00A16A67">
      <w:pPr>
        <w:ind w:firstLine="720"/>
        <w:rPr>
          <w:rFonts w:ascii="Calibri" w:hAnsi="Calibri" w:cs="Calibri"/>
          <w:b/>
          <w:bCs/>
          <w:i/>
          <w:iCs/>
          <w:sz w:val="24"/>
          <w:szCs w:val="24"/>
        </w:rPr>
      </w:pPr>
      <w:r w:rsidRPr="00ED613D">
        <w:rPr>
          <w:rFonts w:ascii="Calibri" w:hAnsi="Calibri" w:cs="Calibri"/>
          <w:b/>
          <w:bCs/>
          <w:i/>
          <w:iCs/>
          <w:sz w:val="24"/>
          <w:szCs w:val="24"/>
        </w:rPr>
        <w:lastRenderedPageBreak/>
        <w:t>Attitudes to reflective practice</w:t>
      </w:r>
    </w:p>
    <w:p w14:paraId="13D95DD7" w14:textId="4933C69C" w:rsidR="001872B0" w:rsidRDefault="001872B0" w:rsidP="00925CC1">
      <w:pPr>
        <w:spacing w:line="360" w:lineRule="auto"/>
        <w:rPr>
          <w:rFonts w:ascii="Calibri" w:hAnsi="Calibri" w:cs="Calibri"/>
          <w:sz w:val="24"/>
          <w:szCs w:val="24"/>
        </w:rPr>
      </w:pPr>
      <w:r>
        <w:rPr>
          <w:rFonts w:ascii="Calibri" w:hAnsi="Calibri" w:cs="Calibri"/>
          <w:sz w:val="24"/>
          <w:szCs w:val="24"/>
        </w:rPr>
        <w:t>Having explored reflective practice as a pedagogic instrument, the interview progressed to what participants felt about reflective practice in teaching. With her “</w:t>
      </w:r>
      <w:r w:rsidRPr="005968C4">
        <w:rPr>
          <w:rFonts w:ascii="Calibri" w:hAnsi="Calibri" w:cs="Calibri"/>
          <w:i/>
          <w:iCs/>
          <w:sz w:val="24"/>
          <w:szCs w:val="24"/>
        </w:rPr>
        <w:t>really good, trusted colleagues</w:t>
      </w:r>
      <w:r>
        <w:rPr>
          <w:rFonts w:ascii="Calibri" w:hAnsi="Calibri" w:cs="Calibri"/>
          <w:sz w:val="24"/>
          <w:szCs w:val="24"/>
        </w:rPr>
        <w:t>” Sally said: “</w:t>
      </w:r>
      <w:r w:rsidRPr="005968C4">
        <w:rPr>
          <w:rFonts w:ascii="Calibri" w:hAnsi="Calibri" w:cs="Calibri"/>
          <w:i/>
          <w:iCs/>
          <w:sz w:val="24"/>
          <w:szCs w:val="24"/>
        </w:rPr>
        <w:t>We will get really excited about ‘why don’t we try this?’, and ‘why don’t we do that?’ There’s a lot of informal reflection about what’s going on all the time</w:t>
      </w:r>
      <w:r>
        <w:rPr>
          <w:rFonts w:ascii="Calibri" w:hAnsi="Calibri" w:cs="Calibri"/>
          <w:sz w:val="24"/>
          <w:szCs w:val="24"/>
        </w:rPr>
        <w:t>” (</w:t>
      </w:r>
      <w:r w:rsidR="00E5252C">
        <w:rPr>
          <w:rFonts w:ascii="Calibri" w:hAnsi="Calibri" w:cs="Calibri"/>
          <w:sz w:val="24"/>
          <w:szCs w:val="24"/>
        </w:rPr>
        <w:t xml:space="preserve">Sally, </w:t>
      </w:r>
      <w:r>
        <w:rPr>
          <w:rFonts w:ascii="Calibri" w:hAnsi="Calibri" w:cs="Calibri"/>
          <w:sz w:val="24"/>
          <w:szCs w:val="24"/>
        </w:rPr>
        <w:t xml:space="preserve">T1, p.9, par 11). Jenko explains that the policing curriculum contains some emotive subjects and during the process of reviewing the work it is important to reflect on how things are, and how the subjects taught impact the students. He shares his own lived experience to aid in reflections with the students and acknowledges the importance of </w:t>
      </w:r>
      <w:r w:rsidR="00B55375">
        <w:rPr>
          <w:rFonts w:ascii="Calibri" w:hAnsi="Calibri" w:cs="Calibri"/>
          <w:sz w:val="24"/>
          <w:szCs w:val="24"/>
        </w:rPr>
        <w:t xml:space="preserve">the </w:t>
      </w:r>
      <w:r>
        <w:rPr>
          <w:rFonts w:ascii="Calibri" w:hAnsi="Calibri" w:cs="Calibri"/>
          <w:sz w:val="24"/>
          <w:szCs w:val="24"/>
        </w:rPr>
        <w:t>emotional side of the role: “</w:t>
      </w:r>
      <w:r w:rsidRPr="005968C4">
        <w:rPr>
          <w:rFonts w:ascii="Calibri" w:hAnsi="Calibri" w:cs="Calibri"/>
          <w:i/>
          <w:iCs/>
          <w:sz w:val="24"/>
          <w:szCs w:val="24"/>
        </w:rPr>
        <w:t>You’ve got to have that sort of emotional attachment there regardless of what it looks like on paper</w:t>
      </w:r>
      <w:r>
        <w:rPr>
          <w:rFonts w:ascii="Calibri" w:hAnsi="Calibri" w:cs="Calibri"/>
          <w:sz w:val="24"/>
          <w:szCs w:val="24"/>
        </w:rPr>
        <w:t>” (</w:t>
      </w:r>
      <w:r w:rsidR="00E5252C">
        <w:rPr>
          <w:rFonts w:ascii="Calibri" w:hAnsi="Calibri" w:cs="Calibri"/>
          <w:sz w:val="24"/>
          <w:szCs w:val="24"/>
        </w:rPr>
        <w:t xml:space="preserve">Jenko, </w:t>
      </w:r>
      <w:r>
        <w:rPr>
          <w:rFonts w:ascii="Calibri" w:hAnsi="Calibri" w:cs="Calibri"/>
          <w:sz w:val="24"/>
          <w:szCs w:val="24"/>
        </w:rPr>
        <w:t>T1, p.8, par 5)</w:t>
      </w:r>
      <w:r w:rsidRPr="00E318B1">
        <w:rPr>
          <w:rFonts w:ascii="Calibri" w:hAnsi="Calibri" w:cs="Calibri"/>
          <w:sz w:val="24"/>
          <w:szCs w:val="24"/>
        </w:rPr>
        <w:t>.</w:t>
      </w:r>
      <w:r>
        <w:rPr>
          <w:rFonts w:ascii="Calibri" w:hAnsi="Calibri" w:cs="Calibri"/>
          <w:sz w:val="24"/>
          <w:szCs w:val="24"/>
        </w:rPr>
        <w:t xml:space="preserve"> </w:t>
      </w:r>
    </w:p>
    <w:p w14:paraId="14F1AA8B" w14:textId="1001CBF3" w:rsidR="001872B0" w:rsidRPr="00D62911" w:rsidRDefault="001872B0" w:rsidP="00925CC1">
      <w:pPr>
        <w:spacing w:line="360" w:lineRule="auto"/>
        <w:rPr>
          <w:rFonts w:ascii="Calibri" w:hAnsi="Calibri" w:cs="Calibri"/>
          <w:sz w:val="24"/>
          <w:szCs w:val="24"/>
        </w:rPr>
      </w:pPr>
      <w:r>
        <w:rPr>
          <w:rFonts w:ascii="Calibri" w:hAnsi="Calibri" w:cs="Calibri"/>
          <w:sz w:val="24"/>
          <w:szCs w:val="24"/>
        </w:rPr>
        <w:t xml:space="preserve">Both participants described being creative with their reflections. For Sally, by reflecting in a safe space with people she trusts, she experienced a mutual excitement at exploring and uncovering new possibilities for her teaching practice. By reflecting Jenko is including a capacity </w:t>
      </w:r>
      <w:r w:rsidR="005E3BC2">
        <w:rPr>
          <w:rFonts w:ascii="Calibri" w:hAnsi="Calibri" w:cs="Calibri"/>
          <w:sz w:val="24"/>
          <w:szCs w:val="24"/>
        </w:rPr>
        <w:t>for</w:t>
      </w:r>
      <w:r>
        <w:rPr>
          <w:rFonts w:ascii="Calibri" w:hAnsi="Calibri" w:cs="Calibri"/>
          <w:sz w:val="24"/>
          <w:szCs w:val="24"/>
        </w:rPr>
        <w:t xml:space="preserve"> concern (Winnicott, 1963) for his students and creatively considering their needs whilst drawing upon his own lived, emotional experiences which involves self-examination (Kember, 2000). This affirms that the process of reflection is one of engaging in introspection (Gross, 2001) which informs praxis and includes and involves feelings of the self and the other (Pollard, 2005). Seemingly </w:t>
      </w:r>
      <w:r w:rsidRPr="00182F5F">
        <w:rPr>
          <w:rFonts w:ascii="Calibri" w:eastAsia="Calibri" w:hAnsi="Calibri" w:cs="Times New Roman"/>
          <w:sz w:val="24"/>
          <w:szCs w:val="24"/>
        </w:rPr>
        <w:t xml:space="preserve">reflection </w:t>
      </w:r>
      <w:r w:rsidRPr="00D55A26">
        <w:rPr>
          <w:rFonts w:ascii="Calibri" w:eastAsia="Calibri" w:hAnsi="Calibri" w:cs="Times New Roman"/>
          <w:sz w:val="24"/>
          <w:szCs w:val="24"/>
        </w:rPr>
        <w:t xml:space="preserve">can </w:t>
      </w:r>
      <w:r>
        <w:rPr>
          <w:rFonts w:ascii="Calibri" w:eastAsia="Calibri" w:hAnsi="Calibri" w:cs="Times New Roman"/>
          <w:sz w:val="24"/>
          <w:szCs w:val="24"/>
        </w:rPr>
        <w:t xml:space="preserve">and does engage </w:t>
      </w:r>
      <w:r w:rsidRPr="00F775BE">
        <w:rPr>
          <w:rFonts w:ascii="Calibri" w:eastAsia="Calibri" w:hAnsi="Calibri" w:cs="Times New Roman"/>
          <w:sz w:val="24"/>
          <w:szCs w:val="24"/>
        </w:rPr>
        <w:t xml:space="preserve">the emotions of the teacher </w:t>
      </w:r>
      <w:r w:rsidRPr="00AA64A9">
        <w:rPr>
          <w:rFonts w:ascii="Calibri" w:eastAsia="Calibri" w:hAnsi="Calibri" w:cs="Times New Roman"/>
          <w:sz w:val="24"/>
          <w:szCs w:val="24"/>
        </w:rPr>
        <w:t>(Curzon and Timmons, 2021</w:t>
      </w:r>
      <w:r w:rsidR="00A667CD" w:rsidRPr="00AA64A9">
        <w:rPr>
          <w:rFonts w:ascii="Calibri" w:eastAsia="Calibri" w:hAnsi="Calibri" w:cs="Times New Roman"/>
          <w:sz w:val="24"/>
          <w:szCs w:val="24"/>
        </w:rPr>
        <w:t>)</w:t>
      </w:r>
      <w:r w:rsidR="00A667CD">
        <w:rPr>
          <w:rFonts w:ascii="Calibri" w:eastAsia="Calibri" w:hAnsi="Calibri" w:cs="Times New Roman"/>
          <w:sz w:val="24"/>
          <w:szCs w:val="24"/>
        </w:rPr>
        <w:t xml:space="preserve"> and</w:t>
      </w:r>
      <w:r>
        <w:rPr>
          <w:rFonts w:ascii="Calibri" w:eastAsia="Calibri" w:hAnsi="Calibri" w:cs="Times New Roman"/>
          <w:sz w:val="24"/>
          <w:szCs w:val="24"/>
        </w:rPr>
        <w:t xml:space="preserve"> requires an awareness of the impact </w:t>
      </w:r>
      <w:r w:rsidR="00B60C2B">
        <w:rPr>
          <w:rFonts w:ascii="Calibri" w:eastAsia="Calibri" w:hAnsi="Calibri" w:cs="Times New Roman"/>
          <w:sz w:val="24"/>
          <w:szCs w:val="24"/>
        </w:rPr>
        <w:t xml:space="preserve">of learning </w:t>
      </w:r>
      <w:r>
        <w:rPr>
          <w:rFonts w:ascii="Calibri" w:eastAsia="Calibri" w:hAnsi="Calibri" w:cs="Times New Roman"/>
          <w:sz w:val="24"/>
          <w:szCs w:val="24"/>
        </w:rPr>
        <w:t>on the student</w:t>
      </w:r>
      <w:r w:rsidR="00B872A3">
        <w:rPr>
          <w:rFonts w:ascii="Calibri" w:eastAsia="Calibri" w:hAnsi="Calibri" w:cs="Times New Roman"/>
          <w:sz w:val="24"/>
          <w:szCs w:val="24"/>
        </w:rPr>
        <w:t>’</w:t>
      </w:r>
      <w:r>
        <w:rPr>
          <w:rFonts w:ascii="Calibri" w:eastAsia="Calibri" w:hAnsi="Calibri" w:cs="Times New Roman"/>
          <w:sz w:val="24"/>
          <w:szCs w:val="24"/>
        </w:rPr>
        <w:t>s</w:t>
      </w:r>
      <w:r w:rsidR="00B872A3">
        <w:rPr>
          <w:rFonts w:ascii="Calibri" w:eastAsia="Calibri" w:hAnsi="Calibri" w:cs="Times New Roman"/>
          <w:sz w:val="24"/>
          <w:szCs w:val="24"/>
        </w:rPr>
        <w:t xml:space="preserve"> </w:t>
      </w:r>
      <w:r>
        <w:rPr>
          <w:rFonts w:ascii="Calibri" w:eastAsia="Calibri" w:hAnsi="Calibri" w:cs="Times New Roman"/>
          <w:sz w:val="24"/>
          <w:szCs w:val="24"/>
        </w:rPr>
        <w:t xml:space="preserve">emotions. </w:t>
      </w:r>
      <w:r w:rsidRPr="00AA64A9">
        <w:rPr>
          <w:rFonts w:ascii="Calibri" w:eastAsia="Calibri" w:hAnsi="Calibri" w:cs="Times New Roman"/>
          <w:sz w:val="24"/>
          <w:szCs w:val="24"/>
        </w:rPr>
        <w:t xml:space="preserve"> </w:t>
      </w:r>
      <w:r>
        <w:rPr>
          <w:rFonts w:ascii="Calibri" w:eastAsia="Calibri" w:hAnsi="Calibri" w:cs="Times New Roman"/>
          <w:sz w:val="24"/>
          <w:szCs w:val="24"/>
        </w:rPr>
        <w:t>This lends support for the informative nature of feelings (</w:t>
      </w:r>
      <w:r w:rsidRPr="00182F5F">
        <w:rPr>
          <w:rFonts w:ascii="Calibri" w:eastAsia="Calibri" w:hAnsi="Calibri" w:cs="Times New Roman"/>
          <w:sz w:val="24"/>
          <w:szCs w:val="24"/>
        </w:rPr>
        <w:t>Gohm and Clore</w:t>
      </w:r>
      <w:r>
        <w:rPr>
          <w:rFonts w:ascii="Calibri" w:eastAsia="Calibri" w:hAnsi="Calibri" w:cs="Times New Roman"/>
          <w:sz w:val="24"/>
          <w:szCs w:val="24"/>
        </w:rPr>
        <w:t xml:space="preserve">, </w:t>
      </w:r>
      <w:r w:rsidRPr="00182F5F">
        <w:rPr>
          <w:rFonts w:ascii="Calibri" w:eastAsia="Calibri" w:hAnsi="Calibri" w:cs="Times New Roman"/>
          <w:sz w:val="24"/>
          <w:szCs w:val="24"/>
        </w:rPr>
        <w:t xml:space="preserve">2002) and </w:t>
      </w:r>
      <w:r>
        <w:rPr>
          <w:rFonts w:ascii="Calibri" w:eastAsia="Calibri" w:hAnsi="Calibri" w:cs="Times New Roman"/>
          <w:sz w:val="24"/>
          <w:szCs w:val="24"/>
        </w:rPr>
        <w:t xml:space="preserve">that </w:t>
      </w:r>
      <w:r w:rsidRPr="00182F5F">
        <w:rPr>
          <w:rFonts w:ascii="Calibri" w:eastAsia="Calibri" w:hAnsi="Calibri" w:cs="Times New Roman"/>
          <w:sz w:val="24"/>
          <w:szCs w:val="24"/>
        </w:rPr>
        <w:t xml:space="preserve">the process </w:t>
      </w:r>
      <w:r>
        <w:rPr>
          <w:rFonts w:ascii="Calibri" w:eastAsia="Calibri" w:hAnsi="Calibri" w:cs="Times New Roman"/>
          <w:sz w:val="24"/>
          <w:szCs w:val="24"/>
        </w:rPr>
        <w:t xml:space="preserve">of </w:t>
      </w:r>
      <w:r w:rsidRPr="00182F5F">
        <w:rPr>
          <w:rFonts w:ascii="Calibri" w:eastAsia="Calibri" w:hAnsi="Calibri" w:cs="Times New Roman"/>
          <w:sz w:val="24"/>
          <w:szCs w:val="24"/>
        </w:rPr>
        <w:t>reflection</w:t>
      </w:r>
      <w:r>
        <w:rPr>
          <w:rFonts w:ascii="Calibri" w:eastAsia="Calibri" w:hAnsi="Calibri" w:cs="Times New Roman"/>
          <w:sz w:val="24"/>
          <w:szCs w:val="24"/>
        </w:rPr>
        <w:t xml:space="preserve"> requires feelings</w:t>
      </w:r>
      <w:r w:rsidRPr="00182F5F">
        <w:rPr>
          <w:rFonts w:ascii="Calibri" w:eastAsia="Calibri" w:hAnsi="Calibri" w:cs="Times New Roman"/>
          <w:sz w:val="24"/>
          <w:szCs w:val="24"/>
        </w:rPr>
        <w:t>.</w:t>
      </w:r>
    </w:p>
    <w:p w14:paraId="16285B22" w14:textId="3E62D542" w:rsidR="001872B0" w:rsidRPr="00461106" w:rsidRDefault="001872B0" w:rsidP="00925CC1">
      <w:pPr>
        <w:spacing w:line="360" w:lineRule="auto"/>
        <w:rPr>
          <w:rFonts w:ascii="Calibri" w:hAnsi="Calibri" w:cs="Calibri"/>
          <w:sz w:val="24"/>
          <w:szCs w:val="24"/>
        </w:rPr>
      </w:pPr>
      <w:r w:rsidRPr="00461106">
        <w:rPr>
          <w:rFonts w:ascii="Calibri" w:hAnsi="Calibri" w:cs="Calibri"/>
          <w:sz w:val="24"/>
          <w:szCs w:val="24"/>
        </w:rPr>
        <w:t>The following participants contemplate</w:t>
      </w:r>
      <w:r>
        <w:rPr>
          <w:rFonts w:ascii="Calibri" w:hAnsi="Calibri" w:cs="Calibri"/>
          <w:sz w:val="24"/>
          <w:szCs w:val="24"/>
        </w:rPr>
        <w:t>d</w:t>
      </w:r>
      <w:r w:rsidRPr="00461106">
        <w:rPr>
          <w:rFonts w:ascii="Calibri" w:hAnsi="Calibri" w:cs="Calibri"/>
          <w:sz w:val="24"/>
          <w:szCs w:val="24"/>
        </w:rPr>
        <w:t xml:space="preserve"> their thoughts and feelings about the importance of reflection</w:t>
      </w:r>
      <w:r w:rsidR="008A4E80">
        <w:rPr>
          <w:rFonts w:ascii="Calibri" w:hAnsi="Calibri" w:cs="Calibri"/>
          <w:sz w:val="24"/>
          <w:szCs w:val="24"/>
        </w:rPr>
        <w:t>,</w:t>
      </w:r>
      <w:r w:rsidRPr="00461106">
        <w:rPr>
          <w:rFonts w:ascii="Calibri" w:hAnsi="Calibri" w:cs="Calibri"/>
          <w:sz w:val="24"/>
          <w:szCs w:val="24"/>
        </w:rPr>
        <w:t xml:space="preserve"> and its purpose and role</w:t>
      </w:r>
      <w:r>
        <w:rPr>
          <w:rFonts w:ascii="Calibri" w:hAnsi="Calibri" w:cs="Calibri"/>
          <w:sz w:val="24"/>
          <w:szCs w:val="24"/>
        </w:rPr>
        <w:t>:</w:t>
      </w:r>
      <w:r w:rsidRPr="00461106">
        <w:rPr>
          <w:rFonts w:ascii="Calibri" w:hAnsi="Calibri" w:cs="Calibri"/>
          <w:sz w:val="24"/>
          <w:szCs w:val="24"/>
        </w:rPr>
        <w:t xml:space="preserve"> </w:t>
      </w:r>
    </w:p>
    <w:p w14:paraId="253CE984" w14:textId="77777777" w:rsidR="001872B0" w:rsidRPr="005968C4" w:rsidRDefault="001872B0" w:rsidP="005968C4">
      <w:pPr>
        <w:ind w:left="720"/>
        <w:rPr>
          <w:rFonts w:ascii="Calibri" w:hAnsi="Calibri" w:cs="Calibri"/>
          <w:i/>
          <w:iCs/>
          <w:sz w:val="24"/>
          <w:szCs w:val="24"/>
        </w:rPr>
      </w:pPr>
      <w:r w:rsidRPr="005968C4">
        <w:rPr>
          <w:rFonts w:ascii="Calibri" w:hAnsi="Calibri" w:cs="Calibri"/>
          <w:i/>
          <w:iCs/>
          <w:sz w:val="24"/>
          <w:szCs w:val="24"/>
        </w:rPr>
        <w:t>It’s almost like the cornerstone of development. I feel reflection is crucial to any form of development in life. So, it’s basically, it’s not the starting point that’s important, it’s your ability to improve, it’s like the gradient of the graph rather than the position of the graphics (Miriam, T1, p.11, par 10).</w:t>
      </w:r>
    </w:p>
    <w:p w14:paraId="2CD72F57" w14:textId="77777777" w:rsidR="001872B0" w:rsidRPr="005968C4" w:rsidRDefault="001872B0" w:rsidP="005968C4">
      <w:pPr>
        <w:ind w:left="720"/>
        <w:rPr>
          <w:rFonts w:ascii="Calibri" w:hAnsi="Calibri" w:cs="Calibri"/>
          <w:i/>
          <w:iCs/>
          <w:sz w:val="24"/>
          <w:szCs w:val="24"/>
        </w:rPr>
      </w:pPr>
      <w:r w:rsidRPr="005968C4">
        <w:rPr>
          <w:rFonts w:ascii="Calibri" w:hAnsi="Calibri" w:cs="Calibri"/>
          <w:i/>
          <w:iCs/>
          <w:sz w:val="24"/>
          <w:szCs w:val="24"/>
        </w:rPr>
        <w:t>There is a strong emphasis on reflection because that is one of the most problematic things for a student teacher to take on. Unless we are reflecting, we are not actually improving and developing what we are doing because we are not understanding why things worked or not (Mo, T1, pp. 6-7, par 13).</w:t>
      </w:r>
    </w:p>
    <w:p w14:paraId="563FF3E5" w14:textId="464F75BB" w:rsidR="001872B0" w:rsidRPr="005968C4" w:rsidRDefault="001872B0" w:rsidP="005968C4">
      <w:pPr>
        <w:ind w:left="720"/>
        <w:rPr>
          <w:rFonts w:ascii="Calibri" w:hAnsi="Calibri" w:cs="Calibri"/>
          <w:i/>
          <w:iCs/>
          <w:sz w:val="24"/>
          <w:szCs w:val="24"/>
        </w:rPr>
      </w:pPr>
      <w:r w:rsidRPr="005968C4">
        <w:rPr>
          <w:rFonts w:ascii="Calibri" w:hAnsi="Calibri" w:cs="Calibri"/>
          <w:i/>
          <w:iCs/>
          <w:sz w:val="24"/>
          <w:szCs w:val="24"/>
        </w:rPr>
        <w:lastRenderedPageBreak/>
        <w:t>I think the only way I can improve teaching practice is if I stop and reflect, and it is one of the questions that drives my life</w:t>
      </w:r>
      <w:r w:rsidR="00971DD4">
        <w:rPr>
          <w:rFonts w:ascii="Calibri" w:hAnsi="Calibri" w:cs="Calibri"/>
          <w:i/>
          <w:iCs/>
          <w:sz w:val="24"/>
          <w:szCs w:val="24"/>
        </w:rPr>
        <w:t>:</w:t>
      </w:r>
      <w:r w:rsidRPr="005968C4">
        <w:rPr>
          <w:rFonts w:ascii="Calibri" w:hAnsi="Calibri" w:cs="Calibri"/>
          <w:i/>
          <w:iCs/>
          <w:sz w:val="24"/>
          <w:szCs w:val="24"/>
        </w:rPr>
        <w:t xml:space="preserve"> </w:t>
      </w:r>
      <w:r w:rsidR="00971DD4">
        <w:rPr>
          <w:rFonts w:ascii="Calibri" w:hAnsi="Calibri" w:cs="Calibri"/>
          <w:i/>
          <w:iCs/>
          <w:sz w:val="24"/>
          <w:szCs w:val="24"/>
        </w:rPr>
        <w:t>H</w:t>
      </w:r>
      <w:r w:rsidRPr="005968C4">
        <w:rPr>
          <w:rFonts w:ascii="Calibri" w:hAnsi="Calibri" w:cs="Calibri"/>
          <w:i/>
          <w:iCs/>
          <w:sz w:val="24"/>
          <w:szCs w:val="24"/>
        </w:rPr>
        <w:t>ow do we make it better? And I think to me that’s the heart of reflective practice because you want to make things better (Liz, T1, p. 11, par 7).</w:t>
      </w:r>
    </w:p>
    <w:p w14:paraId="6E7C897B" w14:textId="6B8D1E9B" w:rsidR="001872B0" w:rsidRDefault="001872B0" w:rsidP="009B49F5">
      <w:pPr>
        <w:spacing w:line="360" w:lineRule="auto"/>
        <w:rPr>
          <w:rFonts w:ascii="Calibri" w:hAnsi="Calibri" w:cs="Calibri"/>
          <w:sz w:val="24"/>
          <w:szCs w:val="24"/>
        </w:rPr>
      </w:pPr>
      <w:r>
        <w:rPr>
          <w:rFonts w:ascii="Calibri" w:hAnsi="Calibri" w:cs="Calibri"/>
          <w:sz w:val="24"/>
          <w:szCs w:val="24"/>
        </w:rPr>
        <w:t xml:space="preserve">For Miriam reflection plays a crucial role as an anchor, a self-development tool and to improve teaching work. Acknowledging the difficult nature of reflection, for Mo reflection is a tool for understanding and can be used to improve her teaching practice. For Liz, reflection is an intrinsic motivator to improve things, and herself. These participants are all engaging in divergent thinking, creativity and originality which help them </w:t>
      </w:r>
      <w:r w:rsidR="00B60C2B">
        <w:rPr>
          <w:rFonts w:ascii="Calibri" w:hAnsi="Calibri" w:cs="Calibri"/>
          <w:sz w:val="24"/>
          <w:szCs w:val="24"/>
        </w:rPr>
        <w:t>actualise</w:t>
      </w:r>
      <w:r>
        <w:rPr>
          <w:rFonts w:ascii="Calibri" w:hAnsi="Calibri" w:cs="Calibri"/>
          <w:sz w:val="24"/>
          <w:szCs w:val="24"/>
        </w:rPr>
        <w:t xml:space="preserve"> their practice using critical awareness, which for Biggs and Tang (1999) is transformative reflection: “</w:t>
      </w:r>
      <w:r w:rsidR="00E82B21">
        <w:rPr>
          <w:rFonts w:ascii="Calibri" w:hAnsi="Calibri" w:cs="Calibri"/>
          <w:sz w:val="24"/>
          <w:szCs w:val="24"/>
        </w:rPr>
        <w:t>I</w:t>
      </w:r>
      <w:r>
        <w:rPr>
          <w:rFonts w:ascii="Calibri" w:hAnsi="Calibri" w:cs="Calibri"/>
          <w:sz w:val="24"/>
          <w:szCs w:val="24"/>
        </w:rPr>
        <w:t>t looks at what is known with a view to seeing what it might become” (p.265). To reflect on what is, and what might be (</w:t>
      </w:r>
      <w:r w:rsidR="00D941F3">
        <w:rPr>
          <w:rFonts w:ascii="Calibri" w:hAnsi="Calibri" w:cs="Calibri"/>
          <w:sz w:val="24"/>
          <w:szCs w:val="24"/>
        </w:rPr>
        <w:t>ibid.</w:t>
      </w:r>
      <w:r>
        <w:rPr>
          <w:rFonts w:ascii="Calibri" w:hAnsi="Calibri" w:cs="Calibri"/>
          <w:sz w:val="24"/>
          <w:szCs w:val="24"/>
        </w:rPr>
        <w:t>), to move towards changing and transforming something involves a multi-stage process, one that turns the mirror inward towards the self, and outward to see the reflection of the student</w:t>
      </w:r>
      <w:r w:rsidR="001822CA">
        <w:rPr>
          <w:rFonts w:ascii="Calibri" w:hAnsi="Calibri" w:cs="Calibri"/>
          <w:sz w:val="24"/>
          <w:szCs w:val="24"/>
        </w:rPr>
        <w:t>,</w:t>
      </w:r>
      <w:r>
        <w:rPr>
          <w:rFonts w:ascii="Calibri" w:hAnsi="Calibri" w:cs="Calibri"/>
          <w:sz w:val="24"/>
          <w:szCs w:val="24"/>
        </w:rPr>
        <w:t xml:space="preserve"> and the wider context. Such a positionality affirms </w:t>
      </w:r>
      <w:r>
        <w:rPr>
          <w:rFonts w:ascii="Calibri" w:eastAsia="Calibri" w:hAnsi="Calibri" w:cs="Times New Roman"/>
          <w:sz w:val="24"/>
          <w:szCs w:val="24"/>
        </w:rPr>
        <w:t xml:space="preserve">that </w:t>
      </w:r>
      <w:r w:rsidRPr="00095E93">
        <w:rPr>
          <w:rFonts w:ascii="Calibri" w:hAnsi="Calibri" w:cs="Calibri"/>
          <w:sz w:val="24"/>
          <w:szCs w:val="24"/>
        </w:rPr>
        <w:t xml:space="preserve">reflexivity is a key component of </w:t>
      </w:r>
      <w:r>
        <w:rPr>
          <w:rFonts w:ascii="Calibri" w:hAnsi="Calibri" w:cs="Calibri"/>
          <w:sz w:val="24"/>
          <w:szCs w:val="24"/>
        </w:rPr>
        <w:t>teaching practice and development</w:t>
      </w:r>
      <w:r w:rsidRPr="00480A49">
        <w:rPr>
          <w:rFonts w:ascii="Calibri" w:eastAsia="Calibri" w:hAnsi="Calibri" w:cs="Times New Roman"/>
          <w:sz w:val="24"/>
          <w:szCs w:val="24"/>
        </w:rPr>
        <w:t xml:space="preserve"> to improve future practice (Boud </w:t>
      </w:r>
      <w:r w:rsidR="00FB3A6E" w:rsidRPr="00FB3A6E">
        <w:rPr>
          <w:rFonts w:ascii="Calibri" w:eastAsia="Calibri" w:hAnsi="Calibri" w:cs="Times New Roman"/>
          <w:i/>
          <w:sz w:val="24"/>
          <w:szCs w:val="24"/>
        </w:rPr>
        <w:t>et al.</w:t>
      </w:r>
      <w:r w:rsidRPr="00480A49">
        <w:rPr>
          <w:rFonts w:ascii="Calibri" w:eastAsia="Calibri" w:hAnsi="Calibri" w:cs="Times New Roman"/>
          <w:sz w:val="24"/>
          <w:szCs w:val="24"/>
        </w:rPr>
        <w:t>, 1985; Boyd and Fales, 1983;</w:t>
      </w:r>
      <w:r w:rsidR="002F2581">
        <w:rPr>
          <w:rFonts w:ascii="Calibri" w:eastAsia="Calibri" w:hAnsi="Calibri" w:cs="Times New Roman"/>
          <w:sz w:val="24"/>
          <w:szCs w:val="24"/>
        </w:rPr>
        <w:t xml:space="preserve"> </w:t>
      </w:r>
      <w:r w:rsidRPr="00480A49">
        <w:rPr>
          <w:rFonts w:ascii="Calibri" w:eastAsia="Calibri" w:hAnsi="Calibri" w:cs="Times New Roman"/>
          <w:sz w:val="24"/>
          <w:szCs w:val="24"/>
        </w:rPr>
        <w:t>Jarvis, 1992</w:t>
      </w:r>
      <w:r w:rsidR="002F2581">
        <w:rPr>
          <w:rFonts w:ascii="Calibri" w:eastAsia="Calibri" w:hAnsi="Calibri" w:cs="Times New Roman"/>
          <w:sz w:val="24"/>
          <w:szCs w:val="24"/>
        </w:rPr>
        <w:t>;</w:t>
      </w:r>
      <w:r w:rsidR="002F2581" w:rsidRPr="002F2581">
        <w:rPr>
          <w:rFonts w:ascii="Calibri" w:eastAsia="Calibri" w:hAnsi="Calibri" w:cs="Times New Roman"/>
          <w:sz w:val="24"/>
          <w:szCs w:val="24"/>
        </w:rPr>
        <w:t xml:space="preserve"> Mezirow, 198</w:t>
      </w:r>
      <w:r w:rsidR="005C3EDC">
        <w:rPr>
          <w:rFonts w:ascii="Calibri" w:eastAsia="Calibri" w:hAnsi="Calibri" w:cs="Times New Roman"/>
          <w:sz w:val="24"/>
          <w:szCs w:val="24"/>
        </w:rPr>
        <w:t>1</w:t>
      </w:r>
      <w:r w:rsidRPr="00480A49">
        <w:rPr>
          <w:rFonts w:ascii="Calibri" w:eastAsia="Calibri" w:hAnsi="Calibri" w:cs="Times New Roman"/>
          <w:sz w:val="24"/>
          <w:szCs w:val="24"/>
        </w:rPr>
        <w:t>)</w:t>
      </w:r>
      <w:r w:rsidR="005C3EDC">
        <w:rPr>
          <w:rFonts w:ascii="Calibri" w:eastAsia="Calibri" w:hAnsi="Calibri" w:cs="Times New Roman"/>
          <w:sz w:val="24"/>
          <w:szCs w:val="24"/>
        </w:rPr>
        <w:t xml:space="preserve">, </w:t>
      </w:r>
      <w:r>
        <w:rPr>
          <w:rFonts w:ascii="Calibri" w:eastAsia="Calibri" w:hAnsi="Calibri" w:cs="Times New Roman"/>
          <w:sz w:val="24"/>
          <w:szCs w:val="24"/>
        </w:rPr>
        <w:t xml:space="preserve">and </w:t>
      </w:r>
      <w:r w:rsidRPr="003B00E8">
        <w:rPr>
          <w:rFonts w:ascii="Calibri" w:eastAsia="Calibri" w:hAnsi="Calibri" w:cs="Times New Roman"/>
          <w:sz w:val="24"/>
          <w:szCs w:val="24"/>
        </w:rPr>
        <w:t xml:space="preserve">outcomes (Borders </w:t>
      </w:r>
      <w:r w:rsidR="00FB3A6E" w:rsidRPr="00FB3A6E">
        <w:rPr>
          <w:rFonts w:ascii="Calibri" w:eastAsia="Calibri" w:hAnsi="Calibri" w:cs="Times New Roman"/>
          <w:i/>
          <w:sz w:val="24"/>
          <w:szCs w:val="24"/>
        </w:rPr>
        <w:t>et al.</w:t>
      </w:r>
      <w:r w:rsidRPr="003B00E8">
        <w:rPr>
          <w:rFonts w:ascii="Calibri" w:eastAsia="Calibri" w:hAnsi="Calibri" w:cs="Times New Roman"/>
          <w:sz w:val="24"/>
          <w:szCs w:val="24"/>
        </w:rPr>
        <w:t>, 2014</w:t>
      </w:r>
      <w:r>
        <w:rPr>
          <w:rFonts w:ascii="Calibri" w:eastAsia="Calibri" w:hAnsi="Calibri" w:cs="Times New Roman"/>
          <w:sz w:val="24"/>
          <w:szCs w:val="24"/>
        </w:rPr>
        <w:t>). If education is a way to improve, expand and grow through the medium of teaching, the findings affirm that reflection maintains this momentum and that self-development is an outcome</w:t>
      </w:r>
      <w:r w:rsidR="0030264B">
        <w:rPr>
          <w:rFonts w:ascii="Calibri" w:eastAsia="Calibri" w:hAnsi="Calibri" w:cs="Times New Roman"/>
          <w:sz w:val="24"/>
          <w:szCs w:val="24"/>
        </w:rPr>
        <w:t xml:space="preserve"> and</w:t>
      </w:r>
      <w:r w:rsidR="00B67CE2">
        <w:rPr>
          <w:rFonts w:ascii="Calibri" w:eastAsia="Calibri" w:hAnsi="Calibri" w:cs="Times New Roman"/>
          <w:sz w:val="24"/>
          <w:szCs w:val="24"/>
        </w:rPr>
        <w:t xml:space="preserve"> a process</w:t>
      </w:r>
      <w:r>
        <w:rPr>
          <w:rFonts w:ascii="Calibri" w:eastAsia="Calibri" w:hAnsi="Calibri" w:cs="Times New Roman"/>
          <w:sz w:val="24"/>
          <w:szCs w:val="24"/>
        </w:rPr>
        <w:t xml:space="preserve">. </w:t>
      </w:r>
    </w:p>
    <w:p w14:paraId="3AB3261A" w14:textId="77777777" w:rsidR="001872B0" w:rsidRPr="00D24F29" w:rsidRDefault="001872B0" w:rsidP="00C51D86">
      <w:pPr>
        <w:ind w:firstLine="720"/>
        <w:rPr>
          <w:rFonts w:ascii="Calibri" w:hAnsi="Calibri" w:cs="Calibri"/>
          <w:b/>
          <w:bCs/>
          <w:i/>
          <w:iCs/>
          <w:sz w:val="24"/>
          <w:szCs w:val="24"/>
        </w:rPr>
      </w:pPr>
      <w:r w:rsidRPr="00D24F29">
        <w:rPr>
          <w:rFonts w:ascii="Calibri" w:hAnsi="Calibri" w:cs="Calibri"/>
          <w:b/>
          <w:bCs/>
          <w:i/>
          <w:iCs/>
          <w:sz w:val="24"/>
          <w:szCs w:val="24"/>
        </w:rPr>
        <w:t>Dialogue</w:t>
      </w:r>
    </w:p>
    <w:p w14:paraId="05C97503" w14:textId="748B2C5A" w:rsidR="001872B0" w:rsidRPr="00E318B1" w:rsidRDefault="001872B0" w:rsidP="001011DD">
      <w:pPr>
        <w:spacing w:line="360" w:lineRule="auto"/>
        <w:rPr>
          <w:rFonts w:ascii="Calibri" w:hAnsi="Calibri" w:cs="Calibri"/>
          <w:sz w:val="24"/>
          <w:szCs w:val="24"/>
        </w:rPr>
      </w:pPr>
      <w:r>
        <w:rPr>
          <w:rFonts w:ascii="Calibri" w:hAnsi="Calibri" w:cs="Calibri"/>
          <w:sz w:val="24"/>
          <w:szCs w:val="24"/>
        </w:rPr>
        <w:t xml:space="preserve">The interview progressed to the role </w:t>
      </w:r>
      <w:r w:rsidR="000977AF">
        <w:rPr>
          <w:rFonts w:ascii="Calibri" w:hAnsi="Calibri" w:cs="Calibri"/>
          <w:sz w:val="24"/>
          <w:szCs w:val="24"/>
        </w:rPr>
        <w:t xml:space="preserve">of </w:t>
      </w:r>
      <w:r>
        <w:rPr>
          <w:rFonts w:ascii="Calibri" w:hAnsi="Calibri" w:cs="Calibri"/>
          <w:sz w:val="24"/>
          <w:szCs w:val="24"/>
        </w:rPr>
        <w:t xml:space="preserve">dialogue in reflective practice. Mo </w:t>
      </w:r>
      <w:r w:rsidR="00D27D84">
        <w:rPr>
          <w:rFonts w:ascii="Calibri" w:hAnsi="Calibri" w:cs="Calibri"/>
          <w:sz w:val="24"/>
          <w:szCs w:val="24"/>
        </w:rPr>
        <w:t>believes</w:t>
      </w:r>
      <w:r>
        <w:rPr>
          <w:rFonts w:ascii="Calibri" w:hAnsi="Calibri" w:cs="Calibri"/>
          <w:sz w:val="24"/>
          <w:szCs w:val="24"/>
        </w:rPr>
        <w:t xml:space="preserve"> reflection </w:t>
      </w:r>
      <w:r w:rsidRPr="002E43EE">
        <w:rPr>
          <w:rFonts w:ascii="Calibri" w:hAnsi="Calibri" w:cs="Calibri"/>
          <w:i/>
          <w:iCs/>
          <w:sz w:val="24"/>
          <w:szCs w:val="24"/>
        </w:rPr>
        <w:t>is</w:t>
      </w:r>
      <w:r>
        <w:rPr>
          <w:rFonts w:ascii="Calibri" w:hAnsi="Calibri" w:cs="Calibri"/>
          <w:sz w:val="24"/>
          <w:szCs w:val="24"/>
        </w:rPr>
        <w:t xml:space="preserve"> dialogue, talking to others when she needs to understand a situation that perplexes her: “</w:t>
      </w:r>
      <w:r w:rsidRPr="005968C4">
        <w:rPr>
          <w:rFonts w:ascii="Calibri" w:hAnsi="Calibri" w:cs="Calibri"/>
          <w:i/>
          <w:iCs/>
          <w:sz w:val="24"/>
          <w:szCs w:val="24"/>
        </w:rPr>
        <w:t>Sometimes that pause just allows us to say, ‘I don’t know</w:t>
      </w:r>
      <w:r w:rsidR="00BF7663">
        <w:rPr>
          <w:rFonts w:ascii="Calibri" w:hAnsi="Calibri" w:cs="Calibri"/>
          <w:i/>
          <w:iCs/>
          <w:sz w:val="24"/>
          <w:szCs w:val="24"/>
        </w:rPr>
        <w:t xml:space="preserve"> </w:t>
      </w:r>
      <w:r w:rsidRPr="005968C4">
        <w:rPr>
          <w:rFonts w:ascii="Calibri" w:hAnsi="Calibri" w:cs="Calibri"/>
          <w:i/>
          <w:iCs/>
          <w:sz w:val="24"/>
          <w:szCs w:val="24"/>
        </w:rPr>
        <w:t>but I would really like to talk to someone about it to see if we can move my understanding forward</w:t>
      </w:r>
      <w:r w:rsidR="00BF7663">
        <w:rPr>
          <w:rFonts w:ascii="Calibri" w:hAnsi="Calibri" w:cs="Calibri"/>
          <w:sz w:val="24"/>
          <w:szCs w:val="24"/>
        </w:rPr>
        <w:t>’“</w:t>
      </w:r>
      <w:r w:rsidR="006E06D8">
        <w:rPr>
          <w:rFonts w:ascii="Calibri" w:hAnsi="Calibri" w:cs="Calibri"/>
          <w:sz w:val="24"/>
          <w:szCs w:val="24"/>
        </w:rPr>
        <w:t xml:space="preserve"> </w:t>
      </w:r>
      <w:r w:rsidR="00BF7663">
        <w:rPr>
          <w:rFonts w:ascii="Calibri" w:hAnsi="Calibri" w:cs="Calibri"/>
          <w:sz w:val="24"/>
          <w:szCs w:val="24"/>
        </w:rPr>
        <w:t>(</w:t>
      </w:r>
      <w:r w:rsidR="008A4E80">
        <w:rPr>
          <w:rFonts w:ascii="Calibri" w:hAnsi="Calibri" w:cs="Calibri"/>
          <w:sz w:val="24"/>
          <w:szCs w:val="24"/>
        </w:rPr>
        <w:t xml:space="preserve">Mo, </w:t>
      </w:r>
      <w:r>
        <w:rPr>
          <w:rFonts w:ascii="Calibri" w:hAnsi="Calibri" w:cs="Calibri"/>
          <w:sz w:val="24"/>
          <w:szCs w:val="24"/>
        </w:rPr>
        <w:t>T1, p. 7, par 3)</w:t>
      </w:r>
      <w:r w:rsidRPr="009E576C">
        <w:rPr>
          <w:rFonts w:ascii="Calibri" w:hAnsi="Calibri" w:cs="Calibri"/>
          <w:sz w:val="24"/>
          <w:szCs w:val="24"/>
        </w:rPr>
        <w:t>.</w:t>
      </w:r>
      <w:r>
        <w:rPr>
          <w:rFonts w:ascii="Calibri" w:hAnsi="Calibri" w:cs="Calibri"/>
          <w:sz w:val="24"/>
          <w:szCs w:val="24"/>
        </w:rPr>
        <w:t xml:space="preserve"> Laura describes reflective practice as talking through all aspects of her teaching to improve her work and as a way of sharing with colleagues: “</w:t>
      </w:r>
      <w:r w:rsidRPr="005968C4">
        <w:rPr>
          <w:rFonts w:ascii="Calibri" w:hAnsi="Calibri" w:cs="Calibri"/>
          <w:i/>
          <w:iCs/>
          <w:sz w:val="24"/>
          <w:szCs w:val="24"/>
        </w:rPr>
        <w:t>So that ability to touch base</w:t>
      </w:r>
      <w:r w:rsidR="00BF7663">
        <w:rPr>
          <w:rFonts w:ascii="Calibri" w:hAnsi="Calibri" w:cs="Calibri"/>
          <w:i/>
          <w:iCs/>
          <w:sz w:val="24"/>
          <w:szCs w:val="24"/>
        </w:rPr>
        <w:t xml:space="preserve"> [</w:t>
      </w:r>
      <w:r w:rsidRPr="005968C4">
        <w:rPr>
          <w:rFonts w:ascii="Calibri" w:hAnsi="Calibri" w:cs="Calibri"/>
          <w:i/>
          <w:iCs/>
          <w:sz w:val="24"/>
          <w:szCs w:val="24"/>
        </w:rPr>
        <w:t>…</w:t>
      </w:r>
      <w:r w:rsidR="00B05C0F">
        <w:rPr>
          <w:rFonts w:ascii="Calibri" w:hAnsi="Calibri" w:cs="Calibri"/>
          <w:i/>
          <w:iCs/>
          <w:sz w:val="24"/>
          <w:szCs w:val="24"/>
        </w:rPr>
        <w:t xml:space="preserve">] </w:t>
      </w:r>
      <w:r w:rsidRPr="005968C4">
        <w:rPr>
          <w:rFonts w:ascii="Calibri" w:hAnsi="Calibri" w:cs="Calibri"/>
          <w:i/>
          <w:iCs/>
          <w:sz w:val="24"/>
          <w:szCs w:val="24"/>
        </w:rPr>
        <w:t>I know I have people there that I can openly share with who were genuinely interested and it’s invaluable</w:t>
      </w:r>
      <w:r>
        <w:rPr>
          <w:rFonts w:ascii="Calibri" w:hAnsi="Calibri" w:cs="Calibri"/>
          <w:sz w:val="24"/>
          <w:szCs w:val="24"/>
        </w:rPr>
        <w:t>” (</w:t>
      </w:r>
      <w:r w:rsidR="006E06D8">
        <w:rPr>
          <w:rFonts w:ascii="Calibri" w:hAnsi="Calibri" w:cs="Calibri"/>
          <w:sz w:val="24"/>
          <w:szCs w:val="24"/>
        </w:rPr>
        <w:t xml:space="preserve">Laura, </w:t>
      </w:r>
      <w:r>
        <w:rPr>
          <w:rFonts w:ascii="Calibri" w:hAnsi="Calibri" w:cs="Calibri"/>
          <w:sz w:val="24"/>
          <w:szCs w:val="24"/>
        </w:rPr>
        <w:t>T1, p. 8, par 10)</w:t>
      </w:r>
      <w:r w:rsidRPr="00E318B1">
        <w:rPr>
          <w:rFonts w:ascii="Calibri" w:hAnsi="Calibri" w:cs="Calibri"/>
          <w:sz w:val="24"/>
          <w:szCs w:val="24"/>
        </w:rPr>
        <w:t xml:space="preserve">. </w:t>
      </w:r>
      <w:r>
        <w:rPr>
          <w:rFonts w:ascii="Calibri" w:hAnsi="Calibri" w:cs="Calibri"/>
          <w:sz w:val="24"/>
          <w:szCs w:val="24"/>
        </w:rPr>
        <w:t>Declaring the importance of discernment whilst sharing, Laura goes on to say: “</w:t>
      </w:r>
      <w:r w:rsidRPr="005968C4">
        <w:rPr>
          <w:rFonts w:ascii="Calibri" w:hAnsi="Calibri" w:cs="Calibri"/>
          <w:i/>
          <w:iCs/>
          <w:sz w:val="24"/>
          <w:szCs w:val="24"/>
        </w:rPr>
        <w:t>I choose very carefully who is in the circle because I think that’s really, really important</w:t>
      </w:r>
      <w:r>
        <w:rPr>
          <w:rFonts w:ascii="Calibri" w:hAnsi="Calibri" w:cs="Calibri"/>
          <w:sz w:val="24"/>
          <w:szCs w:val="24"/>
        </w:rPr>
        <w:t>”</w:t>
      </w:r>
      <w:r w:rsidR="00B05C0F">
        <w:rPr>
          <w:rFonts w:ascii="Calibri" w:hAnsi="Calibri" w:cs="Calibri"/>
          <w:sz w:val="24"/>
          <w:szCs w:val="24"/>
        </w:rPr>
        <w:t xml:space="preserve"> </w:t>
      </w:r>
      <w:r>
        <w:rPr>
          <w:rFonts w:ascii="Calibri" w:hAnsi="Calibri" w:cs="Calibri"/>
          <w:sz w:val="24"/>
          <w:szCs w:val="24"/>
        </w:rPr>
        <w:t>(</w:t>
      </w:r>
      <w:r w:rsidR="006E06D8">
        <w:rPr>
          <w:rFonts w:ascii="Calibri" w:hAnsi="Calibri" w:cs="Calibri"/>
          <w:sz w:val="24"/>
          <w:szCs w:val="24"/>
        </w:rPr>
        <w:t xml:space="preserve">ibid., </w:t>
      </w:r>
      <w:r>
        <w:rPr>
          <w:rFonts w:ascii="Calibri" w:hAnsi="Calibri" w:cs="Calibri"/>
          <w:sz w:val="24"/>
          <w:szCs w:val="24"/>
        </w:rPr>
        <w:t xml:space="preserve"> p. 9, par 3), and “</w:t>
      </w:r>
      <w:r w:rsidRPr="005968C4">
        <w:rPr>
          <w:rFonts w:ascii="Calibri" w:hAnsi="Calibri" w:cs="Calibri"/>
          <w:i/>
          <w:iCs/>
          <w:sz w:val="24"/>
          <w:szCs w:val="24"/>
        </w:rPr>
        <w:t>I can trust these people in my circle in every sense, and I know that their intentions are only good</w:t>
      </w:r>
      <w:r>
        <w:rPr>
          <w:rFonts w:ascii="Calibri" w:hAnsi="Calibri" w:cs="Calibri"/>
          <w:sz w:val="24"/>
          <w:szCs w:val="24"/>
        </w:rPr>
        <w:t>” (</w:t>
      </w:r>
      <w:r w:rsidR="00B37BB8">
        <w:rPr>
          <w:rFonts w:ascii="Calibri" w:hAnsi="Calibri" w:cs="Calibri"/>
          <w:sz w:val="24"/>
          <w:szCs w:val="24"/>
        </w:rPr>
        <w:t xml:space="preserve">Laura, </w:t>
      </w:r>
      <w:r>
        <w:rPr>
          <w:rFonts w:ascii="Calibri" w:hAnsi="Calibri" w:cs="Calibri"/>
          <w:sz w:val="24"/>
          <w:szCs w:val="24"/>
        </w:rPr>
        <w:t>T1, p.10, par 2).</w:t>
      </w:r>
    </w:p>
    <w:p w14:paraId="1C9AA518" w14:textId="3DEFFE8E" w:rsidR="001872B0" w:rsidRDefault="001872B0" w:rsidP="00387DD0">
      <w:pPr>
        <w:spacing w:line="360" w:lineRule="auto"/>
        <w:rPr>
          <w:rFonts w:ascii="Calibri" w:hAnsi="Calibri" w:cs="Calibri"/>
          <w:sz w:val="24"/>
          <w:szCs w:val="24"/>
        </w:rPr>
      </w:pPr>
      <w:r>
        <w:rPr>
          <w:rFonts w:ascii="Calibri" w:hAnsi="Calibri" w:cs="Calibri"/>
          <w:sz w:val="24"/>
          <w:szCs w:val="24"/>
        </w:rPr>
        <w:lastRenderedPageBreak/>
        <w:t xml:space="preserve">Mo and Laura are describing the need for reflective practice to be an active, relational, engaged and fluid process. They are also describing having deep, dialogical exchanges with others, sharing ideas, thoughts and queries to increase understanding. </w:t>
      </w:r>
      <w:r>
        <w:rPr>
          <w:rFonts w:ascii="Calibri" w:eastAsia="Calibri" w:hAnsi="Calibri" w:cs="Times New Roman"/>
          <w:sz w:val="24"/>
          <w:szCs w:val="24"/>
        </w:rPr>
        <w:t>Reflective practice can be conducted alone or with others (</w:t>
      </w:r>
      <w:r w:rsidRPr="00FF7D45">
        <w:rPr>
          <w:rFonts w:ascii="Calibri" w:eastAsia="Calibri" w:hAnsi="Calibri" w:cs="Times New Roman"/>
          <w:sz w:val="24"/>
          <w:szCs w:val="24"/>
        </w:rPr>
        <w:t>Forrester 2010; Peters 1991; Schon 1983)</w:t>
      </w:r>
      <w:r>
        <w:rPr>
          <w:rFonts w:ascii="Calibri" w:eastAsia="Calibri" w:hAnsi="Calibri" w:cs="Times New Roman"/>
          <w:sz w:val="24"/>
          <w:szCs w:val="24"/>
        </w:rPr>
        <w:t xml:space="preserve">, however participants are affirming that they found reflecting in a community of practice increased their effectivity (Freire, 1972). </w:t>
      </w:r>
      <w:r>
        <w:rPr>
          <w:rFonts w:ascii="Calibri" w:hAnsi="Calibri" w:cs="Calibri"/>
          <w:sz w:val="24"/>
          <w:szCs w:val="24"/>
        </w:rPr>
        <w:t xml:space="preserve">This lends support for the importance of an active “buddy system” or “peer review system” (Biggs and Tang, 1999) with colleagues who trust each other, hold a set of common teaching values and have a capacity for concern (Winnicott, 1963) for themselves and each other.  </w:t>
      </w:r>
      <w:r w:rsidRPr="000F2D4D">
        <w:rPr>
          <w:rFonts w:ascii="Calibri" w:hAnsi="Calibri" w:cs="Calibri"/>
          <w:sz w:val="24"/>
          <w:szCs w:val="24"/>
        </w:rPr>
        <w:t>As May and Semetsky (2008) note:</w:t>
      </w:r>
      <w:r w:rsidR="00A640F8">
        <w:rPr>
          <w:rFonts w:ascii="Calibri" w:hAnsi="Calibri" w:cs="Calibri"/>
          <w:sz w:val="24"/>
          <w:szCs w:val="24"/>
        </w:rPr>
        <w:t xml:space="preserve"> </w:t>
      </w:r>
      <w:r w:rsidR="005468FA">
        <w:rPr>
          <w:rFonts w:ascii="Calibri" w:hAnsi="Calibri" w:cs="Calibri"/>
          <w:sz w:val="24"/>
          <w:szCs w:val="24"/>
        </w:rPr>
        <w:t>“</w:t>
      </w:r>
      <w:r w:rsidR="009C797E">
        <w:rPr>
          <w:rFonts w:ascii="Calibri" w:hAnsi="Calibri" w:cs="Calibri"/>
          <w:sz w:val="24"/>
          <w:szCs w:val="24"/>
        </w:rPr>
        <w:t>I</w:t>
      </w:r>
      <w:r w:rsidRPr="000F2D4D">
        <w:rPr>
          <w:rFonts w:ascii="Calibri" w:hAnsi="Calibri" w:cs="Calibri"/>
          <w:sz w:val="24"/>
          <w:szCs w:val="24"/>
        </w:rPr>
        <w:t xml:space="preserve">t is what we do </w:t>
      </w:r>
      <w:r w:rsidRPr="000F2D4D">
        <w:rPr>
          <w:rFonts w:ascii="Calibri" w:hAnsi="Calibri" w:cs="Calibri"/>
          <w:i/>
          <w:iCs/>
          <w:sz w:val="24"/>
          <w:szCs w:val="24"/>
        </w:rPr>
        <w:t>not</w:t>
      </w:r>
      <w:r w:rsidRPr="000F2D4D">
        <w:rPr>
          <w:rFonts w:ascii="Calibri" w:hAnsi="Calibri" w:cs="Calibri"/>
          <w:sz w:val="24"/>
          <w:szCs w:val="24"/>
        </w:rPr>
        <w:t xml:space="preserve"> know, rather than what we do, that is of educational significance” (p.143)</w:t>
      </w:r>
      <w:r w:rsidR="005468FA">
        <w:rPr>
          <w:rFonts w:ascii="Calibri" w:hAnsi="Calibri" w:cs="Calibri"/>
          <w:sz w:val="24"/>
          <w:szCs w:val="24"/>
        </w:rPr>
        <w:t>,</w:t>
      </w:r>
      <w:r>
        <w:rPr>
          <w:rFonts w:ascii="Calibri" w:hAnsi="Calibri" w:cs="Calibri"/>
          <w:sz w:val="24"/>
          <w:szCs w:val="24"/>
        </w:rPr>
        <w:t xml:space="preserve"> and Mo in particular</w:t>
      </w:r>
      <w:r w:rsidR="005468FA">
        <w:rPr>
          <w:rFonts w:ascii="Calibri" w:hAnsi="Calibri" w:cs="Calibri"/>
          <w:sz w:val="24"/>
          <w:szCs w:val="24"/>
        </w:rPr>
        <w:t xml:space="preserve"> </w:t>
      </w:r>
      <w:r>
        <w:rPr>
          <w:rFonts w:ascii="Calibri" w:hAnsi="Calibri" w:cs="Calibri"/>
          <w:sz w:val="24"/>
          <w:szCs w:val="24"/>
        </w:rPr>
        <w:t xml:space="preserve">refers to the not knowing and wanting to know which she achieves through dialogue with others. Both participants stress the importance of, and their willingness to, creatively </w:t>
      </w:r>
      <w:r w:rsidR="005272C9">
        <w:rPr>
          <w:rFonts w:ascii="Calibri" w:hAnsi="Calibri" w:cs="Calibri"/>
          <w:sz w:val="24"/>
          <w:szCs w:val="24"/>
        </w:rPr>
        <w:t xml:space="preserve">experiment </w:t>
      </w:r>
      <w:r>
        <w:rPr>
          <w:rFonts w:ascii="Calibri" w:hAnsi="Calibri" w:cs="Calibri"/>
          <w:sz w:val="24"/>
          <w:szCs w:val="24"/>
        </w:rPr>
        <w:t>in a transitional, potential space (Winnicott, 1971), a space of not yet knowing, to improve themselves and their work</w:t>
      </w:r>
      <w:r w:rsidR="00C93E87">
        <w:rPr>
          <w:rFonts w:ascii="Calibri" w:hAnsi="Calibri" w:cs="Calibri"/>
          <w:sz w:val="24"/>
          <w:szCs w:val="24"/>
        </w:rPr>
        <w:t>,</w:t>
      </w:r>
      <w:r>
        <w:rPr>
          <w:rFonts w:ascii="Calibri" w:hAnsi="Calibri" w:cs="Calibri"/>
          <w:sz w:val="24"/>
          <w:szCs w:val="24"/>
        </w:rPr>
        <w:t xml:space="preserve"> and affirm that the sharing through dialogue is essential for their own growth and well-being. </w:t>
      </w:r>
    </w:p>
    <w:p w14:paraId="73BC5B9D" w14:textId="080B2884" w:rsidR="001872B0" w:rsidRPr="00E318B1" w:rsidRDefault="001872B0" w:rsidP="00387DD0">
      <w:pPr>
        <w:spacing w:line="360" w:lineRule="auto"/>
        <w:rPr>
          <w:rFonts w:ascii="Calibri" w:hAnsi="Calibri" w:cs="Calibri"/>
          <w:sz w:val="24"/>
          <w:szCs w:val="24"/>
        </w:rPr>
      </w:pPr>
      <w:r>
        <w:rPr>
          <w:rFonts w:ascii="Calibri" w:hAnsi="Calibri" w:cs="Calibri"/>
          <w:sz w:val="24"/>
          <w:szCs w:val="24"/>
        </w:rPr>
        <w:t xml:space="preserve">Eager to explore the notion of dialogue further, participants were asked about who they reflected with. Laura reflects with colleagues at work, </w:t>
      </w:r>
      <w:r w:rsidRPr="00E318B1">
        <w:rPr>
          <w:rFonts w:ascii="Calibri" w:hAnsi="Calibri" w:cs="Calibri"/>
          <w:sz w:val="24"/>
          <w:szCs w:val="24"/>
        </w:rPr>
        <w:t>and when having a challenging time,</w:t>
      </w:r>
      <w:r>
        <w:rPr>
          <w:rFonts w:ascii="Calibri" w:hAnsi="Calibri" w:cs="Calibri"/>
          <w:sz w:val="24"/>
          <w:szCs w:val="24"/>
        </w:rPr>
        <w:t xml:space="preserve"> she has lunch with them and debriefs collaboratively. The process is one of</w:t>
      </w:r>
      <w:r w:rsidRPr="00E318B1">
        <w:rPr>
          <w:rFonts w:ascii="Calibri" w:hAnsi="Calibri" w:cs="Calibri"/>
          <w:sz w:val="24"/>
          <w:szCs w:val="24"/>
        </w:rPr>
        <w:t xml:space="preserve"> emotional sharing</w:t>
      </w:r>
      <w:r>
        <w:rPr>
          <w:rFonts w:ascii="Calibri" w:hAnsi="Calibri" w:cs="Calibri"/>
          <w:sz w:val="24"/>
          <w:szCs w:val="24"/>
        </w:rPr>
        <w:t xml:space="preserve"> (T1). Sophie has a friend who is a compassion-focussed therapist, well versed in reflective practice and through their shared dialogue, she gains an understanding of the feelings of all parties involved  “</w:t>
      </w:r>
      <w:r w:rsidR="00C93E87">
        <w:rPr>
          <w:rFonts w:ascii="Calibri" w:hAnsi="Calibri" w:cs="Calibri"/>
          <w:i/>
          <w:iCs/>
          <w:sz w:val="24"/>
          <w:szCs w:val="24"/>
        </w:rPr>
        <w:t>I</w:t>
      </w:r>
      <w:r w:rsidRPr="005968C4">
        <w:rPr>
          <w:rFonts w:ascii="Calibri" w:hAnsi="Calibri" w:cs="Calibri"/>
          <w:i/>
          <w:iCs/>
          <w:sz w:val="24"/>
          <w:szCs w:val="24"/>
        </w:rPr>
        <w:t>t really helps me to step out of it, to understand why people behave in certain ways which validates me, helps me to regulate and understand how to respond potentially to the situation</w:t>
      </w:r>
      <w:r>
        <w:rPr>
          <w:rFonts w:ascii="Calibri" w:hAnsi="Calibri" w:cs="Calibri"/>
          <w:sz w:val="24"/>
          <w:szCs w:val="24"/>
        </w:rPr>
        <w:t>” (</w:t>
      </w:r>
      <w:r w:rsidR="00D504C3">
        <w:rPr>
          <w:rFonts w:ascii="Calibri" w:hAnsi="Calibri" w:cs="Calibri"/>
          <w:sz w:val="24"/>
          <w:szCs w:val="24"/>
        </w:rPr>
        <w:t xml:space="preserve">Sophie, </w:t>
      </w:r>
      <w:r>
        <w:rPr>
          <w:rFonts w:ascii="Calibri" w:hAnsi="Calibri" w:cs="Calibri"/>
          <w:sz w:val="24"/>
          <w:szCs w:val="24"/>
        </w:rPr>
        <w:t>T1, p.9, par 18)</w:t>
      </w:r>
    </w:p>
    <w:p w14:paraId="1C138455" w14:textId="61AC0A05" w:rsidR="001872B0" w:rsidRDefault="001872B0" w:rsidP="00FD54CE">
      <w:pPr>
        <w:spacing w:line="360" w:lineRule="auto"/>
        <w:rPr>
          <w:rFonts w:ascii="Calibri" w:hAnsi="Calibri" w:cs="Calibri"/>
          <w:sz w:val="24"/>
          <w:szCs w:val="24"/>
        </w:rPr>
      </w:pPr>
      <w:r>
        <w:rPr>
          <w:rFonts w:ascii="Calibri" w:hAnsi="Calibri" w:cs="Calibri"/>
          <w:sz w:val="24"/>
          <w:szCs w:val="24"/>
        </w:rPr>
        <w:t>Reflection allows Laura and Sophie to question, understand, debrief, critically evaluate and regulate in a dialogic space replete with emotionally sharing with others. This affirm</w:t>
      </w:r>
      <w:r w:rsidR="00534982">
        <w:rPr>
          <w:rFonts w:ascii="Calibri" w:hAnsi="Calibri" w:cs="Calibri"/>
          <w:sz w:val="24"/>
          <w:szCs w:val="24"/>
        </w:rPr>
        <w:t>s</w:t>
      </w:r>
      <w:r>
        <w:rPr>
          <w:rFonts w:ascii="Calibri" w:hAnsi="Calibri" w:cs="Calibri"/>
          <w:sz w:val="24"/>
          <w:szCs w:val="24"/>
        </w:rPr>
        <w:t xml:space="preserve"> that </w:t>
      </w:r>
      <w:r w:rsidRPr="002B0EEE">
        <w:rPr>
          <w:rFonts w:ascii="Calibri" w:eastAsia="Calibri" w:hAnsi="Calibri" w:cs="Times New Roman"/>
          <w:sz w:val="24"/>
          <w:szCs w:val="24"/>
        </w:rPr>
        <w:t xml:space="preserve">emotions are </w:t>
      </w:r>
      <w:r>
        <w:rPr>
          <w:rFonts w:ascii="Calibri" w:eastAsia="Calibri" w:hAnsi="Calibri" w:cs="Times New Roman"/>
          <w:sz w:val="24"/>
          <w:szCs w:val="24"/>
        </w:rPr>
        <w:t xml:space="preserve">part of the reflective process and </w:t>
      </w:r>
      <w:r w:rsidRPr="002B0EEE">
        <w:rPr>
          <w:rFonts w:ascii="Calibri" w:eastAsia="Calibri" w:hAnsi="Calibri" w:cs="Times New Roman"/>
          <w:sz w:val="24"/>
          <w:szCs w:val="24"/>
        </w:rPr>
        <w:t>evaluation of situations (Archer, 2010)</w:t>
      </w:r>
      <w:r>
        <w:rPr>
          <w:rFonts w:ascii="Calibri" w:eastAsia="Calibri" w:hAnsi="Calibri" w:cs="Times New Roman"/>
          <w:sz w:val="24"/>
          <w:szCs w:val="24"/>
        </w:rPr>
        <w:t xml:space="preserve"> which takes place within a trusted circle of friends or colleagues</w:t>
      </w:r>
      <w:r w:rsidRPr="002B0EEE">
        <w:rPr>
          <w:rFonts w:ascii="Calibri" w:eastAsia="Calibri" w:hAnsi="Calibri" w:cs="Times New Roman"/>
          <w:sz w:val="24"/>
          <w:szCs w:val="24"/>
        </w:rPr>
        <w:t xml:space="preserve">. </w:t>
      </w:r>
      <w:r w:rsidRPr="002F7FF8">
        <w:rPr>
          <w:rFonts w:ascii="Calibri" w:hAnsi="Calibri" w:cs="Calibri"/>
          <w:sz w:val="24"/>
          <w:szCs w:val="24"/>
        </w:rPr>
        <w:t>As Light, Cox and Calkins (2001) note</w:t>
      </w:r>
      <w:r>
        <w:rPr>
          <w:rFonts w:ascii="Calibri" w:hAnsi="Calibri" w:cs="Calibri"/>
          <w:sz w:val="24"/>
          <w:szCs w:val="24"/>
        </w:rPr>
        <w:t xml:space="preserve"> within academic circles and </w:t>
      </w:r>
      <w:r w:rsidR="00B25151">
        <w:rPr>
          <w:rFonts w:ascii="Calibri" w:hAnsi="Calibri" w:cs="Calibri"/>
          <w:sz w:val="24"/>
          <w:szCs w:val="24"/>
        </w:rPr>
        <w:t>discourse:</w:t>
      </w:r>
      <w:r w:rsidRPr="002F7FF8">
        <w:rPr>
          <w:rFonts w:ascii="Calibri" w:hAnsi="Calibri" w:cs="Calibri"/>
          <w:sz w:val="24"/>
          <w:szCs w:val="24"/>
        </w:rPr>
        <w:t xml:space="preserve"> </w:t>
      </w:r>
      <w:r>
        <w:rPr>
          <w:rFonts w:ascii="Calibri" w:hAnsi="Calibri" w:cs="Calibri"/>
          <w:sz w:val="24"/>
          <w:szCs w:val="24"/>
        </w:rPr>
        <w:t>“</w:t>
      </w:r>
      <w:r w:rsidRPr="002F7FF8">
        <w:rPr>
          <w:rFonts w:ascii="Calibri" w:hAnsi="Calibri" w:cs="Calibri"/>
          <w:sz w:val="24"/>
          <w:szCs w:val="24"/>
        </w:rPr>
        <w:t>Dialogue characterizes all forms of human communication an</w:t>
      </w:r>
      <w:r>
        <w:rPr>
          <w:rFonts w:ascii="Calibri" w:hAnsi="Calibri" w:cs="Calibri"/>
          <w:sz w:val="24"/>
          <w:szCs w:val="24"/>
        </w:rPr>
        <w:t xml:space="preserve">d </w:t>
      </w:r>
      <w:r w:rsidRPr="002F7FF8">
        <w:rPr>
          <w:rFonts w:ascii="Calibri" w:hAnsi="Calibri" w:cs="Calibri"/>
          <w:sz w:val="24"/>
          <w:szCs w:val="24"/>
        </w:rPr>
        <w:t>is therefore critical to the active construction and exchange of knowledge</w:t>
      </w:r>
      <w:r>
        <w:rPr>
          <w:rFonts w:ascii="Calibri" w:hAnsi="Calibri" w:cs="Calibri"/>
          <w:sz w:val="24"/>
          <w:szCs w:val="24"/>
        </w:rPr>
        <w:t>”</w:t>
      </w:r>
      <w:r w:rsidRPr="002F7FF8">
        <w:rPr>
          <w:rFonts w:ascii="Calibri" w:hAnsi="Calibri" w:cs="Calibri"/>
          <w:sz w:val="24"/>
          <w:szCs w:val="24"/>
        </w:rPr>
        <w:t xml:space="preserve"> (p.25)</w:t>
      </w:r>
      <w:r>
        <w:rPr>
          <w:rFonts w:ascii="Calibri" w:hAnsi="Calibri" w:cs="Calibri"/>
          <w:sz w:val="24"/>
          <w:szCs w:val="24"/>
        </w:rPr>
        <w:t>. The academic</w:t>
      </w:r>
      <w:r w:rsidRPr="002F7FF8">
        <w:rPr>
          <w:rFonts w:ascii="Calibri" w:hAnsi="Calibri" w:cs="Calibri"/>
          <w:sz w:val="24"/>
          <w:szCs w:val="24"/>
        </w:rPr>
        <w:t xml:space="preserve"> world shapes the teachers’ professional experiences and “characterises the student-teacher encounter before a word is even exchanged” (</w:t>
      </w:r>
      <w:r w:rsidR="00AB1ADC">
        <w:rPr>
          <w:rFonts w:ascii="Calibri" w:hAnsi="Calibri" w:cs="Calibri"/>
          <w:sz w:val="24"/>
          <w:szCs w:val="24"/>
        </w:rPr>
        <w:t>ibid.</w:t>
      </w:r>
      <w:r w:rsidRPr="002F7FF8">
        <w:rPr>
          <w:rFonts w:ascii="Calibri" w:hAnsi="Calibri" w:cs="Calibri"/>
          <w:sz w:val="24"/>
          <w:szCs w:val="24"/>
        </w:rPr>
        <w:t xml:space="preserve">). </w:t>
      </w:r>
      <w:r w:rsidRPr="002F7FF8">
        <w:rPr>
          <w:rFonts w:ascii="Calibri" w:hAnsi="Calibri" w:cs="Calibri"/>
          <w:sz w:val="24"/>
          <w:szCs w:val="24"/>
        </w:rPr>
        <w:lastRenderedPageBreak/>
        <w:t>Dialogue with others, collaborative reflection (McKay, 200</w:t>
      </w:r>
      <w:r>
        <w:rPr>
          <w:rFonts w:ascii="Calibri" w:hAnsi="Calibri" w:cs="Calibri"/>
          <w:sz w:val="24"/>
          <w:szCs w:val="24"/>
        </w:rPr>
        <w:t>8</w:t>
      </w:r>
      <w:r w:rsidRPr="002F7FF8">
        <w:rPr>
          <w:rFonts w:ascii="Calibri" w:hAnsi="Calibri" w:cs="Calibri"/>
          <w:sz w:val="24"/>
          <w:szCs w:val="24"/>
        </w:rPr>
        <w:t xml:space="preserve">), is productive reflection </w:t>
      </w:r>
      <w:bookmarkStart w:id="75" w:name="_Hlk198821737"/>
      <w:r w:rsidRPr="002F7FF8">
        <w:rPr>
          <w:rFonts w:ascii="Calibri" w:hAnsi="Calibri" w:cs="Calibri"/>
          <w:sz w:val="24"/>
          <w:szCs w:val="24"/>
        </w:rPr>
        <w:t>(Boud, 2006), action with others and for others, the service users, organisation and wider society (Ashcroft and Foreman-Peck, 1994</w:t>
      </w:r>
      <w:r>
        <w:rPr>
          <w:rFonts w:ascii="Calibri" w:hAnsi="Calibri" w:cs="Calibri"/>
          <w:sz w:val="24"/>
          <w:szCs w:val="24"/>
        </w:rPr>
        <w:t>;</w:t>
      </w:r>
      <w:r w:rsidRPr="005B6FD4">
        <w:rPr>
          <w:rFonts w:ascii="Calibri" w:hAnsi="Calibri" w:cs="Calibri"/>
          <w:sz w:val="24"/>
          <w:szCs w:val="24"/>
        </w:rPr>
        <w:t xml:space="preserve"> Cressey and Boud, 2006</w:t>
      </w:r>
      <w:r w:rsidRPr="002F7FF8">
        <w:rPr>
          <w:rFonts w:ascii="Calibri" w:hAnsi="Calibri" w:cs="Calibri"/>
          <w:sz w:val="24"/>
          <w:szCs w:val="24"/>
        </w:rPr>
        <w:t>).</w:t>
      </w:r>
      <w:bookmarkEnd w:id="75"/>
      <w:r w:rsidRPr="002F7FF8">
        <w:rPr>
          <w:rFonts w:ascii="Calibri" w:hAnsi="Calibri" w:cs="Calibri"/>
          <w:sz w:val="24"/>
          <w:szCs w:val="24"/>
        </w:rPr>
        <w:t xml:space="preserve"> </w:t>
      </w:r>
      <w:r>
        <w:rPr>
          <w:rFonts w:ascii="Calibri" w:hAnsi="Calibri" w:cs="Calibri"/>
          <w:sz w:val="24"/>
          <w:szCs w:val="24"/>
        </w:rPr>
        <w:t>As affirmed by these participants</w:t>
      </w:r>
      <w:r w:rsidR="001D4157">
        <w:rPr>
          <w:rFonts w:ascii="Calibri" w:hAnsi="Calibri" w:cs="Calibri"/>
          <w:sz w:val="24"/>
          <w:szCs w:val="24"/>
        </w:rPr>
        <w:t>,</w:t>
      </w:r>
      <w:r>
        <w:rPr>
          <w:rFonts w:ascii="Calibri" w:hAnsi="Calibri" w:cs="Calibri"/>
          <w:sz w:val="24"/>
          <w:szCs w:val="24"/>
        </w:rPr>
        <w:t xml:space="preserve"> t</w:t>
      </w:r>
      <w:r w:rsidRPr="002F7FF8">
        <w:rPr>
          <w:rFonts w:ascii="Calibri" w:hAnsi="Calibri" w:cs="Calibri"/>
          <w:sz w:val="24"/>
          <w:szCs w:val="24"/>
        </w:rPr>
        <w:t>his professional dialogue</w:t>
      </w:r>
      <w:r>
        <w:rPr>
          <w:rFonts w:ascii="Calibri" w:hAnsi="Calibri" w:cs="Calibri"/>
          <w:sz w:val="24"/>
          <w:szCs w:val="24"/>
        </w:rPr>
        <w:t xml:space="preserve"> </w:t>
      </w:r>
      <w:r w:rsidRPr="002F7FF8">
        <w:rPr>
          <w:rFonts w:ascii="Calibri" w:hAnsi="Calibri" w:cs="Calibri"/>
          <w:sz w:val="24"/>
          <w:szCs w:val="24"/>
        </w:rPr>
        <w:t xml:space="preserve">is only possible with trusted colleagues, </w:t>
      </w:r>
      <w:r>
        <w:rPr>
          <w:rFonts w:ascii="Calibri" w:hAnsi="Calibri" w:cs="Calibri"/>
          <w:sz w:val="24"/>
          <w:szCs w:val="24"/>
        </w:rPr>
        <w:t xml:space="preserve">implying that </w:t>
      </w:r>
      <w:r w:rsidRPr="002F7FF8">
        <w:rPr>
          <w:rFonts w:ascii="Calibri" w:hAnsi="Calibri" w:cs="Calibri"/>
          <w:sz w:val="24"/>
          <w:szCs w:val="24"/>
        </w:rPr>
        <w:t>not all can be trusted.</w:t>
      </w:r>
      <w:r>
        <w:rPr>
          <w:rFonts w:ascii="Calibri" w:hAnsi="Calibri" w:cs="Calibri"/>
          <w:sz w:val="24"/>
          <w:szCs w:val="24"/>
        </w:rPr>
        <w:t xml:space="preserve"> As noted by Mo, who utilises professional dialogue in a small team of colleagues: “</w:t>
      </w:r>
      <w:r w:rsidRPr="005968C4">
        <w:rPr>
          <w:rFonts w:ascii="Calibri" w:hAnsi="Calibri" w:cs="Calibri"/>
          <w:i/>
          <w:iCs/>
          <w:sz w:val="24"/>
          <w:szCs w:val="24"/>
        </w:rPr>
        <w:t>All of them are trusted colleagues but in the line of George Orwell, ‘some are more trusted than others</w:t>
      </w:r>
      <w:r w:rsidR="00602FFD" w:rsidRPr="005968C4">
        <w:rPr>
          <w:rFonts w:ascii="Calibri" w:hAnsi="Calibri" w:cs="Calibri"/>
          <w:i/>
          <w:iCs/>
          <w:sz w:val="24"/>
          <w:szCs w:val="24"/>
        </w:rPr>
        <w:t>’</w:t>
      </w:r>
      <w:r w:rsidR="00602FFD">
        <w:rPr>
          <w:rFonts w:ascii="Calibri" w:hAnsi="Calibri" w:cs="Calibri"/>
          <w:i/>
          <w:iCs/>
          <w:sz w:val="24"/>
          <w:szCs w:val="24"/>
        </w:rPr>
        <w:t>”</w:t>
      </w:r>
      <w:r>
        <w:rPr>
          <w:rFonts w:ascii="Calibri" w:hAnsi="Calibri" w:cs="Calibri"/>
          <w:sz w:val="24"/>
          <w:szCs w:val="24"/>
        </w:rPr>
        <w:t xml:space="preserve"> (</w:t>
      </w:r>
      <w:r w:rsidR="00AD291B">
        <w:rPr>
          <w:rFonts w:ascii="Calibri" w:hAnsi="Calibri" w:cs="Calibri"/>
          <w:sz w:val="24"/>
          <w:szCs w:val="24"/>
        </w:rPr>
        <w:t xml:space="preserve">Mo, </w:t>
      </w:r>
      <w:r>
        <w:rPr>
          <w:rFonts w:ascii="Calibri" w:hAnsi="Calibri" w:cs="Calibri"/>
          <w:sz w:val="24"/>
          <w:szCs w:val="24"/>
        </w:rPr>
        <w:t>T1, p.11, par 4)</w:t>
      </w:r>
      <w:r w:rsidRPr="00E8728A">
        <w:rPr>
          <w:rFonts w:ascii="Calibri" w:hAnsi="Calibri" w:cs="Calibri"/>
          <w:sz w:val="24"/>
          <w:szCs w:val="24"/>
        </w:rPr>
        <w:t>.</w:t>
      </w:r>
    </w:p>
    <w:p w14:paraId="33C872BE" w14:textId="29D1BC98" w:rsidR="001872B0" w:rsidRDefault="001872B0" w:rsidP="002776B7">
      <w:pPr>
        <w:spacing w:line="360" w:lineRule="auto"/>
        <w:rPr>
          <w:rFonts w:ascii="Calibri" w:hAnsi="Calibri" w:cs="Calibri"/>
          <w:sz w:val="24"/>
          <w:szCs w:val="24"/>
        </w:rPr>
      </w:pPr>
      <w:r w:rsidRPr="002F7FF8">
        <w:rPr>
          <w:rFonts w:ascii="Calibri" w:hAnsi="Calibri" w:cs="Calibri"/>
          <w:sz w:val="24"/>
          <w:szCs w:val="24"/>
        </w:rPr>
        <w:t xml:space="preserve">Highlighting fear within the political university context as a factor that contributes to perils for the teacher (Brookfield, 1995; Fleming, 2021), </w:t>
      </w:r>
      <w:r>
        <w:rPr>
          <w:rFonts w:ascii="Calibri" w:hAnsi="Calibri" w:cs="Calibri"/>
          <w:sz w:val="24"/>
          <w:szCs w:val="24"/>
        </w:rPr>
        <w:t xml:space="preserve">the findings affirm that </w:t>
      </w:r>
      <w:r w:rsidRPr="002F7FF8">
        <w:rPr>
          <w:rFonts w:ascii="Calibri" w:hAnsi="Calibri" w:cs="Calibri"/>
          <w:sz w:val="24"/>
          <w:szCs w:val="24"/>
        </w:rPr>
        <w:t xml:space="preserve">trust (Erikson, 1993) is an essential factor in the facilitating of professional dialogue. </w:t>
      </w:r>
      <w:r w:rsidRPr="00B757A7">
        <w:rPr>
          <w:rFonts w:ascii="Calibri" w:hAnsi="Calibri" w:cs="Calibri"/>
          <w:sz w:val="24"/>
          <w:szCs w:val="24"/>
        </w:rPr>
        <w:t xml:space="preserve">Liz describes the importance of a trusted </w:t>
      </w:r>
      <w:r>
        <w:rPr>
          <w:rFonts w:ascii="Calibri" w:hAnsi="Calibri" w:cs="Calibri"/>
          <w:sz w:val="24"/>
          <w:szCs w:val="24"/>
        </w:rPr>
        <w:t>“</w:t>
      </w:r>
      <w:r w:rsidRPr="00B757A7">
        <w:rPr>
          <w:rFonts w:ascii="Calibri" w:hAnsi="Calibri" w:cs="Calibri"/>
          <w:sz w:val="24"/>
          <w:szCs w:val="24"/>
        </w:rPr>
        <w:t>other</w:t>
      </w:r>
      <w:r>
        <w:rPr>
          <w:rFonts w:ascii="Calibri" w:hAnsi="Calibri" w:cs="Calibri"/>
          <w:sz w:val="24"/>
          <w:szCs w:val="24"/>
        </w:rPr>
        <w:t>”</w:t>
      </w:r>
      <w:r w:rsidRPr="00B757A7">
        <w:rPr>
          <w:rFonts w:ascii="Calibri" w:hAnsi="Calibri" w:cs="Calibri"/>
          <w:sz w:val="24"/>
          <w:szCs w:val="24"/>
        </w:rPr>
        <w:t xml:space="preserve"> who holds her in the reflective process to mitigate against difficulties encountered in the work and be a form of reassurance</w:t>
      </w:r>
      <w:r>
        <w:rPr>
          <w:rFonts w:ascii="Calibri" w:hAnsi="Calibri" w:cs="Calibri"/>
          <w:sz w:val="24"/>
          <w:szCs w:val="24"/>
        </w:rPr>
        <w:t xml:space="preserve"> (T1)</w:t>
      </w:r>
      <w:r w:rsidRPr="00B757A7">
        <w:rPr>
          <w:rFonts w:ascii="Calibri" w:hAnsi="Calibri" w:cs="Calibri"/>
          <w:sz w:val="24"/>
          <w:szCs w:val="24"/>
        </w:rPr>
        <w:t>.</w:t>
      </w:r>
      <w:r>
        <w:rPr>
          <w:rFonts w:ascii="Calibri" w:hAnsi="Calibri" w:cs="Calibri"/>
          <w:sz w:val="24"/>
          <w:szCs w:val="24"/>
        </w:rPr>
        <w:t xml:space="preserve"> </w:t>
      </w:r>
      <w:r w:rsidRPr="00006F61">
        <w:rPr>
          <w:rFonts w:ascii="Calibri" w:hAnsi="Calibri" w:cs="Calibri"/>
          <w:sz w:val="24"/>
          <w:szCs w:val="24"/>
        </w:rPr>
        <w:t>Brookfield (1995) suggests that teaching colleagues can serve as critical mirrors to reflect images of the teacher</w:t>
      </w:r>
      <w:r w:rsidR="00AD291B">
        <w:rPr>
          <w:rFonts w:ascii="Calibri" w:hAnsi="Calibri" w:cs="Calibri"/>
          <w:sz w:val="24"/>
          <w:szCs w:val="24"/>
        </w:rPr>
        <w:t>’</w:t>
      </w:r>
      <w:r w:rsidRPr="00006F61">
        <w:rPr>
          <w:rFonts w:ascii="Calibri" w:hAnsi="Calibri" w:cs="Calibri"/>
          <w:sz w:val="24"/>
          <w:szCs w:val="24"/>
        </w:rPr>
        <w:t>s actions that are often not known to the teacher themselves until the trusted other reflects them back. The process is “a collective endeavour” (</w:t>
      </w:r>
      <w:r w:rsidR="00AB1ADC">
        <w:rPr>
          <w:rFonts w:ascii="Calibri" w:hAnsi="Calibri" w:cs="Calibri"/>
          <w:sz w:val="24"/>
          <w:szCs w:val="24"/>
        </w:rPr>
        <w:t>ibid.</w:t>
      </w:r>
      <w:r w:rsidRPr="00006F61">
        <w:rPr>
          <w:rFonts w:ascii="Calibri" w:hAnsi="Calibri" w:cs="Calibri"/>
          <w:sz w:val="24"/>
          <w:szCs w:val="24"/>
        </w:rPr>
        <w:t>, p.36). In this process of openly dialoguing with work colleagues, teachers can check, reframe, and broaden their theories of practice (</w:t>
      </w:r>
      <w:r w:rsidR="00AB1ADC">
        <w:rPr>
          <w:rFonts w:ascii="Calibri" w:hAnsi="Calibri" w:cs="Calibri"/>
          <w:sz w:val="24"/>
          <w:szCs w:val="24"/>
        </w:rPr>
        <w:t>ibid.</w:t>
      </w:r>
      <w:r w:rsidRPr="00006F61">
        <w:rPr>
          <w:rFonts w:ascii="Calibri" w:hAnsi="Calibri" w:cs="Calibri"/>
          <w:sz w:val="24"/>
          <w:szCs w:val="24"/>
        </w:rPr>
        <w:t xml:space="preserve">). </w:t>
      </w:r>
      <w:r w:rsidRPr="00B757A7">
        <w:rPr>
          <w:rFonts w:ascii="Calibri" w:hAnsi="Calibri" w:cs="Calibri"/>
          <w:sz w:val="24"/>
          <w:szCs w:val="24"/>
        </w:rPr>
        <w:t xml:space="preserve"> </w:t>
      </w:r>
    </w:p>
    <w:p w14:paraId="3E1EA8CE" w14:textId="77777777" w:rsidR="006E7165" w:rsidRDefault="001872B0" w:rsidP="00006F61">
      <w:pPr>
        <w:spacing w:line="360" w:lineRule="auto"/>
        <w:rPr>
          <w:rFonts w:ascii="Calibri" w:hAnsi="Calibri" w:cs="Calibri"/>
          <w:sz w:val="24"/>
          <w:szCs w:val="24"/>
        </w:rPr>
      </w:pPr>
      <w:r>
        <w:rPr>
          <w:rFonts w:ascii="Calibri" w:hAnsi="Calibri" w:cs="Calibri"/>
          <w:sz w:val="24"/>
          <w:szCs w:val="24"/>
        </w:rPr>
        <w:t>Of dialogue with other professionals, hooks (1994) states that: “To engage in dialogue is one of the simplest ways we can begin as teachers, scholars and critical thinkers to cross boundaries” (p. 130), and yet there are clearly barriers to open dialogue in teachers’ work environ</w:t>
      </w:r>
      <w:r w:rsidR="00D66135">
        <w:rPr>
          <w:rFonts w:ascii="Calibri" w:hAnsi="Calibri" w:cs="Calibri"/>
          <w:sz w:val="24"/>
          <w:szCs w:val="24"/>
        </w:rPr>
        <w:t>,</w:t>
      </w:r>
      <w:r>
        <w:rPr>
          <w:rFonts w:ascii="Calibri" w:hAnsi="Calibri" w:cs="Calibri"/>
          <w:sz w:val="24"/>
          <w:szCs w:val="24"/>
        </w:rPr>
        <w:t xml:space="preserve"> and in the culture. Cultural barriers include: “a culture that silences them [teachers] by a set of oppressive mechanisms” (Richert, 1992, p.193). A culture of individualism, silence, and secrecy (Brookfield, 1995) is not conducive to professional dialoguing: “Where a culture of secrecy exists, reflection is doomed” (p.251). </w:t>
      </w:r>
      <w:r w:rsidRPr="009365C2">
        <w:rPr>
          <w:rFonts w:ascii="Calibri" w:hAnsi="Calibri" w:cs="Calibri"/>
          <w:sz w:val="24"/>
          <w:szCs w:val="24"/>
        </w:rPr>
        <w:t>Although it is desirable to reflect with colleagues, teachers in this study have a view that this is not always possible.</w:t>
      </w:r>
      <w:r>
        <w:rPr>
          <w:rFonts w:ascii="Calibri" w:hAnsi="Calibri" w:cs="Calibri"/>
          <w:sz w:val="24"/>
          <w:szCs w:val="24"/>
        </w:rPr>
        <w:t xml:space="preserve"> As most of the participants have highlighted, sharing was only possible with trusted friends or colleagues which suggests a discernment on their behalf regarding conditions of space and dialogue, and that the institutional political dialogue is something they may be wary of (Fleming, 2021). </w:t>
      </w:r>
    </w:p>
    <w:p w14:paraId="4BF6F254" w14:textId="05444A7D" w:rsidR="001872B0" w:rsidRDefault="001872B0" w:rsidP="00006F61">
      <w:pPr>
        <w:spacing w:line="360" w:lineRule="auto"/>
        <w:rPr>
          <w:rFonts w:ascii="Calibri" w:hAnsi="Calibri" w:cs="Calibri"/>
          <w:sz w:val="24"/>
          <w:szCs w:val="24"/>
        </w:rPr>
      </w:pPr>
      <w:r>
        <w:rPr>
          <w:rFonts w:ascii="Calibri" w:hAnsi="Calibri" w:cs="Calibri"/>
          <w:sz w:val="24"/>
          <w:szCs w:val="24"/>
        </w:rPr>
        <w:lastRenderedPageBreak/>
        <w:t xml:space="preserve">According to Light </w:t>
      </w:r>
      <w:r w:rsidR="00FB3A6E" w:rsidRPr="00FB3A6E">
        <w:rPr>
          <w:rFonts w:ascii="Calibri" w:hAnsi="Calibri" w:cs="Calibri"/>
          <w:i/>
          <w:sz w:val="24"/>
          <w:szCs w:val="24"/>
        </w:rPr>
        <w:t>et al.</w:t>
      </w:r>
      <w:r>
        <w:rPr>
          <w:rFonts w:ascii="Calibri" w:hAnsi="Calibri" w:cs="Calibri"/>
          <w:sz w:val="24"/>
          <w:szCs w:val="24"/>
        </w:rPr>
        <w:t xml:space="preserve"> (2001) space to reflect in a work context is not always neutral, therefore dialogue with work colleagues may not always be possible or yield positive results. By engaging in reflection and dialogue with peers to change their practice, teachers are potentially being “whistle blowers on the culture of stasis” (Brookfield, 1995, p.235). Using reflective dialogue for their own growth and that of their students is an act of courage and is a creative process that represents a high degree of emotional health to self-actualise. “</w:t>
      </w:r>
      <w:r w:rsidRPr="00D01E9A">
        <w:rPr>
          <w:rFonts w:ascii="Calibri" w:hAnsi="Calibri" w:cs="Calibri"/>
          <w:sz w:val="24"/>
          <w:szCs w:val="24"/>
        </w:rPr>
        <w:t>Authoritative opinion is often against the pioneer</w:t>
      </w:r>
      <w:r>
        <w:rPr>
          <w:rFonts w:ascii="Calibri" w:hAnsi="Calibri" w:cs="Calibri"/>
          <w:sz w:val="24"/>
          <w:szCs w:val="24"/>
        </w:rPr>
        <w:t>“ writes</w:t>
      </w:r>
      <w:r w:rsidRPr="00D01E9A">
        <w:rPr>
          <w:rFonts w:ascii="Calibri" w:hAnsi="Calibri" w:cs="Calibri"/>
          <w:sz w:val="24"/>
          <w:szCs w:val="24"/>
        </w:rPr>
        <w:t xml:space="preserve"> Gunn (1940)</w:t>
      </w:r>
      <w:r>
        <w:rPr>
          <w:rFonts w:ascii="Calibri" w:hAnsi="Calibri" w:cs="Calibri"/>
          <w:sz w:val="24"/>
          <w:szCs w:val="24"/>
        </w:rPr>
        <w:t>, and the professional artistry (</w:t>
      </w:r>
      <w:r w:rsidR="00A54E9A" w:rsidRPr="00A54E9A">
        <w:rPr>
          <w:rFonts w:ascii="Calibri" w:hAnsi="Calibri" w:cs="Calibri"/>
          <w:sz w:val="24"/>
          <w:szCs w:val="24"/>
        </w:rPr>
        <w:t>Schὂn</w:t>
      </w:r>
      <w:r>
        <w:rPr>
          <w:rFonts w:ascii="Calibri" w:hAnsi="Calibri" w:cs="Calibri"/>
          <w:sz w:val="24"/>
          <w:szCs w:val="24"/>
        </w:rPr>
        <w:t>, 1983) of a teacher-pioneer, one who is willing to creatively engage in changing the self, their praxis and the teaching culture might not be welcome.  A pioneer can be seen as a “menace to conformity” (May, 1975, p.73), a threat to the political power assembly line (</w:t>
      </w:r>
      <w:r w:rsidR="00AB1ADC">
        <w:rPr>
          <w:rFonts w:ascii="Calibri" w:hAnsi="Calibri" w:cs="Calibri"/>
          <w:sz w:val="24"/>
          <w:szCs w:val="24"/>
        </w:rPr>
        <w:t>ibid.</w:t>
      </w:r>
      <w:r>
        <w:rPr>
          <w:rFonts w:ascii="Calibri" w:hAnsi="Calibri" w:cs="Calibri"/>
          <w:sz w:val="24"/>
          <w:szCs w:val="24"/>
        </w:rPr>
        <w:t xml:space="preserve">), and I am mindful that the findings have affirmed that the political milieu, culture and environ may not always encourage the creativity of the teacher-reflector-pioneer. </w:t>
      </w:r>
    </w:p>
    <w:p w14:paraId="5BBB704F" w14:textId="715047A5" w:rsidR="001872B0" w:rsidRPr="00E03461" w:rsidRDefault="009A2AA3" w:rsidP="00C04068">
      <w:pPr>
        <w:rPr>
          <w:rFonts w:ascii="Calibri" w:hAnsi="Calibri" w:cs="Calibri"/>
          <w:b/>
          <w:bCs/>
          <w:sz w:val="24"/>
          <w:szCs w:val="24"/>
        </w:rPr>
      </w:pPr>
      <w:r>
        <w:rPr>
          <w:rFonts w:ascii="Calibri" w:hAnsi="Calibri" w:cs="Calibri"/>
          <w:b/>
          <w:bCs/>
          <w:sz w:val="24"/>
          <w:szCs w:val="24"/>
        </w:rPr>
        <w:t xml:space="preserve">Summary </w:t>
      </w:r>
    </w:p>
    <w:p w14:paraId="40D060D7" w14:textId="0D37120D" w:rsidR="001872B0" w:rsidRDefault="001872B0" w:rsidP="00AF6CB0">
      <w:pPr>
        <w:spacing w:line="360" w:lineRule="auto"/>
        <w:rPr>
          <w:rFonts w:ascii="Calibri" w:hAnsi="Calibri" w:cs="Calibri"/>
          <w:sz w:val="24"/>
          <w:szCs w:val="24"/>
        </w:rPr>
      </w:pPr>
      <w:r>
        <w:rPr>
          <w:rFonts w:ascii="Calibri" w:hAnsi="Calibri" w:cs="Calibri"/>
          <w:sz w:val="24"/>
          <w:szCs w:val="24"/>
        </w:rPr>
        <w:t xml:space="preserve">The findings suggest that for most of the participants the depth, practical relevance and application of reflective practice was largely missing in their teacher trainings. Despite not being taught the aims, purpose and understanding of reflection, participants lacking this knowledge actively reflected with self-selected others. </w:t>
      </w:r>
      <w:r w:rsidRPr="00236734">
        <w:rPr>
          <w:rFonts w:ascii="Calibri" w:hAnsi="Calibri" w:cs="Calibri"/>
          <w:sz w:val="24"/>
          <w:szCs w:val="24"/>
        </w:rPr>
        <w:t>A consensus in these findings crystallise</w:t>
      </w:r>
      <w:r>
        <w:rPr>
          <w:rFonts w:ascii="Calibri" w:hAnsi="Calibri" w:cs="Calibri"/>
          <w:sz w:val="24"/>
          <w:szCs w:val="24"/>
        </w:rPr>
        <w:t>s</w:t>
      </w:r>
      <w:r w:rsidRPr="00236734">
        <w:rPr>
          <w:rFonts w:ascii="Calibri" w:hAnsi="Calibri" w:cs="Calibri"/>
          <w:sz w:val="24"/>
          <w:szCs w:val="24"/>
        </w:rPr>
        <w:t xml:space="preserve"> that reflecting with, sharing and dialoguing with trusted others catalyses the participants’ capacit</w:t>
      </w:r>
      <w:r w:rsidR="00A15CE7">
        <w:rPr>
          <w:rFonts w:ascii="Calibri" w:hAnsi="Calibri" w:cs="Calibri"/>
          <w:sz w:val="24"/>
          <w:szCs w:val="24"/>
        </w:rPr>
        <w:t>ies</w:t>
      </w:r>
      <w:r w:rsidRPr="00236734">
        <w:rPr>
          <w:rFonts w:ascii="Calibri" w:hAnsi="Calibri" w:cs="Calibri"/>
          <w:sz w:val="24"/>
          <w:szCs w:val="24"/>
        </w:rPr>
        <w:t xml:space="preserve"> to </w:t>
      </w:r>
      <w:r>
        <w:rPr>
          <w:rFonts w:ascii="Calibri" w:hAnsi="Calibri" w:cs="Calibri"/>
          <w:sz w:val="24"/>
          <w:szCs w:val="24"/>
        </w:rPr>
        <w:t xml:space="preserve">support </w:t>
      </w:r>
      <w:r w:rsidRPr="00236734">
        <w:rPr>
          <w:rFonts w:ascii="Calibri" w:hAnsi="Calibri" w:cs="Calibri"/>
          <w:sz w:val="24"/>
          <w:szCs w:val="24"/>
        </w:rPr>
        <w:t>themselves, their praxis and their students.</w:t>
      </w:r>
      <w:r w:rsidRPr="003C39F4">
        <w:rPr>
          <w:rFonts w:ascii="Calibri" w:hAnsi="Calibri" w:cs="Calibri"/>
          <w:sz w:val="24"/>
          <w:szCs w:val="24"/>
        </w:rPr>
        <w:t xml:space="preserve"> The dialogue with trusted others provides an active buddy system, a platform for sharing, to debrief, improve teaching practice, share emotions and to cross boundaries into unknown territories knowing the other will provide understanding, advice and support. </w:t>
      </w:r>
    </w:p>
    <w:p w14:paraId="02C5E2CB" w14:textId="11877959" w:rsidR="001872B0" w:rsidRDefault="001872B0" w:rsidP="00D62619">
      <w:pPr>
        <w:spacing w:line="360" w:lineRule="auto"/>
        <w:rPr>
          <w:rFonts w:ascii="Calibri" w:hAnsi="Calibri" w:cs="Calibri"/>
          <w:sz w:val="24"/>
          <w:szCs w:val="24"/>
        </w:rPr>
      </w:pPr>
      <w:r w:rsidRPr="00B873E8">
        <w:rPr>
          <w:rFonts w:ascii="Calibri" w:hAnsi="Calibri" w:cs="Calibri"/>
          <w:sz w:val="24"/>
          <w:szCs w:val="24"/>
        </w:rPr>
        <w:t>Participants all confirmed that being reflective made them more effective teachers</w:t>
      </w:r>
      <w:r>
        <w:rPr>
          <w:rFonts w:ascii="Calibri" w:hAnsi="Calibri" w:cs="Calibri"/>
          <w:sz w:val="24"/>
          <w:szCs w:val="24"/>
        </w:rPr>
        <w:t>,</w:t>
      </w:r>
      <w:r w:rsidRPr="00B873E8">
        <w:rPr>
          <w:rFonts w:ascii="Calibri" w:hAnsi="Calibri" w:cs="Calibri"/>
          <w:sz w:val="24"/>
          <w:szCs w:val="24"/>
        </w:rPr>
        <w:t xml:space="preserve"> and reflective dialogue with trusted others helped them feel more competent in their teaching practices.</w:t>
      </w:r>
      <w:r>
        <w:rPr>
          <w:rFonts w:ascii="Calibri" w:hAnsi="Calibri" w:cs="Calibri"/>
          <w:sz w:val="24"/>
          <w:szCs w:val="24"/>
        </w:rPr>
        <w:t xml:space="preserve"> Participants who experienced reflective practices either in their previous careers or other trainings passed it forward to their students in their teaching work. </w:t>
      </w:r>
      <w:r w:rsidRPr="00AF6CB0">
        <w:rPr>
          <w:rFonts w:ascii="Calibri" w:hAnsi="Calibri" w:cs="Calibri"/>
          <w:sz w:val="24"/>
          <w:szCs w:val="24"/>
        </w:rPr>
        <w:t>Overall, the findings highlight that the participants valued the role reflective practice played in their professional lives as a dialogical, relational, creative</w:t>
      </w:r>
      <w:r w:rsidR="003D0606">
        <w:rPr>
          <w:rFonts w:ascii="Calibri" w:hAnsi="Calibri" w:cs="Calibri"/>
          <w:sz w:val="24"/>
          <w:szCs w:val="24"/>
        </w:rPr>
        <w:t xml:space="preserve"> and</w:t>
      </w:r>
      <w:r w:rsidRPr="00AF6CB0">
        <w:rPr>
          <w:rFonts w:ascii="Calibri" w:hAnsi="Calibri" w:cs="Calibri"/>
          <w:sz w:val="24"/>
          <w:szCs w:val="24"/>
        </w:rPr>
        <w:t xml:space="preserve"> engaged process. It was a cornerstone of their development, included emotional aspects and improved their teaching and understanding of their students’ learning and needs.</w:t>
      </w:r>
      <w:r w:rsidR="008C4A65">
        <w:rPr>
          <w:rFonts w:ascii="Calibri" w:hAnsi="Calibri" w:cs="Calibri"/>
          <w:sz w:val="24"/>
          <w:szCs w:val="24"/>
        </w:rPr>
        <w:t xml:space="preserve"> </w:t>
      </w:r>
      <w:r>
        <w:rPr>
          <w:rFonts w:ascii="Calibri" w:hAnsi="Calibri" w:cs="Calibri"/>
          <w:sz w:val="24"/>
          <w:szCs w:val="24"/>
        </w:rPr>
        <w:t>A</w:t>
      </w:r>
      <w:r w:rsidRPr="002D5C90">
        <w:rPr>
          <w:rFonts w:ascii="Calibri" w:hAnsi="Calibri" w:cs="Calibri"/>
          <w:sz w:val="24"/>
          <w:szCs w:val="24"/>
        </w:rPr>
        <w:t>ct</w:t>
      </w:r>
      <w:r>
        <w:rPr>
          <w:rFonts w:ascii="Calibri" w:hAnsi="Calibri" w:cs="Calibri"/>
          <w:sz w:val="24"/>
          <w:szCs w:val="24"/>
        </w:rPr>
        <w:t>ing</w:t>
      </w:r>
      <w:r w:rsidRPr="002D5C90">
        <w:rPr>
          <w:rFonts w:ascii="Calibri" w:hAnsi="Calibri" w:cs="Calibri"/>
          <w:sz w:val="24"/>
          <w:szCs w:val="24"/>
        </w:rPr>
        <w:t xml:space="preserve"> as a bridge to the discussion </w:t>
      </w:r>
      <w:r w:rsidRPr="002D5C90">
        <w:rPr>
          <w:rFonts w:ascii="Calibri" w:hAnsi="Calibri" w:cs="Calibri"/>
          <w:sz w:val="24"/>
          <w:szCs w:val="24"/>
        </w:rPr>
        <w:lastRenderedPageBreak/>
        <w:t>chapter</w:t>
      </w:r>
      <w:r w:rsidR="00752E43">
        <w:rPr>
          <w:rFonts w:ascii="Calibri" w:hAnsi="Calibri" w:cs="Calibri"/>
          <w:sz w:val="24"/>
          <w:szCs w:val="24"/>
        </w:rPr>
        <w:t xml:space="preserve"> (Chapter </w:t>
      </w:r>
      <w:r w:rsidR="00667B03">
        <w:rPr>
          <w:rFonts w:ascii="Calibri" w:hAnsi="Calibri" w:cs="Calibri"/>
          <w:sz w:val="24"/>
          <w:szCs w:val="24"/>
        </w:rPr>
        <w:t>Seven)</w:t>
      </w:r>
      <w:r w:rsidRPr="002D5C90">
        <w:rPr>
          <w:rFonts w:ascii="Calibri" w:hAnsi="Calibri" w:cs="Calibri"/>
          <w:sz w:val="24"/>
          <w:szCs w:val="24"/>
        </w:rPr>
        <w:t xml:space="preserve"> and an </w:t>
      </w:r>
      <w:r w:rsidRPr="002D5C90">
        <w:rPr>
          <w:rFonts w:ascii="Calibri" w:hAnsi="Calibri" w:cs="Calibri"/>
          <w:i/>
          <w:iCs/>
          <w:sz w:val="24"/>
          <w:szCs w:val="24"/>
        </w:rPr>
        <w:t>aide memoir</w:t>
      </w:r>
      <w:r>
        <w:rPr>
          <w:rFonts w:ascii="Calibri" w:hAnsi="Calibri" w:cs="Calibri"/>
          <w:sz w:val="24"/>
          <w:szCs w:val="24"/>
        </w:rPr>
        <w:t xml:space="preserve">, </w:t>
      </w:r>
      <w:r w:rsidRPr="004F1BE7">
        <w:rPr>
          <w:rFonts w:ascii="Calibri" w:hAnsi="Calibri" w:cs="Calibri"/>
          <w:sz w:val="24"/>
          <w:szCs w:val="24"/>
        </w:rPr>
        <w:t xml:space="preserve">Table </w:t>
      </w:r>
      <w:r w:rsidR="00A62B19">
        <w:rPr>
          <w:rFonts w:ascii="Calibri" w:hAnsi="Calibri" w:cs="Calibri"/>
          <w:sz w:val="24"/>
          <w:szCs w:val="24"/>
        </w:rPr>
        <w:t xml:space="preserve">11 </w:t>
      </w:r>
      <w:r>
        <w:rPr>
          <w:rFonts w:ascii="Calibri" w:hAnsi="Calibri" w:cs="Calibri"/>
          <w:sz w:val="24"/>
          <w:szCs w:val="24"/>
        </w:rPr>
        <w:t xml:space="preserve">summarises the findings and </w:t>
      </w:r>
      <w:r w:rsidRPr="004F1BE7">
        <w:rPr>
          <w:rFonts w:ascii="Calibri" w:hAnsi="Calibri" w:cs="Calibri"/>
          <w:sz w:val="24"/>
          <w:szCs w:val="24"/>
        </w:rPr>
        <w:t>highlights salient way stations and learning</w:t>
      </w:r>
      <w:r>
        <w:rPr>
          <w:rFonts w:ascii="Calibri" w:hAnsi="Calibri" w:cs="Calibri"/>
          <w:sz w:val="24"/>
          <w:szCs w:val="24"/>
        </w:rPr>
        <w:t xml:space="preserve"> as recollected by participants</w:t>
      </w:r>
      <w:bookmarkStart w:id="76" w:name="_Hlk215916353"/>
      <w:r w:rsidR="008C10AA">
        <w:rPr>
          <w:rFonts w:ascii="Calibri" w:hAnsi="Calibri" w:cs="Calibri"/>
          <w:sz w:val="24"/>
          <w:szCs w:val="24"/>
        </w:rPr>
        <w:t xml:space="preserve"> which will be</w:t>
      </w:r>
      <w:r w:rsidR="005B543F">
        <w:rPr>
          <w:rFonts w:ascii="Calibri" w:hAnsi="Calibri" w:cs="Calibri"/>
          <w:sz w:val="24"/>
          <w:szCs w:val="24"/>
        </w:rPr>
        <w:t xml:space="preserve"> examined further </w:t>
      </w:r>
      <w:r w:rsidR="00165D1B">
        <w:rPr>
          <w:rFonts w:ascii="Calibri" w:hAnsi="Calibri" w:cs="Calibri"/>
          <w:sz w:val="24"/>
          <w:szCs w:val="24"/>
        </w:rPr>
        <w:t>in Chapter 8</w:t>
      </w:r>
      <w:r>
        <w:rPr>
          <w:rFonts w:ascii="Calibri" w:hAnsi="Calibri" w:cs="Calibri"/>
          <w:sz w:val="24"/>
          <w:szCs w:val="24"/>
        </w:rPr>
        <w:t>:</w:t>
      </w:r>
    </w:p>
    <w:p w14:paraId="285897F3" w14:textId="546F4AB0" w:rsidR="006F19D3" w:rsidRPr="00660466" w:rsidRDefault="00660466" w:rsidP="00961B39">
      <w:pPr>
        <w:spacing w:line="360" w:lineRule="auto"/>
        <w:ind w:left="2160" w:firstLine="720"/>
        <w:rPr>
          <w:rFonts w:ascii="Calibri" w:hAnsi="Calibri" w:cs="Calibri"/>
          <w:i/>
          <w:iCs/>
          <w:sz w:val="24"/>
          <w:szCs w:val="24"/>
        </w:rPr>
      </w:pPr>
      <w:r w:rsidRPr="00660466">
        <w:rPr>
          <w:rFonts w:ascii="Calibri" w:hAnsi="Calibri" w:cs="Calibri"/>
          <w:i/>
          <w:iCs/>
          <w:sz w:val="24"/>
          <w:szCs w:val="24"/>
        </w:rPr>
        <w:t>Table 11: Summary of the findings</w:t>
      </w:r>
    </w:p>
    <w:tbl>
      <w:tblPr>
        <w:tblStyle w:val="TableGrid"/>
        <w:tblW w:w="9067" w:type="dxa"/>
        <w:tblLook w:val="0420" w:firstRow="1" w:lastRow="0" w:firstColumn="0" w:lastColumn="0" w:noHBand="0" w:noVBand="1"/>
      </w:tblPr>
      <w:tblGrid>
        <w:gridCol w:w="1583"/>
        <w:gridCol w:w="1482"/>
        <w:gridCol w:w="1942"/>
        <w:gridCol w:w="1707"/>
        <w:gridCol w:w="2353"/>
      </w:tblGrid>
      <w:tr w:rsidR="00B25151" w:rsidRPr="00B25151" w14:paraId="3D3CC598" w14:textId="77777777" w:rsidTr="00E77493">
        <w:tc>
          <w:tcPr>
            <w:tcW w:w="1583" w:type="dxa"/>
          </w:tcPr>
          <w:p w14:paraId="3244874A" w14:textId="77777777" w:rsidR="00B25151" w:rsidRPr="00B25151" w:rsidRDefault="00B25151" w:rsidP="00B25151">
            <w:pPr>
              <w:rPr>
                <w:rFonts w:ascii="Calibri" w:eastAsia="Aptos" w:hAnsi="Calibri" w:cs="Calibri"/>
                <w:b/>
                <w:bCs/>
                <w:sz w:val="24"/>
                <w:szCs w:val="24"/>
              </w:rPr>
            </w:pPr>
            <w:r w:rsidRPr="00B25151">
              <w:rPr>
                <w:rFonts w:ascii="Calibri" w:eastAsia="Aptos" w:hAnsi="Calibri" w:cs="Calibri"/>
                <w:b/>
                <w:bCs/>
                <w:sz w:val="24"/>
                <w:szCs w:val="24"/>
              </w:rPr>
              <w:t>Participant name</w:t>
            </w:r>
          </w:p>
        </w:tc>
        <w:tc>
          <w:tcPr>
            <w:tcW w:w="1482" w:type="dxa"/>
          </w:tcPr>
          <w:p w14:paraId="0A06F73B" w14:textId="77777777" w:rsidR="00B25151" w:rsidRPr="00B25151" w:rsidRDefault="00B25151" w:rsidP="00B25151">
            <w:pPr>
              <w:spacing w:after="160" w:line="259" w:lineRule="auto"/>
              <w:rPr>
                <w:rFonts w:ascii="Calibri" w:eastAsia="Aptos" w:hAnsi="Calibri" w:cs="Calibri"/>
                <w:b/>
                <w:bCs/>
                <w:sz w:val="24"/>
                <w:szCs w:val="24"/>
              </w:rPr>
            </w:pPr>
            <w:r w:rsidRPr="00B25151">
              <w:rPr>
                <w:rFonts w:ascii="Calibri" w:eastAsia="Aptos" w:hAnsi="Calibri" w:cs="Calibri"/>
                <w:b/>
                <w:bCs/>
                <w:sz w:val="24"/>
                <w:szCs w:val="24"/>
              </w:rPr>
              <w:t>Their passage into teaching</w:t>
            </w:r>
          </w:p>
        </w:tc>
        <w:tc>
          <w:tcPr>
            <w:tcW w:w="1942" w:type="dxa"/>
          </w:tcPr>
          <w:p w14:paraId="484741A3" w14:textId="77777777" w:rsidR="00B25151" w:rsidRPr="00B25151" w:rsidRDefault="00B25151" w:rsidP="00B25151">
            <w:pPr>
              <w:spacing w:after="160" w:line="259" w:lineRule="auto"/>
              <w:rPr>
                <w:rFonts w:ascii="Calibri" w:eastAsia="Aptos" w:hAnsi="Calibri" w:cs="Calibri"/>
                <w:b/>
                <w:bCs/>
                <w:sz w:val="24"/>
                <w:szCs w:val="24"/>
              </w:rPr>
            </w:pPr>
            <w:r w:rsidRPr="00B25151">
              <w:rPr>
                <w:rFonts w:ascii="Calibri" w:eastAsia="Aptos" w:hAnsi="Calibri" w:cs="Calibri"/>
                <w:b/>
                <w:bCs/>
                <w:sz w:val="24"/>
                <w:szCs w:val="24"/>
              </w:rPr>
              <w:t>Their magical tool in teaching</w:t>
            </w:r>
          </w:p>
        </w:tc>
        <w:tc>
          <w:tcPr>
            <w:tcW w:w="1707" w:type="dxa"/>
          </w:tcPr>
          <w:p w14:paraId="70ADF4AF" w14:textId="32B380C2" w:rsidR="00B25151" w:rsidRPr="00B25151" w:rsidRDefault="00B25151" w:rsidP="00B25151">
            <w:pPr>
              <w:spacing w:after="160" w:line="259" w:lineRule="auto"/>
              <w:rPr>
                <w:rFonts w:ascii="Calibri" w:eastAsia="Aptos" w:hAnsi="Calibri" w:cs="Calibri"/>
                <w:b/>
                <w:bCs/>
                <w:sz w:val="24"/>
                <w:szCs w:val="24"/>
              </w:rPr>
            </w:pPr>
            <w:r w:rsidRPr="00B25151">
              <w:rPr>
                <w:rFonts w:ascii="Calibri" w:eastAsia="Aptos" w:hAnsi="Calibri" w:cs="Calibri"/>
                <w:b/>
                <w:bCs/>
                <w:sz w:val="24"/>
                <w:szCs w:val="24"/>
              </w:rPr>
              <w:t>Participant</w:t>
            </w:r>
            <w:r w:rsidR="00763C99">
              <w:rPr>
                <w:rFonts w:ascii="Calibri" w:eastAsia="Aptos" w:hAnsi="Calibri" w:cs="Calibri"/>
                <w:b/>
                <w:bCs/>
                <w:sz w:val="24"/>
                <w:szCs w:val="24"/>
              </w:rPr>
              <w:t>’s</w:t>
            </w:r>
            <w:r w:rsidR="00370719">
              <w:rPr>
                <w:rFonts w:ascii="Calibri" w:eastAsia="Aptos" w:hAnsi="Calibri" w:cs="Calibri"/>
                <w:b/>
                <w:bCs/>
                <w:sz w:val="24"/>
                <w:szCs w:val="24"/>
              </w:rPr>
              <w:t xml:space="preserve"> support sy</w:t>
            </w:r>
            <w:r w:rsidR="004E1E31">
              <w:rPr>
                <w:rFonts w:ascii="Calibri" w:eastAsia="Aptos" w:hAnsi="Calibri" w:cs="Calibri"/>
                <w:b/>
                <w:bCs/>
                <w:sz w:val="24"/>
                <w:szCs w:val="24"/>
              </w:rPr>
              <w:t>stem</w:t>
            </w:r>
            <w:r w:rsidR="00F06905">
              <w:rPr>
                <w:rFonts w:ascii="Calibri" w:eastAsia="Aptos" w:hAnsi="Calibri" w:cs="Calibri"/>
                <w:b/>
                <w:bCs/>
                <w:sz w:val="24"/>
                <w:szCs w:val="24"/>
              </w:rPr>
              <w:t>s</w:t>
            </w:r>
          </w:p>
        </w:tc>
        <w:tc>
          <w:tcPr>
            <w:tcW w:w="2353" w:type="dxa"/>
          </w:tcPr>
          <w:p w14:paraId="5C90E20C" w14:textId="77777777" w:rsidR="00B25151" w:rsidRPr="00B25151" w:rsidRDefault="00B25151" w:rsidP="00B25151">
            <w:pPr>
              <w:spacing w:after="160" w:line="259" w:lineRule="auto"/>
              <w:rPr>
                <w:rFonts w:ascii="Calibri" w:eastAsia="Aptos" w:hAnsi="Calibri" w:cs="Calibri"/>
                <w:b/>
                <w:bCs/>
                <w:sz w:val="24"/>
                <w:szCs w:val="24"/>
              </w:rPr>
            </w:pPr>
            <w:r w:rsidRPr="00B25151">
              <w:rPr>
                <w:rFonts w:ascii="Calibri" w:eastAsia="Aptos" w:hAnsi="Calibri" w:cs="Calibri"/>
                <w:b/>
                <w:bCs/>
                <w:sz w:val="24"/>
                <w:szCs w:val="24"/>
              </w:rPr>
              <w:t>Persistent themes</w:t>
            </w:r>
          </w:p>
        </w:tc>
      </w:tr>
      <w:tr w:rsidR="00B25151" w:rsidRPr="00B25151" w14:paraId="1F404859" w14:textId="77777777" w:rsidTr="00E77493">
        <w:tc>
          <w:tcPr>
            <w:tcW w:w="1583" w:type="dxa"/>
          </w:tcPr>
          <w:p w14:paraId="5F752CE3"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Miriam</w:t>
            </w:r>
          </w:p>
        </w:tc>
        <w:tc>
          <w:tcPr>
            <w:tcW w:w="1482" w:type="dxa"/>
          </w:tcPr>
          <w:p w14:paraId="2D47E40C" w14:textId="5962F1C1"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 xml:space="preserve">Fell into teacher training by accident </w:t>
            </w:r>
          </w:p>
        </w:tc>
        <w:tc>
          <w:tcPr>
            <w:tcW w:w="1942" w:type="dxa"/>
          </w:tcPr>
          <w:p w14:paraId="3A046332"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Faith; reflective practice; dialogue</w:t>
            </w:r>
          </w:p>
        </w:tc>
        <w:tc>
          <w:tcPr>
            <w:tcW w:w="1707" w:type="dxa"/>
          </w:tcPr>
          <w:p w14:paraId="555E4FE7"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Mentor; belief system/faith</w:t>
            </w:r>
          </w:p>
        </w:tc>
        <w:tc>
          <w:tcPr>
            <w:tcW w:w="2353" w:type="dxa"/>
          </w:tcPr>
          <w:p w14:paraId="1E2C297C" w14:textId="63E98EF6"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 xml:space="preserve">Support from colleagues, </w:t>
            </w:r>
            <w:r w:rsidR="00F06905">
              <w:rPr>
                <w:rFonts w:ascii="Calibri" w:eastAsia="Aptos" w:hAnsi="Calibri" w:cs="Calibri"/>
              </w:rPr>
              <w:t xml:space="preserve">a </w:t>
            </w:r>
            <w:r w:rsidRPr="00B25151">
              <w:rPr>
                <w:rFonts w:ascii="Calibri" w:eastAsia="Aptos" w:hAnsi="Calibri" w:cs="Calibri"/>
              </w:rPr>
              <w:t>team</w:t>
            </w:r>
            <w:r w:rsidR="00F06905">
              <w:rPr>
                <w:rFonts w:ascii="Calibri" w:eastAsia="Aptos" w:hAnsi="Calibri" w:cs="Calibri"/>
              </w:rPr>
              <w:t xml:space="preserve"> and</w:t>
            </w:r>
            <w:r w:rsidRPr="00B25151">
              <w:rPr>
                <w:rFonts w:ascii="Calibri" w:eastAsia="Aptos" w:hAnsi="Calibri" w:cs="Calibri"/>
              </w:rPr>
              <w:t xml:space="preserve"> the “holding” function of work office space </w:t>
            </w:r>
          </w:p>
        </w:tc>
      </w:tr>
      <w:tr w:rsidR="00B25151" w:rsidRPr="00B25151" w14:paraId="12BDBDCC" w14:textId="77777777" w:rsidTr="00E77493">
        <w:tc>
          <w:tcPr>
            <w:tcW w:w="1583" w:type="dxa"/>
          </w:tcPr>
          <w:p w14:paraId="0024510F"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Liz</w:t>
            </w:r>
          </w:p>
        </w:tc>
        <w:tc>
          <w:tcPr>
            <w:tcW w:w="1482" w:type="dxa"/>
          </w:tcPr>
          <w:p w14:paraId="0C464DF2"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Fell into teaching. Arduous; awful; hypocritical</w:t>
            </w:r>
          </w:p>
        </w:tc>
        <w:tc>
          <w:tcPr>
            <w:tcW w:w="1942" w:type="dxa"/>
          </w:tcPr>
          <w:p w14:paraId="0028F7D0"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Constructivism; Biggs and Tang; Aurora leadership programme and learning how to command her presence</w:t>
            </w:r>
          </w:p>
        </w:tc>
        <w:tc>
          <w:tcPr>
            <w:tcW w:w="1707" w:type="dxa"/>
          </w:tcPr>
          <w:p w14:paraId="3EB79F93"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Mentor; husband; team</w:t>
            </w:r>
          </w:p>
        </w:tc>
        <w:tc>
          <w:tcPr>
            <w:tcW w:w="2353" w:type="dxa"/>
          </w:tcPr>
          <w:p w14:paraId="25719DC1"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Importance of compassion, self-compassion and the creation of a compassionate ethos/space in education; university is a hostile environment regarding emotions</w:t>
            </w:r>
          </w:p>
        </w:tc>
      </w:tr>
      <w:tr w:rsidR="00B25151" w:rsidRPr="00B25151" w14:paraId="13B69AB5" w14:textId="77777777" w:rsidTr="00E77493">
        <w:tc>
          <w:tcPr>
            <w:tcW w:w="1583" w:type="dxa"/>
          </w:tcPr>
          <w:p w14:paraId="1426F5EE"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Sally</w:t>
            </w:r>
          </w:p>
        </w:tc>
        <w:tc>
          <w:tcPr>
            <w:tcW w:w="1482" w:type="dxa"/>
          </w:tcPr>
          <w:p w14:paraId="35B5757E"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The journey “grabbed” her and was a windy road. Good experience on teacher training. It provided a framework to develop</w:t>
            </w:r>
          </w:p>
        </w:tc>
        <w:tc>
          <w:tcPr>
            <w:tcW w:w="1942" w:type="dxa"/>
          </w:tcPr>
          <w:p w14:paraId="0D6927F0"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Supervision; tutoring; student journey</w:t>
            </w:r>
          </w:p>
        </w:tc>
        <w:tc>
          <w:tcPr>
            <w:tcW w:w="1707" w:type="dxa"/>
          </w:tcPr>
          <w:p w14:paraId="162DC867" w14:textId="49E4950A"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Family; friends; tutor; trusted colleagues; self-</w:t>
            </w:r>
            <w:r w:rsidR="000C7A46">
              <w:rPr>
                <w:rFonts w:ascii="Calibri" w:eastAsia="Aptos" w:hAnsi="Calibri" w:cs="Calibri"/>
              </w:rPr>
              <w:t>selected</w:t>
            </w:r>
            <w:r w:rsidRPr="00B25151">
              <w:rPr>
                <w:rFonts w:ascii="Calibri" w:eastAsia="Aptos" w:hAnsi="Calibri" w:cs="Calibri"/>
              </w:rPr>
              <w:t xml:space="preserve"> boundaries and “laying down tools”</w:t>
            </w:r>
          </w:p>
        </w:tc>
        <w:tc>
          <w:tcPr>
            <w:tcW w:w="2353" w:type="dxa"/>
          </w:tcPr>
          <w:p w14:paraId="756DE351"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 importance of supervision</w:t>
            </w:r>
          </w:p>
        </w:tc>
      </w:tr>
      <w:tr w:rsidR="00B25151" w:rsidRPr="00B25151" w14:paraId="1304B233" w14:textId="77777777" w:rsidTr="00E77493">
        <w:tc>
          <w:tcPr>
            <w:tcW w:w="1583" w:type="dxa"/>
          </w:tcPr>
          <w:p w14:paraId="5F59C407"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Jenko</w:t>
            </w:r>
          </w:p>
        </w:tc>
        <w:tc>
          <w:tcPr>
            <w:tcW w:w="1482" w:type="dxa"/>
          </w:tcPr>
          <w:p w14:paraId="11C23C2E"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Career path chosen. Teacher training arduous, daunting, a culture shock. Mature student</w:t>
            </w:r>
          </w:p>
        </w:tc>
        <w:tc>
          <w:tcPr>
            <w:tcW w:w="1942" w:type="dxa"/>
          </w:tcPr>
          <w:p w14:paraId="638B58F2"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Student engagement; sharing lived experience; emotions; reflective practice</w:t>
            </w:r>
          </w:p>
        </w:tc>
        <w:tc>
          <w:tcPr>
            <w:tcW w:w="1707" w:type="dxa"/>
          </w:tcPr>
          <w:p w14:paraId="73E02A81"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Family and colleagues; mentor; reflective practice</w:t>
            </w:r>
          </w:p>
        </w:tc>
        <w:tc>
          <w:tcPr>
            <w:tcW w:w="2353" w:type="dxa"/>
          </w:tcPr>
          <w:p w14:paraId="79CB9AF5" w14:textId="6136875C"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Student engagement: emotional attachment embedded in teachers’ attitude to work; being an emotional partner for students; inclusivity; importance of imparting his lived experience; trauma informed approach</w:t>
            </w:r>
          </w:p>
        </w:tc>
      </w:tr>
      <w:tr w:rsidR="00B25151" w:rsidRPr="00B25151" w14:paraId="6F6BF3DC" w14:textId="77777777" w:rsidTr="00E77493">
        <w:tc>
          <w:tcPr>
            <w:tcW w:w="1583" w:type="dxa"/>
          </w:tcPr>
          <w:p w14:paraId="3635187C"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lastRenderedPageBreak/>
              <w:t>Mo</w:t>
            </w:r>
          </w:p>
        </w:tc>
        <w:tc>
          <w:tcPr>
            <w:tcW w:w="1482" w:type="dxa"/>
          </w:tcPr>
          <w:p w14:paraId="2DF90B3D" w14:textId="0DBD747B"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Teaching as a career a practical, family-based decision Teacher training arduous, awful, and harrowing; mature student, a “late starter”</w:t>
            </w:r>
          </w:p>
        </w:tc>
        <w:tc>
          <w:tcPr>
            <w:tcW w:w="1942" w:type="dxa"/>
          </w:tcPr>
          <w:p w14:paraId="4630F3DC"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Reflective practice; self-reliance</w:t>
            </w:r>
          </w:p>
        </w:tc>
        <w:tc>
          <w:tcPr>
            <w:tcW w:w="1707" w:type="dxa"/>
          </w:tcPr>
          <w:p w14:paraId="5F080A73"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 in the words of Orwell: “Some are more trusted than others”</w:t>
            </w:r>
          </w:p>
        </w:tc>
        <w:tc>
          <w:tcPr>
            <w:tcW w:w="2353" w:type="dxa"/>
          </w:tcPr>
          <w:p w14:paraId="5285BB36" w14:textId="382A55D2"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 lack of support. The importance of the moral part of the teaching role, preparing students for their future lives and supporting trainee teachers. Learning about and from the human experience being included in teaching</w:t>
            </w:r>
          </w:p>
        </w:tc>
      </w:tr>
      <w:tr w:rsidR="00B25151" w:rsidRPr="00B25151" w14:paraId="5B03E3CC" w14:textId="77777777" w:rsidTr="00E77493">
        <w:tc>
          <w:tcPr>
            <w:tcW w:w="1583" w:type="dxa"/>
          </w:tcPr>
          <w:p w14:paraId="1B7738AF"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Sophie</w:t>
            </w:r>
          </w:p>
        </w:tc>
        <w:tc>
          <w:tcPr>
            <w:tcW w:w="1482" w:type="dxa"/>
          </w:tcPr>
          <w:p w14:paraId="47C64B7E" w14:textId="51E55B3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Practitioner first; role played being a teacher as a child and links this to her choice to train as a teacher. Good teacher on her teacher training</w:t>
            </w:r>
          </w:p>
        </w:tc>
        <w:tc>
          <w:tcPr>
            <w:tcW w:w="1942" w:type="dxa"/>
          </w:tcPr>
          <w:p w14:paraId="1D4B0A46"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Supervision; sharing lived experience; teacher</w:t>
            </w:r>
          </w:p>
        </w:tc>
        <w:tc>
          <w:tcPr>
            <w:tcW w:w="1707" w:type="dxa"/>
          </w:tcPr>
          <w:p w14:paraId="62D5EFAD" w14:textId="66E91CC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 Teacher on teacher training although this was limited, Peer support. Husband, family and friends. Debriefs/reflects with an occupational therapist friend. Coach, mentor and safe space</w:t>
            </w:r>
          </w:p>
        </w:tc>
        <w:tc>
          <w:tcPr>
            <w:tcW w:w="2353" w:type="dxa"/>
          </w:tcPr>
          <w:p w14:paraId="4458AE4B"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w:t>
            </w:r>
          </w:p>
          <w:p w14:paraId="1923430C"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Enjoys supporting students on their journey.</w:t>
            </w:r>
          </w:p>
          <w:p w14:paraId="78CFE7FE" w14:textId="4B2B2989"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Importance of reflection. Safe space</w:t>
            </w:r>
          </w:p>
        </w:tc>
      </w:tr>
      <w:tr w:rsidR="00B25151" w:rsidRPr="00B25151" w14:paraId="269CA0BD" w14:textId="77777777" w:rsidTr="00E77493">
        <w:tc>
          <w:tcPr>
            <w:tcW w:w="1583" w:type="dxa"/>
          </w:tcPr>
          <w:p w14:paraId="3F46F1EF"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Laura</w:t>
            </w:r>
          </w:p>
        </w:tc>
        <w:tc>
          <w:tcPr>
            <w:tcW w:w="1482" w:type="dxa"/>
          </w:tcPr>
          <w:p w14:paraId="1FBC3C16" w14:textId="1801E94B"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Good experience on teacher training</w:t>
            </w:r>
          </w:p>
        </w:tc>
        <w:tc>
          <w:tcPr>
            <w:tcW w:w="1942" w:type="dxa"/>
          </w:tcPr>
          <w:p w14:paraId="1359DECD"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Teaching supervisor, and mentor; reflecting with colleagues</w:t>
            </w:r>
          </w:p>
        </w:tc>
        <w:tc>
          <w:tcPr>
            <w:tcW w:w="1707" w:type="dxa"/>
          </w:tcPr>
          <w:p w14:paraId="79C52AE5" w14:textId="1C5FA469"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A trusted circle of self-selected work colleagues; partner; personal therapist once a month</w:t>
            </w:r>
          </w:p>
        </w:tc>
        <w:tc>
          <w:tcPr>
            <w:tcW w:w="2353" w:type="dxa"/>
          </w:tcPr>
          <w:p w14:paraId="1C0B9DE3"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Trusted colleagues. The need for compassionate awareness. Reflective practice taught theoretically and as a method.</w:t>
            </w:r>
          </w:p>
          <w:p w14:paraId="04B4C956" w14:textId="6DA95AB3"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 xml:space="preserve">Support from the university employer confined to activities </w:t>
            </w:r>
            <w:r w:rsidR="00DF2232">
              <w:rPr>
                <w:rFonts w:ascii="Calibri" w:eastAsia="Aptos" w:hAnsi="Calibri" w:cs="Calibri"/>
              </w:rPr>
              <w:t>which do</w:t>
            </w:r>
            <w:r w:rsidRPr="00B25151">
              <w:rPr>
                <w:rFonts w:ascii="Calibri" w:eastAsia="Aptos" w:hAnsi="Calibri" w:cs="Calibri"/>
              </w:rPr>
              <w:t xml:space="preserve"> not address the root problem/cause</w:t>
            </w:r>
          </w:p>
        </w:tc>
      </w:tr>
      <w:tr w:rsidR="00B25151" w:rsidRPr="00B25151" w14:paraId="51F3DD38" w14:textId="77777777" w:rsidTr="00E77493">
        <w:tc>
          <w:tcPr>
            <w:tcW w:w="1583" w:type="dxa"/>
          </w:tcPr>
          <w:p w14:paraId="61CF4AD9"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t>Fred</w:t>
            </w:r>
          </w:p>
        </w:tc>
        <w:tc>
          <w:tcPr>
            <w:tcW w:w="1482" w:type="dxa"/>
          </w:tcPr>
          <w:p w14:paraId="68775F04" w14:textId="6E5AC2B2"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 xml:space="preserve">A natural progression. UK teacher training </w:t>
            </w:r>
            <w:r w:rsidRPr="00B25151">
              <w:rPr>
                <w:rFonts w:ascii="Calibri" w:eastAsia="Aptos" w:hAnsi="Calibri" w:cs="Calibri"/>
              </w:rPr>
              <w:lastRenderedPageBreak/>
              <w:t>perceived as surface</w:t>
            </w:r>
          </w:p>
        </w:tc>
        <w:tc>
          <w:tcPr>
            <w:tcW w:w="1942" w:type="dxa"/>
          </w:tcPr>
          <w:p w14:paraId="468503C7" w14:textId="2AEC17F5"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lastRenderedPageBreak/>
              <w:t xml:space="preserve">Dialogue; democratising teaching. Both elements were present and </w:t>
            </w:r>
            <w:r w:rsidRPr="00B25151">
              <w:rPr>
                <w:rFonts w:ascii="Calibri" w:eastAsia="Aptos" w:hAnsi="Calibri" w:cs="Calibri"/>
              </w:rPr>
              <w:lastRenderedPageBreak/>
              <w:t>embodied in previous teacher trainings attended in Europe</w:t>
            </w:r>
          </w:p>
        </w:tc>
        <w:tc>
          <w:tcPr>
            <w:tcW w:w="1707" w:type="dxa"/>
          </w:tcPr>
          <w:p w14:paraId="77EED5A3" w14:textId="3E5FDE0E"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lastRenderedPageBreak/>
              <w:t xml:space="preserve">Cat; friends; activities such as cooking and computer games. Dialogue </w:t>
            </w:r>
            <w:r w:rsidRPr="00B25151">
              <w:rPr>
                <w:rFonts w:ascii="Calibri" w:eastAsia="Aptos" w:hAnsi="Calibri" w:cs="Calibri"/>
              </w:rPr>
              <w:lastRenderedPageBreak/>
              <w:t>with colleagues and partner</w:t>
            </w:r>
          </w:p>
        </w:tc>
        <w:tc>
          <w:tcPr>
            <w:tcW w:w="2353" w:type="dxa"/>
          </w:tcPr>
          <w:p w14:paraId="2086C115"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lastRenderedPageBreak/>
              <w:t xml:space="preserve">Self-reliance taught in country of origin from an early age, and how to manage difficult situations. Little </w:t>
            </w:r>
            <w:r w:rsidRPr="00B25151">
              <w:rPr>
                <w:rFonts w:ascii="Calibri" w:eastAsia="Aptos" w:hAnsi="Calibri" w:cs="Calibri"/>
              </w:rPr>
              <w:lastRenderedPageBreak/>
              <w:t xml:space="preserve">content and little substance in the CPAD. </w:t>
            </w:r>
          </w:p>
          <w:p w14:paraId="6CAA07A3"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Guidance/ teaching on the CPAD went against his lived experience of what students require. Poor support; no depth</w:t>
            </w:r>
          </w:p>
        </w:tc>
      </w:tr>
      <w:tr w:rsidR="00B25151" w:rsidRPr="00B25151" w14:paraId="33A7C2A1" w14:textId="77777777" w:rsidTr="00E77493">
        <w:tc>
          <w:tcPr>
            <w:tcW w:w="1583" w:type="dxa"/>
          </w:tcPr>
          <w:p w14:paraId="137A817E" w14:textId="77777777" w:rsidR="00B25151" w:rsidRPr="00B25151" w:rsidRDefault="00B25151" w:rsidP="00B25151">
            <w:pPr>
              <w:numPr>
                <w:ilvl w:val="0"/>
                <w:numId w:val="6"/>
              </w:numPr>
              <w:spacing w:after="160" w:line="259" w:lineRule="auto"/>
              <w:rPr>
                <w:rFonts w:ascii="Calibri" w:eastAsia="Aptos" w:hAnsi="Calibri" w:cs="Calibri"/>
              </w:rPr>
            </w:pPr>
            <w:r w:rsidRPr="00B25151">
              <w:rPr>
                <w:rFonts w:ascii="Calibri" w:eastAsia="Aptos" w:hAnsi="Calibri" w:cs="Calibri"/>
              </w:rPr>
              <w:lastRenderedPageBreak/>
              <w:t>Dana</w:t>
            </w:r>
          </w:p>
        </w:tc>
        <w:tc>
          <w:tcPr>
            <w:tcW w:w="1482" w:type="dxa"/>
          </w:tcPr>
          <w:p w14:paraId="5DC67193" w14:textId="7ED6A6EF"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A pragmatic choice to teach to enable career as a researcher. She attended two trainings in Europe and a CPAD in England. The CPAD attended lacked depth. It was very disappointing</w:t>
            </w:r>
          </w:p>
        </w:tc>
        <w:tc>
          <w:tcPr>
            <w:tcW w:w="1942" w:type="dxa"/>
          </w:tcPr>
          <w:p w14:paraId="20FFF417" w14:textId="0BCF159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In her country-of-origin teacher training was practical in its application, challenged students to deal with fears/dilemma, and dialogue was central. Dialogue/reflection was not a new tool</w:t>
            </w:r>
          </w:p>
        </w:tc>
        <w:tc>
          <w:tcPr>
            <w:tcW w:w="1707" w:type="dxa"/>
          </w:tcPr>
          <w:p w14:paraId="1643C81C" w14:textId="77777777"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Colleagues and husband to discuss/process teaching situations</w:t>
            </w:r>
          </w:p>
        </w:tc>
        <w:tc>
          <w:tcPr>
            <w:tcW w:w="2353" w:type="dxa"/>
          </w:tcPr>
          <w:p w14:paraId="4160A507" w14:textId="2671F82C" w:rsidR="00B25151" w:rsidRPr="00B25151" w:rsidRDefault="00B25151" w:rsidP="00B25151">
            <w:pPr>
              <w:spacing w:after="160" w:line="259" w:lineRule="auto"/>
              <w:rPr>
                <w:rFonts w:ascii="Calibri" w:eastAsia="Aptos" w:hAnsi="Calibri" w:cs="Calibri"/>
              </w:rPr>
            </w:pPr>
            <w:r w:rsidRPr="00B25151">
              <w:rPr>
                <w:rFonts w:ascii="Calibri" w:eastAsia="Aptos" w:hAnsi="Calibri" w:cs="Calibri"/>
              </w:rPr>
              <w:t xml:space="preserve">A critique of the lack of depth and application in the CPAD teacher training. Comparisons made to more embodied training in her country of origin and how this included dealing with </w:t>
            </w:r>
            <w:r w:rsidR="00C85E83">
              <w:rPr>
                <w:rFonts w:ascii="Calibri" w:eastAsia="Aptos" w:hAnsi="Calibri" w:cs="Calibri"/>
              </w:rPr>
              <w:t>her</w:t>
            </w:r>
            <w:r w:rsidRPr="00B25151">
              <w:rPr>
                <w:rFonts w:ascii="Calibri" w:eastAsia="Aptos" w:hAnsi="Calibri" w:cs="Calibri"/>
              </w:rPr>
              <w:t xml:space="preserve"> fears as a teacher</w:t>
            </w:r>
          </w:p>
        </w:tc>
      </w:tr>
    </w:tbl>
    <w:p w14:paraId="45E26019" w14:textId="77777777" w:rsidR="00B25151" w:rsidRPr="00B25151" w:rsidRDefault="00B25151" w:rsidP="00B25151">
      <w:pPr>
        <w:spacing w:after="160" w:line="259" w:lineRule="auto"/>
        <w:rPr>
          <w:rFonts w:ascii="Calibri" w:eastAsia="Aptos" w:hAnsi="Calibri" w:cs="Calibri"/>
          <w:b/>
          <w:bCs/>
          <w:kern w:val="2"/>
          <w:sz w:val="24"/>
          <w:szCs w:val="24"/>
          <w14:ligatures w14:val="standardContextual"/>
        </w:rPr>
      </w:pPr>
    </w:p>
    <w:p w14:paraId="188D6F1C"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04EC385A"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753A8A7E"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61DFEDA5"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66ACC61B"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0D38DA9F" w14:textId="77777777" w:rsidR="00B25151" w:rsidRPr="00B25151" w:rsidRDefault="00B25151" w:rsidP="00B25151">
      <w:pPr>
        <w:spacing w:after="160" w:line="259" w:lineRule="auto"/>
        <w:ind w:left="1440" w:firstLine="720"/>
        <w:rPr>
          <w:rFonts w:ascii="Calibri" w:eastAsia="Aptos" w:hAnsi="Calibri" w:cs="Calibri"/>
          <w:b/>
          <w:bCs/>
          <w:kern w:val="2"/>
          <w:sz w:val="24"/>
          <w:szCs w:val="24"/>
          <w14:ligatures w14:val="standardContextual"/>
        </w:rPr>
      </w:pPr>
    </w:p>
    <w:p w14:paraId="156AED26" w14:textId="7CE4736C" w:rsidR="007753B3" w:rsidRDefault="007753B3" w:rsidP="00D62619">
      <w:pPr>
        <w:spacing w:line="360" w:lineRule="auto"/>
        <w:rPr>
          <w:rFonts w:ascii="Calibri" w:hAnsi="Calibri" w:cs="Calibri"/>
          <w:sz w:val="24"/>
          <w:szCs w:val="24"/>
        </w:rPr>
      </w:pPr>
    </w:p>
    <w:p w14:paraId="2689E4DD" w14:textId="77777777" w:rsidR="000C7E58" w:rsidRPr="004F1BE7" w:rsidRDefault="000C7E58" w:rsidP="00D62619">
      <w:pPr>
        <w:spacing w:line="360" w:lineRule="auto"/>
        <w:rPr>
          <w:rFonts w:ascii="Calibri" w:hAnsi="Calibri" w:cs="Calibri"/>
          <w:sz w:val="24"/>
          <w:szCs w:val="24"/>
        </w:rPr>
      </w:pPr>
    </w:p>
    <w:bookmarkEnd w:id="76"/>
    <w:p w14:paraId="4D67497A" w14:textId="77777777" w:rsidR="001872B0" w:rsidRDefault="001872B0" w:rsidP="003652F6">
      <w:pPr>
        <w:ind w:left="1440" w:firstLine="720"/>
        <w:rPr>
          <w:rFonts w:ascii="Calibri" w:hAnsi="Calibri" w:cs="Calibri"/>
          <w:b/>
          <w:bCs/>
          <w:sz w:val="24"/>
          <w:szCs w:val="24"/>
        </w:rPr>
      </w:pPr>
    </w:p>
    <w:p w14:paraId="0F455196" w14:textId="77777777" w:rsidR="004D3DFA" w:rsidRDefault="004D3DFA" w:rsidP="003D0606">
      <w:pPr>
        <w:rPr>
          <w:rFonts w:ascii="Calibri" w:hAnsi="Calibri" w:cs="Calibri"/>
          <w:b/>
          <w:bCs/>
          <w:sz w:val="24"/>
          <w:szCs w:val="24"/>
        </w:rPr>
      </w:pPr>
    </w:p>
    <w:p w14:paraId="10AE159D" w14:textId="77777777" w:rsidR="001872B0" w:rsidRDefault="001872B0" w:rsidP="003652F6">
      <w:pPr>
        <w:ind w:left="1440" w:firstLine="720"/>
        <w:rPr>
          <w:rFonts w:ascii="Calibri" w:hAnsi="Calibri" w:cs="Calibri"/>
          <w:b/>
          <w:bCs/>
          <w:sz w:val="24"/>
          <w:szCs w:val="24"/>
        </w:rPr>
      </w:pPr>
    </w:p>
    <w:p w14:paraId="35D055E8" w14:textId="77777777" w:rsidR="001872B0" w:rsidRDefault="001872B0" w:rsidP="00DC4FD2">
      <w:pPr>
        <w:rPr>
          <w:rFonts w:ascii="Calibri" w:hAnsi="Calibri" w:cs="Calibri"/>
          <w:b/>
          <w:bCs/>
          <w:sz w:val="24"/>
          <w:szCs w:val="24"/>
        </w:rPr>
      </w:pPr>
    </w:p>
    <w:p w14:paraId="147C71B6" w14:textId="2695EBAE" w:rsidR="001872B0" w:rsidRPr="00045D05" w:rsidRDefault="001872B0" w:rsidP="00045D05">
      <w:pPr>
        <w:ind w:left="1440" w:firstLine="720"/>
        <w:rPr>
          <w:rFonts w:ascii="Calibri" w:hAnsi="Calibri" w:cs="Calibri"/>
          <w:b/>
          <w:bCs/>
          <w:sz w:val="28"/>
          <w:szCs w:val="28"/>
        </w:rPr>
      </w:pPr>
      <w:r w:rsidRPr="00045D05">
        <w:rPr>
          <w:rFonts w:ascii="Calibri" w:hAnsi="Calibri" w:cs="Calibri"/>
          <w:b/>
          <w:bCs/>
          <w:sz w:val="28"/>
          <w:szCs w:val="28"/>
        </w:rPr>
        <w:lastRenderedPageBreak/>
        <w:t xml:space="preserve">Chapter </w:t>
      </w:r>
      <w:r w:rsidR="00C567A1" w:rsidRPr="00045D05">
        <w:rPr>
          <w:rFonts w:ascii="Calibri" w:hAnsi="Calibri" w:cs="Calibri"/>
          <w:b/>
          <w:bCs/>
          <w:sz w:val="28"/>
          <w:szCs w:val="28"/>
        </w:rPr>
        <w:t>Seven</w:t>
      </w:r>
      <w:r w:rsidRPr="00045D05">
        <w:rPr>
          <w:rFonts w:ascii="Calibri" w:hAnsi="Calibri" w:cs="Calibri"/>
          <w:b/>
          <w:bCs/>
          <w:sz w:val="28"/>
          <w:szCs w:val="28"/>
        </w:rPr>
        <w:t xml:space="preserve">: </w:t>
      </w:r>
      <w:r w:rsidR="006B7692" w:rsidRPr="00045D05">
        <w:rPr>
          <w:rFonts w:ascii="Calibri" w:hAnsi="Calibri" w:cs="Calibri"/>
          <w:b/>
          <w:bCs/>
          <w:sz w:val="28"/>
          <w:szCs w:val="28"/>
        </w:rPr>
        <w:t xml:space="preserve">Analysis </w:t>
      </w:r>
      <w:r w:rsidR="00577E08" w:rsidRPr="00045D05">
        <w:rPr>
          <w:rFonts w:ascii="Calibri" w:hAnsi="Calibri" w:cs="Calibri"/>
          <w:b/>
          <w:bCs/>
          <w:sz w:val="28"/>
          <w:szCs w:val="28"/>
        </w:rPr>
        <w:t>(Part Two)</w:t>
      </w:r>
    </w:p>
    <w:p w14:paraId="2D5334C9" w14:textId="6CA3550B" w:rsidR="001872B0" w:rsidRPr="00B01D68" w:rsidRDefault="001872B0" w:rsidP="00C04068">
      <w:pPr>
        <w:rPr>
          <w:rFonts w:ascii="Calibri" w:hAnsi="Calibri" w:cs="Calibri"/>
          <w:b/>
          <w:bCs/>
          <w:sz w:val="24"/>
          <w:szCs w:val="24"/>
        </w:rPr>
      </w:pPr>
      <w:r w:rsidRPr="00B01D68">
        <w:rPr>
          <w:rFonts w:ascii="Calibri" w:hAnsi="Calibri" w:cs="Calibri"/>
          <w:b/>
          <w:bCs/>
          <w:sz w:val="24"/>
          <w:szCs w:val="24"/>
        </w:rPr>
        <w:t xml:space="preserve">Introduction </w:t>
      </w:r>
    </w:p>
    <w:p w14:paraId="6C1CDAE8" w14:textId="6172B928" w:rsidR="001872B0" w:rsidRDefault="001872B0" w:rsidP="00094AB8">
      <w:pPr>
        <w:spacing w:line="360" w:lineRule="auto"/>
        <w:rPr>
          <w:rFonts w:ascii="Calibri" w:hAnsi="Calibri" w:cs="Calibri"/>
          <w:sz w:val="24"/>
          <w:szCs w:val="24"/>
        </w:rPr>
      </w:pPr>
      <w:r w:rsidRPr="00F95766">
        <w:rPr>
          <w:rFonts w:ascii="Calibri" w:hAnsi="Calibri" w:cs="Calibri"/>
          <w:sz w:val="24"/>
          <w:szCs w:val="24"/>
        </w:rPr>
        <w:t xml:space="preserve">This chapter </w:t>
      </w:r>
      <w:r w:rsidR="00B1028E">
        <w:rPr>
          <w:rFonts w:ascii="Calibri" w:hAnsi="Calibri" w:cs="Calibri"/>
          <w:sz w:val="24"/>
          <w:szCs w:val="24"/>
        </w:rPr>
        <w:t>provides</w:t>
      </w:r>
      <w:r>
        <w:rPr>
          <w:rFonts w:ascii="Calibri" w:hAnsi="Calibri" w:cs="Calibri"/>
          <w:sz w:val="24"/>
          <w:szCs w:val="24"/>
        </w:rPr>
        <w:t xml:space="preserve"> an analysis of </w:t>
      </w:r>
      <w:r w:rsidRPr="00F95766">
        <w:rPr>
          <w:rFonts w:ascii="Calibri" w:hAnsi="Calibri" w:cs="Calibri"/>
          <w:sz w:val="24"/>
          <w:szCs w:val="24"/>
        </w:rPr>
        <w:t>the second interview</w:t>
      </w:r>
      <w:r>
        <w:rPr>
          <w:rFonts w:ascii="Calibri" w:hAnsi="Calibri" w:cs="Calibri"/>
          <w:sz w:val="24"/>
          <w:szCs w:val="24"/>
        </w:rPr>
        <w:t xml:space="preserve"> which </w:t>
      </w:r>
      <w:r w:rsidRPr="00310709">
        <w:rPr>
          <w:rFonts w:ascii="Calibri" w:hAnsi="Calibri" w:cs="Calibri"/>
          <w:sz w:val="24"/>
          <w:szCs w:val="24"/>
        </w:rPr>
        <w:t xml:space="preserve">was conducted </w:t>
      </w:r>
      <w:r w:rsidR="008B7CDE">
        <w:rPr>
          <w:rFonts w:ascii="Calibri" w:hAnsi="Calibri" w:cs="Calibri"/>
          <w:sz w:val="24"/>
          <w:szCs w:val="24"/>
        </w:rPr>
        <w:t xml:space="preserve">between two and three </w:t>
      </w:r>
      <w:r w:rsidRPr="00310709">
        <w:rPr>
          <w:rFonts w:ascii="Calibri" w:hAnsi="Calibri" w:cs="Calibri"/>
          <w:sz w:val="24"/>
          <w:szCs w:val="24"/>
        </w:rPr>
        <w:t xml:space="preserve">weeks after the first interview had taken place. In the pause between the interviews participants were asked to reflect upon </w:t>
      </w:r>
      <w:r>
        <w:rPr>
          <w:rFonts w:ascii="Calibri" w:hAnsi="Calibri" w:cs="Calibri"/>
          <w:sz w:val="24"/>
          <w:szCs w:val="24"/>
        </w:rPr>
        <w:t xml:space="preserve">two </w:t>
      </w:r>
      <w:r w:rsidRPr="00310709">
        <w:rPr>
          <w:rFonts w:ascii="Calibri" w:hAnsi="Calibri" w:cs="Calibri"/>
          <w:sz w:val="24"/>
          <w:szCs w:val="24"/>
        </w:rPr>
        <w:t>diagrammatic representation</w:t>
      </w:r>
      <w:r>
        <w:rPr>
          <w:rFonts w:ascii="Calibri" w:hAnsi="Calibri" w:cs="Calibri"/>
          <w:sz w:val="24"/>
          <w:szCs w:val="24"/>
        </w:rPr>
        <w:t>s</w:t>
      </w:r>
      <w:r w:rsidRPr="00310709">
        <w:rPr>
          <w:rFonts w:ascii="Calibri" w:hAnsi="Calibri" w:cs="Calibri"/>
          <w:sz w:val="24"/>
          <w:szCs w:val="24"/>
        </w:rPr>
        <w:t xml:space="preserve"> of Winnicott’s holding model (</w:t>
      </w:r>
      <w:r>
        <w:rPr>
          <w:rFonts w:ascii="Calibri" w:hAnsi="Calibri" w:cs="Calibri"/>
          <w:sz w:val="24"/>
          <w:szCs w:val="24"/>
        </w:rPr>
        <w:t xml:space="preserve">see Figure </w:t>
      </w:r>
      <w:r w:rsidR="00E15FFC">
        <w:rPr>
          <w:rFonts w:ascii="Calibri" w:hAnsi="Calibri" w:cs="Calibri"/>
          <w:sz w:val="24"/>
          <w:szCs w:val="24"/>
        </w:rPr>
        <w:t>6</w:t>
      </w:r>
      <w:r>
        <w:rPr>
          <w:rFonts w:ascii="Calibri" w:hAnsi="Calibri" w:cs="Calibri"/>
          <w:sz w:val="24"/>
          <w:szCs w:val="24"/>
        </w:rPr>
        <w:t xml:space="preserve">; </w:t>
      </w:r>
      <w:r w:rsidRPr="00310709">
        <w:rPr>
          <w:rFonts w:ascii="Calibri" w:hAnsi="Calibri" w:cs="Calibri"/>
          <w:sz w:val="24"/>
          <w:szCs w:val="24"/>
        </w:rPr>
        <w:t xml:space="preserve">Appendix </w:t>
      </w:r>
      <w:r w:rsidR="002D069E">
        <w:rPr>
          <w:rFonts w:ascii="Calibri" w:hAnsi="Calibri" w:cs="Calibri"/>
          <w:sz w:val="24"/>
          <w:szCs w:val="24"/>
        </w:rPr>
        <w:t>H</w:t>
      </w:r>
      <w:r w:rsidRPr="00310709">
        <w:rPr>
          <w:rFonts w:ascii="Calibri" w:hAnsi="Calibri" w:cs="Calibri"/>
          <w:sz w:val="24"/>
          <w:szCs w:val="24"/>
        </w:rPr>
        <w:t xml:space="preserve">). </w:t>
      </w:r>
      <w:r>
        <w:rPr>
          <w:rFonts w:ascii="Calibri" w:hAnsi="Calibri" w:cs="Calibri"/>
          <w:sz w:val="24"/>
          <w:szCs w:val="24"/>
        </w:rPr>
        <w:t>Furthermore, the</w:t>
      </w:r>
      <w:r w:rsidRPr="00310709">
        <w:rPr>
          <w:rFonts w:ascii="Calibri" w:hAnsi="Calibri" w:cs="Calibri"/>
          <w:sz w:val="24"/>
          <w:szCs w:val="24"/>
        </w:rPr>
        <w:t xml:space="preserve"> second interview </w:t>
      </w:r>
      <w:r>
        <w:rPr>
          <w:rFonts w:ascii="Calibri" w:hAnsi="Calibri" w:cs="Calibri"/>
          <w:sz w:val="24"/>
          <w:szCs w:val="24"/>
        </w:rPr>
        <w:t xml:space="preserve">was a holding mechanism for the </w:t>
      </w:r>
      <w:r w:rsidRPr="00310709">
        <w:rPr>
          <w:rFonts w:ascii="Calibri" w:hAnsi="Calibri" w:cs="Calibri"/>
          <w:sz w:val="24"/>
          <w:szCs w:val="24"/>
        </w:rPr>
        <w:t>participants</w:t>
      </w:r>
      <w:r w:rsidR="0082133B">
        <w:rPr>
          <w:rFonts w:ascii="Calibri" w:hAnsi="Calibri" w:cs="Calibri"/>
          <w:sz w:val="24"/>
          <w:szCs w:val="24"/>
        </w:rPr>
        <w:t>’</w:t>
      </w:r>
      <w:r w:rsidRPr="00310709">
        <w:rPr>
          <w:rFonts w:ascii="Calibri" w:hAnsi="Calibri" w:cs="Calibri"/>
          <w:sz w:val="24"/>
          <w:szCs w:val="24"/>
        </w:rPr>
        <w:t xml:space="preserve"> </w:t>
      </w:r>
      <w:r>
        <w:rPr>
          <w:rFonts w:ascii="Calibri" w:hAnsi="Calibri" w:cs="Calibri"/>
          <w:sz w:val="24"/>
          <w:szCs w:val="24"/>
        </w:rPr>
        <w:t>retrospective reminiscing journeys and</w:t>
      </w:r>
      <w:r w:rsidRPr="00310709">
        <w:rPr>
          <w:rFonts w:ascii="Calibri" w:hAnsi="Calibri" w:cs="Calibri"/>
          <w:sz w:val="24"/>
          <w:szCs w:val="24"/>
        </w:rPr>
        <w:t xml:space="preserve"> </w:t>
      </w:r>
      <w:r>
        <w:rPr>
          <w:rFonts w:ascii="Calibri" w:hAnsi="Calibri" w:cs="Calibri"/>
          <w:sz w:val="24"/>
          <w:szCs w:val="24"/>
        </w:rPr>
        <w:t>captured their arrival point at the end of the interview process</w:t>
      </w:r>
      <w:r w:rsidRPr="00310709">
        <w:rPr>
          <w:rFonts w:ascii="Calibri" w:hAnsi="Calibri" w:cs="Calibri"/>
          <w:sz w:val="24"/>
          <w:szCs w:val="24"/>
        </w:rPr>
        <w:t xml:space="preserve">. </w:t>
      </w:r>
      <w:bookmarkStart w:id="77" w:name="_Hlk200884098"/>
    </w:p>
    <w:bookmarkEnd w:id="77"/>
    <w:p w14:paraId="6889A073" w14:textId="44D77010" w:rsidR="001872B0" w:rsidRPr="00310709" w:rsidRDefault="001872B0" w:rsidP="00310709">
      <w:pPr>
        <w:rPr>
          <w:rFonts w:ascii="Calibri" w:hAnsi="Calibri" w:cs="Calibri"/>
          <w:sz w:val="24"/>
          <w:szCs w:val="24"/>
        </w:rPr>
      </w:pPr>
      <w:r>
        <w:rPr>
          <w:rFonts w:ascii="Calibri" w:eastAsia="Calibri" w:hAnsi="Calibri" w:cs="Times New Roman"/>
          <w:noProof/>
          <w:sz w:val="24"/>
          <w:szCs w:val="24"/>
        </w:rPr>
        <mc:AlternateContent>
          <mc:Choice Requires="wps">
            <w:drawing>
              <wp:anchor distT="0" distB="0" distL="114300" distR="114300" simplePos="0" relativeHeight="251639808" behindDoc="0" locked="0" layoutInCell="1" allowOverlap="1" wp14:anchorId="783F0CC5" wp14:editId="272BF890">
                <wp:simplePos x="0" y="0"/>
                <wp:positionH relativeFrom="margin">
                  <wp:posOffset>4712110</wp:posOffset>
                </wp:positionH>
                <wp:positionV relativeFrom="paragraph">
                  <wp:posOffset>728549</wp:posOffset>
                </wp:positionV>
                <wp:extent cx="1433754" cy="1172497"/>
                <wp:effectExtent l="0" t="0" r="0" b="8890"/>
                <wp:wrapNone/>
                <wp:docPr id="168130187" name="Text Box 3"/>
                <wp:cNvGraphicFramePr/>
                <a:graphic xmlns:a="http://schemas.openxmlformats.org/drawingml/2006/main">
                  <a:graphicData uri="http://schemas.microsoft.com/office/word/2010/wordprocessingShape">
                    <wps:wsp>
                      <wps:cNvSpPr txBox="1"/>
                      <wps:spPr>
                        <a:xfrm>
                          <a:off x="0" y="0"/>
                          <a:ext cx="1433754" cy="1172497"/>
                        </a:xfrm>
                        <a:prstGeom prst="rect">
                          <a:avLst/>
                        </a:prstGeom>
                        <a:solidFill>
                          <a:schemeClr val="lt1"/>
                        </a:solidFill>
                        <a:ln w="6350">
                          <a:noFill/>
                        </a:ln>
                      </wps:spPr>
                      <wps:txbx>
                        <w:txbxContent>
                          <w:p w14:paraId="30278904" w14:textId="77777777" w:rsidR="001872B0" w:rsidRPr="00067809" w:rsidRDefault="001872B0" w:rsidP="00E91A95">
                            <w:pPr>
                              <w:rPr>
                                <w:i/>
                                <w:iCs/>
                              </w:rPr>
                            </w:pPr>
                            <w:r w:rsidRPr="00067809">
                              <w:rPr>
                                <w:i/>
                                <w:iCs/>
                              </w:rPr>
                              <w:t>Model 1: Winnicott’s model of holding (Adapted from Davis and Wallbridge, 1981)</w:t>
                            </w:r>
                          </w:p>
                          <w:p w14:paraId="77C03092" w14:textId="77777777" w:rsidR="001872B0" w:rsidRDefault="00187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0CC5" id="Text Box 3" o:spid="_x0000_s1027" type="#_x0000_t202" style="position:absolute;margin-left:371.05pt;margin-top:57.35pt;width:112.9pt;height:92.3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" fillcolor="white [3201]" stroked="f" strokeweight=".5pt">
                <v:textbox>
                  <w:txbxContent>
                    <w:p w14:paraId="30278904" w14:textId="77777777" w:rsidR="001872B0" w:rsidRPr="00067809" w:rsidRDefault="001872B0" w:rsidP="00E91A95">
                      <w:pPr>
                        <w:rPr>
                          <w:i/>
                          <w:iCs/>
                        </w:rPr>
                      </w:pPr>
                      <w:r w:rsidRPr="00067809">
                        <w:rPr>
                          <w:i/>
                          <w:iCs/>
                        </w:rPr>
                        <w:t>Model 1: Winnicott’s model of holding (Adapted from Davis and Wallbridge, 1981)</w:t>
                      </w:r>
                    </w:p>
                    <w:p w14:paraId="77C03092" w14:textId="77777777" w:rsidR="001872B0" w:rsidRDefault="001872B0"/>
                  </w:txbxContent>
                </v:textbox>
                <w10:wrap anchorx="margin"/>
              </v:shape>
            </w:pict>
          </mc:Fallback>
        </mc:AlternateContent>
      </w:r>
      <w:r w:rsidRPr="00521BF1">
        <w:rPr>
          <w:rFonts w:ascii="Calibri" w:eastAsia="Calibri" w:hAnsi="Calibri" w:cs="Times New Roman"/>
          <w:noProof/>
          <w:sz w:val="24"/>
          <w:szCs w:val="24"/>
        </w:rPr>
        <w:drawing>
          <wp:inline distT="0" distB="0" distL="0" distR="0" wp14:anchorId="2F9AD836" wp14:editId="05CF11B9">
            <wp:extent cx="4973955" cy="2776220"/>
            <wp:effectExtent l="0" t="0" r="0" b="24130"/>
            <wp:docPr id="3118919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2DD46A1" w14:textId="17F2F786" w:rsidR="001872B0" w:rsidRPr="00F95766" w:rsidRDefault="00067809" w:rsidP="00C04068">
      <w:pPr>
        <w:rPr>
          <w:rFonts w:ascii="Calibri" w:hAnsi="Calibri" w:cs="Calibri"/>
          <w:sz w:val="24"/>
          <w:szCs w:val="24"/>
        </w:rPr>
      </w:pPr>
      <w:r>
        <w:rPr>
          <w:rFonts w:ascii="Calibri" w:eastAsia="Calibri" w:hAnsi="Calibri" w:cs="Times New Roman"/>
          <w:noProof/>
          <w:sz w:val="24"/>
          <w:szCs w:val="24"/>
        </w:rPr>
        <mc:AlternateContent>
          <mc:Choice Requires="wps">
            <w:drawing>
              <wp:anchor distT="0" distB="0" distL="114300" distR="114300" simplePos="0" relativeHeight="251675648" behindDoc="0" locked="0" layoutInCell="1" allowOverlap="1" wp14:anchorId="68299810" wp14:editId="31A770CF">
                <wp:simplePos x="0" y="0"/>
                <wp:positionH relativeFrom="column">
                  <wp:posOffset>4741606</wp:posOffset>
                </wp:positionH>
                <wp:positionV relativeFrom="paragraph">
                  <wp:posOffset>527193</wp:posOffset>
                </wp:positionV>
                <wp:extent cx="1374343" cy="1143000"/>
                <wp:effectExtent l="0" t="0" r="0" b="0"/>
                <wp:wrapNone/>
                <wp:docPr id="1613192553" name="Text Box 4"/>
                <wp:cNvGraphicFramePr/>
                <a:graphic xmlns:a="http://schemas.openxmlformats.org/drawingml/2006/main">
                  <a:graphicData uri="http://schemas.microsoft.com/office/word/2010/wordprocessingShape">
                    <wps:wsp>
                      <wps:cNvSpPr txBox="1"/>
                      <wps:spPr>
                        <a:xfrm>
                          <a:off x="0" y="0"/>
                          <a:ext cx="1374343" cy="1143000"/>
                        </a:xfrm>
                        <a:prstGeom prst="rect">
                          <a:avLst/>
                        </a:prstGeom>
                        <a:solidFill>
                          <a:schemeClr val="lt1"/>
                        </a:solidFill>
                        <a:ln w="6350">
                          <a:noFill/>
                        </a:ln>
                      </wps:spPr>
                      <wps:txbx>
                        <w:txbxContent>
                          <w:p w14:paraId="5DF08418" w14:textId="77777777" w:rsidR="001872B0" w:rsidRPr="00067809" w:rsidRDefault="001872B0">
                            <w:pPr>
                              <w:rPr>
                                <w:i/>
                                <w:iCs/>
                              </w:rPr>
                            </w:pPr>
                            <w:r w:rsidRPr="00067809">
                              <w:rPr>
                                <w:i/>
                                <w:iCs/>
                              </w:rPr>
                              <w:t>Model 2: Extension of Winnicott’s model of holding by the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9810" id="Text Box 4" o:spid="_x0000_s1028" type="#_x0000_t202" style="position:absolute;margin-left:373.35pt;margin-top:41.5pt;width:108.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" fillcolor="white [3201]" stroked="f" strokeweight=".5pt">
                <v:textbox>
                  <w:txbxContent>
                    <w:p w14:paraId="5DF08418" w14:textId="77777777" w:rsidR="001872B0" w:rsidRPr="00067809" w:rsidRDefault="001872B0">
                      <w:pPr>
                        <w:rPr>
                          <w:i/>
                          <w:iCs/>
                        </w:rPr>
                      </w:pPr>
                      <w:r w:rsidRPr="00067809">
                        <w:rPr>
                          <w:i/>
                          <w:iCs/>
                        </w:rPr>
                        <w:t>Model 2: Extension of Winnicott’s model of holding by the researcher</w:t>
                      </w:r>
                    </w:p>
                  </w:txbxContent>
                </v:textbox>
              </v:shape>
            </w:pict>
          </mc:Fallback>
        </mc:AlternateContent>
      </w:r>
      <w:r w:rsidR="001872B0" w:rsidRPr="00B3771C">
        <w:rPr>
          <w:rFonts w:ascii="Calibri" w:eastAsia="Calibri" w:hAnsi="Calibri" w:cs="Times New Roman"/>
          <w:noProof/>
          <w:sz w:val="24"/>
          <w:szCs w:val="24"/>
        </w:rPr>
        <w:drawing>
          <wp:inline distT="0" distB="0" distL="0" distR="0" wp14:anchorId="195FEE0A" wp14:editId="5858F000">
            <wp:extent cx="5083810" cy="2870200"/>
            <wp:effectExtent l="0" t="0" r="0" b="25400"/>
            <wp:docPr id="10040509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DEB42B6" w14:textId="1590403A" w:rsidR="001872B0" w:rsidRPr="0081528A" w:rsidRDefault="001872B0" w:rsidP="007E68E2">
      <w:pPr>
        <w:ind w:firstLine="720"/>
        <w:rPr>
          <w:rFonts w:ascii="Calibri" w:eastAsia="Calibri" w:hAnsi="Calibri" w:cs="Times New Roman"/>
          <w:i/>
          <w:iCs/>
          <w:sz w:val="24"/>
          <w:szCs w:val="24"/>
        </w:rPr>
      </w:pPr>
      <w:r w:rsidRPr="0081528A">
        <w:rPr>
          <w:rFonts w:ascii="Calibri" w:eastAsia="Calibri" w:hAnsi="Calibri" w:cs="Times New Roman"/>
          <w:i/>
          <w:iCs/>
          <w:sz w:val="24"/>
          <w:szCs w:val="24"/>
        </w:rPr>
        <w:t xml:space="preserve">Figure </w:t>
      </w:r>
      <w:r w:rsidR="00E15FFC" w:rsidRPr="0081528A">
        <w:rPr>
          <w:rFonts w:ascii="Calibri" w:eastAsia="Calibri" w:hAnsi="Calibri" w:cs="Times New Roman"/>
          <w:i/>
          <w:iCs/>
          <w:sz w:val="24"/>
          <w:szCs w:val="24"/>
        </w:rPr>
        <w:t>6</w:t>
      </w:r>
      <w:r w:rsidRPr="0081528A">
        <w:rPr>
          <w:rFonts w:ascii="Calibri" w:eastAsia="Calibri" w:hAnsi="Calibri" w:cs="Times New Roman"/>
          <w:i/>
          <w:iCs/>
          <w:sz w:val="24"/>
          <w:szCs w:val="24"/>
        </w:rPr>
        <w:t>: Winnicott’s models of holding (Adapted from Davis and Wallbridge, 1981)</w:t>
      </w:r>
    </w:p>
    <w:p w14:paraId="456B311D" w14:textId="77777777" w:rsidR="001872B0" w:rsidRPr="007E68E2" w:rsidRDefault="001872B0" w:rsidP="007E68E2">
      <w:pPr>
        <w:rPr>
          <w:rFonts w:ascii="Calibri" w:eastAsia="Calibri" w:hAnsi="Calibri" w:cs="Times New Roman"/>
          <w:sz w:val="24"/>
          <w:szCs w:val="24"/>
        </w:rPr>
      </w:pPr>
      <w:r w:rsidRPr="000B28E5">
        <w:rPr>
          <w:rFonts w:ascii="Calibri" w:hAnsi="Calibri" w:cs="Calibri"/>
          <w:b/>
          <w:bCs/>
          <w:sz w:val="24"/>
          <w:szCs w:val="24"/>
          <w:lang w:val="en-US"/>
        </w:rPr>
        <w:lastRenderedPageBreak/>
        <w:t xml:space="preserve">Coding: </w:t>
      </w:r>
      <w:r w:rsidRPr="000B28E5">
        <w:rPr>
          <w:rFonts w:ascii="Calibri" w:hAnsi="Calibri" w:cs="Calibri"/>
          <w:b/>
          <w:bCs/>
          <w:sz w:val="24"/>
          <w:szCs w:val="24"/>
        </w:rPr>
        <w:t>Learning from retrospective reminiscing - the now what?</w:t>
      </w:r>
    </w:p>
    <w:p w14:paraId="3C47ECCB" w14:textId="77777777" w:rsidR="001872B0" w:rsidRDefault="001872B0" w:rsidP="001C6C47">
      <w:pPr>
        <w:rPr>
          <w:rFonts w:ascii="Calibri" w:hAnsi="Calibri" w:cs="Calibri"/>
          <w:b/>
          <w:bCs/>
          <w:sz w:val="24"/>
          <w:szCs w:val="24"/>
          <w:lang w:val="en-US"/>
        </w:rPr>
      </w:pPr>
      <w:r w:rsidRPr="000B28E5">
        <w:rPr>
          <w:rFonts w:ascii="Calibri" w:hAnsi="Calibri" w:cs="Calibri"/>
          <w:b/>
          <w:bCs/>
          <w:sz w:val="24"/>
          <w:szCs w:val="24"/>
          <w:lang w:val="en-US"/>
        </w:rPr>
        <w:t>Theme: The Return</w:t>
      </w:r>
    </w:p>
    <w:p w14:paraId="2E53F79F" w14:textId="0D2CC124" w:rsidR="001872B0" w:rsidRDefault="001872B0" w:rsidP="001C6C47">
      <w:pPr>
        <w:rPr>
          <w:rFonts w:ascii="Calibri" w:hAnsi="Calibri" w:cs="Calibri"/>
          <w:b/>
          <w:bCs/>
          <w:sz w:val="24"/>
          <w:szCs w:val="24"/>
          <w:lang w:val="en-US"/>
        </w:rPr>
      </w:pPr>
      <w:r w:rsidRPr="009C7E62">
        <w:rPr>
          <w:rFonts w:ascii="Calibri" w:hAnsi="Calibri" w:cs="Calibri"/>
          <w:b/>
          <w:bCs/>
          <w:sz w:val="24"/>
          <w:szCs w:val="24"/>
          <w:lang w:val="en-US"/>
        </w:rPr>
        <w:t xml:space="preserve">Research Question 3: </w:t>
      </w:r>
      <w:r w:rsidR="00206952">
        <w:rPr>
          <w:rFonts w:ascii="Calibri" w:hAnsi="Calibri" w:cs="Calibri"/>
          <w:b/>
          <w:bCs/>
          <w:sz w:val="24"/>
          <w:szCs w:val="24"/>
          <w:lang w:val="en-US"/>
        </w:rPr>
        <w:t>How can HE teachers make use of Winnicott’s concept of holding?</w:t>
      </w:r>
    </w:p>
    <w:p w14:paraId="664F5A5D" w14:textId="77777777" w:rsidR="001872B0" w:rsidRPr="000034B9" w:rsidRDefault="001872B0" w:rsidP="00DA419D">
      <w:pPr>
        <w:spacing w:line="360" w:lineRule="auto"/>
        <w:rPr>
          <w:rFonts w:ascii="Calibri" w:hAnsi="Calibri" w:cs="Calibri"/>
          <w:sz w:val="24"/>
          <w:szCs w:val="24"/>
        </w:rPr>
      </w:pPr>
      <w:r w:rsidRPr="00C31D6B">
        <w:rPr>
          <w:rFonts w:ascii="Calibri" w:hAnsi="Calibri" w:cs="Calibri"/>
          <w:sz w:val="24"/>
          <w:szCs w:val="24"/>
        </w:rPr>
        <w:t xml:space="preserve">It was anticipated that participants would return </w:t>
      </w:r>
      <w:r>
        <w:rPr>
          <w:rFonts w:ascii="Calibri" w:hAnsi="Calibri" w:cs="Calibri"/>
          <w:sz w:val="24"/>
          <w:szCs w:val="24"/>
        </w:rPr>
        <w:t xml:space="preserve">from the first interview </w:t>
      </w:r>
      <w:r w:rsidRPr="00C31D6B">
        <w:rPr>
          <w:rFonts w:ascii="Calibri" w:hAnsi="Calibri" w:cs="Calibri"/>
          <w:sz w:val="24"/>
          <w:szCs w:val="24"/>
        </w:rPr>
        <w:t xml:space="preserve">with </w:t>
      </w:r>
      <w:r w:rsidRPr="00C31D6B">
        <w:rPr>
          <w:rFonts w:ascii="Calibri" w:hAnsi="Calibri" w:cs="Calibri"/>
          <w:i/>
          <w:iCs/>
          <w:sz w:val="24"/>
          <w:szCs w:val="24"/>
        </w:rPr>
        <w:t>their</w:t>
      </w:r>
      <w:r w:rsidRPr="00C31D6B">
        <w:rPr>
          <w:rFonts w:ascii="Calibri" w:hAnsi="Calibri" w:cs="Calibri"/>
          <w:sz w:val="24"/>
          <w:szCs w:val="24"/>
        </w:rPr>
        <w:t xml:space="preserve"> elixir (Vogler, 1998), the essence of what they have learned </w:t>
      </w:r>
      <w:r>
        <w:rPr>
          <w:rFonts w:ascii="Calibri" w:hAnsi="Calibri" w:cs="Calibri"/>
          <w:sz w:val="24"/>
          <w:szCs w:val="24"/>
        </w:rPr>
        <w:t xml:space="preserve">from </w:t>
      </w:r>
      <w:r w:rsidRPr="00C31D6B">
        <w:rPr>
          <w:rFonts w:ascii="Calibri" w:hAnsi="Calibri" w:cs="Calibri"/>
          <w:sz w:val="24"/>
          <w:szCs w:val="24"/>
        </w:rPr>
        <w:t xml:space="preserve">reflecting </w:t>
      </w:r>
      <w:r>
        <w:rPr>
          <w:rFonts w:ascii="Calibri" w:hAnsi="Calibri" w:cs="Calibri"/>
          <w:sz w:val="24"/>
          <w:szCs w:val="24"/>
        </w:rPr>
        <w:t xml:space="preserve">on the Winnicott models.  </w:t>
      </w:r>
    </w:p>
    <w:p w14:paraId="0D4A8631" w14:textId="77777777" w:rsidR="001872B0" w:rsidRPr="002D100D" w:rsidRDefault="001872B0" w:rsidP="001C6C47">
      <w:pPr>
        <w:rPr>
          <w:rFonts w:ascii="Calibri" w:hAnsi="Calibri" w:cs="Calibri"/>
          <w:b/>
          <w:bCs/>
          <w:i/>
          <w:iCs/>
          <w:sz w:val="24"/>
          <w:szCs w:val="24"/>
          <w:lang w:val="en-US"/>
        </w:rPr>
      </w:pPr>
      <w:r>
        <w:rPr>
          <w:rFonts w:ascii="Calibri" w:hAnsi="Calibri" w:cs="Calibri"/>
          <w:b/>
          <w:bCs/>
          <w:sz w:val="24"/>
          <w:szCs w:val="24"/>
          <w:lang w:val="en-US"/>
        </w:rPr>
        <w:tab/>
      </w:r>
      <w:r w:rsidRPr="002D100D">
        <w:rPr>
          <w:rFonts w:ascii="Calibri" w:hAnsi="Calibri" w:cs="Calibri"/>
          <w:b/>
          <w:bCs/>
          <w:i/>
          <w:iCs/>
          <w:sz w:val="24"/>
          <w:szCs w:val="24"/>
          <w:lang w:val="en-US"/>
        </w:rPr>
        <w:t>Reflections on the task</w:t>
      </w:r>
    </w:p>
    <w:p w14:paraId="7F0AC88F" w14:textId="39875246" w:rsidR="001872B0" w:rsidRPr="00ED7872" w:rsidRDefault="001872B0" w:rsidP="00110527">
      <w:pPr>
        <w:spacing w:line="360" w:lineRule="auto"/>
        <w:rPr>
          <w:rFonts w:ascii="Calibri" w:hAnsi="Calibri" w:cs="Calibri"/>
          <w:sz w:val="24"/>
          <w:szCs w:val="24"/>
        </w:rPr>
      </w:pPr>
      <w:r>
        <w:rPr>
          <w:rFonts w:ascii="Calibri" w:hAnsi="Calibri" w:cs="Calibri"/>
          <w:sz w:val="24"/>
          <w:szCs w:val="24"/>
        </w:rPr>
        <w:t>A stimulus for participants to reflect upon the notion of support, s</w:t>
      </w:r>
      <w:r w:rsidRPr="00866164">
        <w:rPr>
          <w:rFonts w:ascii="Calibri" w:hAnsi="Calibri" w:cs="Calibri"/>
          <w:sz w:val="24"/>
          <w:szCs w:val="24"/>
        </w:rPr>
        <w:t>ome participants regarded the model as being limited</w:t>
      </w:r>
      <w:r w:rsidR="00AC2C9A">
        <w:rPr>
          <w:rFonts w:ascii="Calibri" w:hAnsi="Calibri" w:cs="Calibri"/>
          <w:sz w:val="24"/>
          <w:szCs w:val="24"/>
        </w:rPr>
        <w:t>:</w:t>
      </w:r>
      <w:r>
        <w:rPr>
          <w:rFonts w:ascii="Calibri" w:hAnsi="Calibri" w:cs="Calibri"/>
          <w:sz w:val="24"/>
          <w:szCs w:val="24"/>
        </w:rPr>
        <w:t xml:space="preserve"> </w:t>
      </w:r>
    </w:p>
    <w:p w14:paraId="5BBD1015" w14:textId="7ED5D10E"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The world is not that perfect, and I think that the danger in that sort of one-dimensional model is that there is a risk that it could be interpreted as a way of attaching blame and attributing blame, so, I think that that’s the danger really, that blame thing. And the problem with the blame is it doesn’t give you a means of recovery (Miriam, T2, p.3</w:t>
      </w:r>
      <w:r w:rsidR="0072196F">
        <w:rPr>
          <w:rFonts w:ascii="Calibri" w:hAnsi="Calibri" w:cs="Calibri"/>
          <w:i/>
          <w:iCs/>
          <w:sz w:val="24"/>
          <w:szCs w:val="24"/>
        </w:rPr>
        <w:t>, par</w:t>
      </w:r>
      <w:r w:rsidR="002D0848">
        <w:rPr>
          <w:rFonts w:ascii="Calibri" w:hAnsi="Calibri" w:cs="Calibri"/>
          <w:i/>
          <w:iCs/>
          <w:sz w:val="24"/>
          <w:szCs w:val="24"/>
        </w:rPr>
        <w:t xml:space="preserve"> 1</w:t>
      </w:r>
      <w:r w:rsidRPr="00E15FFC">
        <w:rPr>
          <w:rFonts w:ascii="Calibri" w:hAnsi="Calibri" w:cs="Calibri"/>
          <w:i/>
          <w:iCs/>
          <w:sz w:val="24"/>
          <w:szCs w:val="24"/>
        </w:rPr>
        <w:t>).</w:t>
      </w:r>
    </w:p>
    <w:p w14:paraId="7F1ED276" w14:textId="23A674D0"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It’s really, really difficult to say one size fits all. I think that we need to be very mindful about our audience per se and it’s not just like, okay, this is a model we’re looking at, it suits everybody. I think we need to be able to be flexible and be able to play about with it (Jenko, T2, p.1, par 7).</w:t>
      </w:r>
    </w:p>
    <w:p w14:paraId="41B995DF" w14:textId="3537AD1A" w:rsidR="001872B0" w:rsidRPr="002854D2" w:rsidRDefault="001872B0" w:rsidP="00AB664D">
      <w:pPr>
        <w:spacing w:line="360" w:lineRule="auto"/>
        <w:rPr>
          <w:rFonts w:ascii="Calibri" w:hAnsi="Calibri" w:cs="Calibri"/>
          <w:sz w:val="24"/>
          <w:szCs w:val="24"/>
        </w:rPr>
      </w:pPr>
      <w:r>
        <w:rPr>
          <w:rFonts w:ascii="Calibri" w:hAnsi="Calibri" w:cs="Calibri"/>
          <w:sz w:val="24"/>
          <w:szCs w:val="24"/>
        </w:rPr>
        <w:t xml:space="preserve">The point raised by Miriam regarding recovery is an important one. For </w:t>
      </w:r>
      <w:r w:rsidRPr="00A07E65">
        <w:rPr>
          <w:rFonts w:ascii="Calibri" w:hAnsi="Calibri" w:cs="Calibri"/>
          <w:sz w:val="24"/>
          <w:szCs w:val="24"/>
        </w:rPr>
        <w:t xml:space="preserve">Winnicott (1965) recovery </w:t>
      </w:r>
      <w:r>
        <w:rPr>
          <w:rFonts w:ascii="Calibri" w:hAnsi="Calibri" w:cs="Calibri"/>
          <w:sz w:val="24"/>
          <w:szCs w:val="24"/>
        </w:rPr>
        <w:t xml:space="preserve">is </w:t>
      </w:r>
      <w:r w:rsidRPr="00A07E65">
        <w:rPr>
          <w:rFonts w:ascii="Calibri" w:hAnsi="Calibri" w:cs="Calibri"/>
          <w:sz w:val="24"/>
          <w:szCs w:val="24"/>
        </w:rPr>
        <w:t xml:space="preserve">“reparation” (p.82), and a failure </w:t>
      </w:r>
      <w:r>
        <w:rPr>
          <w:rFonts w:ascii="Calibri" w:hAnsi="Calibri" w:cs="Calibri"/>
          <w:sz w:val="24"/>
          <w:szCs w:val="24"/>
        </w:rPr>
        <w:t xml:space="preserve">to repair </w:t>
      </w:r>
      <w:r w:rsidRPr="00A07E65">
        <w:rPr>
          <w:rFonts w:ascii="Calibri" w:hAnsi="Calibri" w:cs="Calibri"/>
          <w:sz w:val="24"/>
          <w:szCs w:val="24"/>
        </w:rPr>
        <w:t xml:space="preserve">results in the loss of a capacity for concern </w:t>
      </w:r>
      <w:r w:rsidR="00E04F5D">
        <w:rPr>
          <w:rFonts w:ascii="Calibri" w:hAnsi="Calibri" w:cs="Calibri"/>
          <w:sz w:val="24"/>
          <w:szCs w:val="24"/>
        </w:rPr>
        <w:t>(Winnicott, 1963)</w:t>
      </w:r>
      <w:r w:rsidR="00AE4D94">
        <w:rPr>
          <w:rFonts w:ascii="Calibri" w:hAnsi="Calibri" w:cs="Calibri"/>
          <w:sz w:val="24"/>
          <w:szCs w:val="24"/>
        </w:rPr>
        <w:t xml:space="preserve"> </w:t>
      </w:r>
      <w:r>
        <w:rPr>
          <w:rFonts w:ascii="Calibri" w:hAnsi="Calibri" w:cs="Calibri"/>
          <w:sz w:val="24"/>
          <w:szCs w:val="24"/>
        </w:rPr>
        <w:t>resulting in “</w:t>
      </w:r>
      <w:r w:rsidRPr="00A07E65">
        <w:rPr>
          <w:rFonts w:ascii="Calibri" w:hAnsi="Calibri" w:cs="Calibri"/>
          <w:sz w:val="24"/>
          <w:szCs w:val="24"/>
        </w:rPr>
        <w:t>disintegration</w:t>
      </w:r>
      <w:r>
        <w:rPr>
          <w:rFonts w:ascii="Calibri" w:hAnsi="Calibri" w:cs="Calibri"/>
          <w:sz w:val="24"/>
          <w:szCs w:val="24"/>
        </w:rPr>
        <w:t>”</w:t>
      </w:r>
      <w:r w:rsidRPr="00A07E65">
        <w:rPr>
          <w:rFonts w:ascii="Calibri" w:hAnsi="Calibri" w:cs="Calibri"/>
          <w:sz w:val="24"/>
          <w:szCs w:val="24"/>
        </w:rPr>
        <w:t xml:space="preserve"> (Winnicott, 1965, p.78). </w:t>
      </w:r>
      <w:r>
        <w:rPr>
          <w:rFonts w:ascii="Calibri" w:hAnsi="Calibri" w:cs="Calibri"/>
          <w:sz w:val="24"/>
          <w:szCs w:val="24"/>
        </w:rPr>
        <w:t xml:space="preserve">Miriam is highlighting that </w:t>
      </w:r>
      <w:r w:rsidRPr="00A07E65">
        <w:rPr>
          <w:rFonts w:ascii="Calibri" w:hAnsi="Calibri" w:cs="Calibri"/>
          <w:sz w:val="24"/>
          <w:szCs w:val="24"/>
        </w:rPr>
        <w:t>there are consequences to remaining entrenched in blaming the other</w:t>
      </w:r>
      <w:r>
        <w:rPr>
          <w:rFonts w:ascii="Calibri" w:hAnsi="Calibri" w:cs="Calibri"/>
          <w:sz w:val="24"/>
          <w:szCs w:val="24"/>
        </w:rPr>
        <w:t xml:space="preserve">. </w:t>
      </w:r>
      <w:r w:rsidR="0066242F">
        <w:rPr>
          <w:rFonts w:ascii="Calibri" w:hAnsi="Calibri" w:cs="Calibri"/>
          <w:sz w:val="24"/>
          <w:szCs w:val="24"/>
        </w:rPr>
        <w:t xml:space="preserve">Blaming </w:t>
      </w:r>
      <w:r>
        <w:rPr>
          <w:rFonts w:ascii="Calibri" w:hAnsi="Calibri" w:cs="Calibri"/>
          <w:sz w:val="24"/>
          <w:szCs w:val="24"/>
        </w:rPr>
        <w:t xml:space="preserve">separates </w:t>
      </w:r>
      <w:r w:rsidRPr="00A07E65">
        <w:rPr>
          <w:rFonts w:ascii="Calibri" w:hAnsi="Calibri" w:cs="Calibri"/>
          <w:sz w:val="24"/>
          <w:szCs w:val="24"/>
        </w:rPr>
        <w:t>the blamer, and the blamed</w:t>
      </w:r>
      <w:r>
        <w:rPr>
          <w:rFonts w:ascii="Calibri" w:hAnsi="Calibri" w:cs="Calibri"/>
          <w:sz w:val="24"/>
          <w:szCs w:val="24"/>
        </w:rPr>
        <w:t xml:space="preserve"> and</w:t>
      </w:r>
      <w:r w:rsidRPr="00A07E65">
        <w:rPr>
          <w:rFonts w:ascii="Calibri" w:hAnsi="Calibri" w:cs="Calibri"/>
          <w:sz w:val="24"/>
          <w:szCs w:val="24"/>
        </w:rPr>
        <w:t xml:space="preserve"> </w:t>
      </w:r>
      <w:r>
        <w:rPr>
          <w:rFonts w:ascii="Calibri" w:hAnsi="Calibri" w:cs="Calibri"/>
          <w:sz w:val="24"/>
          <w:szCs w:val="24"/>
        </w:rPr>
        <w:t>there is a danger that the blame game could become entrenched (Ahmed, 2021), a situation that is neither restorative nor relational. Jenko’s comment about seeing holding as a “</w:t>
      </w:r>
      <w:r w:rsidRPr="00E15FFC">
        <w:rPr>
          <w:rFonts w:ascii="Calibri" w:hAnsi="Calibri" w:cs="Calibri"/>
          <w:i/>
          <w:iCs/>
          <w:sz w:val="24"/>
          <w:szCs w:val="24"/>
        </w:rPr>
        <w:t>one-size-fits-all</w:t>
      </w:r>
      <w:r>
        <w:rPr>
          <w:rFonts w:ascii="Calibri" w:hAnsi="Calibri" w:cs="Calibri"/>
          <w:sz w:val="24"/>
          <w:szCs w:val="24"/>
        </w:rPr>
        <w:t>” model (T2, p.1, par 8) hinders adaptability, creativity and potential space (Winnicott, 1971) rendering it a dogma, and not a concept. It is the concept, and principle of holding that Jenko believes could be expanded to think about and be applied to students, teaching and the teacher, the very positionality of this thesis.</w:t>
      </w:r>
    </w:p>
    <w:p w14:paraId="07B750CD" w14:textId="67AE3D66" w:rsidR="001872B0" w:rsidRDefault="001872B0" w:rsidP="00682BB5">
      <w:pPr>
        <w:spacing w:line="360" w:lineRule="auto"/>
        <w:rPr>
          <w:rFonts w:ascii="Calibri" w:hAnsi="Calibri" w:cs="Calibri"/>
          <w:sz w:val="24"/>
          <w:szCs w:val="24"/>
        </w:rPr>
      </w:pPr>
      <w:r>
        <w:rPr>
          <w:rFonts w:ascii="Calibri" w:hAnsi="Calibri" w:cs="Calibri"/>
          <w:sz w:val="24"/>
          <w:szCs w:val="24"/>
        </w:rPr>
        <w:t>Some participants reflected upon the application of holding to</w:t>
      </w:r>
      <w:r w:rsidR="00AC2C9A">
        <w:rPr>
          <w:rFonts w:ascii="Calibri" w:hAnsi="Calibri" w:cs="Calibri"/>
          <w:sz w:val="24"/>
          <w:szCs w:val="24"/>
        </w:rPr>
        <w:t>,</w:t>
      </w:r>
      <w:r>
        <w:rPr>
          <w:rFonts w:ascii="Calibri" w:hAnsi="Calibri" w:cs="Calibri"/>
          <w:sz w:val="24"/>
          <w:szCs w:val="24"/>
        </w:rPr>
        <w:t xml:space="preserve"> and for students. Sally commented that she found herself using the model to prompt her students to reflect on their own support mechanisms: “</w:t>
      </w:r>
      <w:r w:rsidRPr="00E15FFC">
        <w:rPr>
          <w:rFonts w:ascii="Calibri" w:hAnsi="Calibri" w:cs="Calibri"/>
          <w:i/>
          <w:iCs/>
          <w:sz w:val="24"/>
          <w:szCs w:val="24"/>
        </w:rPr>
        <w:t xml:space="preserve">Who do you go to for support? Because a lot of them are </w:t>
      </w:r>
      <w:r w:rsidRPr="00E15FFC">
        <w:rPr>
          <w:rFonts w:ascii="Calibri" w:hAnsi="Calibri" w:cs="Calibri"/>
          <w:i/>
          <w:iCs/>
          <w:sz w:val="24"/>
          <w:szCs w:val="24"/>
        </w:rPr>
        <w:lastRenderedPageBreak/>
        <w:t>very resistant to any kind of external mental health support</w:t>
      </w:r>
      <w:r>
        <w:rPr>
          <w:rFonts w:ascii="Calibri" w:hAnsi="Calibri" w:cs="Calibri"/>
          <w:sz w:val="24"/>
          <w:szCs w:val="24"/>
        </w:rPr>
        <w:t>” (</w:t>
      </w:r>
      <w:r w:rsidR="001F7E20">
        <w:rPr>
          <w:rFonts w:ascii="Calibri" w:hAnsi="Calibri" w:cs="Calibri"/>
          <w:sz w:val="24"/>
          <w:szCs w:val="24"/>
        </w:rPr>
        <w:t xml:space="preserve">Sally, </w:t>
      </w:r>
      <w:r>
        <w:rPr>
          <w:rFonts w:ascii="Calibri" w:hAnsi="Calibri" w:cs="Calibri"/>
          <w:sz w:val="24"/>
          <w:szCs w:val="24"/>
        </w:rPr>
        <w:t>T2, p.2, par 5). Recognising a responsibility of care for his students Jenko stresses the importance of imparting care to the student:</w:t>
      </w:r>
    </w:p>
    <w:p w14:paraId="1EA37236" w14:textId="77777777"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 xml:space="preserve">Students are sort of left to their own devices when they come to university. So, </w:t>
      </w:r>
      <w:bookmarkStart w:id="78" w:name="_Hlk219548787"/>
      <w:r w:rsidRPr="00E15FFC">
        <w:rPr>
          <w:rFonts w:ascii="Calibri" w:hAnsi="Calibri" w:cs="Calibri"/>
          <w:i/>
          <w:iCs/>
          <w:sz w:val="24"/>
          <w:szCs w:val="24"/>
        </w:rPr>
        <w:t>I sort of looked at it from that sort of perspective that I’m a lecturer holding the student around being inclusive with them, being open, being transparent so that they understand exactly where and who I am, not just somebody standing in front of them talking around what they need to know or areas of what they need to look at</w:t>
      </w:r>
      <w:bookmarkStart w:id="79" w:name="_Hlk168827144"/>
      <w:r w:rsidRPr="00E15FFC">
        <w:rPr>
          <w:rFonts w:ascii="Calibri" w:hAnsi="Calibri" w:cs="Calibri"/>
          <w:i/>
          <w:iCs/>
          <w:sz w:val="24"/>
          <w:szCs w:val="24"/>
        </w:rPr>
        <w:t xml:space="preserve"> (Jenko, T2, p.1, par 7).</w:t>
      </w:r>
    </w:p>
    <w:bookmarkEnd w:id="78"/>
    <w:p w14:paraId="7F613BC2" w14:textId="2FEB5A9F" w:rsidR="001872B0" w:rsidRPr="00973ACA" w:rsidRDefault="001872B0" w:rsidP="00251DF3">
      <w:pPr>
        <w:spacing w:line="360" w:lineRule="auto"/>
        <w:rPr>
          <w:rFonts w:ascii="Calibri" w:hAnsi="Calibri" w:cs="Calibri"/>
          <w:sz w:val="24"/>
          <w:szCs w:val="24"/>
        </w:rPr>
      </w:pPr>
      <w:r>
        <w:rPr>
          <w:rFonts w:ascii="Calibri" w:hAnsi="Calibri" w:cs="Calibri"/>
          <w:sz w:val="24"/>
          <w:szCs w:val="24"/>
        </w:rPr>
        <w:t xml:space="preserve">Both Sally and Jenko used the Winnicott model to inform their work. </w:t>
      </w:r>
      <w:r w:rsidRPr="00CC7B7A">
        <w:rPr>
          <w:rFonts w:ascii="Calibri" w:hAnsi="Calibri" w:cs="Calibri"/>
          <w:sz w:val="24"/>
          <w:szCs w:val="24"/>
        </w:rPr>
        <w:t>Sally passed the concept of holding forward to her students</w:t>
      </w:r>
      <w:r>
        <w:rPr>
          <w:rFonts w:ascii="Calibri" w:hAnsi="Calibri" w:cs="Calibri"/>
          <w:sz w:val="24"/>
          <w:szCs w:val="24"/>
        </w:rPr>
        <w:t xml:space="preserve"> </w:t>
      </w:r>
      <w:r w:rsidR="00B60B8A">
        <w:rPr>
          <w:rFonts w:ascii="Calibri" w:hAnsi="Calibri" w:cs="Calibri"/>
          <w:sz w:val="24"/>
          <w:szCs w:val="24"/>
        </w:rPr>
        <w:t xml:space="preserve">with </w:t>
      </w:r>
      <w:r>
        <w:rPr>
          <w:rFonts w:ascii="Calibri" w:hAnsi="Calibri" w:cs="Calibri"/>
          <w:sz w:val="24"/>
          <w:szCs w:val="24"/>
        </w:rPr>
        <w:t xml:space="preserve">the purpose of dispelling the </w:t>
      </w:r>
      <w:r w:rsidRPr="00CC7B7A">
        <w:rPr>
          <w:rFonts w:ascii="Calibri" w:hAnsi="Calibri" w:cs="Calibri"/>
          <w:sz w:val="24"/>
          <w:szCs w:val="24"/>
        </w:rPr>
        <w:t>myth of self-regulation, a resilience narrative and an internal/personal deficit discourse (Binnie, 2016; Stevensen and Petrescu, 2016)</w:t>
      </w:r>
      <w:r>
        <w:rPr>
          <w:rFonts w:ascii="Calibri" w:hAnsi="Calibri" w:cs="Calibri"/>
          <w:sz w:val="24"/>
          <w:szCs w:val="24"/>
        </w:rPr>
        <w:t xml:space="preserve">. Passing this knowledge forward also promotes a new story of relational interconnectivity which might better inform trainee teachers about the importance of offering </w:t>
      </w:r>
      <w:r w:rsidR="000F230B">
        <w:rPr>
          <w:rFonts w:ascii="Calibri" w:hAnsi="Calibri" w:cs="Calibri"/>
          <w:sz w:val="24"/>
          <w:szCs w:val="24"/>
        </w:rPr>
        <w:t>support and</w:t>
      </w:r>
      <w:r>
        <w:rPr>
          <w:rFonts w:ascii="Calibri" w:hAnsi="Calibri" w:cs="Calibri"/>
          <w:sz w:val="24"/>
          <w:szCs w:val="24"/>
        </w:rPr>
        <w:t xml:space="preserve"> being supported. Similarly, Jenko recognises the perceived isolated position of his students and fosters an inclusivity stance in the student/teacher relationship. In both cases, the Winnicottian concept of holding </w:t>
      </w:r>
      <w:r w:rsidR="00911F86">
        <w:rPr>
          <w:rFonts w:ascii="Calibri" w:hAnsi="Calibri" w:cs="Calibri"/>
          <w:sz w:val="24"/>
          <w:szCs w:val="24"/>
        </w:rPr>
        <w:t xml:space="preserve">(Winnicott, 1965) </w:t>
      </w:r>
      <w:r>
        <w:rPr>
          <w:rFonts w:ascii="Calibri" w:hAnsi="Calibri" w:cs="Calibri"/>
          <w:sz w:val="24"/>
          <w:szCs w:val="24"/>
        </w:rPr>
        <w:t xml:space="preserve">helped these teachers increase their capacity for concern </w:t>
      </w:r>
      <w:r w:rsidR="00911F86">
        <w:rPr>
          <w:rFonts w:ascii="Calibri" w:hAnsi="Calibri" w:cs="Calibri"/>
          <w:sz w:val="24"/>
          <w:szCs w:val="24"/>
        </w:rPr>
        <w:t>(Winnicott, 196</w:t>
      </w:r>
      <w:r w:rsidR="001F7E20">
        <w:rPr>
          <w:rFonts w:ascii="Calibri" w:hAnsi="Calibri" w:cs="Calibri"/>
          <w:sz w:val="24"/>
          <w:szCs w:val="24"/>
        </w:rPr>
        <w:t>3</w:t>
      </w:r>
      <w:r w:rsidR="00911F86">
        <w:rPr>
          <w:rFonts w:ascii="Calibri" w:hAnsi="Calibri" w:cs="Calibri"/>
          <w:sz w:val="24"/>
          <w:szCs w:val="24"/>
        </w:rPr>
        <w:t xml:space="preserve">) </w:t>
      </w:r>
      <w:r>
        <w:rPr>
          <w:rFonts w:ascii="Calibri" w:hAnsi="Calibri" w:cs="Calibri"/>
          <w:sz w:val="24"/>
          <w:szCs w:val="24"/>
        </w:rPr>
        <w:t>and to seek ways in which to creatively hold their students’ emotions.</w:t>
      </w:r>
      <w:bookmarkEnd w:id="79"/>
    </w:p>
    <w:p w14:paraId="503E7FE1" w14:textId="77777777" w:rsidR="001872B0" w:rsidRPr="00297C83" w:rsidRDefault="001872B0" w:rsidP="00297C83">
      <w:pPr>
        <w:rPr>
          <w:rFonts w:ascii="Calibri" w:hAnsi="Calibri" w:cs="Calibri"/>
          <w:color w:val="EE0000"/>
          <w:sz w:val="24"/>
          <w:szCs w:val="24"/>
        </w:rPr>
      </w:pPr>
      <w:r>
        <w:rPr>
          <w:rFonts w:ascii="Calibri" w:hAnsi="Calibri" w:cs="Calibri"/>
          <w:sz w:val="24"/>
          <w:szCs w:val="24"/>
        </w:rPr>
        <w:t>For some participants the Winnicottian model left them contemplating their own networks:</w:t>
      </w:r>
    </w:p>
    <w:p w14:paraId="08BCC511" w14:textId="5C187FE2"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I am just a small wheel in a massive machine. And I think that ultimately</w:t>
      </w:r>
      <w:r w:rsidR="00904C71">
        <w:rPr>
          <w:rFonts w:ascii="Calibri" w:hAnsi="Calibri" w:cs="Calibri"/>
          <w:i/>
          <w:iCs/>
          <w:sz w:val="24"/>
          <w:szCs w:val="24"/>
        </w:rPr>
        <w:t>,</w:t>
      </w:r>
      <w:r w:rsidRPr="00E15FFC">
        <w:rPr>
          <w:rFonts w:ascii="Calibri" w:hAnsi="Calibri" w:cs="Calibri"/>
          <w:i/>
          <w:iCs/>
          <w:sz w:val="24"/>
          <w:szCs w:val="24"/>
        </w:rPr>
        <w:t xml:space="preserve"> if you haven’t got that support, you can get lost along the way because you are doing what you get paid to do, what your contract tells you to do (Jenko, T2, p.2, par 5).</w:t>
      </w:r>
    </w:p>
    <w:p w14:paraId="4CE0C6FC" w14:textId="7353C8CF"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 xml:space="preserve">When you talked about Winnicott, that really stuck with me. Because I kept thinking, who is holding me?  I haven’t got a solution to necessarily I think it’s sort of an ongoing question. At some point hopefully I’ll find a solution to that (Sally, T2, p. 1, par 14; </w:t>
      </w:r>
      <w:r w:rsidR="00FC7DB6">
        <w:rPr>
          <w:rFonts w:ascii="Calibri" w:hAnsi="Calibri" w:cs="Calibri"/>
          <w:i/>
          <w:iCs/>
          <w:sz w:val="24"/>
          <w:szCs w:val="24"/>
        </w:rPr>
        <w:t xml:space="preserve">ibid., </w:t>
      </w:r>
      <w:r w:rsidRPr="00E15FFC">
        <w:rPr>
          <w:rFonts w:ascii="Calibri" w:hAnsi="Calibri" w:cs="Calibri"/>
          <w:i/>
          <w:iCs/>
          <w:sz w:val="24"/>
          <w:szCs w:val="24"/>
        </w:rPr>
        <w:t>p.2, par 1).</w:t>
      </w:r>
    </w:p>
    <w:p w14:paraId="663E9905" w14:textId="20D0B093" w:rsidR="001872B0" w:rsidRDefault="001872B0" w:rsidP="006B1292">
      <w:pPr>
        <w:spacing w:line="360" w:lineRule="auto"/>
        <w:rPr>
          <w:rFonts w:ascii="Calibri" w:hAnsi="Calibri" w:cs="Calibri"/>
          <w:sz w:val="24"/>
          <w:szCs w:val="24"/>
        </w:rPr>
      </w:pPr>
      <w:r>
        <w:rPr>
          <w:rFonts w:ascii="Calibri" w:hAnsi="Calibri" w:cs="Calibri"/>
          <w:sz w:val="24"/>
          <w:szCs w:val="24"/>
        </w:rPr>
        <w:t>According to Jenko a lack of holding by the employer can result in procedural behaviour. Jenko went on to explain that reflecting on holding allowed him to consider how he looks after and supports his colleagues and team. For Sally her reflections left her with the unanswered question of where she draws her support from for her work</w:t>
      </w:r>
      <w:r w:rsidR="007B40F9">
        <w:rPr>
          <w:rFonts w:ascii="Calibri" w:hAnsi="Calibri" w:cs="Calibri"/>
          <w:sz w:val="24"/>
          <w:szCs w:val="24"/>
        </w:rPr>
        <w:t xml:space="preserve"> and </w:t>
      </w:r>
      <w:r w:rsidR="00F13A71">
        <w:rPr>
          <w:rFonts w:ascii="Calibri" w:hAnsi="Calibri" w:cs="Calibri"/>
          <w:sz w:val="24"/>
          <w:szCs w:val="24"/>
        </w:rPr>
        <w:t xml:space="preserve">prompted her to </w:t>
      </w:r>
      <w:r>
        <w:rPr>
          <w:rFonts w:ascii="Calibri" w:hAnsi="Calibri" w:cs="Calibri"/>
          <w:sz w:val="24"/>
          <w:szCs w:val="24"/>
        </w:rPr>
        <w:t xml:space="preserve">explore </w:t>
      </w:r>
      <w:r w:rsidR="00F13A71">
        <w:rPr>
          <w:rFonts w:ascii="Calibri" w:hAnsi="Calibri" w:cs="Calibri"/>
          <w:sz w:val="24"/>
          <w:szCs w:val="24"/>
        </w:rPr>
        <w:t xml:space="preserve">this </w:t>
      </w:r>
      <w:r>
        <w:rPr>
          <w:rFonts w:ascii="Calibri" w:hAnsi="Calibri" w:cs="Calibri"/>
          <w:sz w:val="24"/>
          <w:szCs w:val="24"/>
        </w:rPr>
        <w:t xml:space="preserve">further. </w:t>
      </w:r>
      <w:r w:rsidRPr="006E7084">
        <w:rPr>
          <w:rFonts w:ascii="Calibri" w:hAnsi="Calibri" w:cs="Calibri"/>
          <w:sz w:val="24"/>
          <w:szCs w:val="24"/>
        </w:rPr>
        <w:t xml:space="preserve">The participants’ views echo the concentric nature of the Winnicottian concept of holding </w:t>
      </w:r>
      <w:r w:rsidR="00646B04">
        <w:rPr>
          <w:rFonts w:ascii="Calibri" w:hAnsi="Calibri" w:cs="Calibri"/>
          <w:sz w:val="24"/>
          <w:szCs w:val="24"/>
        </w:rPr>
        <w:t>(Winnicott, 1965)</w:t>
      </w:r>
      <w:r w:rsidR="008551F3">
        <w:rPr>
          <w:rFonts w:ascii="Calibri" w:hAnsi="Calibri" w:cs="Calibri"/>
          <w:sz w:val="24"/>
          <w:szCs w:val="24"/>
        </w:rPr>
        <w:t xml:space="preserve"> </w:t>
      </w:r>
      <w:r w:rsidRPr="006E7084">
        <w:rPr>
          <w:rFonts w:ascii="Calibri" w:hAnsi="Calibri" w:cs="Calibri"/>
          <w:sz w:val="24"/>
          <w:szCs w:val="24"/>
        </w:rPr>
        <w:t xml:space="preserve">that forefronts the need for human care as an interdependent and relational concern as a continuum throughout the lifespan. </w:t>
      </w:r>
      <w:r w:rsidRPr="009C5688">
        <w:rPr>
          <w:rFonts w:ascii="Calibri" w:hAnsi="Calibri" w:cs="Calibri"/>
          <w:sz w:val="24"/>
          <w:szCs w:val="24"/>
        </w:rPr>
        <w:t>The</w:t>
      </w:r>
      <w:r>
        <w:rPr>
          <w:rFonts w:ascii="Calibri" w:hAnsi="Calibri" w:cs="Calibri"/>
          <w:sz w:val="24"/>
          <w:szCs w:val="24"/>
        </w:rPr>
        <w:t xml:space="preserve"> </w:t>
      </w:r>
      <w:r>
        <w:rPr>
          <w:rFonts w:ascii="Calibri" w:hAnsi="Calibri" w:cs="Calibri"/>
          <w:sz w:val="24"/>
          <w:szCs w:val="24"/>
        </w:rPr>
        <w:lastRenderedPageBreak/>
        <w:t xml:space="preserve">findings lend support for </w:t>
      </w:r>
      <w:r w:rsidRPr="009C5688">
        <w:rPr>
          <w:rFonts w:ascii="Calibri" w:hAnsi="Calibri" w:cs="Calibri"/>
          <w:sz w:val="24"/>
          <w:szCs w:val="24"/>
        </w:rPr>
        <w:t xml:space="preserve">the need for the carers, in this case teachers who are caring for their students, to be cared for by </w:t>
      </w:r>
      <w:r w:rsidRPr="009C5688">
        <w:rPr>
          <w:rFonts w:ascii="Calibri" w:hAnsi="Calibri" w:cs="Calibri"/>
          <w:i/>
          <w:iCs/>
          <w:sz w:val="24"/>
          <w:szCs w:val="24"/>
        </w:rPr>
        <w:t>their</w:t>
      </w:r>
      <w:r w:rsidRPr="009C5688">
        <w:rPr>
          <w:rFonts w:ascii="Calibri" w:hAnsi="Calibri" w:cs="Calibri"/>
          <w:sz w:val="24"/>
          <w:szCs w:val="24"/>
        </w:rPr>
        <w:t xml:space="preserve"> primary caregiver</w:t>
      </w:r>
      <w:r>
        <w:rPr>
          <w:rFonts w:ascii="Calibri" w:hAnsi="Calibri" w:cs="Calibri"/>
          <w:sz w:val="24"/>
          <w:szCs w:val="24"/>
        </w:rPr>
        <w:t xml:space="preserve"> (Rustin and Rustin, 1984)</w:t>
      </w:r>
      <w:r w:rsidRPr="009C5688">
        <w:rPr>
          <w:rFonts w:ascii="Calibri" w:hAnsi="Calibri" w:cs="Calibri"/>
          <w:sz w:val="24"/>
          <w:szCs w:val="24"/>
        </w:rPr>
        <w:t>, the</w:t>
      </w:r>
      <w:r>
        <w:rPr>
          <w:rFonts w:ascii="Calibri" w:hAnsi="Calibri" w:cs="Calibri"/>
          <w:sz w:val="24"/>
          <w:szCs w:val="24"/>
        </w:rPr>
        <w:t>ir employer</w:t>
      </w:r>
      <w:r w:rsidR="000C1AB4">
        <w:rPr>
          <w:rFonts w:ascii="Calibri" w:hAnsi="Calibri" w:cs="Calibri"/>
          <w:sz w:val="24"/>
          <w:szCs w:val="24"/>
        </w:rPr>
        <w:t>.</w:t>
      </w:r>
      <w:r>
        <w:rPr>
          <w:rFonts w:ascii="Calibri" w:hAnsi="Calibri" w:cs="Calibri"/>
          <w:sz w:val="24"/>
          <w:szCs w:val="24"/>
        </w:rPr>
        <w:t xml:space="preserve"> </w:t>
      </w:r>
      <w:bookmarkStart w:id="80" w:name="_Hlk211078659"/>
    </w:p>
    <w:bookmarkEnd w:id="80"/>
    <w:p w14:paraId="0A814F1A" w14:textId="0823B819" w:rsidR="001872B0" w:rsidRDefault="001872B0" w:rsidP="0028052C">
      <w:pPr>
        <w:spacing w:line="360" w:lineRule="auto"/>
        <w:rPr>
          <w:rFonts w:ascii="Calibri" w:hAnsi="Calibri" w:cs="Calibri"/>
          <w:sz w:val="24"/>
          <w:szCs w:val="24"/>
        </w:rPr>
      </w:pPr>
      <w:r>
        <w:rPr>
          <w:rFonts w:ascii="Calibri" w:hAnsi="Calibri" w:cs="Calibri"/>
          <w:sz w:val="24"/>
          <w:szCs w:val="24"/>
        </w:rPr>
        <w:t>Some participants expressed doubts about the holding provided by their employer. Laura noted: “</w:t>
      </w:r>
      <w:r w:rsidRPr="00E15FFC">
        <w:rPr>
          <w:rFonts w:ascii="Calibri" w:hAnsi="Calibri" w:cs="Calibri"/>
          <w:i/>
          <w:iCs/>
          <w:sz w:val="24"/>
          <w:szCs w:val="24"/>
        </w:rPr>
        <w:t>I’m not sure if the University does hold us as effectively as it may be thinks it does</w:t>
      </w:r>
      <w:r w:rsidR="00EC5FCA">
        <w:rPr>
          <w:rFonts w:ascii="Calibri" w:hAnsi="Calibri" w:cs="Calibri"/>
          <w:i/>
          <w:iCs/>
          <w:sz w:val="24"/>
          <w:szCs w:val="24"/>
        </w:rPr>
        <w:t>.</w:t>
      </w:r>
      <w:r w:rsidRPr="00E15FFC">
        <w:rPr>
          <w:rFonts w:ascii="Calibri" w:hAnsi="Calibri" w:cs="Calibri"/>
          <w:i/>
          <w:iCs/>
          <w:sz w:val="24"/>
          <w:szCs w:val="24"/>
        </w:rPr>
        <w:t xml:space="preserve"> </w:t>
      </w:r>
      <w:r w:rsidR="00EC5FCA">
        <w:rPr>
          <w:rFonts w:ascii="Calibri" w:hAnsi="Calibri" w:cs="Calibri"/>
          <w:i/>
          <w:iCs/>
          <w:sz w:val="24"/>
          <w:szCs w:val="24"/>
        </w:rPr>
        <w:t>C</w:t>
      </w:r>
      <w:r w:rsidRPr="00E15FFC">
        <w:rPr>
          <w:rFonts w:ascii="Calibri" w:hAnsi="Calibri" w:cs="Calibri"/>
          <w:i/>
          <w:iCs/>
          <w:sz w:val="24"/>
          <w:szCs w:val="24"/>
        </w:rPr>
        <w:t>ertainly, I don’t feel that way</w:t>
      </w:r>
      <w:r w:rsidR="009A29CC">
        <w:rPr>
          <w:rFonts w:ascii="Calibri" w:hAnsi="Calibri" w:cs="Calibri"/>
          <w:i/>
          <w:iCs/>
          <w:sz w:val="24"/>
          <w:szCs w:val="24"/>
        </w:rPr>
        <w:t>. I</w:t>
      </w:r>
      <w:r w:rsidRPr="00E15FFC">
        <w:rPr>
          <w:rFonts w:ascii="Calibri" w:hAnsi="Calibri" w:cs="Calibri"/>
          <w:i/>
          <w:iCs/>
          <w:sz w:val="24"/>
          <w:szCs w:val="24"/>
        </w:rPr>
        <w:t>t would like to think that it does in some way make efforts to</w:t>
      </w:r>
      <w:r>
        <w:rPr>
          <w:rFonts w:ascii="Calibri" w:hAnsi="Calibri" w:cs="Calibri"/>
          <w:sz w:val="24"/>
          <w:szCs w:val="24"/>
        </w:rPr>
        <w:t>” (</w:t>
      </w:r>
      <w:r w:rsidR="00D8221B">
        <w:rPr>
          <w:rFonts w:ascii="Calibri" w:hAnsi="Calibri" w:cs="Calibri"/>
          <w:sz w:val="24"/>
          <w:szCs w:val="24"/>
        </w:rPr>
        <w:t xml:space="preserve">Laura, </w:t>
      </w:r>
      <w:r>
        <w:rPr>
          <w:rFonts w:ascii="Calibri" w:hAnsi="Calibri" w:cs="Calibri"/>
          <w:sz w:val="24"/>
          <w:szCs w:val="24"/>
        </w:rPr>
        <w:t xml:space="preserve">T2, p. 1, par 6). According to Sophie, the university </w:t>
      </w:r>
      <w:r w:rsidR="009A29CC">
        <w:rPr>
          <w:rFonts w:ascii="Calibri" w:hAnsi="Calibri" w:cs="Calibri"/>
          <w:sz w:val="24"/>
          <w:szCs w:val="24"/>
        </w:rPr>
        <w:t>requires</w:t>
      </w:r>
      <w:r>
        <w:rPr>
          <w:rFonts w:ascii="Calibri" w:hAnsi="Calibri" w:cs="Calibri"/>
          <w:sz w:val="24"/>
          <w:szCs w:val="24"/>
        </w:rPr>
        <w:t xml:space="preserve"> her to hold the student and there is an expectation that the institute supports her in that endeavour. She noted the model of holding is an ideal and added there were some “</w:t>
      </w:r>
      <w:r w:rsidRPr="00E15FFC">
        <w:rPr>
          <w:rFonts w:ascii="Calibri" w:hAnsi="Calibri" w:cs="Calibri"/>
          <w:i/>
          <w:iCs/>
          <w:sz w:val="24"/>
          <w:szCs w:val="24"/>
        </w:rPr>
        <w:t>grey lines</w:t>
      </w:r>
      <w:r>
        <w:rPr>
          <w:rFonts w:ascii="Calibri" w:hAnsi="Calibri" w:cs="Calibri"/>
          <w:sz w:val="24"/>
          <w:szCs w:val="24"/>
        </w:rPr>
        <w:t>” (</w:t>
      </w:r>
      <w:r w:rsidR="00D8221B">
        <w:rPr>
          <w:rFonts w:ascii="Calibri" w:hAnsi="Calibri" w:cs="Calibri"/>
          <w:sz w:val="24"/>
          <w:szCs w:val="24"/>
        </w:rPr>
        <w:t>Sophie,</w:t>
      </w:r>
      <w:r w:rsidR="00635C13">
        <w:rPr>
          <w:rFonts w:ascii="Calibri" w:hAnsi="Calibri" w:cs="Calibri"/>
          <w:sz w:val="24"/>
          <w:szCs w:val="24"/>
        </w:rPr>
        <w:t xml:space="preserve"> </w:t>
      </w:r>
      <w:r>
        <w:rPr>
          <w:rFonts w:ascii="Calibri" w:hAnsi="Calibri" w:cs="Calibri"/>
          <w:sz w:val="24"/>
          <w:szCs w:val="24"/>
        </w:rPr>
        <w:t xml:space="preserve">T2, p. 1, par 12) when it came to the university supporting her to support the student. Upon affording her space to explore what was missing, Sophie further commented: </w:t>
      </w:r>
    </w:p>
    <w:p w14:paraId="1DC45CB5" w14:textId="3C92D321" w:rsidR="001872B0" w:rsidRPr="00E15FFC" w:rsidRDefault="001872B0" w:rsidP="00E15FFC">
      <w:pPr>
        <w:ind w:left="720"/>
        <w:rPr>
          <w:rFonts w:ascii="Calibri" w:hAnsi="Calibri" w:cs="Calibri"/>
          <w:i/>
          <w:iCs/>
          <w:color w:val="EE0000"/>
          <w:sz w:val="24"/>
          <w:szCs w:val="24"/>
        </w:rPr>
      </w:pPr>
      <w:r w:rsidRPr="00E15FFC">
        <w:rPr>
          <w:rFonts w:ascii="Calibri" w:hAnsi="Calibri" w:cs="Calibri"/>
          <w:i/>
          <w:iCs/>
          <w:sz w:val="24"/>
          <w:szCs w:val="24"/>
        </w:rPr>
        <w:t>If we relate that [support need] back to the model, the individual, that pastoral care needs, that encouragement need, that feedback academically, personally I need that to in order to be able to then give that support to the student. But I don’t feel that there is a sense of the personal, that individual at the core. Perhaps that lessens as the circles get wider in terms of the institution, in terms of society, it’s kind of much bigger. So, it loses then that compassion, in my mind, and that personal touch because it comes much more filtered down</w:t>
      </w:r>
      <w:r w:rsidR="009A29CC">
        <w:rPr>
          <w:rFonts w:ascii="Calibri" w:hAnsi="Calibri" w:cs="Calibri"/>
          <w:i/>
          <w:iCs/>
          <w:sz w:val="24"/>
          <w:szCs w:val="24"/>
        </w:rPr>
        <w:t>,</w:t>
      </w:r>
      <w:r w:rsidRPr="00E15FFC">
        <w:rPr>
          <w:rFonts w:ascii="Calibri" w:hAnsi="Calibri" w:cs="Calibri"/>
          <w:i/>
          <w:iCs/>
          <w:sz w:val="24"/>
          <w:szCs w:val="24"/>
        </w:rPr>
        <w:t xml:space="preserve"> and it becomes much more sort of diluted the wider it gets, and there’s a tendency to lose a sense of that person at the core (</w:t>
      </w:r>
      <w:r w:rsidR="00635C13">
        <w:rPr>
          <w:rFonts w:ascii="Calibri" w:hAnsi="Calibri" w:cs="Calibri"/>
          <w:i/>
          <w:iCs/>
          <w:sz w:val="24"/>
          <w:szCs w:val="24"/>
        </w:rPr>
        <w:t xml:space="preserve">Sophie, </w:t>
      </w:r>
      <w:r w:rsidRPr="00E15FFC">
        <w:rPr>
          <w:rFonts w:ascii="Calibri" w:hAnsi="Calibri" w:cs="Calibri"/>
          <w:i/>
          <w:iCs/>
          <w:sz w:val="24"/>
          <w:szCs w:val="24"/>
        </w:rPr>
        <w:t>T2, p.3, par 1).</w:t>
      </w:r>
    </w:p>
    <w:p w14:paraId="11255171" w14:textId="744A8366" w:rsidR="001872B0" w:rsidRDefault="001872B0" w:rsidP="00371B8A">
      <w:pPr>
        <w:spacing w:line="360" w:lineRule="auto"/>
        <w:rPr>
          <w:rFonts w:ascii="Calibri" w:hAnsi="Calibri" w:cs="Calibri"/>
          <w:sz w:val="24"/>
          <w:szCs w:val="24"/>
        </w:rPr>
      </w:pPr>
      <w:r>
        <w:rPr>
          <w:rFonts w:ascii="Calibri" w:hAnsi="Calibri" w:cs="Calibri"/>
          <w:sz w:val="24"/>
          <w:szCs w:val="24"/>
        </w:rPr>
        <w:t>For Laura and Sophie current support provided by the university is either absent, or inadequate. In her second vignette, Sophie clarifies that the personal, and the compassionate is missing because of the size of the system.</w:t>
      </w:r>
      <w:r w:rsidRPr="00460359">
        <w:rPr>
          <w:rFonts w:ascii="Calibri" w:hAnsi="Calibri" w:cs="Calibri"/>
          <w:sz w:val="24"/>
          <w:szCs w:val="24"/>
        </w:rPr>
        <w:t xml:space="preserve"> </w:t>
      </w:r>
      <w:r>
        <w:rPr>
          <w:rFonts w:ascii="Calibri" w:hAnsi="Calibri" w:cs="Calibri"/>
          <w:sz w:val="24"/>
          <w:szCs w:val="24"/>
        </w:rPr>
        <w:t xml:space="preserve">These examples bring to light a need to rethink how the university </w:t>
      </w:r>
      <w:r w:rsidRPr="00460359">
        <w:rPr>
          <w:rFonts w:ascii="Calibri" w:hAnsi="Calibri" w:cs="Calibri"/>
          <w:sz w:val="24"/>
          <w:szCs w:val="24"/>
        </w:rPr>
        <w:t>take</w:t>
      </w:r>
      <w:r>
        <w:rPr>
          <w:rFonts w:ascii="Calibri" w:hAnsi="Calibri" w:cs="Calibri"/>
          <w:sz w:val="24"/>
          <w:szCs w:val="24"/>
        </w:rPr>
        <w:t>s</w:t>
      </w:r>
      <w:r w:rsidRPr="00460359">
        <w:rPr>
          <w:rFonts w:ascii="Calibri" w:hAnsi="Calibri" w:cs="Calibri"/>
          <w:sz w:val="24"/>
          <w:szCs w:val="24"/>
        </w:rPr>
        <w:t xml:space="preserve"> care of its staff</w:t>
      </w:r>
      <w:r>
        <w:rPr>
          <w:rFonts w:ascii="Calibri" w:hAnsi="Calibri" w:cs="Calibri"/>
          <w:sz w:val="24"/>
          <w:szCs w:val="24"/>
        </w:rPr>
        <w:t>. A</w:t>
      </w:r>
      <w:r w:rsidRPr="00460359">
        <w:rPr>
          <w:rFonts w:ascii="Calibri" w:hAnsi="Calibri" w:cs="Calibri"/>
          <w:sz w:val="24"/>
          <w:szCs w:val="24"/>
        </w:rPr>
        <w:t xml:space="preserve">ffective labour, </w:t>
      </w:r>
      <w:bookmarkStart w:id="81" w:name="_Hlk198727460"/>
      <w:r w:rsidRPr="00460359">
        <w:rPr>
          <w:rFonts w:ascii="Calibri" w:hAnsi="Calibri" w:cs="Calibri"/>
          <w:sz w:val="24"/>
          <w:szCs w:val="24"/>
        </w:rPr>
        <w:t>work that involves</w:t>
      </w:r>
      <w:r>
        <w:rPr>
          <w:rFonts w:ascii="Calibri" w:hAnsi="Calibri" w:cs="Calibri"/>
          <w:sz w:val="24"/>
          <w:szCs w:val="24"/>
        </w:rPr>
        <w:t xml:space="preserve"> managing </w:t>
      </w:r>
      <w:r w:rsidRPr="00460359">
        <w:rPr>
          <w:rFonts w:ascii="Calibri" w:hAnsi="Calibri" w:cs="Calibri"/>
          <w:sz w:val="24"/>
          <w:szCs w:val="24"/>
        </w:rPr>
        <w:t>emotion</w:t>
      </w:r>
      <w:r>
        <w:rPr>
          <w:rFonts w:ascii="Calibri" w:hAnsi="Calibri" w:cs="Calibri"/>
          <w:sz w:val="24"/>
          <w:szCs w:val="24"/>
        </w:rPr>
        <w:t xml:space="preserve">s </w:t>
      </w:r>
      <w:r w:rsidR="00115A80">
        <w:rPr>
          <w:rFonts w:ascii="Calibri" w:hAnsi="Calibri" w:cs="Calibri"/>
          <w:sz w:val="24"/>
          <w:szCs w:val="24"/>
        </w:rPr>
        <w:t>needs to</w:t>
      </w:r>
      <w:r>
        <w:rPr>
          <w:rFonts w:ascii="Calibri" w:hAnsi="Calibri" w:cs="Calibri"/>
          <w:sz w:val="24"/>
          <w:szCs w:val="24"/>
        </w:rPr>
        <w:t xml:space="preserve"> be taken </w:t>
      </w:r>
      <w:r w:rsidRPr="00460359">
        <w:rPr>
          <w:rFonts w:ascii="Calibri" w:hAnsi="Calibri" w:cs="Calibri"/>
          <w:sz w:val="24"/>
          <w:szCs w:val="24"/>
        </w:rPr>
        <w:t>more seriously (Brenner, 2014)</w:t>
      </w:r>
      <w:r>
        <w:rPr>
          <w:rFonts w:ascii="Calibri" w:hAnsi="Calibri" w:cs="Calibri"/>
          <w:sz w:val="24"/>
          <w:szCs w:val="24"/>
        </w:rPr>
        <w:t xml:space="preserve">. </w:t>
      </w:r>
      <w:r w:rsidRPr="00460359">
        <w:rPr>
          <w:rFonts w:ascii="Calibri" w:hAnsi="Calibri" w:cs="Calibri"/>
          <w:sz w:val="24"/>
          <w:szCs w:val="24"/>
        </w:rPr>
        <w:t xml:space="preserve"> </w:t>
      </w:r>
      <w:bookmarkEnd w:id="81"/>
      <w:r>
        <w:rPr>
          <w:rFonts w:ascii="Calibri" w:hAnsi="Calibri" w:cs="Calibri"/>
          <w:sz w:val="24"/>
          <w:szCs w:val="24"/>
        </w:rPr>
        <w:t xml:space="preserve">Such a </w:t>
      </w:r>
      <w:r w:rsidRPr="00460359">
        <w:rPr>
          <w:rFonts w:ascii="Calibri" w:hAnsi="Calibri" w:cs="Calibri"/>
          <w:sz w:val="24"/>
          <w:szCs w:val="24"/>
        </w:rPr>
        <w:t xml:space="preserve">positionality </w:t>
      </w:r>
      <w:r>
        <w:rPr>
          <w:rFonts w:ascii="Calibri" w:hAnsi="Calibri" w:cs="Calibri"/>
          <w:sz w:val="24"/>
          <w:szCs w:val="24"/>
        </w:rPr>
        <w:t xml:space="preserve">would be </w:t>
      </w:r>
      <w:r w:rsidRPr="00460359">
        <w:rPr>
          <w:rFonts w:ascii="Calibri" w:hAnsi="Calibri" w:cs="Calibri"/>
          <w:sz w:val="24"/>
          <w:szCs w:val="24"/>
        </w:rPr>
        <w:t xml:space="preserve">replete with an ethic of care </w:t>
      </w:r>
      <w:r w:rsidR="00FF655E">
        <w:rPr>
          <w:rFonts w:ascii="Calibri" w:hAnsi="Calibri" w:cs="Calibri"/>
          <w:sz w:val="24"/>
          <w:szCs w:val="24"/>
        </w:rPr>
        <w:t xml:space="preserve">(Noddings, 2002) </w:t>
      </w:r>
      <w:r>
        <w:rPr>
          <w:rFonts w:ascii="Calibri" w:hAnsi="Calibri" w:cs="Calibri"/>
          <w:sz w:val="24"/>
          <w:szCs w:val="24"/>
        </w:rPr>
        <w:t xml:space="preserve">whereby the </w:t>
      </w:r>
      <w:r w:rsidRPr="00460359">
        <w:rPr>
          <w:rFonts w:ascii="Calibri" w:hAnsi="Calibri" w:cs="Calibri"/>
          <w:sz w:val="24"/>
          <w:szCs w:val="24"/>
        </w:rPr>
        <w:t>produc</w:t>
      </w:r>
      <w:r>
        <w:rPr>
          <w:rFonts w:ascii="Calibri" w:hAnsi="Calibri" w:cs="Calibri"/>
          <w:sz w:val="24"/>
          <w:szCs w:val="24"/>
        </w:rPr>
        <w:t>tion of</w:t>
      </w:r>
      <w:r w:rsidRPr="00460359">
        <w:rPr>
          <w:rFonts w:ascii="Calibri" w:hAnsi="Calibri" w:cs="Calibri"/>
          <w:sz w:val="24"/>
          <w:szCs w:val="24"/>
        </w:rPr>
        <w:t xml:space="preserve"> people, teachers and students alike, </w:t>
      </w:r>
      <w:r>
        <w:rPr>
          <w:rFonts w:ascii="Calibri" w:hAnsi="Calibri" w:cs="Calibri"/>
          <w:sz w:val="24"/>
          <w:szCs w:val="24"/>
        </w:rPr>
        <w:t xml:space="preserve">has </w:t>
      </w:r>
      <w:r w:rsidRPr="00460359">
        <w:rPr>
          <w:rFonts w:ascii="Calibri" w:hAnsi="Calibri" w:cs="Calibri"/>
          <w:sz w:val="24"/>
          <w:szCs w:val="24"/>
        </w:rPr>
        <w:t>the same precedence as producing things (Mitchell, 1978)</w:t>
      </w:r>
      <w:r>
        <w:rPr>
          <w:rFonts w:ascii="Calibri" w:hAnsi="Calibri" w:cs="Calibri"/>
          <w:sz w:val="24"/>
          <w:szCs w:val="24"/>
        </w:rPr>
        <w:t xml:space="preserve">. The teacher who holds the principle of </w:t>
      </w:r>
      <w:r w:rsidRPr="00460359">
        <w:rPr>
          <w:rFonts w:ascii="Calibri" w:hAnsi="Calibri" w:cs="Calibri"/>
          <w:sz w:val="24"/>
          <w:szCs w:val="24"/>
        </w:rPr>
        <w:t xml:space="preserve">learning as a thing, </w:t>
      </w:r>
      <w:r>
        <w:rPr>
          <w:rFonts w:ascii="Calibri" w:hAnsi="Calibri" w:cs="Calibri"/>
          <w:sz w:val="24"/>
          <w:szCs w:val="24"/>
        </w:rPr>
        <w:t xml:space="preserve">is also </w:t>
      </w:r>
      <w:r w:rsidRPr="00460359">
        <w:rPr>
          <w:rFonts w:ascii="Calibri" w:hAnsi="Calibri" w:cs="Calibri"/>
          <w:sz w:val="24"/>
          <w:szCs w:val="24"/>
        </w:rPr>
        <w:t xml:space="preserve">a thing that has feelings and </w:t>
      </w:r>
      <w:r>
        <w:rPr>
          <w:rFonts w:ascii="Calibri" w:hAnsi="Calibri" w:cs="Calibri"/>
          <w:sz w:val="24"/>
          <w:szCs w:val="24"/>
        </w:rPr>
        <w:t>support needs.</w:t>
      </w:r>
    </w:p>
    <w:p w14:paraId="5FB20CAD" w14:textId="77777777" w:rsidR="001872B0" w:rsidRPr="00DB0943" w:rsidRDefault="001872B0" w:rsidP="00371B8A">
      <w:pPr>
        <w:spacing w:line="360" w:lineRule="auto"/>
        <w:rPr>
          <w:rFonts w:ascii="Calibri" w:hAnsi="Calibri" w:cs="Calibri"/>
          <w:sz w:val="24"/>
          <w:szCs w:val="24"/>
        </w:rPr>
      </w:pPr>
      <w:r>
        <w:rPr>
          <w:rFonts w:ascii="Calibri" w:hAnsi="Calibri" w:cs="Calibri"/>
          <w:sz w:val="24"/>
          <w:szCs w:val="24"/>
        </w:rPr>
        <w:t xml:space="preserve">Some participants suggested modifications to the model to increase its application and relevance: </w:t>
      </w:r>
    </w:p>
    <w:p w14:paraId="4C9D44A1" w14:textId="77777777"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 xml:space="preserve">I think that concept of holding the students, if we’re talking about teacher training, is going to be one that doesn’t sit comfortably with many of those teachers who we are </w:t>
      </w:r>
      <w:r w:rsidRPr="00E15FFC">
        <w:rPr>
          <w:rFonts w:ascii="Calibri" w:hAnsi="Calibri" w:cs="Calibri"/>
          <w:i/>
          <w:iCs/>
          <w:sz w:val="24"/>
          <w:szCs w:val="24"/>
        </w:rPr>
        <w:lastRenderedPageBreak/>
        <w:t>anticipating will hold the student teacher because they are receiving them as an adult into a professional training programme. (Mo, T2, p.1, par 6).</w:t>
      </w:r>
    </w:p>
    <w:p w14:paraId="485EB106" w14:textId="77777777" w:rsidR="001872B0" w:rsidRPr="00E15FFC" w:rsidRDefault="001872B0" w:rsidP="00E15FFC">
      <w:pPr>
        <w:ind w:left="720"/>
        <w:rPr>
          <w:rFonts w:ascii="Calibri" w:hAnsi="Calibri" w:cs="Calibri"/>
          <w:i/>
          <w:iCs/>
          <w:sz w:val="24"/>
          <w:szCs w:val="24"/>
        </w:rPr>
      </w:pPr>
      <w:r w:rsidRPr="00E15FFC">
        <w:rPr>
          <w:rFonts w:ascii="Calibri" w:hAnsi="Calibri" w:cs="Calibri"/>
          <w:i/>
          <w:iCs/>
          <w:sz w:val="24"/>
          <w:szCs w:val="24"/>
        </w:rPr>
        <w:t>I would have drawn the model differently as two half circles around the student. There’s no feedback loop for one, and another thing is you’re not involved in the ongoing support of that student. There are two different systems that don’t talk to each other very much (Fred, T2, p. 2, par 9).</w:t>
      </w:r>
    </w:p>
    <w:p w14:paraId="73BA1987" w14:textId="501ED446" w:rsidR="001872B0" w:rsidRDefault="001872B0" w:rsidP="00304C46">
      <w:pPr>
        <w:spacing w:line="360" w:lineRule="auto"/>
        <w:rPr>
          <w:rFonts w:ascii="Calibri" w:hAnsi="Calibri" w:cs="Calibri"/>
          <w:sz w:val="24"/>
          <w:szCs w:val="24"/>
        </w:rPr>
      </w:pPr>
      <w:bookmarkStart w:id="82" w:name="_Hlk168305150"/>
      <w:r>
        <w:rPr>
          <w:rFonts w:ascii="Calibri" w:hAnsi="Calibri" w:cs="Calibri"/>
          <w:sz w:val="24"/>
          <w:szCs w:val="24"/>
        </w:rPr>
        <w:t>Mo has highlighted a difficulty inherent within the holding model namely that of the potential infantilisation of student teachers. She goes on to propose the student being represented diagrammatically as a separate circle surrounded by other individual separate circles which represent the individual holding elements surrounding the student (</w:t>
      </w:r>
      <w:r w:rsidR="00D145F0">
        <w:rPr>
          <w:rFonts w:ascii="Calibri" w:hAnsi="Calibri" w:cs="Calibri"/>
          <w:sz w:val="24"/>
          <w:szCs w:val="24"/>
        </w:rPr>
        <w:t>F</w:t>
      </w:r>
      <w:r>
        <w:rPr>
          <w:rFonts w:ascii="Calibri" w:hAnsi="Calibri" w:cs="Calibri"/>
          <w:sz w:val="24"/>
          <w:szCs w:val="24"/>
        </w:rPr>
        <w:t>igur</w:t>
      </w:r>
      <w:r w:rsidR="00D145F0">
        <w:rPr>
          <w:rFonts w:ascii="Calibri" w:hAnsi="Calibri" w:cs="Calibri"/>
          <w:sz w:val="24"/>
          <w:szCs w:val="24"/>
        </w:rPr>
        <w:t>e 7</w:t>
      </w:r>
      <w:r>
        <w:rPr>
          <w:rFonts w:ascii="Calibri" w:hAnsi="Calibri" w:cs="Calibri"/>
          <w:sz w:val="24"/>
          <w:szCs w:val="24"/>
        </w:rPr>
        <w:t>). Similarly, Fred noted that the circles should be separate not concentric, two half circles surrounding the student and identifies that, as things currently stand, the teacher as a support person is left out of the feedback loop (</w:t>
      </w:r>
      <w:r w:rsidR="00D145F0">
        <w:rPr>
          <w:rFonts w:ascii="Calibri" w:hAnsi="Calibri" w:cs="Calibri"/>
          <w:sz w:val="24"/>
          <w:szCs w:val="24"/>
        </w:rPr>
        <w:t>F</w:t>
      </w:r>
      <w:r>
        <w:rPr>
          <w:rFonts w:ascii="Calibri" w:hAnsi="Calibri" w:cs="Calibri"/>
          <w:sz w:val="24"/>
          <w:szCs w:val="24"/>
        </w:rPr>
        <w:t>igur</w:t>
      </w:r>
      <w:r w:rsidR="00D145F0">
        <w:rPr>
          <w:rFonts w:ascii="Calibri" w:hAnsi="Calibri" w:cs="Calibri"/>
          <w:sz w:val="24"/>
          <w:szCs w:val="24"/>
        </w:rPr>
        <w:t>e 8</w:t>
      </w:r>
      <w:r>
        <w:rPr>
          <w:rFonts w:ascii="Calibri" w:hAnsi="Calibri" w:cs="Calibri"/>
          <w:sz w:val="24"/>
          <w:szCs w:val="24"/>
        </w:rPr>
        <w:t xml:space="preserve">). Models of Mo and Fred’s suggestions are depicted as follows (Figures </w:t>
      </w:r>
      <w:r w:rsidR="001865DB">
        <w:rPr>
          <w:rFonts w:ascii="Calibri" w:hAnsi="Calibri" w:cs="Calibri"/>
          <w:sz w:val="24"/>
          <w:szCs w:val="24"/>
        </w:rPr>
        <w:t xml:space="preserve">7 </w:t>
      </w:r>
      <w:r>
        <w:rPr>
          <w:rFonts w:ascii="Calibri" w:hAnsi="Calibri" w:cs="Calibri"/>
          <w:sz w:val="24"/>
          <w:szCs w:val="24"/>
        </w:rPr>
        <w:t xml:space="preserve">and </w:t>
      </w:r>
      <w:r w:rsidR="001865DB">
        <w:rPr>
          <w:rFonts w:ascii="Calibri" w:hAnsi="Calibri" w:cs="Calibri"/>
          <w:sz w:val="24"/>
          <w:szCs w:val="24"/>
        </w:rPr>
        <w:t>8</w:t>
      </w:r>
      <w:r>
        <w:rPr>
          <w:rFonts w:ascii="Calibri" w:hAnsi="Calibri" w:cs="Calibri"/>
          <w:sz w:val="24"/>
          <w:szCs w:val="24"/>
        </w:rPr>
        <w:t>):</w:t>
      </w:r>
    </w:p>
    <w:p w14:paraId="457254E4" w14:textId="77777777" w:rsidR="001872B0" w:rsidRDefault="001872B0" w:rsidP="00721A14">
      <w:pPr>
        <w:rPr>
          <w:rFonts w:ascii="Calibri" w:hAnsi="Calibri" w:cs="Calibri"/>
          <w:sz w:val="24"/>
          <w:szCs w:val="24"/>
        </w:rPr>
      </w:pPr>
      <w:r>
        <w:rPr>
          <w:rFonts w:ascii="Calibri" w:hAnsi="Calibri" w:cs="Calibri"/>
          <w:noProof/>
          <w:sz w:val="24"/>
          <w:szCs w:val="24"/>
        </w:rPr>
        <w:drawing>
          <wp:inline distT="0" distB="0" distL="0" distR="0" wp14:anchorId="5F2EE22C" wp14:editId="08458066">
            <wp:extent cx="5244998" cy="3066415"/>
            <wp:effectExtent l="0" t="0" r="0" b="19685"/>
            <wp:docPr id="1597528363"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D57D934" w14:textId="77777777" w:rsidR="00AA1A75" w:rsidRDefault="00AA1A75" w:rsidP="00721A14">
      <w:pPr>
        <w:rPr>
          <w:rFonts w:ascii="Calibri" w:hAnsi="Calibri" w:cs="Calibri"/>
          <w:sz w:val="24"/>
          <w:szCs w:val="24"/>
        </w:rPr>
      </w:pPr>
    </w:p>
    <w:p w14:paraId="4E2F8A9D" w14:textId="275DE634" w:rsidR="001872B0" w:rsidRPr="001865DB" w:rsidRDefault="001872B0" w:rsidP="00AA1A75">
      <w:pPr>
        <w:ind w:left="2160" w:firstLine="720"/>
        <w:rPr>
          <w:rFonts w:ascii="Calibri" w:hAnsi="Calibri" w:cs="Calibri"/>
          <w:i/>
          <w:iCs/>
          <w:sz w:val="24"/>
          <w:szCs w:val="24"/>
        </w:rPr>
      </w:pPr>
      <w:r w:rsidRPr="001865DB">
        <w:rPr>
          <w:rFonts w:ascii="Calibri" w:hAnsi="Calibri" w:cs="Calibri"/>
          <w:i/>
          <w:iCs/>
          <w:sz w:val="24"/>
          <w:szCs w:val="24"/>
        </w:rPr>
        <w:t xml:space="preserve">Figure </w:t>
      </w:r>
      <w:r w:rsidR="001865DB" w:rsidRPr="001865DB">
        <w:rPr>
          <w:rFonts w:ascii="Calibri" w:hAnsi="Calibri" w:cs="Calibri"/>
          <w:i/>
          <w:iCs/>
          <w:sz w:val="24"/>
          <w:szCs w:val="24"/>
        </w:rPr>
        <w:t>7</w:t>
      </w:r>
      <w:r w:rsidRPr="001865DB">
        <w:rPr>
          <w:rFonts w:ascii="Calibri" w:hAnsi="Calibri" w:cs="Calibri"/>
          <w:i/>
          <w:iCs/>
          <w:sz w:val="24"/>
          <w:szCs w:val="24"/>
        </w:rPr>
        <w:t xml:space="preserve">. Mo’s revised model </w:t>
      </w:r>
    </w:p>
    <w:p w14:paraId="10E5966F" w14:textId="06531EC6" w:rsidR="001872B0" w:rsidRDefault="001450D0" w:rsidP="00A501F9">
      <w:pPr>
        <w:ind w:left="720" w:firstLine="720"/>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76672" behindDoc="0" locked="0" layoutInCell="1" allowOverlap="1" wp14:anchorId="21E86C16" wp14:editId="10E5AD97">
                <wp:simplePos x="0" y="0"/>
                <wp:positionH relativeFrom="column">
                  <wp:posOffset>2632280</wp:posOffset>
                </wp:positionH>
                <wp:positionV relativeFrom="paragraph">
                  <wp:posOffset>1511300</wp:posOffset>
                </wp:positionV>
                <wp:extent cx="582561" cy="538316"/>
                <wp:effectExtent l="0" t="0" r="8255" b="0"/>
                <wp:wrapNone/>
                <wp:docPr id="1196558133" name="Text Box 41"/>
                <wp:cNvGraphicFramePr/>
                <a:graphic xmlns:a="http://schemas.openxmlformats.org/drawingml/2006/main">
                  <a:graphicData uri="http://schemas.microsoft.com/office/word/2010/wordprocessingShape">
                    <wps:wsp>
                      <wps:cNvSpPr txBox="1"/>
                      <wps:spPr>
                        <a:xfrm>
                          <a:off x="0" y="0"/>
                          <a:ext cx="582561" cy="538316"/>
                        </a:xfrm>
                        <a:prstGeom prst="rect">
                          <a:avLst/>
                        </a:prstGeom>
                        <a:solidFill>
                          <a:srgbClr val="6699FF"/>
                        </a:solidFill>
                        <a:ln w="6350">
                          <a:noFill/>
                        </a:ln>
                      </wps:spPr>
                      <wps:txbx>
                        <w:txbxContent>
                          <w:p w14:paraId="172D9AC9" w14:textId="5773CA84" w:rsidR="001450D0" w:rsidRPr="0065018C" w:rsidRDefault="001450D0" w:rsidP="00A43A6A">
                            <w:pPr>
                              <w:spacing w:after="0"/>
                              <w:rPr>
                                <w:sz w:val="18"/>
                                <w:szCs w:val="18"/>
                              </w:rPr>
                            </w:pPr>
                            <w:r w:rsidRPr="0065018C">
                              <w:rPr>
                                <w:sz w:val="18"/>
                                <w:szCs w:val="18"/>
                              </w:rPr>
                              <w:t>T</w:t>
                            </w:r>
                            <w:r w:rsidR="00A43A6A" w:rsidRPr="0065018C">
                              <w:rPr>
                                <w:sz w:val="18"/>
                                <w:szCs w:val="18"/>
                              </w:rPr>
                              <w:t>he</w:t>
                            </w:r>
                          </w:p>
                          <w:p w14:paraId="2C3EDA2B" w14:textId="4251B62C" w:rsidR="00A43A6A" w:rsidRPr="0065018C" w:rsidRDefault="00A43A6A" w:rsidP="00A43A6A">
                            <w:pPr>
                              <w:spacing w:after="0"/>
                              <w:rPr>
                                <w:sz w:val="18"/>
                                <w:szCs w:val="18"/>
                              </w:rPr>
                            </w:pPr>
                            <w:r w:rsidRPr="0065018C">
                              <w:rPr>
                                <w:sz w:val="18"/>
                                <w:szCs w:val="18"/>
                              </w:rPr>
                              <w:t>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6C16" id="Text Box 41" o:spid="_x0000_s1029" type="#_x0000_t202" style="position:absolute;left:0;text-align:left;margin-left:207.25pt;margin-top:119pt;width:45.85pt;height:4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" fillcolor="#69f" stroked="f" strokeweight=".5pt">
                <v:textbox>
                  <w:txbxContent>
                    <w:p w14:paraId="172D9AC9" w14:textId="5773CA84" w:rsidR="001450D0" w:rsidRPr="0065018C" w:rsidRDefault="001450D0" w:rsidP="00A43A6A">
                      <w:pPr>
                        <w:spacing w:after="0"/>
                        <w:rPr>
                          <w:sz w:val="18"/>
                          <w:szCs w:val="18"/>
                        </w:rPr>
                      </w:pPr>
                      <w:r w:rsidRPr="0065018C">
                        <w:rPr>
                          <w:sz w:val="18"/>
                          <w:szCs w:val="18"/>
                        </w:rPr>
                        <w:t>T</w:t>
                      </w:r>
                      <w:r w:rsidR="00A43A6A" w:rsidRPr="0065018C">
                        <w:rPr>
                          <w:sz w:val="18"/>
                          <w:szCs w:val="18"/>
                        </w:rPr>
                        <w:t>he</w:t>
                      </w:r>
                    </w:p>
                    <w:p w14:paraId="2C3EDA2B" w14:textId="4251B62C" w:rsidR="00A43A6A" w:rsidRPr="0065018C" w:rsidRDefault="00A43A6A" w:rsidP="00A43A6A">
                      <w:pPr>
                        <w:spacing w:after="0"/>
                        <w:rPr>
                          <w:sz w:val="18"/>
                          <w:szCs w:val="18"/>
                        </w:rPr>
                      </w:pPr>
                      <w:r w:rsidRPr="0065018C">
                        <w:rPr>
                          <w:sz w:val="18"/>
                          <w:szCs w:val="18"/>
                        </w:rPr>
                        <w:t>Student</w:t>
                      </w:r>
                    </w:p>
                  </w:txbxContent>
                </v:textbox>
              </v:shape>
            </w:pict>
          </mc:Fallback>
        </mc:AlternateContent>
      </w:r>
      <w:r w:rsidR="001872B0">
        <w:rPr>
          <w:rFonts w:ascii="Calibri" w:hAnsi="Calibri" w:cs="Calibri"/>
          <w:sz w:val="24"/>
          <w:szCs w:val="24"/>
        </w:rPr>
        <w:t xml:space="preserve"> </w:t>
      </w:r>
      <w:r w:rsidR="001872B0">
        <w:rPr>
          <w:rFonts w:ascii="Calibri" w:hAnsi="Calibri" w:cs="Calibri"/>
          <w:noProof/>
          <w:sz w:val="24"/>
          <w:szCs w:val="24"/>
        </w:rPr>
        <w:drawing>
          <wp:inline distT="0" distB="0" distL="0" distR="0" wp14:anchorId="514038F4" wp14:editId="4966F8A1">
            <wp:extent cx="4793226" cy="3163509"/>
            <wp:effectExtent l="0" t="0" r="26670" b="0"/>
            <wp:docPr id="163122029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1872B0">
        <w:rPr>
          <w:rFonts w:ascii="Calibri" w:hAnsi="Calibri" w:cs="Calibri"/>
          <w:sz w:val="24"/>
          <w:szCs w:val="24"/>
        </w:rPr>
        <w:t xml:space="preserve">      </w:t>
      </w:r>
    </w:p>
    <w:p w14:paraId="52C8DB4B" w14:textId="5B65E152" w:rsidR="001872B0" w:rsidRPr="0063559F" w:rsidRDefault="001872B0" w:rsidP="0063559F">
      <w:pPr>
        <w:ind w:left="2160" w:firstLine="720"/>
        <w:rPr>
          <w:rFonts w:ascii="Calibri" w:hAnsi="Calibri" w:cs="Calibri"/>
          <w:i/>
          <w:iCs/>
          <w:sz w:val="24"/>
          <w:szCs w:val="24"/>
        </w:rPr>
      </w:pPr>
      <w:r w:rsidRPr="0063559F">
        <w:rPr>
          <w:rFonts w:ascii="Calibri" w:hAnsi="Calibri" w:cs="Calibri"/>
          <w:i/>
          <w:iCs/>
          <w:sz w:val="24"/>
          <w:szCs w:val="24"/>
        </w:rPr>
        <w:t xml:space="preserve">Figure </w:t>
      </w:r>
      <w:r w:rsidR="0063559F">
        <w:rPr>
          <w:rFonts w:ascii="Calibri" w:hAnsi="Calibri" w:cs="Calibri"/>
          <w:i/>
          <w:iCs/>
          <w:sz w:val="24"/>
          <w:szCs w:val="24"/>
        </w:rPr>
        <w:t>8</w:t>
      </w:r>
      <w:r w:rsidRPr="0063559F">
        <w:rPr>
          <w:rFonts w:ascii="Calibri" w:hAnsi="Calibri" w:cs="Calibri"/>
          <w:i/>
          <w:iCs/>
          <w:sz w:val="24"/>
          <w:szCs w:val="24"/>
        </w:rPr>
        <w:t xml:space="preserve">. Fred’s revised model </w:t>
      </w:r>
    </w:p>
    <w:p w14:paraId="7E91A435" w14:textId="77777777" w:rsidR="001872B0" w:rsidRDefault="001872B0" w:rsidP="0011660C">
      <w:pPr>
        <w:spacing w:line="360" w:lineRule="auto"/>
        <w:rPr>
          <w:rFonts w:ascii="Calibri" w:eastAsia="Calibri" w:hAnsi="Calibri" w:cs="Times New Roman"/>
          <w:sz w:val="24"/>
          <w:szCs w:val="24"/>
        </w:rPr>
      </w:pPr>
      <w:r w:rsidRPr="00AB5F36">
        <w:rPr>
          <w:rFonts w:ascii="Calibri" w:eastAsia="Calibri" w:hAnsi="Calibri" w:cs="Times New Roman"/>
          <w:sz w:val="24"/>
          <w:szCs w:val="24"/>
        </w:rPr>
        <w:t>The</w:t>
      </w:r>
      <w:r>
        <w:rPr>
          <w:rFonts w:ascii="Calibri" w:eastAsia="Calibri" w:hAnsi="Calibri" w:cs="Times New Roman"/>
          <w:sz w:val="24"/>
          <w:szCs w:val="24"/>
        </w:rPr>
        <w:t xml:space="preserve"> comments by Mo and Fred challenge an </w:t>
      </w:r>
      <w:r w:rsidRPr="00AB5F36">
        <w:rPr>
          <w:rFonts w:ascii="Calibri" w:eastAsia="Calibri" w:hAnsi="Calibri" w:cs="Times New Roman"/>
          <w:sz w:val="24"/>
          <w:szCs w:val="24"/>
        </w:rPr>
        <w:t xml:space="preserve">implicit bias that </w:t>
      </w:r>
      <w:r>
        <w:rPr>
          <w:rFonts w:ascii="Calibri" w:eastAsia="Calibri" w:hAnsi="Calibri" w:cs="Times New Roman"/>
          <w:sz w:val="24"/>
          <w:szCs w:val="24"/>
        </w:rPr>
        <w:t xml:space="preserve">the heart and head </w:t>
      </w:r>
      <w:r w:rsidRPr="00AB5F36">
        <w:rPr>
          <w:rFonts w:ascii="Calibri" w:eastAsia="Calibri" w:hAnsi="Calibri" w:cs="Times New Roman"/>
          <w:sz w:val="24"/>
          <w:szCs w:val="24"/>
        </w:rPr>
        <w:t xml:space="preserve">ought to be separated </w:t>
      </w:r>
      <w:r>
        <w:rPr>
          <w:rFonts w:ascii="Calibri" w:eastAsia="Calibri" w:hAnsi="Calibri" w:cs="Times New Roman"/>
          <w:sz w:val="24"/>
          <w:szCs w:val="24"/>
        </w:rPr>
        <w:t xml:space="preserve">in HE discourses </w:t>
      </w:r>
      <w:r w:rsidRPr="00AB5F36">
        <w:rPr>
          <w:rFonts w:ascii="Calibri" w:eastAsia="Calibri" w:hAnsi="Calibri" w:cs="Times New Roman"/>
          <w:sz w:val="24"/>
          <w:szCs w:val="24"/>
        </w:rPr>
        <w:t>(Ecclestone and Hayes, 2009)</w:t>
      </w:r>
      <w:r>
        <w:rPr>
          <w:rFonts w:ascii="Calibri" w:eastAsia="Calibri" w:hAnsi="Calibri" w:cs="Times New Roman"/>
          <w:sz w:val="24"/>
          <w:szCs w:val="24"/>
        </w:rPr>
        <w:t xml:space="preserve">. This </w:t>
      </w:r>
      <w:r>
        <w:rPr>
          <w:rFonts w:ascii="Calibri" w:hAnsi="Calibri" w:cs="Calibri"/>
          <w:sz w:val="24"/>
          <w:szCs w:val="24"/>
        </w:rPr>
        <w:t>bifurcation of emotions and cognition signifies that current policies prevent academic support, student advice or counselling services feeding back information to tutors, and this needs revisiting. Whether this is a localised policy matter, or a ubiquitous one is not known.</w:t>
      </w:r>
      <w:r w:rsidRPr="004D1FAC">
        <w:rPr>
          <w:rFonts w:ascii="Calibri" w:eastAsia="Calibri" w:hAnsi="Calibri" w:cs="Times New Roman"/>
          <w:sz w:val="24"/>
          <w:szCs w:val="24"/>
        </w:rPr>
        <w:t xml:space="preserve"> </w:t>
      </w:r>
      <w:r>
        <w:rPr>
          <w:rFonts w:ascii="Calibri" w:eastAsia="Calibri" w:hAnsi="Calibri" w:cs="Times New Roman"/>
          <w:sz w:val="24"/>
          <w:szCs w:val="24"/>
        </w:rPr>
        <w:t>Evidence arising from a recent study by Ippolito</w:t>
      </w:r>
      <w:r w:rsidRPr="004D1FAC">
        <w:rPr>
          <w:rFonts w:ascii="Calibri" w:eastAsia="Calibri" w:hAnsi="Calibri" w:cs="Times New Roman"/>
          <w:sz w:val="24"/>
          <w:szCs w:val="24"/>
        </w:rPr>
        <w:t xml:space="preserve"> and Kingsbury (2024) highlights th</w:t>
      </w:r>
      <w:r>
        <w:rPr>
          <w:rFonts w:ascii="Calibri" w:eastAsia="Calibri" w:hAnsi="Calibri" w:cs="Times New Roman"/>
          <w:sz w:val="24"/>
          <w:szCs w:val="24"/>
        </w:rPr>
        <w:t xml:space="preserve">at </w:t>
      </w:r>
      <w:r w:rsidRPr="004D1FAC">
        <w:rPr>
          <w:rFonts w:ascii="Calibri" w:eastAsia="Calibri" w:hAnsi="Calibri" w:cs="Times New Roman"/>
          <w:sz w:val="24"/>
          <w:szCs w:val="24"/>
        </w:rPr>
        <w:t>emotions and cognition a</w:t>
      </w:r>
      <w:r>
        <w:rPr>
          <w:rFonts w:ascii="Calibri" w:eastAsia="Calibri" w:hAnsi="Calibri" w:cs="Times New Roman"/>
          <w:sz w:val="24"/>
          <w:szCs w:val="24"/>
        </w:rPr>
        <w:t>re</w:t>
      </w:r>
      <w:r w:rsidRPr="004D1FAC">
        <w:rPr>
          <w:rFonts w:ascii="Calibri" w:eastAsia="Calibri" w:hAnsi="Calibri" w:cs="Times New Roman"/>
          <w:sz w:val="24"/>
          <w:szCs w:val="24"/>
        </w:rPr>
        <w:t xml:space="preserve"> a reciprocal</w:t>
      </w:r>
      <w:r>
        <w:rPr>
          <w:rFonts w:ascii="Calibri" w:eastAsia="Calibri" w:hAnsi="Calibri" w:cs="Times New Roman"/>
          <w:sz w:val="24"/>
          <w:szCs w:val="24"/>
        </w:rPr>
        <w:t xml:space="preserve"> </w:t>
      </w:r>
      <w:r w:rsidRPr="004D1FAC">
        <w:rPr>
          <w:rFonts w:ascii="Calibri" w:eastAsia="Calibri" w:hAnsi="Calibri" w:cs="Times New Roman"/>
          <w:sz w:val="24"/>
          <w:szCs w:val="24"/>
        </w:rPr>
        <w:t>process</w:t>
      </w:r>
      <w:r>
        <w:rPr>
          <w:rFonts w:ascii="Calibri" w:eastAsia="Calibri" w:hAnsi="Calibri" w:cs="Times New Roman"/>
          <w:sz w:val="24"/>
          <w:szCs w:val="24"/>
        </w:rPr>
        <w:t xml:space="preserve"> and </w:t>
      </w:r>
      <w:r w:rsidRPr="00435612">
        <w:rPr>
          <w:rFonts w:ascii="Calibri" w:eastAsia="Calibri" w:hAnsi="Calibri" w:cs="Times New Roman"/>
          <w:i/>
          <w:iCs/>
          <w:sz w:val="24"/>
          <w:szCs w:val="24"/>
        </w:rPr>
        <w:t>can</w:t>
      </w:r>
      <w:r>
        <w:rPr>
          <w:rFonts w:ascii="Calibri" w:eastAsia="Calibri" w:hAnsi="Calibri" w:cs="Times New Roman"/>
          <w:sz w:val="24"/>
          <w:szCs w:val="24"/>
        </w:rPr>
        <w:t xml:space="preserve"> sit in the learning space alongside each other; how this can be applied to a system may be more difficult to operationalise.</w:t>
      </w:r>
    </w:p>
    <w:p w14:paraId="34558EE6" w14:textId="77777777" w:rsidR="001872B0" w:rsidRPr="0011660C" w:rsidRDefault="001872B0" w:rsidP="0011660C">
      <w:pPr>
        <w:spacing w:line="360" w:lineRule="auto"/>
        <w:rPr>
          <w:rFonts w:ascii="Calibri" w:eastAsia="Calibri" w:hAnsi="Calibri" w:cs="Times New Roman"/>
          <w:sz w:val="24"/>
          <w:szCs w:val="24"/>
        </w:rPr>
      </w:pPr>
      <w:r w:rsidRPr="009B56A3">
        <w:rPr>
          <w:rFonts w:ascii="Calibri" w:hAnsi="Calibri" w:cs="Calibri"/>
          <w:b/>
          <w:bCs/>
          <w:sz w:val="24"/>
          <w:szCs w:val="24"/>
        </w:rPr>
        <w:t xml:space="preserve">Summary </w:t>
      </w:r>
    </w:p>
    <w:p w14:paraId="175CE96B" w14:textId="3C3FC6A5" w:rsidR="006933AE" w:rsidRPr="00C97597" w:rsidRDefault="001872B0" w:rsidP="00C97597">
      <w:pPr>
        <w:spacing w:line="360" w:lineRule="auto"/>
        <w:rPr>
          <w:rFonts w:ascii="Calibri" w:hAnsi="Calibri" w:cs="Calibri"/>
          <w:sz w:val="24"/>
          <w:szCs w:val="24"/>
        </w:rPr>
      </w:pPr>
      <w:r>
        <w:rPr>
          <w:rFonts w:ascii="Calibri" w:hAnsi="Calibri" w:cs="Calibri"/>
          <w:sz w:val="24"/>
          <w:szCs w:val="24"/>
        </w:rPr>
        <w:t xml:space="preserve">Some participants reported that, although helpful as a concept, the Winnicott model was perceived as being one-dimensional and lacked specific application to the students’ needs. What the findings do suggest is that the environmental mother of the university lacks </w:t>
      </w:r>
      <w:r w:rsidRPr="000A13A6">
        <w:rPr>
          <w:rFonts w:ascii="Calibri" w:hAnsi="Calibri" w:cs="Calibri"/>
          <w:sz w:val="24"/>
          <w:szCs w:val="24"/>
        </w:rPr>
        <w:t xml:space="preserve">a capacity </w:t>
      </w:r>
      <w:r w:rsidR="003D5FB0">
        <w:rPr>
          <w:rFonts w:ascii="Calibri" w:hAnsi="Calibri" w:cs="Calibri"/>
          <w:sz w:val="24"/>
          <w:szCs w:val="24"/>
        </w:rPr>
        <w:t>to be concerned about</w:t>
      </w:r>
      <w:r w:rsidRPr="000A13A6">
        <w:rPr>
          <w:rFonts w:ascii="Calibri" w:hAnsi="Calibri" w:cs="Calibri"/>
          <w:sz w:val="24"/>
          <w:szCs w:val="24"/>
        </w:rPr>
        <w:t xml:space="preserve"> </w:t>
      </w:r>
      <w:r w:rsidR="00924D51">
        <w:rPr>
          <w:rFonts w:ascii="Calibri" w:hAnsi="Calibri" w:cs="Calibri"/>
          <w:sz w:val="24"/>
          <w:szCs w:val="24"/>
        </w:rPr>
        <w:t>HE teachers</w:t>
      </w:r>
      <w:r w:rsidR="00BF6677">
        <w:rPr>
          <w:rFonts w:ascii="Calibri" w:hAnsi="Calibri" w:cs="Calibri"/>
          <w:sz w:val="24"/>
          <w:szCs w:val="24"/>
        </w:rPr>
        <w:t>’</w:t>
      </w:r>
      <w:r w:rsidRPr="000A13A6">
        <w:rPr>
          <w:rFonts w:ascii="Calibri" w:hAnsi="Calibri" w:cs="Calibri"/>
          <w:sz w:val="24"/>
          <w:szCs w:val="24"/>
        </w:rPr>
        <w:t xml:space="preserve"> emotional needs</w:t>
      </w:r>
      <w:r>
        <w:rPr>
          <w:rFonts w:ascii="Calibri" w:hAnsi="Calibri" w:cs="Calibri"/>
          <w:sz w:val="24"/>
          <w:szCs w:val="24"/>
        </w:rPr>
        <w:t xml:space="preserve">. The model seems to have been useful for some participants to pass forward in </w:t>
      </w:r>
      <w:r w:rsidR="00924D51">
        <w:rPr>
          <w:rFonts w:ascii="Calibri" w:hAnsi="Calibri" w:cs="Calibri"/>
          <w:sz w:val="24"/>
          <w:szCs w:val="24"/>
        </w:rPr>
        <w:t>their teaching</w:t>
      </w:r>
      <w:r>
        <w:rPr>
          <w:rFonts w:ascii="Calibri" w:hAnsi="Calibri" w:cs="Calibri"/>
          <w:sz w:val="24"/>
          <w:szCs w:val="24"/>
        </w:rPr>
        <w:t xml:space="preserve"> praxis and has encouraged further reflections. Furthermore, some participants were left with unanswered questions about what support they might autonomously draw upon. These questions form </w:t>
      </w:r>
      <w:r>
        <w:rPr>
          <w:rFonts w:ascii="Calibri" w:hAnsi="Calibri" w:cs="Calibri"/>
          <w:sz w:val="24"/>
          <w:szCs w:val="24"/>
        </w:rPr>
        <w:lastRenderedPageBreak/>
        <w:t>part of the participants’ further reflections as an ongoing concern and include reflecting on the holding of their students, themselves, their colleagues and their teams.</w:t>
      </w:r>
      <w:r w:rsidRPr="0063692A">
        <w:rPr>
          <w:rFonts w:ascii="Calibri" w:hAnsi="Calibri" w:cs="Calibri"/>
          <w:color w:val="FF0000"/>
          <w:sz w:val="24"/>
          <w:szCs w:val="24"/>
        </w:rPr>
        <w:t xml:space="preserve"> </w:t>
      </w:r>
    </w:p>
    <w:p w14:paraId="3277B4D5" w14:textId="5A05460B" w:rsidR="001872B0" w:rsidRPr="009066FA" w:rsidRDefault="001872B0" w:rsidP="0041398C">
      <w:pPr>
        <w:ind w:firstLine="720"/>
        <w:rPr>
          <w:rFonts w:ascii="Calibri" w:hAnsi="Calibri" w:cs="Calibri"/>
          <w:b/>
          <w:bCs/>
          <w:i/>
          <w:iCs/>
          <w:sz w:val="24"/>
          <w:szCs w:val="24"/>
        </w:rPr>
      </w:pPr>
      <w:r w:rsidRPr="009066FA">
        <w:rPr>
          <w:rFonts w:ascii="Calibri" w:hAnsi="Calibri" w:cs="Calibri"/>
          <w:b/>
          <w:bCs/>
          <w:i/>
          <w:iCs/>
          <w:sz w:val="24"/>
          <w:szCs w:val="24"/>
        </w:rPr>
        <w:t>Gathering and Reflecting</w:t>
      </w:r>
    </w:p>
    <w:p w14:paraId="35612253" w14:textId="77777777" w:rsidR="001872B0" w:rsidRPr="00641FDB" w:rsidRDefault="001872B0" w:rsidP="006036AD">
      <w:pPr>
        <w:spacing w:line="360" w:lineRule="auto"/>
        <w:rPr>
          <w:rFonts w:ascii="Calibri" w:hAnsi="Calibri" w:cs="Calibri"/>
          <w:sz w:val="24"/>
          <w:szCs w:val="24"/>
        </w:rPr>
      </w:pPr>
      <w:r w:rsidRPr="00E1794E">
        <w:rPr>
          <w:rFonts w:ascii="Calibri" w:hAnsi="Calibri" w:cs="Calibri"/>
          <w:sz w:val="24"/>
          <w:szCs w:val="24"/>
        </w:rPr>
        <w:t>Modelling the process of epistemic reflexivity (Bourdieu, 1993)</w:t>
      </w:r>
      <w:r>
        <w:rPr>
          <w:rFonts w:ascii="Calibri" w:hAnsi="Calibri" w:cs="Calibri"/>
          <w:sz w:val="24"/>
          <w:szCs w:val="24"/>
        </w:rPr>
        <w:t xml:space="preserve"> </w:t>
      </w:r>
      <w:r w:rsidRPr="00E1794E">
        <w:rPr>
          <w:rFonts w:ascii="Calibri" w:hAnsi="Calibri" w:cs="Calibri"/>
          <w:sz w:val="24"/>
          <w:szCs w:val="24"/>
        </w:rPr>
        <w:t>as a researcher</w:t>
      </w:r>
      <w:r>
        <w:rPr>
          <w:rFonts w:ascii="Calibri" w:hAnsi="Calibri" w:cs="Calibri"/>
          <w:sz w:val="24"/>
          <w:szCs w:val="24"/>
        </w:rPr>
        <w:t xml:space="preserve"> I felt it important to provide participants the opportunity to reflect on the interview process. </w:t>
      </w:r>
    </w:p>
    <w:p w14:paraId="6A6EA6E9" w14:textId="77777777" w:rsidR="001872B0" w:rsidRPr="00AD1FF5" w:rsidRDefault="001872B0" w:rsidP="00721A14">
      <w:pPr>
        <w:rPr>
          <w:rFonts w:ascii="Calibri" w:hAnsi="Calibri" w:cs="Calibri"/>
          <w:sz w:val="24"/>
          <w:szCs w:val="24"/>
        </w:rPr>
      </w:pPr>
      <w:r>
        <w:rPr>
          <w:rFonts w:ascii="Calibri" w:hAnsi="Calibri" w:cs="Calibri"/>
          <w:sz w:val="24"/>
          <w:szCs w:val="24"/>
        </w:rPr>
        <w:t>After the first interview, Liz was left contemplating the importance of a good leader:</w:t>
      </w:r>
    </w:p>
    <w:bookmarkEnd w:id="82"/>
    <w:p w14:paraId="320633E7" w14:textId="4F450BA1" w:rsidR="001872B0" w:rsidRPr="006933AE" w:rsidRDefault="001872B0" w:rsidP="006933AE">
      <w:pPr>
        <w:ind w:left="720"/>
        <w:rPr>
          <w:rFonts w:ascii="Calibri" w:hAnsi="Calibri" w:cs="Calibri"/>
          <w:i/>
          <w:iCs/>
          <w:sz w:val="24"/>
          <w:szCs w:val="24"/>
        </w:rPr>
      </w:pPr>
      <w:r w:rsidRPr="006933AE">
        <w:rPr>
          <w:rFonts w:ascii="Calibri" w:hAnsi="Calibri" w:cs="Calibri"/>
          <w:i/>
          <w:iCs/>
          <w:sz w:val="24"/>
          <w:szCs w:val="24"/>
        </w:rPr>
        <w:t>I think more and more we as lecturers are increasingly coming across these challenges which are impacting on the student’s ability to learn, and you have a role as an educator, but what is that role within that? It’s more than the politics, I think a lot of it comes down to, you know, the culture of the leader and how that cascades down in terms of a message that’s been communicated. Do you feel like a valued educator, or do you feel like a cog in a wheel? I’m trying to see if compassion is an antidote to the well-being crisis in education (</w:t>
      </w:r>
      <w:r w:rsidR="0043621F">
        <w:rPr>
          <w:rFonts w:ascii="Calibri" w:hAnsi="Calibri" w:cs="Calibri"/>
          <w:i/>
          <w:iCs/>
          <w:sz w:val="24"/>
          <w:szCs w:val="24"/>
        </w:rPr>
        <w:t xml:space="preserve">Liz, </w:t>
      </w:r>
      <w:r w:rsidRPr="006933AE">
        <w:rPr>
          <w:rFonts w:ascii="Calibri" w:hAnsi="Calibri" w:cs="Calibri"/>
          <w:i/>
          <w:iCs/>
          <w:sz w:val="24"/>
          <w:szCs w:val="24"/>
        </w:rPr>
        <w:t>T2, p.3, par 1).</w:t>
      </w:r>
    </w:p>
    <w:p w14:paraId="3301F70A" w14:textId="2A4AD81F" w:rsidR="001872B0" w:rsidRPr="00F91E89" w:rsidRDefault="001872B0" w:rsidP="00B33AE8">
      <w:pPr>
        <w:spacing w:line="360" w:lineRule="auto"/>
        <w:rPr>
          <w:rFonts w:ascii="Calibri" w:hAnsi="Calibri" w:cs="Calibri"/>
          <w:sz w:val="24"/>
          <w:szCs w:val="24"/>
        </w:rPr>
      </w:pPr>
      <w:r>
        <w:rPr>
          <w:rFonts w:ascii="Calibri" w:hAnsi="Calibri" w:cs="Calibri"/>
          <w:sz w:val="24"/>
          <w:szCs w:val="24"/>
        </w:rPr>
        <w:t xml:space="preserve">Acknowledging the care and holding her mentor showed to her during her teacher training, after the first interview Liz contacted her mentor </w:t>
      </w:r>
      <w:r w:rsidRPr="0028229D">
        <w:rPr>
          <w:rFonts w:ascii="Calibri" w:hAnsi="Calibri" w:cs="Calibri"/>
          <w:sz w:val="24"/>
          <w:szCs w:val="24"/>
        </w:rPr>
        <w:t xml:space="preserve">to </w:t>
      </w:r>
      <w:r>
        <w:rPr>
          <w:rFonts w:ascii="Calibri" w:hAnsi="Calibri" w:cs="Calibri"/>
          <w:sz w:val="24"/>
          <w:szCs w:val="24"/>
        </w:rPr>
        <w:t>express gratitude for their support. Liz felt the holding and care provided by her mentor had reminded her of how much she liked teaching</w:t>
      </w:r>
      <w:r w:rsidR="00821E96">
        <w:rPr>
          <w:rFonts w:ascii="Calibri" w:hAnsi="Calibri" w:cs="Calibri"/>
          <w:sz w:val="24"/>
          <w:szCs w:val="24"/>
        </w:rPr>
        <w:t>,</w:t>
      </w:r>
      <w:r>
        <w:rPr>
          <w:rFonts w:ascii="Calibri" w:hAnsi="Calibri" w:cs="Calibri"/>
          <w:sz w:val="24"/>
          <w:szCs w:val="24"/>
        </w:rPr>
        <w:t xml:space="preserve"> and that compassion is important in a teaching organisation. This suggests that the interview process served as an emotional </w:t>
      </w:r>
      <w:r w:rsidRPr="0031354F">
        <w:rPr>
          <w:rFonts w:ascii="Calibri" w:hAnsi="Calibri" w:cs="Calibri"/>
          <w:i/>
          <w:iCs/>
          <w:sz w:val="24"/>
          <w:szCs w:val="24"/>
        </w:rPr>
        <w:t>aide memoir</w:t>
      </w:r>
      <w:r>
        <w:rPr>
          <w:rFonts w:ascii="Calibri" w:hAnsi="Calibri" w:cs="Calibri"/>
          <w:i/>
          <w:iCs/>
          <w:sz w:val="24"/>
          <w:szCs w:val="24"/>
        </w:rPr>
        <w:t>e</w:t>
      </w:r>
      <w:r w:rsidRPr="0031354F">
        <w:rPr>
          <w:rFonts w:ascii="Calibri" w:hAnsi="Calibri" w:cs="Calibri"/>
          <w:i/>
          <w:iCs/>
          <w:sz w:val="24"/>
          <w:szCs w:val="24"/>
        </w:rPr>
        <w:t xml:space="preserve"> </w:t>
      </w:r>
      <w:r>
        <w:rPr>
          <w:rFonts w:ascii="Calibri" w:hAnsi="Calibri" w:cs="Calibri"/>
          <w:sz w:val="24"/>
          <w:szCs w:val="24"/>
        </w:rPr>
        <w:t xml:space="preserve">and an evaluation of her teaching journey. </w:t>
      </w:r>
    </w:p>
    <w:p w14:paraId="6D6F1777" w14:textId="2C8D0CC3" w:rsidR="001872B0" w:rsidRPr="00927B79" w:rsidRDefault="001872B0" w:rsidP="00B33AE8">
      <w:pPr>
        <w:spacing w:line="360" w:lineRule="auto"/>
        <w:rPr>
          <w:rFonts w:ascii="Calibri" w:hAnsi="Calibri" w:cs="Calibri"/>
          <w:sz w:val="24"/>
          <w:szCs w:val="24"/>
        </w:rPr>
      </w:pPr>
      <w:r w:rsidRPr="00927B79">
        <w:rPr>
          <w:rFonts w:ascii="Calibri" w:hAnsi="Calibri" w:cs="Calibri"/>
          <w:sz w:val="24"/>
          <w:szCs w:val="24"/>
        </w:rPr>
        <w:t>Similarly, Mo and Jenko were left considering the importance</w:t>
      </w:r>
      <w:r>
        <w:rPr>
          <w:rFonts w:ascii="Calibri" w:hAnsi="Calibri" w:cs="Calibri"/>
          <w:sz w:val="24"/>
          <w:szCs w:val="24"/>
        </w:rPr>
        <w:t xml:space="preserve"> of</w:t>
      </w:r>
      <w:r w:rsidRPr="00927B79">
        <w:rPr>
          <w:rFonts w:ascii="Calibri" w:hAnsi="Calibri" w:cs="Calibri"/>
          <w:sz w:val="24"/>
          <w:szCs w:val="24"/>
        </w:rPr>
        <w:t xml:space="preserve"> reevaluating their positionalities as people</w:t>
      </w:r>
      <w:r w:rsidR="005C7E9B">
        <w:rPr>
          <w:rFonts w:ascii="Calibri" w:hAnsi="Calibri" w:cs="Calibri"/>
          <w:sz w:val="24"/>
          <w:szCs w:val="24"/>
        </w:rPr>
        <w:t xml:space="preserve"> </w:t>
      </w:r>
      <w:r w:rsidRPr="00927B79">
        <w:rPr>
          <w:rFonts w:ascii="Calibri" w:hAnsi="Calibri" w:cs="Calibri"/>
          <w:sz w:val="24"/>
          <w:szCs w:val="24"/>
        </w:rPr>
        <w:t>and teachers</w:t>
      </w:r>
      <w:r>
        <w:rPr>
          <w:rFonts w:ascii="Calibri" w:hAnsi="Calibri" w:cs="Calibri"/>
          <w:sz w:val="24"/>
          <w:szCs w:val="24"/>
        </w:rPr>
        <w:t>:</w:t>
      </w:r>
    </w:p>
    <w:p w14:paraId="59E43274" w14:textId="12D79003" w:rsidR="001872B0" w:rsidRPr="006933AE" w:rsidRDefault="001872B0" w:rsidP="006933AE">
      <w:pPr>
        <w:ind w:left="720"/>
        <w:rPr>
          <w:rFonts w:ascii="Calibri" w:hAnsi="Calibri" w:cs="Calibri"/>
          <w:i/>
          <w:iCs/>
          <w:sz w:val="24"/>
          <w:szCs w:val="24"/>
        </w:rPr>
      </w:pPr>
      <w:r w:rsidRPr="006933AE">
        <w:rPr>
          <w:rFonts w:ascii="Calibri" w:hAnsi="Calibri" w:cs="Calibri"/>
          <w:i/>
          <w:iCs/>
          <w:sz w:val="24"/>
          <w:szCs w:val="24"/>
        </w:rPr>
        <w:t>It allows me to have a look at what I reflected on. And I think for me it’s just reevaluating sometimes where I am because we are all busy people, and sometimes it gets left by the way so that we don’t pick up that reflective journal now and again</w:t>
      </w:r>
      <w:r w:rsidR="00867C1D">
        <w:rPr>
          <w:rFonts w:ascii="Calibri" w:hAnsi="Calibri" w:cs="Calibri"/>
          <w:i/>
          <w:iCs/>
          <w:sz w:val="24"/>
          <w:szCs w:val="24"/>
        </w:rPr>
        <w:t xml:space="preserve"> </w:t>
      </w:r>
      <w:r w:rsidRPr="006933AE">
        <w:rPr>
          <w:rFonts w:ascii="Calibri" w:hAnsi="Calibri" w:cs="Calibri"/>
          <w:i/>
          <w:iCs/>
          <w:sz w:val="24"/>
          <w:szCs w:val="24"/>
        </w:rPr>
        <w:t>- where do I need to improve on, what’s gone wrong this week? (Jenko, T2, p.5, par 6).</w:t>
      </w:r>
    </w:p>
    <w:p w14:paraId="227080A8" w14:textId="1CDB9954" w:rsidR="001872B0" w:rsidRPr="006933AE" w:rsidRDefault="001872B0" w:rsidP="006933AE">
      <w:pPr>
        <w:ind w:left="720"/>
        <w:rPr>
          <w:rFonts w:ascii="Calibri" w:hAnsi="Calibri" w:cs="Calibri"/>
          <w:i/>
          <w:iCs/>
          <w:sz w:val="24"/>
          <w:szCs w:val="24"/>
        </w:rPr>
      </w:pPr>
      <w:bookmarkStart w:id="83" w:name="_Hlk219547589"/>
      <w:r w:rsidRPr="006933AE">
        <w:rPr>
          <w:rFonts w:ascii="Calibri" w:hAnsi="Calibri" w:cs="Calibri"/>
          <w:i/>
          <w:iCs/>
          <w:sz w:val="24"/>
          <w:szCs w:val="24"/>
        </w:rPr>
        <w:t xml:space="preserve">The human side, our own experience, what we’ve been through, it </w:t>
      </w:r>
      <w:r w:rsidR="00867C1D">
        <w:rPr>
          <w:rFonts w:ascii="Calibri" w:hAnsi="Calibri" w:cs="Calibri"/>
          <w:i/>
          <w:iCs/>
          <w:sz w:val="24"/>
          <w:szCs w:val="24"/>
        </w:rPr>
        <w:t>e</w:t>
      </w:r>
      <w:r w:rsidRPr="006933AE">
        <w:rPr>
          <w:rFonts w:ascii="Calibri" w:hAnsi="Calibri" w:cs="Calibri"/>
          <w:i/>
          <w:iCs/>
          <w:sz w:val="24"/>
          <w:szCs w:val="24"/>
        </w:rPr>
        <w:t>ffects our knowledge and understanding of how things pan out, and I think that’s so important. If it were just a question of recruiting people to support students who could deliver frameworks and legislation, you wouldn’t even need to interview people, you would just put their CVs into AI and say, ‘Do they have on paper what it takes to deliver this?’</w:t>
      </w:r>
      <w:r w:rsidR="00A524E2">
        <w:rPr>
          <w:rFonts w:ascii="Calibri" w:hAnsi="Calibri" w:cs="Calibri"/>
          <w:i/>
          <w:iCs/>
          <w:sz w:val="24"/>
          <w:szCs w:val="24"/>
        </w:rPr>
        <w:t xml:space="preserve"> </w:t>
      </w:r>
      <w:r w:rsidRPr="006933AE">
        <w:rPr>
          <w:rFonts w:ascii="Calibri" w:hAnsi="Calibri" w:cs="Calibri"/>
          <w:i/>
          <w:iCs/>
          <w:sz w:val="24"/>
          <w:szCs w:val="24"/>
        </w:rPr>
        <w:t>(Mo, T2, p.3, par 3).</w:t>
      </w:r>
    </w:p>
    <w:bookmarkEnd w:id="83"/>
    <w:p w14:paraId="510471D1" w14:textId="253B785A" w:rsidR="001872B0" w:rsidRDefault="001872B0" w:rsidP="006C5DED">
      <w:pPr>
        <w:spacing w:line="360" w:lineRule="auto"/>
        <w:rPr>
          <w:rFonts w:ascii="Calibri" w:hAnsi="Calibri" w:cs="Calibri"/>
          <w:sz w:val="24"/>
          <w:szCs w:val="24"/>
        </w:rPr>
      </w:pPr>
      <w:r>
        <w:rPr>
          <w:rFonts w:ascii="Calibri" w:hAnsi="Calibri" w:cs="Calibri"/>
          <w:sz w:val="24"/>
          <w:szCs w:val="24"/>
        </w:rPr>
        <w:t xml:space="preserve">Mo highlighted that by viewing support as a procedural tick box exercise, the need for a </w:t>
      </w:r>
      <w:r w:rsidRPr="008C2686">
        <w:rPr>
          <w:rFonts w:ascii="Calibri" w:hAnsi="Calibri" w:cs="Calibri"/>
          <w:sz w:val="24"/>
          <w:szCs w:val="24"/>
        </w:rPr>
        <w:t xml:space="preserve">real </w:t>
      </w:r>
      <w:r>
        <w:rPr>
          <w:rFonts w:ascii="Calibri" w:hAnsi="Calibri" w:cs="Calibri"/>
          <w:sz w:val="24"/>
          <w:szCs w:val="24"/>
        </w:rPr>
        <w:t xml:space="preserve">person would be deemed unnecessary and supports the need for an ethic of care </w:t>
      </w:r>
      <w:r w:rsidR="00E17D53">
        <w:rPr>
          <w:rFonts w:ascii="Calibri" w:hAnsi="Calibri" w:cs="Calibri"/>
          <w:sz w:val="24"/>
          <w:szCs w:val="24"/>
        </w:rPr>
        <w:t xml:space="preserve">(Noddings, 2002) </w:t>
      </w:r>
      <w:r>
        <w:rPr>
          <w:rFonts w:ascii="Calibri" w:hAnsi="Calibri" w:cs="Calibri"/>
          <w:sz w:val="24"/>
          <w:szCs w:val="24"/>
        </w:rPr>
        <w:t xml:space="preserve">replete with relationality.  Jenko was reminded of the importance of reflecting on his </w:t>
      </w:r>
      <w:r>
        <w:rPr>
          <w:rFonts w:ascii="Calibri" w:hAnsi="Calibri" w:cs="Calibri"/>
          <w:sz w:val="24"/>
          <w:szCs w:val="24"/>
        </w:rPr>
        <w:lastRenderedPageBreak/>
        <w:t>work to improve it, and not to engage with reflection in a procedural way. These participants were remembering and affirming aspects of their practice that were important to them as people, and their students, suggesting that engaging in biographical reflexivity ha</w:t>
      </w:r>
      <w:r w:rsidR="00D041C7">
        <w:rPr>
          <w:rFonts w:ascii="Calibri" w:hAnsi="Calibri" w:cs="Calibri"/>
          <w:sz w:val="24"/>
          <w:szCs w:val="24"/>
        </w:rPr>
        <w:t>s</w:t>
      </w:r>
      <w:r>
        <w:rPr>
          <w:rFonts w:ascii="Calibri" w:hAnsi="Calibri" w:cs="Calibri"/>
          <w:sz w:val="24"/>
          <w:szCs w:val="24"/>
        </w:rPr>
        <w:t xml:space="preserve"> value as a process.</w:t>
      </w:r>
    </w:p>
    <w:p w14:paraId="328F2F06" w14:textId="77777777" w:rsidR="001872B0" w:rsidRPr="00E75F9C" w:rsidRDefault="001872B0" w:rsidP="006C5DED">
      <w:pPr>
        <w:spacing w:line="360" w:lineRule="auto"/>
        <w:rPr>
          <w:rFonts w:ascii="Calibri" w:hAnsi="Calibri" w:cs="Calibri"/>
          <w:sz w:val="24"/>
          <w:szCs w:val="24"/>
        </w:rPr>
      </w:pPr>
      <w:r>
        <w:rPr>
          <w:rFonts w:ascii="Calibri" w:hAnsi="Calibri" w:cs="Calibri"/>
          <w:sz w:val="24"/>
          <w:szCs w:val="24"/>
        </w:rPr>
        <w:t>Two participants were reminded of the importance of creating a facilitating environment for their students:</w:t>
      </w:r>
    </w:p>
    <w:p w14:paraId="3A0BD9B0"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Lecturers, teachers, trainers, regardless of who you may be, don’t focus enough on where they should be projecting their teaching. So, I do see that it needs to be transparent, you need to be open, you need to have that sort of relationship with your students and be honest with them. I think that’s a really valuable lesson that I have learnt, especially in my journey. Ultimately the product is my students and that’s where the proof of the pudding is (Jenko, T2, p.2, par 1).</w:t>
      </w:r>
    </w:p>
    <w:p w14:paraId="73AB0CFA"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I am completely convinced, and this process has been part of that, that we know students need support and I know this is really obvious. Students cannot learn unless we take care of their emotional needs as well as their physical needs as well as their cognitive needs. We need to create a learning environment that considers, and tries to mitigate any potentially damaging [things], or even just things, that might interrupt them in their thinking (Sally, T2, p.4, par 1).</w:t>
      </w:r>
    </w:p>
    <w:p w14:paraId="041DBD13" w14:textId="0497D92E" w:rsidR="001872B0" w:rsidRDefault="001872B0" w:rsidP="00355473">
      <w:pPr>
        <w:spacing w:line="360" w:lineRule="auto"/>
        <w:rPr>
          <w:rFonts w:ascii="Calibri" w:hAnsi="Calibri" w:cs="Calibri"/>
          <w:sz w:val="24"/>
          <w:szCs w:val="24"/>
        </w:rPr>
      </w:pPr>
      <w:r>
        <w:rPr>
          <w:rFonts w:ascii="Calibri" w:hAnsi="Calibri" w:cs="Calibri"/>
          <w:sz w:val="24"/>
          <w:szCs w:val="24"/>
        </w:rPr>
        <w:t xml:space="preserve">Echoing the importance of the relationship having the capacity to heal (Yalom, 1989), there is a sense that for Jenko inclusivity in his relational approach to students </w:t>
      </w:r>
      <w:r w:rsidRPr="00F77491">
        <w:rPr>
          <w:rFonts w:ascii="Calibri" w:hAnsi="Calibri" w:cs="Calibri"/>
          <w:i/>
          <w:iCs/>
          <w:sz w:val="24"/>
          <w:szCs w:val="24"/>
        </w:rPr>
        <w:t>is</w:t>
      </w:r>
      <w:r>
        <w:rPr>
          <w:rFonts w:ascii="Calibri" w:hAnsi="Calibri" w:cs="Calibri"/>
          <w:sz w:val="24"/>
          <w:szCs w:val="24"/>
        </w:rPr>
        <w:t xml:space="preserve"> his professional rosary (</w:t>
      </w:r>
      <w:r w:rsidR="00AB1ADC">
        <w:rPr>
          <w:rFonts w:ascii="Calibri" w:hAnsi="Calibri" w:cs="Calibri"/>
          <w:sz w:val="24"/>
          <w:szCs w:val="24"/>
        </w:rPr>
        <w:t>ibid.</w:t>
      </w:r>
      <w:r>
        <w:rPr>
          <w:rFonts w:ascii="Calibri" w:hAnsi="Calibri" w:cs="Calibri"/>
          <w:sz w:val="24"/>
          <w:szCs w:val="24"/>
        </w:rPr>
        <w:t>). The students are his product, the mirror of his relationship with them which, in turn, helps him to learn and grow. Sally acknowledges the importance of the pastoral care element of teaching as being front and centre. The physical, cognitive and emotional needs of her students are held by a holistic, and inclusive approach. She also acknowledges the importance of creating a learning environment that identifies, considers and m</w:t>
      </w:r>
      <w:r w:rsidR="0080490B">
        <w:rPr>
          <w:rFonts w:ascii="Calibri" w:hAnsi="Calibri" w:cs="Calibri"/>
          <w:sz w:val="24"/>
          <w:szCs w:val="24"/>
        </w:rPr>
        <w:t>ediates</w:t>
      </w:r>
      <w:r>
        <w:rPr>
          <w:rFonts w:ascii="Calibri" w:hAnsi="Calibri" w:cs="Calibri"/>
          <w:sz w:val="24"/>
          <w:szCs w:val="24"/>
        </w:rPr>
        <w:t xml:space="preserve"> obstacles that might be damaging to</w:t>
      </w:r>
      <w:r w:rsidR="00D041C7">
        <w:rPr>
          <w:rFonts w:ascii="Calibri" w:hAnsi="Calibri" w:cs="Calibri"/>
          <w:sz w:val="24"/>
          <w:szCs w:val="24"/>
        </w:rPr>
        <w:t xml:space="preserve"> </w:t>
      </w:r>
      <w:r>
        <w:rPr>
          <w:rFonts w:ascii="Calibri" w:hAnsi="Calibri" w:cs="Calibri"/>
          <w:sz w:val="24"/>
          <w:szCs w:val="24"/>
        </w:rPr>
        <w:t>student</w:t>
      </w:r>
      <w:r w:rsidR="00D041C7">
        <w:rPr>
          <w:rFonts w:ascii="Calibri" w:hAnsi="Calibri" w:cs="Calibri"/>
          <w:sz w:val="24"/>
          <w:szCs w:val="24"/>
        </w:rPr>
        <w:t>s</w:t>
      </w:r>
      <w:r w:rsidR="006522C7">
        <w:rPr>
          <w:rFonts w:ascii="Calibri" w:hAnsi="Calibri" w:cs="Calibri"/>
          <w:sz w:val="24"/>
          <w:szCs w:val="24"/>
        </w:rPr>
        <w:t>,</w:t>
      </w:r>
      <w:r>
        <w:rPr>
          <w:rFonts w:ascii="Calibri" w:hAnsi="Calibri" w:cs="Calibri"/>
          <w:sz w:val="24"/>
          <w:szCs w:val="24"/>
        </w:rPr>
        <w:t xml:space="preserve"> and ultimately their learning. The above vignettes suggest that the interview process overall served as a reminder to participants of the importance of the caring nature of holding and the holder. </w:t>
      </w:r>
    </w:p>
    <w:p w14:paraId="03EB24E6" w14:textId="77777777" w:rsidR="001872B0" w:rsidRPr="00943CFF" w:rsidRDefault="001872B0" w:rsidP="005D32BF">
      <w:pPr>
        <w:rPr>
          <w:rFonts w:ascii="Calibri" w:hAnsi="Calibri" w:cs="Calibri"/>
          <w:sz w:val="24"/>
          <w:szCs w:val="24"/>
        </w:rPr>
      </w:pPr>
      <w:r>
        <w:rPr>
          <w:rFonts w:ascii="Calibri" w:hAnsi="Calibri" w:cs="Calibri"/>
          <w:sz w:val="24"/>
          <w:szCs w:val="24"/>
        </w:rPr>
        <w:t>Two participants reflected upon how the interview process influenced their future practice:</w:t>
      </w:r>
    </w:p>
    <w:p w14:paraId="6EF3385C"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I think it certainly made me think of experiences that I hadn’t thought of before, or remembered, or things I haven’t thought about in a long time. You do remember your own experience, and it allows me, stimulates me to be a bit more empathetic when I’m going in to see students to understand the reality of their situation (Mo, T2, p.2, par 9).</w:t>
      </w:r>
    </w:p>
    <w:p w14:paraId="03C61318"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lastRenderedPageBreak/>
        <w:t>When I reflected, it took me a little bit back to where I started from.  I can’t emphasise enough the emotional and arduous journey that I had, and again the self-doubt that was raised within that reflection. There’s going to be those reflective areas, and you have got to not paper over them but build on them, and scaffold them, and make sure that you are building up to that positivity and look at the bigger picture, and I think we don’t do that enough (Jenko, T2, p.4, par 3).</w:t>
      </w:r>
    </w:p>
    <w:p w14:paraId="60D721F6" w14:textId="0F28855D" w:rsidR="001872B0" w:rsidRPr="001D6224" w:rsidRDefault="001872B0" w:rsidP="00E20694">
      <w:pPr>
        <w:spacing w:line="360" w:lineRule="auto"/>
        <w:rPr>
          <w:rFonts w:ascii="Calibri" w:hAnsi="Calibri" w:cs="Calibri"/>
          <w:i/>
          <w:iCs/>
          <w:sz w:val="24"/>
          <w:szCs w:val="24"/>
        </w:rPr>
      </w:pPr>
      <w:r>
        <w:rPr>
          <w:rFonts w:ascii="Calibri" w:hAnsi="Calibri" w:cs="Calibri"/>
          <w:sz w:val="24"/>
          <w:szCs w:val="24"/>
        </w:rPr>
        <w:t xml:space="preserve">Both Mo and Jenko remembered how they transcended historical obstacles and of their determination to provide positive experiences for their students. </w:t>
      </w:r>
      <w:r w:rsidRPr="00E8736A">
        <w:rPr>
          <w:rFonts w:ascii="Calibri" w:hAnsi="Calibri" w:cs="Calibri"/>
          <w:sz w:val="24"/>
          <w:szCs w:val="24"/>
        </w:rPr>
        <w:t>These participants acknowledge their vulnerability as students</w:t>
      </w:r>
      <w:r w:rsidRPr="00E8736A">
        <w:rPr>
          <w:rFonts w:ascii="Calibri" w:eastAsia="Calibri" w:hAnsi="Calibri" w:cs="Times New Roman"/>
          <w:sz w:val="24"/>
          <w:szCs w:val="24"/>
        </w:rPr>
        <w:t xml:space="preserve"> </w:t>
      </w:r>
      <w:r>
        <w:rPr>
          <w:rFonts w:ascii="Calibri" w:eastAsia="Calibri" w:hAnsi="Calibri" w:cs="Times New Roman"/>
          <w:sz w:val="24"/>
          <w:szCs w:val="24"/>
        </w:rPr>
        <w:t xml:space="preserve">mirroring the findings of the </w:t>
      </w:r>
      <w:r w:rsidRPr="00713B3C">
        <w:rPr>
          <w:rFonts w:ascii="Calibri" w:eastAsia="Calibri" w:hAnsi="Calibri" w:cs="Times New Roman"/>
          <w:sz w:val="24"/>
          <w:szCs w:val="24"/>
        </w:rPr>
        <w:t>Royal College of Psychiatrists (2011</w:t>
      </w:r>
      <w:r w:rsidR="006B505A">
        <w:rPr>
          <w:rFonts w:ascii="Calibri" w:eastAsia="Calibri" w:hAnsi="Calibri" w:cs="Times New Roman"/>
          <w:sz w:val="24"/>
          <w:szCs w:val="24"/>
        </w:rPr>
        <w:t>; 2018</w:t>
      </w:r>
      <w:r w:rsidRPr="00713B3C">
        <w:rPr>
          <w:rFonts w:ascii="Calibri" w:eastAsia="Calibri" w:hAnsi="Calibri" w:cs="Times New Roman"/>
          <w:sz w:val="24"/>
          <w:szCs w:val="24"/>
        </w:rPr>
        <w:t>)</w:t>
      </w:r>
      <w:r>
        <w:rPr>
          <w:rFonts w:ascii="Calibri" w:eastAsia="Calibri" w:hAnsi="Calibri" w:cs="Times New Roman"/>
          <w:sz w:val="24"/>
          <w:szCs w:val="24"/>
        </w:rPr>
        <w:t>, although it is noteworthy that the focus of th</w:t>
      </w:r>
      <w:r w:rsidR="000114C4">
        <w:rPr>
          <w:rFonts w:ascii="Calibri" w:eastAsia="Calibri" w:hAnsi="Calibri" w:cs="Times New Roman"/>
          <w:sz w:val="24"/>
          <w:szCs w:val="24"/>
        </w:rPr>
        <w:t>at</w:t>
      </w:r>
      <w:r>
        <w:rPr>
          <w:rFonts w:ascii="Calibri" w:eastAsia="Calibri" w:hAnsi="Calibri" w:cs="Times New Roman"/>
          <w:sz w:val="24"/>
          <w:szCs w:val="24"/>
        </w:rPr>
        <w:t xml:space="preserve"> study was on students coping with transitions and not specifically mature students. Mo and Jenko are utilising their past experiences to improve their awareness and inform their teaching</w:t>
      </w:r>
      <w:r w:rsidR="00214109">
        <w:rPr>
          <w:rFonts w:ascii="Calibri" w:eastAsia="Calibri" w:hAnsi="Calibri" w:cs="Times New Roman"/>
          <w:sz w:val="24"/>
          <w:szCs w:val="24"/>
        </w:rPr>
        <w:t>,</w:t>
      </w:r>
      <w:r>
        <w:rPr>
          <w:rFonts w:ascii="Calibri" w:eastAsia="Calibri" w:hAnsi="Calibri" w:cs="Times New Roman"/>
          <w:sz w:val="24"/>
          <w:szCs w:val="24"/>
        </w:rPr>
        <w:t xml:space="preserve"> lending support for the nature of their hero’s journey being one of passing forward learning for the benefit of the community</w:t>
      </w:r>
      <w:r w:rsidR="00D8353B">
        <w:rPr>
          <w:rFonts w:ascii="Calibri" w:eastAsia="Calibri" w:hAnsi="Calibri" w:cs="Times New Roman"/>
          <w:sz w:val="24"/>
          <w:szCs w:val="24"/>
        </w:rPr>
        <w:t xml:space="preserve"> (Campbell, 1949)</w:t>
      </w:r>
      <w:r>
        <w:rPr>
          <w:rFonts w:ascii="Calibri" w:eastAsia="Calibri" w:hAnsi="Calibri" w:cs="Times New Roman"/>
          <w:sz w:val="24"/>
          <w:szCs w:val="24"/>
        </w:rPr>
        <w:t>.</w:t>
      </w:r>
    </w:p>
    <w:p w14:paraId="58A28647" w14:textId="38143B36" w:rsidR="001872B0" w:rsidRPr="00E10E3C" w:rsidRDefault="001872B0" w:rsidP="00E10E3C">
      <w:pPr>
        <w:ind w:firstLine="720"/>
        <w:rPr>
          <w:rFonts w:ascii="Calibri" w:hAnsi="Calibri" w:cs="Calibri"/>
          <w:b/>
          <w:bCs/>
          <w:i/>
          <w:iCs/>
          <w:sz w:val="24"/>
          <w:szCs w:val="24"/>
        </w:rPr>
      </w:pPr>
      <w:r>
        <w:rPr>
          <w:rFonts w:ascii="Calibri" w:hAnsi="Calibri" w:cs="Calibri"/>
          <w:b/>
          <w:bCs/>
          <w:i/>
          <w:iCs/>
          <w:sz w:val="24"/>
          <w:szCs w:val="24"/>
        </w:rPr>
        <w:t xml:space="preserve">Reflections on being </w:t>
      </w:r>
      <w:r w:rsidRPr="00593C69">
        <w:rPr>
          <w:rFonts w:ascii="Calibri" w:hAnsi="Calibri" w:cs="Calibri"/>
          <w:b/>
          <w:bCs/>
          <w:i/>
          <w:iCs/>
          <w:sz w:val="24"/>
          <w:szCs w:val="24"/>
        </w:rPr>
        <w:t xml:space="preserve">held </w:t>
      </w:r>
      <w:r>
        <w:rPr>
          <w:rFonts w:ascii="Calibri" w:hAnsi="Calibri" w:cs="Calibri"/>
          <w:b/>
          <w:bCs/>
          <w:i/>
          <w:iCs/>
          <w:sz w:val="24"/>
          <w:szCs w:val="24"/>
        </w:rPr>
        <w:t>by the interviewer</w:t>
      </w:r>
    </w:p>
    <w:p w14:paraId="6E063CF0" w14:textId="77777777" w:rsidR="001872B0" w:rsidRPr="0066657D" w:rsidRDefault="001872B0" w:rsidP="00706B0D">
      <w:pPr>
        <w:spacing w:line="360" w:lineRule="auto"/>
        <w:rPr>
          <w:rFonts w:ascii="Calibri" w:hAnsi="Calibri" w:cs="Calibri"/>
          <w:sz w:val="24"/>
          <w:szCs w:val="24"/>
        </w:rPr>
      </w:pPr>
      <w:r>
        <w:rPr>
          <w:rFonts w:ascii="Calibri" w:hAnsi="Calibri" w:cs="Calibri"/>
          <w:sz w:val="24"/>
          <w:szCs w:val="24"/>
        </w:rPr>
        <w:t xml:space="preserve">Curious about if participants </w:t>
      </w:r>
      <w:r w:rsidRPr="00887BCB">
        <w:rPr>
          <w:rFonts w:ascii="Calibri" w:hAnsi="Calibri" w:cs="Calibri"/>
          <w:i/>
          <w:iCs/>
          <w:sz w:val="24"/>
          <w:szCs w:val="24"/>
        </w:rPr>
        <w:t xml:space="preserve">felt </w:t>
      </w:r>
      <w:r>
        <w:rPr>
          <w:rFonts w:ascii="Calibri" w:hAnsi="Calibri" w:cs="Calibri"/>
          <w:sz w:val="24"/>
          <w:szCs w:val="24"/>
        </w:rPr>
        <w:t>held, they were asked about their experience of taking part in the study:</w:t>
      </w:r>
    </w:p>
    <w:p w14:paraId="005CB9A7"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I think first and foremost you were very honest and transparent from the start. You didn’t expect too much, and you weren’t rhetorical in what you are asking, it is my opinion and my opinion counts, that’s the most important thing. You would allow me to speak, and you allowed me to be critical and allowed me to be personal and that’s really important to get that personal point across (Jenko, T2, p. 3, par 9).</w:t>
      </w:r>
    </w:p>
    <w:p w14:paraId="004AF5E4"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I’m glad I’ve taken part; I think it’s good to reflect on my journey as a teacher. I’ve been able to consolidate the thoughts that I had about where my support comes from. Just talking through my journey gives me a sense of perspective (Miriam, T2, p.1, par 6).</w:t>
      </w:r>
    </w:p>
    <w:p w14:paraId="56C7E479" w14:textId="7AD9FDD6"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I found it quite cathartic, and I found it quite useful to have to think about my opinions or feelings towards these situations (T2, p. 2, par 6). Afterwards it felt like, probably not like a weight had been lifted, maybe cleared my mind and, I don’t know, I’m just going to say it was useful for me to have offloaded and shared</w:t>
      </w:r>
      <w:r w:rsidR="00C97282">
        <w:rPr>
          <w:rFonts w:ascii="Calibri" w:hAnsi="Calibri" w:cs="Calibri"/>
          <w:i/>
          <w:iCs/>
          <w:sz w:val="24"/>
          <w:szCs w:val="24"/>
        </w:rPr>
        <w:t xml:space="preserve"> [</w:t>
      </w:r>
      <w:r w:rsidRPr="009C5B0E">
        <w:rPr>
          <w:rFonts w:ascii="Calibri" w:hAnsi="Calibri" w:cs="Calibri"/>
          <w:i/>
          <w:iCs/>
          <w:sz w:val="24"/>
          <w:szCs w:val="24"/>
        </w:rPr>
        <w:t>…</w:t>
      </w:r>
      <w:r w:rsidR="008E34AC">
        <w:rPr>
          <w:rFonts w:ascii="Calibri" w:hAnsi="Calibri" w:cs="Calibri"/>
          <w:i/>
          <w:iCs/>
          <w:sz w:val="24"/>
          <w:szCs w:val="24"/>
        </w:rPr>
        <w:t xml:space="preserve">] </w:t>
      </w:r>
      <w:r w:rsidRPr="009C5B0E">
        <w:rPr>
          <w:rFonts w:ascii="Calibri" w:hAnsi="Calibri" w:cs="Calibri"/>
          <w:i/>
          <w:iCs/>
          <w:sz w:val="24"/>
          <w:szCs w:val="24"/>
        </w:rPr>
        <w:t>pausing, thinking, reflecting was a nice process (</w:t>
      </w:r>
      <w:r w:rsidR="00AB1ADC">
        <w:rPr>
          <w:rFonts w:ascii="Calibri" w:hAnsi="Calibri" w:cs="Calibri"/>
          <w:i/>
          <w:iCs/>
          <w:sz w:val="24"/>
          <w:szCs w:val="24"/>
        </w:rPr>
        <w:t>ibid.</w:t>
      </w:r>
      <w:r w:rsidRPr="009C5B0E">
        <w:rPr>
          <w:rFonts w:ascii="Calibri" w:hAnsi="Calibri" w:cs="Calibri"/>
          <w:i/>
          <w:iCs/>
          <w:sz w:val="24"/>
          <w:szCs w:val="24"/>
        </w:rPr>
        <w:t>). I think it’s really made me more aware of not only the support that I could have had but things that I could do to benefit myself (Laura, T2, p.2, par 12).</w:t>
      </w:r>
    </w:p>
    <w:p w14:paraId="4D94EA75" w14:textId="77777777"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Within days of meeting with you it made me sort of much more attuned to, much more aware of kind of how I need that support, how I seek it and sometimes where it’s missing. And I guess a greater awareness of the impact of that being missing (Sophie, T2, p.2, par 5).</w:t>
      </w:r>
    </w:p>
    <w:p w14:paraId="64F37008" w14:textId="616C1FE6" w:rsidR="001872B0" w:rsidRPr="00FA0479" w:rsidRDefault="001872B0" w:rsidP="006F1058">
      <w:pPr>
        <w:spacing w:line="360" w:lineRule="auto"/>
        <w:rPr>
          <w:rFonts w:ascii="Calibri" w:hAnsi="Calibri" w:cs="Calibri"/>
          <w:color w:val="FF0000"/>
          <w:sz w:val="24"/>
          <w:szCs w:val="24"/>
        </w:rPr>
      </w:pPr>
      <w:r>
        <w:rPr>
          <w:rFonts w:ascii="Calibri" w:hAnsi="Calibri" w:cs="Calibri"/>
          <w:sz w:val="24"/>
          <w:szCs w:val="24"/>
        </w:rPr>
        <w:lastRenderedPageBreak/>
        <w:t>Sophie went on to report remembering the mentoring she received during the C</w:t>
      </w:r>
      <w:r w:rsidR="00C6307A">
        <w:rPr>
          <w:rFonts w:ascii="Calibri" w:hAnsi="Calibri" w:cs="Calibri"/>
          <w:sz w:val="24"/>
          <w:szCs w:val="24"/>
        </w:rPr>
        <w:t>OVID</w:t>
      </w:r>
      <w:r>
        <w:rPr>
          <w:rFonts w:ascii="Calibri" w:hAnsi="Calibri" w:cs="Calibri"/>
          <w:sz w:val="24"/>
          <w:szCs w:val="24"/>
        </w:rPr>
        <w:t xml:space="preserve"> era, which gave her hope that awareness of the need for support is present in universities. She also recalled that support is available from her professional organisation which is a resource she can pass onto her students: </w:t>
      </w:r>
      <w:r w:rsidRPr="00C06A2B">
        <w:rPr>
          <w:rFonts w:ascii="Calibri" w:hAnsi="Calibri" w:cs="Calibri"/>
          <w:sz w:val="24"/>
          <w:szCs w:val="24"/>
        </w:rPr>
        <w:t>”</w:t>
      </w:r>
      <w:r w:rsidRPr="009C5B0E">
        <w:rPr>
          <w:rFonts w:ascii="Calibri" w:hAnsi="Calibri" w:cs="Calibri"/>
          <w:i/>
          <w:iCs/>
          <w:sz w:val="24"/>
          <w:szCs w:val="24"/>
        </w:rPr>
        <w:t>If it’s not that obvious. I can try and make it more obvious. I do have a sense of control and power over that, and I can kind of put it out there, but also that I can access it in a wider sense</w:t>
      </w:r>
      <w:r>
        <w:rPr>
          <w:rFonts w:ascii="Calibri" w:hAnsi="Calibri" w:cs="Calibri"/>
          <w:sz w:val="24"/>
          <w:szCs w:val="24"/>
        </w:rPr>
        <w:t>”</w:t>
      </w:r>
      <w:r w:rsidRPr="00D23880">
        <w:rPr>
          <w:rFonts w:ascii="Calibri" w:hAnsi="Calibri" w:cs="Calibri"/>
          <w:sz w:val="24"/>
          <w:szCs w:val="24"/>
        </w:rPr>
        <w:t xml:space="preserve"> </w:t>
      </w:r>
      <w:r>
        <w:rPr>
          <w:rFonts w:ascii="Calibri" w:hAnsi="Calibri" w:cs="Calibri"/>
          <w:sz w:val="24"/>
          <w:szCs w:val="24"/>
        </w:rPr>
        <w:t xml:space="preserve">(Sophie, T2, p.4, par 6). </w:t>
      </w:r>
    </w:p>
    <w:p w14:paraId="6A1DC177" w14:textId="7FBE9FB3" w:rsidR="001872B0" w:rsidRPr="00067EEE" w:rsidRDefault="001872B0" w:rsidP="005F3C94">
      <w:pPr>
        <w:spacing w:line="360" w:lineRule="auto"/>
        <w:rPr>
          <w:rFonts w:ascii="Calibri" w:hAnsi="Calibri" w:cs="Calibri"/>
          <w:b/>
          <w:bCs/>
          <w:color w:val="FF0000"/>
          <w:sz w:val="24"/>
          <w:szCs w:val="24"/>
        </w:rPr>
      </w:pPr>
      <w:bookmarkStart w:id="84" w:name="_Hlk200384051"/>
      <w:r>
        <w:rPr>
          <w:rFonts w:ascii="Calibri" w:hAnsi="Calibri" w:cs="Calibri"/>
          <w:sz w:val="24"/>
          <w:szCs w:val="24"/>
        </w:rPr>
        <w:t xml:space="preserve">The very principles, premises and conceptual framework on which this study is based were affirmed and borne out. </w:t>
      </w:r>
      <w:bookmarkEnd w:id="84"/>
      <w:r>
        <w:rPr>
          <w:rFonts w:ascii="Calibri" w:hAnsi="Calibri" w:cs="Calibri"/>
          <w:sz w:val="24"/>
          <w:szCs w:val="24"/>
        </w:rPr>
        <w:t xml:space="preserve">The combination of a narrative focus and the holding and storytelling nature of the researcher </w:t>
      </w:r>
      <w:r>
        <w:rPr>
          <w:rFonts w:ascii="Calibri" w:eastAsia="Calibri" w:hAnsi="Calibri" w:cs="Times New Roman"/>
          <w:sz w:val="24"/>
          <w:szCs w:val="24"/>
        </w:rPr>
        <w:t xml:space="preserve">enabled </w:t>
      </w:r>
      <w:r w:rsidRPr="00036FFB">
        <w:rPr>
          <w:rFonts w:ascii="Calibri" w:eastAsia="Calibri" w:hAnsi="Calibri" w:cs="Times New Roman"/>
          <w:sz w:val="24"/>
          <w:szCs w:val="24"/>
        </w:rPr>
        <w:t xml:space="preserve">the integrity of </w:t>
      </w:r>
      <w:r>
        <w:rPr>
          <w:rFonts w:ascii="Calibri" w:eastAsia="Calibri" w:hAnsi="Calibri" w:cs="Times New Roman"/>
          <w:sz w:val="24"/>
          <w:szCs w:val="24"/>
        </w:rPr>
        <w:t xml:space="preserve">the </w:t>
      </w:r>
      <w:r w:rsidRPr="00036FFB">
        <w:rPr>
          <w:rFonts w:ascii="Calibri" w:eastAsia="Calibri" w:hAnsi="Calibri" w:cs="Times New Roman"/>
          <w:sz w:val="24"/>
          <w:szCs w:val="24"/>
        </w:rPr>
        <w:t>participants</w:t>
      </w:r>
      <w:r>
        <w:rPr>
          <w:rFonts w:ascii="Calibri" w:eastAsia="Calibri" w:hAnsi="Calibri" w:cs="Times New Roman"/>
          <w:sz w:val="24"/>
          <w:szCs w:val="24"/>
        </w:rPr>
        <w:t>’</w:t>
      </w:r>
      <w:r w:rsidRPr="00036FFB">
        <w:rPr>
          <w:rFonts w:ascii="Calibri" w:eastAsia="Calibri" w:hAnsi="Calibri" w:cs="Times New Roman"/>
          <w:sz w:val="24"/>
          <w:szCs w:val="24"/>
        </w:rPr>
        <w:t xml:space="preserve"> lives (Anderson and Kirkpatrick, 201</w:t>
      </w:r>
      <w:r>
        <w:rPr>
          <w:rFonts w:ascii="Calibri" w:eastAsia="Calibri" w:hAnsi="Calibri" w:cs="Times New Roman"/>
          <w:sz w:val="24"/>
          <w:szCs w:val="24"/>
        </w:rPr>
        <w:t>6</w:t>
      </w:r>
      <w:r w:rsidRPr="00036FFB">
        <w:rPr>
          <w:rFonts w:ascii="Calibri" w:eastAsia="Calibri" w:hAnsi="Calibri" w:cs="Times New Roman"/>
          <w:sz w:val="24"/>
          <w:szCs w:val="24"/>
        </w:rPr>
        <w:t xml:space="preserve">) </w:t>
      </w:r>
      <w:r>
        <w:rPr>
          <w:rFonts w:ascii="Calibri" w:eastAsia="Calibri" w:hAnsi="Calibri" w:cs="Times New Roman"/>
          <w:sz w:val="24"/>
          <w:szCs w:val="24"/>
        </w:rPr>
        <w:t>to unfold</w:t>
      </w:r>
      <w:r w:rsidR="005E7EB3">
        <w:rPr>
          <w:rFonts w:ascii="Calibri" w:eastAsia="Calibri" w:hAnsi="Calibri" w:cs="Times New Roman"/>
          <w:sz w:val="24"/>
          <w:szCs w:val="24"/>
        </w:rPr>
        <w:t xml:space="preserve">, </w:t>
      </w:r>
      <w:r>
        <w:rPr>
          <w:rFonts w:ascii="Calibri" w:eastAsia="Calibri" w:hAnsi="Calibri" w:cs="Times New Roman"/>
          <w:sz w:val="24"/>
          <w:szCs w:val="24"/>
        </w:rPr>
        <w:t>and their personal and teacher identities. Not only were the participants able to make</w:t>
      </w:r>
      <w:r w:rsidRPr="00036FFB">
        <w:rPr>
          <w:rFonts w:ascii="Calibri" w:eastAsia="Calibri" w:hAnsi="Calibri" w:cs="Times New Roman"/>
          <w:sz w:val="24"/>
          <w:szCs w:val="24"/>
        </w:rPr>
        <w:t xml:space="preserve"> meaning (Polkinghorne, 1988) </w:t>
      </w:r>
      <w:r>
        <w:rPr>
          <w:rFonts w:ascii="Calibri" w:eastAsia="Calibri" w:hAnsi="Calibri" w:cs="Times New Roman"/>
          <w:sz w:val="24"/>
          <w:szCs w:val="24"/>
        </w:rPr>
        <w:t xml:space="preserve">from their stories, but the </w:t>
      </w:r>
      <w:r w:rsidRPr="00172FEA">
        <w:rPr>
          <w:rFonts w:ascii="Calibri" w:eastAsia="Calibri" w:hAnsi="Calibri" w:cs="Times New Roman"/>
          <w:i/>
          <w:iCs/>
          <w:sz w:val="24"/>
          <w:szCs w:val="24"/>
        </w:rPr>
        <w:t>caesura</w:t>
      </w:r>
      <w:r>
        <w:rPr>
          <w:rFonts w:ascii="Calibri" w:eastAsia="Calibri" w:hAnsi="Calibri" w:cs="Times New Roman"/>
          <w:sz w:val="24"/>
          <w:szCs w:val="24"/>
        </w:rPr>
        <w:t xml:space="preserve"> (Kagge, 2017), the restorative pauses offered between the two interviews enabled them to use their </w:t>
      </w:r>
      <w:r w:rsidRPr="00036FFB">
        <w:rPr>
          <w:rFonts w:ascii="Calibri" w:eastAsia="Calibri" w:hAnsi="Calibri" w:cs="Times New Roman"/>
          <w:sz w:val="24"/>
          <w:szCs w:val="24"/>
        </w:rPr>
        <w:t xml:space="preserve">stories </w:t>
      </w:r>
      <w:r>
        <w:rPr>
          <w:rFonts w:ascii="Calibri" w:eastAsia="Calibri" w:hAnsi="Calibri" w:cs="Times New Roman"/>
          <w:sz w:val="24"/>
          <w:szCs w:val="24"/>
        </w:rPr>
        <w:t xml:space="preserve">as </w:t>
      </w:r>
      <w:r w:rsidRPr="00036FFB">
        <w:rPr>
          <w:rFonts w:ascii="Calibri" w:eastAsia="Calibri" w:hAnsi="Calibri" w:cs="Times New Roman"/>
          <w:sz w:val="24"/>
          <w:szCs w:val="24"/>
        </w:rPr>
        <w:t xml:space="preserve">a useful tool for reflection (Mattingly, 1991). </w:t>
      </w:r>
      <w:r>
        <w:rPr>
          <w:rFonts w:ascii="Calibri" w:hAnsi="Calibri" w:cs="Calibri"/>
          <w:sz w:val="24"/>
          <w:szCs w:val="24"/>
        </w:rPr>
        <w:t xml:space="preserve">Telling their stories and having their stories held resulted in participants gaining perspective, and new perspectives. It allowed some participants to offload and share and be attuned to how to improve their support systems. The findings are not only in alignment with the depth pedagogy approach adopted in this </w:t>
      </w:r>
      <w:r w:rsidR="00BC046C">
        <w:rPr>
          <w:rFonts w:ascii="Calibri" w:hAnsi="Calibri" w:cs="Calibri"/>
          <w:sz w:val="24"/>
          <w:szCs w:val="24"/>
        </w:rPr>
        <w:t>study but</w:t>
      </w:r>
      <w:r>
        <w:rPr>
          <w:rFonts w:ascii="Calibri" w:hAnsi="Calibri" w:cs="Calibri"/>
          <w:sz w:val="24"/>
          <w:szCs w:val="24"/>
        </w:rPr>
        <w:t xml:space="preserve"> add value to thinking about the implementation of narrative, biographical and depth pedagogical methods and frameworks.</w:t>
      </w:r>
    </w:p>
    <w:p w14:paraId="1293D4EA" w14:textId="77777777" w:rsidR="001872B0" w:rsidRPr="00EA4335" w:rsidRDefault="001872B0" w:rsidP="00C12587">
      <w:pPr>
        <w:spacing w:line="360" w:lineRule="auto"/>
        <w:rPr>
          <w:rFonts w:ascii="Calibri" w:hAnsi="Calibri" w:cs="Calibri"/>
          <w:sz w:val="24"/>
          <w:szCs w:val="24"/>
        </w:rPr>
      </w:pPr>
      <w:r w:rsidRPr="00EA4335">
        <w:rPr>
          <w:rFonts w:ascii="Calibri" w:hAnsi="Calibri" w:cs="Calibri"/>
          <w:sz w:val="24"/>
          <w:szCs w:val="24"/>
        </w:rPr>
        <w:t xml:space="preserve">For </w:t>
      </w:r>
      <w:r>
        <w:rPr>
          <w:rFonts w:ascii="Calibri" w:hAnsi="Calibri" w:cs="Calibri"/>
          <w:sz w:val="24"/>
          <w:szCs w:val="24"/>
        </w:rPr>
        <w:t xml:space="preserve">Fred and Dana, </w:t>
      </w:r>
      <w:r w:rsidRPr="00EA4335">
        <w:rPr>
          <w:rFonts w:ascii="Calibri" w:hAnsi="Calibri" w:cs="Calibri"/>
          <w:sz w:val="24"/>
          <w:szCs w:val="24"/>
        </w:rPr>
        <w:t>the interview process had little impact on their approach to teaching. O</w:t>
      </w:r>
      <w:r>
        <w:rPr>
          <w:rFonts w:ascii="Calibri" w:hAnsi="Calibri" w:cs="Calibri"/>
          <w:sz w:val="24"/>
          <w:szCs w:val="24"/>
        </w:rPr>
        <w:t>nly o</w:t>
      </w:r>
      <w:r w:rsidRPr="00EA4335">
        <w:rPr>
          <w:rFonts w:ascii="Calibri" w:hAnsi="Calibri" w:cs="Calibri"/>
          <w:sz w:val="24"/>
          <w:szCs w:val="24"/>
        </w:rPr>
        <w:t xml:space="preserve">ne participant, Dana, felt triggered when historical memories and emotions were awoken: </w:t>
      </w:r>
    </w:p>
    <w:p w14:paraId="4C5BD0F3" w14:textId="7715D7B9" w:rsidR="001872B0" w:rsidRPr="009C5B0E" w:rsidRDefault="001872B0" w:rsidP="009C5B0E">
      <w:pPr>
        <w:ind w:left="720"/>
        <w:rPr>
          <w:rFonts w:ascii="Calibri" w:hAnsi="Calibri" w:cs="Calibri"/>
          <w:i/>
          <w:iCs/>
          <w:sz w:val="24"/>
          <w:szCs w:val="24"/>
        </w:rPr>
      </w:pPr>
      <w:r w:rsidRPr="009C5B0E">
        <w:rPr>
          <w:rFonts w:ascii="Calibri" w:hAnsi="Calibri" w:cs="Calibri"/>
          <w:i/>
          <w:iCs/>
          <w:sz w:val="24"/>
          <w:szCs w:val="24"/>
        </w:rPr>
        <w:t>The interview didn’t impact me significantly on the emotional level, engaging mostly on an intellectual level</w:t>
      </w:r>
      <w:r w:rsidR="00D81081">
        <w:rPr>
          <w:rFonts w:ascii="Calibri" w:hAnsi="Calibri" w:cs="Calibri"/>
          <w:i/>
          <w:iCs/>
          <w:sz w:val="24"/>
          <w:szCs w:val="24"/>
        </w:rPr>
        <w:t xml:space="preserve"> [</w:t>
      </w:r>
      <w:r w:rsidRPr="009C5B0E">
        <w:rPr>
          <w:rFonts w:ascii="Calibri" w:hAnsi="Calibri" w:cs="Calibri"/>
          <w:i/>
          <w:iCs/>
          <w:sz w:val="24"/>
          <w:szCs w:val="24"/>
        </w:rPr>
        <w:t>...</w:t>
      </w:r>
      <w:r w:rsidR="00D81081">
        <w:rPr>
          <w:rFonts w:ascii="Calibri" w:hAnsi="Calibri" w:cs="Calibri"/>
          <w:i/>
          <w:iCs/>
          <w:sz w:val="24"/>
          <w:szCs w:val="24"/>
        </w:rPr>
        <w:t>]</w:t>
      </w:r>
      <w:r w:rsidRPr="009C5B0E">
        <w:rPr>
          <w:rFonts w:ascii="Calibri" w:hAnsi="Calibri" w:cs="Calibri"/>
          <w:i/>
          <w:iCs/>
          <w:sz w:val="24"/>
          <w:szCs w:val="24"/>
        </w:rPr>
        <w:t xml:space="preserve"> Yeah, I reflected on this, I talked about this, I looked up a few things, but I haven’t changed my approach yet (Fred, T2, pp. 6-7, par</w:t>
      </w:r>
      <w:r w:rsidR="00C7275E">
        <w:rPr>
          <w:rFonts w:ascii="Calibri" w:hAnsi="Calibri" w:cs="Calibri"/>
          <w:i/>
          <w:iCs/>
          <w:sz w:val="24"/>
          <w:szCs w:val="24"/>
        </w:rPr>
        <w:t xml:space="preserve"> </w:t>
      </w:r>
      <w:r w:rsidRPr="009C5B0E">
        <w:rPr>
          <w:rFonts w:ascii="Calibri" w:hAnsi="Calibri" w:cs="Calibri"/>
          <w:i/>
          <w:iCs/>
          <w:sz w:val="24"/>
          <w:szCs w:val="24"/>
        </w:rPr>
        <w:t xml:space="preserve">13). </w:t>
      </w:r>
    </w:p>
    <w:p w14:paraId="796BE01A" w14:textId="07F4374A" w:rsidR="001872B0" w:rsidRPr="009C5B0E" w:rsidRDefault="001872B0" w:rsidP="009D7E2E">
      <w:pPr>
        <w:ind w:left="720" w:firstLine="60"/>
        <w:rPr>
          <w:rFonts w:ascii="Calibri" w:hAnsi="Calibri" w:cs="Calibri"/>
          <w:i/>
          <w:iCs/>
          <w:sz w:val="24"/>
          <w:szCs w:val="24"/>
        </w:rPr>
      </w:pPr>
      <w:r w:rsidRPr="009C5B0E">
        <w:rPr>
          <w:rFonts w:ascii="Calibri" w:hAnsi="Calibri" w:cs="Calibri"/>
          <w:i/>
          <w:iCs/>
          <w:sz w:val="24"/>
          <w:szCs w:val="24"/>
        </w:rPr>
        <w:t>It didn’t impact my teaching that much, but especially looking into the holding has brought up memories and unresolved emotions, but simply because of my family situation, and upon seeing the model, which is part of the interview process (Dana, T2, p.3, par 7).</w:t>
      </w:r>
    </w:p>
    <w:p w14:paraId="3A813FE1" w14:textId="429C60B1" w:rsidR="001872B0" w:rsidRDefault="001872B0" w:rsidP="00C12587">
      <w:pPr>
        <w:spacing w:line="360" w:lineRule="auto"/>
        <w:rPr>
          <w:rFonts w:ascii="Calibri" w:hAnsi="Calibri" w:cs="Calibri"/>
          <w:color w:val="FF0000"/>
          <w:sz w:val="24"/>
          <w:szCs w:val="24"/>
        </w:rPr>
      </w:pPr>
      <w:r>
        <w:rPr>
          <w:rFonts w:ascii="Calibri" w:hAnsi="Calibri" w:cs="Calibri"/>
          <w:sz w:val="24"/>
          <w:szCs w:val="24"/>
        </w:rPr>
        <w:t>For Fred</w:t>
      </w:r>
      <w:r w:rsidR="00450F0E">
        <w:rPr>
          <w:rFonts w:ascii="Calibri" w:hAnsi="Calibri" w:cs="Calibri"/>
          <w:sz w:val="24"/>
          <w:szCs w:val="24"/>
        </w:rPr>
        <w:t>,</w:t>
      </w:r>
      <w:r>
        <w:rPr>
          <w:rFonts w:ascii="Calibri" w:hAnsi="Calibri" w:cs="Calibri"/>
          <w:sz w:val="24"/>
          <w:szCs w:val="24"/>
        </w:rPr>
        <w:t xml:space="preserve"> taking part in the interviews did not impact him emotionally but prompted him to engage in further research. Given that he experienced an expansive, reflective and relational teacher training in his country of origin, his comments are not a surprise; he already embodies an inclusive, and reflective approach in his work. For Dana some personal stories </w:t>
      </w:r>
      <w:r>
        <w:rPr>
          <w:rFonts w:ascii="Calibri" w:hAnsi="Calibri" w:cs="Calibri"/>
          <w:sz w:val="24"/>
          <w:szCs w:val="24"/>
        </w:rPr>
        <w:lastRenderedPageBreak/>
        <w:t xml:space="preserve">from her past were brought to the fore and, as with all of the participants, I signposted her to support available (Appendix </w:t>
      </w:r>
      <w:r w:rsidR="00643576">
        <w:rPr>
          <w:rFonts w:ascii="Calibri" w:hAnsi="Calibri" w:cs="Calibri"/>
          <w:sz w:val="24"/>
          <w:szCs w:val="24"/>
        </w:rPr>
        <w:t>I</w:t>
      </w:r>
      <w:r>
        <w:rPr>
          <w:rFonts w:ascii="Calibri" w:hAnsi="Calibri" w:cs="Calibri"/>
          <w:sz w:val="24"/>
          <w:szCs w:val="24"/>
        </w:rPr>
        <w:t>). Reflection on biography, history, feelings and practice mirrors reflective practice methodology in that the interview itself is a deep scrutiny of practice</w:t>
      </w:r>
      <w:r w:rsidRPr="005A5195">
        <w:rPr>
          <w:rFonts w:ascii="Calibri" w:eastAsia="Calibri" w:hAnsi="Calibri" w:cs="Times New Roman"/>
          <w:sz w:val="24"/>
          <w:szCs w:val="24"/>
        </w:rPr>
        <w:t xml:space="preserve"> </w:t>
      </w:r>
      <w:r>
        <w:rPr>
          <w:rFonts w:ascii="Calibri" w:eastAsia="Calibri" w:hAnsi="Calibri" w:cs="Times New Roman"/>
          <w:sz w:val="24"/>
          <w:szCs w:val="24"/>
        </w:rPr>
        <w:t>(</w:t>
      </w:r>
      <w:r w:rsidRPr="005A5195">
        <w:rPr>
          <w:rFonts w:ascii="Calibri" w:eastAsia="Calibri" w:hAnsi="Calibri" w:cs="Times New Roman"/>
          <w:sz w:val="24"/>
          <w:szCs w:val="24"/>
        </w:rPr>
        <w:t>Fook, 2006)</w:t>
      </w:r>
      <w:r>
        <w:rPr>
          <w:rFonts w:ascii="Calibri" w:eastAsia="Calibri" w:hAnsi="Calibri" w:cs="Times New Roman"/>
          <w:sz w:val="24"/>
          <w:szCs w:val="24"/>
        </w:rPr>
        <w:t>, and of the personal and professional life</w:t>
      </w:r>
      <w:r w:rsidRPr="005A5195">
        <w:rPr>
          <w:rFonts w:ascii="Calibri" w:eastAsia="Calibri" w:hAnsi="Calibri" w:cs="Times New Roman"/>
          <w:sz w:val="24"/>
          <w:szCs w:val="24"/>
        </w:rPr>
        <w:t>.</w:t>
      </w:r>
      <w:r>
        <w:rPr>
          <w:rFonts w:ascii="Calibri" w:eastAsia="Calibri" w:hAnsi="Calibri" w:cs="Times New Roman"/>
          <w:sz w:val="24"/>
          <w:szCs w:val="24"/>
        </w:rPr>
        <w:t xml:space="preserve"> The process</w:t>
      </w:r>
      <w:r>
        <w:rPr>
          <w:rFonts w:ascii="Calibri" w:hAnsi="Calibri" w:cs="Calibri"/>
          <w:sz w:val="24"/>
          <w:szCs w:val="24"/>
        </w:rPr>
        <w:t xml:space="preserve"> can evoke feelings of </w:t>
      </w:r>
      <w:r w:rsidRPr="008A07B4">
        <w:rPr>
          <w:rFonts w:ascii="Calibri" w:eastAsia="Calibri" w:hAnsi="Calibri" w:cs="Times New Roman"/>
          <w:sz w:val="24"/>
          <w:szCs w:val="24"/>
        </w:rPr>
        <w:t>vulnerability and</w:t>
      </w:r>
      <w:r>
        <w:rPr>
          <w:rFonts w:ascii="Calibri" w:eastAsia="Calibri" w:hAnsi="Calibri" w:cs="Times New Roman"/>
          <w:sz w:val="24"/>
          <w:szCs w:val="24"/>
        </w:rPr>
        <w:t xml:space="preserve"> is a stark reminder that the researcher must practice fidelity to </w:t>
      </w:r>
      <w:r w:rsidRPr="008A07B4">
        <w:rPr>
          <w:rFonts w:ascii="Calibri" w:eastAsia="Calibri" w:hAnsi="Calibri" w:cs="Times New Roman"/>
          <w:sz w:val="24"/>
          <w:szCs w:val="24"/>
        </w:rPr>
        <w:t>communicative virtues (Burbules and Rice, 1991</w:t>
      </w:r>
      <w:r>
        <w:rPr>
          <w:rFonts w:ascii="Calibri" w:eastAsia="Calibri" w:hAnsi="Calibri" w:cs="Times New Roman"/>
          <w:sz w:val="24"/>
          <w:szCs w:val="24"/>
        </w:rPr>
        <w:t>) not only of self-awareness, and a willingness to listen (Brookfield, 1995) but to safeguard the participants (GRIP, 2022).</w:t>
      </w:r>
    </w:p>
    <w:p w14:paraId="0B7C6D17" w14:textId="77777777" w:rsidR="001872B0" w:rsidRPr="00E33476" w:rsidRDefault="001872B0" w:rsidP="0023487A">
      <w:pPr>
        <w:rPr>
          <w:rFonts w:ascii="Calibri" w:hAnsi="Calibri" w:cs="Calibri"/>
          <w:b/>
          <w:bCs/>
          <w:color w:val="EE0000"/>
          <w:sz w:val="24"/>
          <w:szCs w:val="24"/>
        </w:rPr>
      </w:pPr>
      <w:r>
        <w:rPr>
          <w:rFonts w:ascii="Calibri" w:hAnsi="Calibri" w:cs="Calibri"/>
          <w:b/>
          <w:bCs/>
          <w:sz w:val="24"/>
          <w:szCs w:val="24"/>
        </w:rPr>
        <w:t>Gathering the threads</w:t>
      </w:r>
    </w:p>
    <w:p w14:paraId="3F71B05F" w14:textId="7BBCE7B2" w:rsidR="001872B0" w:rsidRDefault="001872B0" w:rsidP="009B458D">
      <w:pPr>
        <w:spacing w:line="360" w:lineRule="auto"/>
        <w:rPr>
          <w:rFonts w:ascii="Calibri" w:hAnsi="Calibri" w:cs="Calibri"/>
          <w:sz w:val="24"/>
          <w:szCs w:val="24"/>
        </w:rPr>
      </w:pPr>
      <w:r>
        <w:rPr>
          <w:rFonts w:ascii="Calibri" w:hAnsi="Calibri" w:cs="Calibri"/>
          <w:sz w:val="24"/>
          <w:szCs w:val="24"/>
        </w:rPr>
        <w:t>Most of the participants affirmed that the second interview served the purpose of realising, remembering, affirming,</w:t>
      </w:r>
      <w:r w:rsidR="00625955">
        <w:rPr>
          <w:rFonts w:ascii="Calibri" w:hAnsi="Calibri" w:cs="Calibri"/>
          <w:sz w:val="24"/>
          <w:szCs w:val="24"/>
        </w:rPr>
        <w:t xml:space="preserve"> evaluating and</w:t>
      </w:r>
      <w:r>
        <w:rPr>
          <w:rFonts w:ascii="Calibri" w:hAnsi="Calibri" w:cs="Calibri"/>
          <w:sz w:val="24"/>
          <w:szCs w:val="24"/>
        </w:rPr>
        <w:t xml:space="preserve"> reevaluating their past and present journeys, and igniting new ideas for the future. All the participants embodied qualities of the classic hero who brings his/her learning back to the community to benefit that community, in the case of this study, their community of practice and the community of students. </w:t>
      </w:r>
      <w:r w:rsidRPr="00297C85">
        <w:rPr>
          <w:rFonts w:ascii="Calibri" w:hAnsi="Calibri" w:cs="Calibri"/>
          <w:sz w:val="24"/>
          <w:szCs w:val="24"/>
        </w:rPr>
        <w:t xml:space="preserve">Although </w:t>
      </w:r>
      <w:r>
        <w:rPr>
          <w:rFonts w:ascii="Calibri" w:hAnsi="Calibri" w:cs="Calibri"/>
          <w:sz w:val="24"/>
          <w:szCs w:val="24"/>
        </w:rPr>
        <w:t xml:space="preserve">for most participants </w:t>
      </w:r>
      <w:r w:rsidRPr="00297C85">
        <w:rPr>
          <w:rFonts w:ascii="Calibri" w:hAnsi="Calibri" w:cs="Calibri"/>
          <w:sz w:val="24"/>
          <w:szCs w:val="24"/>
        </w:rPr>
        <w:t xml:space="preserve">the Winnicottian holding model (Appendix </w:t>
      </w:r>
      <w:r w:rsidR="002D069E">
        <w:rPr>
          <w:rFonts w:ascii="Calibri" w:hAnsi="Calibri" w:cs="Calibri"/>
          <w:sz w:val="24"/>
          <w:szCs w:val="24"/>
        </w:rPr>
        <w:t>H</w:t>
      </w:r>
      <w:r w:rsidRPr="00297C85">
        <w:rPr>
          <w:rFonts w:ascii="Calibri" w:hAnsi="Calibri" w:cs="Calibri"/>
          <w:sz w:val="24"/>
          <w:szCs w:val="24"/>
        </w:rPr>
        <w:t xml:space="preserve">) was helpful in thinking about reflection, support and protection as themes and concepts, </w:t>
      </w:r>
      <w:r>
        <w:rPr>
          <w:rFonts w:ascii="Calibri" w:hAnsi="Calibri" w:cs="Calibri"/>
          <w:sz w:val="24"/>
          <w:szCs w:val="24"/>
        </w:rPr>
        <w:t>two participants felt the model required modification to increase local relevance</w:t>
      </w:r>
      <w:r w:rsidRPr="00297C85">
        <w:rPr>
          <w:rFonts w:ascii="Calibri" w:hAnsi="Calibri" w:cs="Calibri"/>
          <w:sz w:val="24"/>
          <w:szCs w:val="24"/>
        </w:rPr>
        <w:t>.</w:t>
      </w:r>
      <w:r>
        <w:rPr>
          <w:rFonts w:ascii="Calibri" w:hAnsi="Calibri" w:cs="Calibri"/>
          <w:sz w:val="24"/>
          <w:szCs w:val="24"/>
        </w:rPr>
        <w:t xml:space="preserve"> Participants affirmed that they felt held during the interview process highlighting the importance of their being sensitively supported to let their journeys unfold. </w:t>
      </w:r>
    </w:p>
    <w:p w14:paraId="0787FC04" w14:textId="4D663535" w:rsidR="001872B0" w:rsidRPr="00D20C5E" w:rsidRDefault="001872B0" w:rsidP="009B458D">
      <w:pPr>
        <w:spacing w:line="360" w:lineRule="auto"/>
        <w:rPr>
          <w:rFonts w:ascii="Calibri" w:hAnsi="Calibri" w:cs="Calibri"/>
          <w:sz w:val="24"/>
          <w:szCs w:val="24"/>
        </w:rPr>
      </w:pPr>
      <w:r>
        <w:rPr>
          <w:rFonts w:ascii="Calibri" w:hAnsi="Calibri" w:cs="Calibri"/>
          <w:sz w:val="24"/>
          <w:szCs w:val="24"/>
        </w:rPr>
        <w:t>Some p</w:t>
      </w:r>
      <w:r w:rsidRPr="00D20C5E">
        <w:rPr>
          <w:rFonts w:ascii="Calibri" w:hAnsi="Calibri" w:cs="Calibri"/>
          <w:sz w:val="24"/>
          <w:szCs w:val="24"/>
        </w:rPr>
        <w:t xml:space="preserve">articipants acknowledged there was a lack of emotional resilience in their students and that students were presenting with mental health concerns that required enhanced pastoral and soft skills. Participants confirmed that teachers are required to create a safe environment emotionally for their students to enhance the university experience and create conditions for the integration of learning.  All the participants </w:t>
      </w:r>
      <w:r w:rsidR="00270DD3">
        <w:rPr>
          <w:rFonts w:ascii="Calibri" w:hAnsi="Calibri" w:cs="Calibri"/>
          <w:sz w:val="24"/>
          <w:szCs w:val="24"/>
        </w:rPr>
        <w:t>stated</w:t>
      </w:r>
      <w:r w:rsidRPr="00D20C5E">
        <w:rPr>
          <w:rFonts w:ascii="Calibri" w:hAnsi="Calibri" w:cs="Calibri"/>
          <w:sz w:val="24"/>
          <w:szCs w:val="24"/>
        </w:rPr>
        <w:t xml:space="preserve"> emphatically that emotions feature in their teaching work, and as aptly described by Fred, emotions feature in teaching “</w:t>
      </w:r>
      <w:r w:rsidRPr="009C5B0E">
        <w:rPr>
          <w:rFonts w:ascii="Calibri" w:hAnsi="Calibri" w:cs="Calibri"/>
          <w:i/>
          <w:iCs/>
          <w:sz w:val="24"/>
          <w:szCs w:val="24"/>
        </w:rPr>
        <w:t>otherwise I am just an audiobook</w:t>
      </w:r>
      <w:r>
        <w:rPr>
          <w:rFonts w:ascii="Calibri" w:hAnsi="Calibri" w:cs="Calibri"/>
          <w:sz w:val="24"/>
          <w:szCs w:val="24"/>
        </w:rPr>
        <w:t>” (</w:t>
      </w:r>
      <w:r w:rsidR="004F1E7E">
        <w:rPr>
          <w:rFonts w:ascii="Calibri" w:hAnsi="Calibri" w:cs="Calibri"/>
          <w:sz w:val="24"/>
          <w:szCs w:val="24"/>
        </w:rPr>
        <w:t xml:space="preserve">Fred, </w:t>
      </w:r>
      <w:r>
        <w:rPr>
          <w:rFonts w:ascii="Calibri" w:hAnsi="Calibri" w:cs="Calibri"/>
          <w:sz w:val="24"/>
          <w:szCs w:val="24"/>
        </w:rPr>
        <w:t xml:space="preserve">T1, p.14, par 15). </w:t>
      </w:r>
      <w:r w:rsidRPr="00D20C5E">
        <w:rPr>
          <w:rFonts w:ascii="Calibri" w:hAnsi="Calibri" w:cs="Calibri"/>
          <w:sz w:val="24"/>
          <w:szCs w:val="24"/>
        </w:rPr>
        <w:t xml:space="preserve"> </w:t>
      </w:r>
      <w:r>
        <w:rPr>
          <w:rFonts w:ascii="Calibri" w:hAnsi="Calibri" w:cs="Calibri"/>
          <w:sz w:val="24"/>
          <w:szCs w:val="24"/>
        </w:rPr>
        <w:t xml:space="preserve">The modelling of emotions </w:t>
      </w:r>
      <w:r w:rsidRPr="00D20C5E">
        <w:rPr>
          <w:rFonts w:ascii="Calibri" w:hAnsi="Calibri" w:cs="Calibri"/>
          <w:sz w:val="24"/>
          <w:szCs w:val="24"/>
        </w:rPr>
        <w:t xml:space="preserve">was largely demonstrated through the sharing of their lived experiences thus preparing students for impending lived experiences in their work. </w:t>
      </w:r>
    </w:p>
    <w:p w14:paraId="06DBCE38" w14:textId="74028036" w:rsidR="001872B0" w:rsidRPr="00045D0F" w:rsidRDefault="001872B0" w:rsidP="009B458D">
      <w:pPr>
        <w:spacing w:line="360" w:lineRule="auto"/>
        <w:rPr>
          <w:rFonts w:ascii="Calibri" w:hAnsi="Calibri" w:cs="Calibri"/>
          <w:sz w:val="24"/>
          <w:szCs w:val="24"/>
        </w:rPr>
      </w:pPr>
      <w:r>
        <w:rPr>
          <w:rFonts w:ascii="Calibri" w:hAnsi="Calibri" w:cs="Calibri"/>
          <w:sz w:val="24"/>
          <w:szCs w:val="24"/>
        </w:rPr>
        <w:t xml:space="preserve">The findings make salient the importance of an inclusive approach in teaching practices, and how by processing their journey stories participants have felt determined to ensure their students have a supportive learning environment, and a supportive teacher. Participants </w:t>
      </w:r>
      <w:r>
        <w:rPr>
          <w:rFonts w:ascii="Calibri" w:hAnsi="Calibri" w:cs="Calibri"/>
          <w:sz w:val="24"/>
          <w:szCs w:val="24"/>
        </w:rPr>
        <w:lastRenderedPageBreak/>
        <w:t xml:space="preserve">throughout both interviews repeatedly demonstrated that, as things stand, there is a deficit in soft skills in their learning experiences. They felt it was important to model </w:t>
      </w:r>
      <w:r w:rsidRPr="003B4951">
        <w:rPr>
          <w:rFonts w:ascii="Calibri" w:hAnsi="Calibri" w:cs="Calibri"/>
          <w:sz w:val="24"/>
          <w:szCs w:val="24"/>
        </w:rPr>
        <w:t xml:space="preserve">key </w:t>
      </w:r>
      <w:r>
        <w:rPr>
          <w:rFonts w:ascii="Calibri" w:hAnsi="Calibri" w:cs="Calibri"/>
          <w:sz w:val="24"/>
          <w:szCs w:val="24"/>
        </w:rPr>
        <w:t xml:space="preserve">career readiness competencies for their students such as </w:t>
      </w:r>
      <w:r w:rsidRPr="003B4951">
        <w:rPr>
          <w:rFonts w:ascii="Calibri" w:hAnsi="Calibri" w:cs="Calibri"/>
          <w:sz w:val="24"/>
          <w:szCs w:val="24"/>
        </w:rPr>
        <w:t>self-development, communication, equity and inclusion</w:t>
      </w:r>
      <w:r>
        <w:rPr>
          <w:rFonts w:ascii="Calibri" w:hAnsi="Calibri" w:cs="Calibri"/>
          <w:sz w:val="24"/>
          <w:szCs w:val="24"/>
        </w:rPr>
        <w:t xml:space="preserve"> (NACE, 2022). These are skills the participants demonstrate through their teaching approaches</w:t>
      </w:r>
      <w:r w:rsidRPr="003B4951">
        <w:rPr>
          <w:rFonts w:ascii="Calibri" w:hAnsi="Calibri" w:cs="Calibri"/>
          <w:sz w:val="24"/>
          <w:szCs w:val="24"/>
        </w:rPr>
        <w:t xml:space="preserve">, </w:t>
      </w:r>
      <w:r>
        <w:rPr>
          <w:rFonts w:ascii="Calibri" w:hAnsi="Calibri" w:cs="Calibri"/>
          <w:sz w:val="24"/>
          <w:szCs w:val="24"/>
        </w:rPr>
        <w:t xml:space="preserve">and which they embody in </w:t>
      </w:r>
      <w:r w:rsidRPr="009D625F">
        <w:rPr>
          <w:rFonts w:ascii="Calibri" w:hAnsi="Calibri" w:cs="Calibri"/>
          <w:i/>
          <w:iCs/>
          <w:sz w:val="24"/>
          <w:szCs w:val="24"/>
        </w:rPr>
        <w:t>their</w:t>
      </w:r>
      <w:r>
        <w:rPr>
          <w:rFonts w:ascii="Calibri" w:hAnsi="Calibri" w:cs="Calibri"/>
          <w:sz w:val="24"/>
          <w:szCs w:val="24"/>
        </w:rPr>
        <w:t xml:space="preserve"> </w:t>
      </w:r>
      <w:r w:rsidRPr="003B4951">
        <w:rPr>
          <w:rFonts w:ascii="Calibri" w:hAnsi="Calibri" w:cs="Calibri"/>
          <w:sz w:val="24"/>
          <w:szCs w:val="24"/>
        </w:rPr>
        <w:t xml:space="preserve">leadership, professionalism, </w:t>
      </w:r>
      <w:r>
        <w:rPr>
          <w:rFonts w:ascii="Calibri" w:hAnsi="Calibri" w:cs="Calibri"/>
          <w:sz w:val="24"/>
          <w:szCs w:val="24"/>
        </w:rPr>
        <w:t xml:space="preserve">and </w:t>
      </w:r>
      <w:r w:rsidRPr="003B4951">
        <w:rPr>
          <w:rFonts w:ascii="Calibri" w:hAnsi="Calibri" w:cs="Calibri"/>
          <w:sz w:val="24"/>
          <w:szCs w:val="24"/>
        </w:rPr>
        <w:t>teamwork</w:t>
      </w:r>
      <w:r>
        <w:rPr>
          <w:rFonts w:ascii="Calibri" w:hAnsi="Calibri" w:cs="Calibri"/>
          <w:sz w:val="24"/>
          <w:szCs w:val="24"/>
        </w:rPr>
        <w:t xml:space="preserve"> skills (</w:t>
      </w:r>
      <w:r w:rsidR="00D941F3">
        <w:rPr>
          <w:rFonts w:ascii="Calibri" w:hAnsi="Calibri" w:cs="Calibri"/>
          <w:sz w:val="24"/>
          <w:szCs w:val="24"/>
        </w:rPr>
        <w:t>ibid.</w:t>
      </w:r>
      <w:r>
        <w:rPr>
          <w:rFonts w:ascii="Calibri" w:hAnsi="Calibri" w:cs="Calibri"/>
          <w:sz w:val="24"/>
          <w:szCs w:val="24"/>
        </w:rPr>
        <w:t>)</w:t>
      </w:r>
      <w:r w:rsidRPr="003B4951">
        <w:rPr>
          <w:rFonts w:ascii="Calibri" w:hAnsi="Calibri" w:cs="Calibri"/>
          <w:sz w:val="24"/>
          <w:szCs w:val="24"/>
        </w:rPr>
        <w:t>.</w:t>
      </w:r>
      <w:r>
        <w:rPr>
          <w:rFonts w:ascii="Calibri" w:hAnsi="Calibri" w:cs="Calibri"/>
          <w:sz w:val="24"/>
          <w:szCs w:val="24"/>
        </w:rPr>
        <w:t xml:space="preserve"> These skills were either imparted to the participants by strong teachers, mentors and supervisors in their core teacher training, or, when this skill set was not learnt, the participants became self-directed learners and filled the perceived deficit elsewhere.</w:t>
      </w:r>
      <w:r w:rsidRPr="00275C38">
        <w:rPr>
          <w:rFonts w:ascii="Calibri" w:hAnsi="Calibri" w:cs="Calibri"/>
          <w:sz w:val="24"/>
          <w:szCs w:val="24"/>
        </w:rPr>
        <w:t xml:space="preserve"> It was also affirmed that gaps in soft skills can have long lasting consequences.</w:t>
      </w:r>
      <w:r>
        <w:rPr>
          <w:rFonts w:ascii="Calibri" w:hAnsi="Calibri" w:cs="Calibri"/>
          <w:sz w:val="24"/>
          <w:szCs w:val="24"/>
        </w:rPr>
        <w:t xml:space="preserve"> </w:t>
      </w:r>
      <w:r w:rsidRPr="00045D0F">
        <w:rPr>
          <w:rFonts w:ascii="Calibri" w:hAnsi="Calibri" w:cs="Calibri"/>
          <w:sz w:val="24"/>
          <w:szCs w:val="24"/>
        </w:rPr>
        <w:t>The findings demonstrate the importance of holding and being held</w:t>
      </w:r>
      <w:r w:rsidR="00BD42D7">
        <w:rPr>
          <w:rFonts w:ascii="Calibri" w:hAnsi="Calibri" w:cs="Calibri"/>
          <w:sz w:val="24"/>
          <w:szCs w:val="24"/>
        </w:rPr>
        <w:t xml:space="preserve"> (Winnicott, 1965)</w:t>
      </w:r>
      <w:r w:rsidRPr="00045D0F">
        <w:rPr>
          <w:rFonts w:ascii="Calibri" w:hAnsi="Calibri" w:cs="Calibri"/>
          <w:sz w:val="24"/>
          <w:szCs w:val="24"/>
        </w:rPr>
        <w:t xml:space="preserve">, listening and being heard, understanding and being understood from the outset of a learning experience. </w:t>
      </w:r>
    </w:p>
    <w:p w14:paraId="3982E6A1" w14:textId="77777777" w:rsidR="001872B0" w:rsidRPr="0024044D" w:rsidRDefault="001872B0" w:rsidP="0024044D">
      <w:pPr>
        <w:ind w:firstLine="720"/>
        <w:rPr>
          <w:rFonts w:ascii="Calibri" w:hAnsi="Calibri" w:cs="Calibri"/>
          <w:b/>
          <w:bCs/>
          <w:i/>
          <w:iCs/>
          <w:sz w:val="24"/>
          <w:szCs w:val="24"/>
        </w:rPr>
      </w:pPr>
      <w:r w:rsidRPr="0024044D">
        <w:rPr>
          <w:rFonts w:ascii="Calibri" w:hAnsi="Calibri" w:cs="Calibri"/>
          <w:b/>
          <w:bCs/>
          <w:i/>
          <w:iCs/>
          <w:sz w:val="24"/>
          <w:szCs w:val="24"/>
        </w:rPr>
        <w:t>Participants’ closing reflections</w:t>
      </w:r>
    </w:p>
    <w:p w14:paraId="6DD66F60" w14:textId="55805301" w:rsidR="001872B0" w:rsidRDefault="001872B0" w:rsidP="00FF5AFC">
      <w:pPr>
        <w:spacing w:line="360" w:lineRule="auto"/>
        <w:rPr>
          <w:rFonts w:ascii="Calibri" w:hAnsi="Calibri" w:cs="Calibri"/>
          <w:sz w:val="24"/>
          <w:szCs w:val="24"/>
        </w:rPr>
      </w:pPr>
      <w:r>
        <w:rPr>
          <w:rFonts w:ascii="Calibri" w:hAnsi="Calibri" w:cs="Calibri"/>
          <w:sz w:val="24"/>
          <w:szCs w:val="24"/>
        </w:rPr>
        <w:t>Towards the end of the interviews, I felt it important to ask the participants about their thoughts and reflections on any gaps they perceived in teacher training particularly as they are well positioned to know what is missing, and what they need. I have purposefully chosen not to comment on these narratives as it feels these stand-alone stories speak for themselves (</w:t>
      </w:r>
      <w:r w:rsidR="0059767D">
        <w:rPr>
          <w:rFonts w:ascii="Calibri" w:hAnsi="Calibri" w:cs="Calibri"/>
          <w:sz w:val="24"/>
          <w:szCs w:val="24"/>
        </w:rPr>
        <w:t xml:space="preserve">see </w:t>
      </w:r>
      <w:r>
        <w:rPr>
          <w:rFonts w:ascii="Calibri" w:hAnsi="Calibri" w:cs="Calibri"/>
          <w:sz w:val="24"/>
          <w:szCs w:val="24"/>
        </w:rPr>
        <w:t xml:space="preserve">Table </w:t>
      </w:r>
      <w:r w:rsidR="00E806B5">
        <w:rPr>
          <w:rFonts w:ascii="Calibri" w:hAnsi="Calibri" w:cs="Calibri"/>
          <w:sz w:val="24"/>
          <w:szCs w:val="24"/>
        </w:rPr>
        <w:t>12</w:t>
      </w:r>
      <w:r w:rsidR="00A661CC">
        <w:rPr>
          <w:rFonts w:ascii="Calibri" w:hAnsi="Calibri" w:cs="Calibri"/>
          <w:sz w:val="24"/>
          <w:szCs w:val="24"/>
        </w:rPr>
        <w:t>, p.178</w:t>
      </w:r>
      <w:r>
        <w:rPr>
          <w:rFonts w:ascii="Calibri" w:hAnsi="Calibri" w:cs="Calibri"/>
          <w:sz w:val="24"/>
          <w:szCs w:val="24"/>
        </w:rPr>
        <w:t>)</w:t>
      </w:r>
      <w:r w:rsidR="0059767D">
        <w:rPr>
          <w:rFonts w:ascii="Calibri" w:hAnsi="Calibri" w:cs="Calibri"/>
          <w:sz w:val="24"/>
          <w:szCs w:val="24"/>
        </w:rPr>
        <w:t>.</w:t>
      </w:r>
    </w:p>
    <w:p w14:paraId="58DF49BE" w14:textId="77777777" w:rsidR="0059767D" w:rsidRPr="0059767D" w:rsidRDefault="0059767D" w:rsidP="0059767D">
      <w:pPr>
        <w:spacing w:line="360" w:lineRule="auto"/>
        <w:rPr>
          <w:rFonts w:ascii="Calibri" w:hAnsi="Calibri" w:cs="Calibri"/>
          <w:sz w:val="24"/>
          <w:szCs w:val="24"/>
        </w:rPr>
      </w:pPr>
      <w:r w:rsidRPr="0059767D">
        <w:rPr>
          <w:rFonts w:ascii="Calibri" w:hAnsi="Calibri" w:cs="Calibri"/>
          <w:sz w:val="24"/>
          <w:szCs w:val="24"/>
        </w:rPr>
        <w:t xml:space="preserve">The ensuing discussion chapter (Chapter Eight) explores if the analysis thus far confirms, contradicts or extends previous research identified in the literature review (Chapter Three) and if the study has addressed or extended gaps in the literature. </w:t>
      </w:r>
    </w:p>
    <w:p w14:paraId="7E994454" w14:textId="77777777" w:rsidR="0059767D" w:rsidRDefault="0059767D" w:rsidP="00FF5AFC">
      <w:pPr>
        <w:spacing w:line="360" w:lineRule="auto"/>
        <w:rPr>
          <w:rFonts w:ascii="Calibri" w:hAnsi="Calibri" w:cs="Calibri"/>
          <w:sz w:val="24"/>
          <w:szCs w:val="24"/>
        </w:rPr>
      </w:pPr>
    </w:p>
    <w:p w14:paraId="49963420" w14:textId="77777777" w:rsidR="0059767D" w:rsidRDefault="0059767D" w:rsidP="00FF5AFC">
      <w:pPr>
        <w:spacing w:line="360" w:lineRule="auto"/>
        <w:rPr>
          <w:rFonts w:ascii="Calibri" w:hAnsi="Calibri" w:cs="Calibri"/>
          <w:sz w:val="24"/>
          <w:szCs w:val="24"/>
        </w:rPr>
      </w:pPr>
    </w:p>
    <w:p w14:paraId="0763BFE1" w14:textId="77777777" w:rsidR="0059767D" w:rsidRDefault="0059767D" w:rsidP="00FF5AFC">
      <w:pPr>
        <w:spacing w:line="360" w:lineRule="auto"/>
        <w:rPr>
          <w:rFonts w:ascii="Calibri" w:hAnsi="Calibri" w:cs="Calibri"/>
          <w:sz w:val="24"/>
          <w:szCs w:val="24"/>
        </w:rPr>
      </w:pPr>
    </w:p>
    <w:p w14:paraId="5504052F" w14:textId="77777777" w:rsidR="0059767D" w:rsidRDefault="0059767D" w:rsidP="00FF5AFC">
      <w:pPr>
        <w:spacing w:line="360" w:lineRule="auto"/>
        <w:rPr>
          <w:rFonts w:ascii="Calibri" w:hAnsi="Calibri" w:cs="Calibri"/>
          <w:sz w:val="24"/>
          <w:szCs w:val="24"/>
        </w:rPr>
      </w:pPr>
    </w:p>
    <w:p w14:paraId="7E52B4DB" w14:textId="77777777" w:rsidR="00D60482" w:rsidRDefault="00D60482" w:rsidP="00FF5AFC">
      <w:pPr>
        <w:spacing w:line="360" w:lineRule="auto"/>
        <w:rPr>
          <w:rFonts w:ascii="Calibri" w:hAnsi="Calibri" w:cs="Calibri"/>
          <w:sz w:val="24"/>
          <w:szCs w:val="24"/>
        </w:rPr>
      </w:pPr>
    </w:p>
    <w:p w14:paraId="5AC10528" w14:textId="77777777" w:rsidR="0059767D" w:rsidRDefault="0059767D" w:rsidP="00FF5AFC">
      <w:pPr>
        <w:spacing w:line="360" w:lineRule="auto"/>
        <w:rPr>
          <w:rFonts w:ascii="Calibri" w:hAnsi="Calibri" w:cs="Calibri"/>
          <w:sz w:val="24"/>
          <w:szCs w:val="24"/>
        </w:rPr>
      </w:pPr>
    </w:p>
    <w:p w14:paraId="567B9B40" w14:textId="19C58825" w:rsidR="001872B0" w:rsidRPr="00AC5AD1" w:rsidRDefault="001872B0" w:rsidP="0012105D">
      <w:pPr>
        <w:spacing w:line="360" w:lineRule="auto"/>
        <w:ind w:left="720"/>
        <w:rPr>
          <w:rFonts w:ascii="Calibri" w:hAnsi="Calibri" w:cs="Calibri"/>
          <w:i/>
          <w:iCs/>
          <w:sz w:val="24"/>
          <w:szCs w:val="24"/>
        </w:rPr>
      </w:pPr>
      <w:r w:rsidRPr="00AC5AD1">
        <w:rPr>
          <w:rFonts w:ascii="Calibri" w:hAnsi="Calibri" w:cs="Calibri"/>
          <w:i/>
          <w:iCs/>
          <w:sz w:val="24"/>
          <w:szCs w:val="24"/>
        </w:rPr>
        <w:lastRenderedPageBreak/>
        <w:t xml:space="preserve">Table </w:t>
      </w:r>
      <w:r w:rsidR="00E806B5" w:rsidRPr="00AC5AD1">
        <w:rPr>
          <w:rFonts w:ascii="Calibri" w:hAnsi="Calibri" w:cs="Calibri"/>
          <w:i/>
          <w:iCs/>
          <w:sz w:val="24"/>
          <w:szCs w:val="24"/>
        </w:rPr>
        <w:t>12</w:t>
      </w:r>
      <w:r w:rsidRPr="00AC5AD1">
        <w:rPr>
          <w:rFonts w:ascii="Calibri" w:hAnsi="Calibri" w:cs="Calibri"/>
          <w:i/>
          <w:iCs/>
          <w:sz w:val="24"/>
          <w:szCs w:val="24"/>
        </w:rPr>
        <w:t>: A selection of the participants’ final thoughts and reflections</w:t>
      </w:r>
    </w:p>
    <w:tbl>
      <w:tblPr>
        <w:tblStyle w:val="TableGrid"/>
        <w:tblW w:w="0" w:type="auto"/>
        <w:tblLook w:val="04A0" w:firstRow="1" w:lastRow="0" w:firstColumn="1" w:lastColumn="0" w:noHBand="0" w:noVBand="1"/>
      </w:tblPr>
      <w:tblGrid>
        <w:gridCol w:w="4673"/>
        <w:gridCol w:w="4343"/>
      </w:tblGrid>
      <w:tr w:rsidR="001872B0" w14:paraId="00E1AB4C" w14:textId="77777777" w:rsidTr="0059767D">
        <w:tc>
          <w:tcPr>
            <w:tcW w:w="4673" w:type="dxa"/>
          </w:tcPr>
          <w:p w14:paraId="5EFFDD4F" w14:textId="3EB0E59C" w:rsidR="001872B0" w:rsidRPr="00A61721" w:rsidRDefault="001872B0" w:rsidP="0023487A">
            <w:pPr>
              <w:rPr>
                <w:rFonts w:ascii="Calibri" w:hAnsi="Calibri" w:cs="Calibri"/>
                <w:b/>
                <w:bCs/>
                <w:sz w:val="24"/>
                <w:szCs w:val="24"/>
              </w:rPr>
            </w:pPr>
            <w:r w:rsidRPr="00A61721">
              <w:rPr>
                <w:rFonts w:ascii="Calibri" w:hAnsi="Calibri" w:cs="Calibri"/>
                <w:b/>
                <w:bCs/>
                <w:sz w:val="24"/>
                <w:szCs w:val="24"/>
              </w:rPr>
              <w:t>Participant</w:t>
            </w:r>
            <w:r w:rsidR="002270F0">
              <w:rPr>
                <w:rFonts w:ascii="Calibri" w:hAnsi="Calibri" w:cs="Calibri"/>
                <w:b/>
                <w:bCs/>
                <w:sz w:val="24"/>
                <w:szCs w:val="24"/>
              </w:rPr>
              <w:t xml:space="preserve"> </w:t>
            </w:r>
            <w:r w:rsidRPr="00A61721">
              <w:rPr>
                <w:rFonts w:ascii="Calibri" w:hAnsi="Calibri" w:cs="Calibri"/>
                <w:b/>
                <w:bCs/>
                <w:sz w:val="24"/>
                <w:szCs w:val="24"/>
              </w:rPr>
              <w:t xml:space="preserve">reflections on gaps in teacher training </w:t>
            </w:r>
          </w:p>
        </w:tc>
        <w:tc>
          <w:tcPr>
            <w:tcW w:w="4343" w:type="dxa"/>
          </w:tcPr>
          <w:p w14:paraId="18DA1198" w14:textId="77777777" w:rsidR="001872B0" w:rsidRPr="00A61721" w:rsidRDefault="001872B0" w:rsidP="0023487A">
            <w:pPr>
              <w:rPr>
                <w:rFonts w:ascii="Calibri" w:hAnsi="Calibri" w:cs="Calibri"/>
                <w:b/>
                <w:bCs/>
                <w:sz w:val="24"/>
                <w:szCs w:val="24"/>
              </w:rPr>
            </w:pPr>
            <w:r w:rsidRPr="00A61721">
              <w:rPr>
                <w:rFonts w:ascii="Calibri" w:hAnsi="Calibri" w:cs="Calibri"/>
                <w:b/>
                <w:bCs/>
                <w:sz w:val="24"/>
                <w:szCs w:val="24"/>
              </w:rPr>
              <w:t xml:space="preserve">Identified areas </w:t>
            </w:r>
            <w:r>
              <w:rPr>
                <w:rFonts w:ascii="Calibri" w:hAnsi="Calibri" w:cs="Calibri"/>
                <w:b/>
                <w:bCs/>
                <w:sz w:val="24"/>
                <w:szCs w:val="24"/>
              </w:rPr>
              <w:t xml:space="preserve">as recommendations </w:t>
            </w:r>
            <w:r w:rsidRPr="00A61721">
              <w:rPr>
                <w:rFonts w:ascii="Calibri" w:hAnsi="Calibri" w:cs="Calibri"/>
                <w:b/>
                <w:bCs/>
                <w:sz w:val="24"/>
                <w:szCs w:val="24"/>
              </w:rPr>
              <w:t>to include in future teacher training</w:t>
            </w:r>
            <w:r>
              <w:rPr>
                <w:rFonts w:ascii="Calibri" w:hAnsi="Calibri" w:cs="Calibri"/>
                <w:b/>
                <w:bCs/>
                <w:sz w:val="24"/>
                <w:szCs w:val="24"/>
              </w:rPr>
              <w:t>s</w:t>
            </w:r>
          </w:p>
        </w:tc>
      </w:tr>
      <w:tr w:rsidR="001872B0" w14:paraId="6A35955A" w14:textId="77777777" w:rsidTr="0059767D">
        <w:tc>
          <w:tcPr>
            <w:tcW w:w="4673" w:type="dxa"/>
          </w:tcPr>
          <w:p w14:paraId="64D17C62" w14:textId="3E409A6C" w:rsidR="001872B0" w:rsidRPr="00A51908" w:rsidRDefault="001872B0" w:rsidP="0023487A">
            <w:pPr>
              <w:rPr>
                <w:rFonts w:ascii="Calibri" w:hAnsi="Calibri" w:cs="Calibri"/>
                <w:sz w:val="20"/>
                <w:szCs w:val="20"/>
              </w:rPr>
            </w:pPr>
            <w:r w:rsidRPr="00A51908">
              <w:rPr>
                <w:rFonts w:ascii="Calibri" w:hAnsi="Calibri" w:cs="Calibri"/>
                <w:sz w:val="20"/>
                <w:szCs w:val="20"/>
              </w:rPr>
              <w:t>There is reflective practice that we do on our own, which I think can take you so far, but I think reflective practice can also be as a team debriefing a challenging situation. I think reflective practice is paramount but it’s not necessarily always that reflection that is done in isolation, it is that reflection that can be done with another. I think it’s a relational aspect that’s needed and you can’t do it on your own (Liz</w:t>
            </w:r>
            <w:r w:rsidR="00EF61FC" w:rsidRPr="00A51908">
              <w:rPr>
                <w:rFonts w:ascii="Calibri" w:hAnsi="Calibri" w:cs="Calibri"/>
                <w:sz w:val="20"/>
                <w:szCs w:val="20"/>
              </w:rPr>
              <w:t>,</w:t>
            </w:r>
            <w:r w:rsidR="009F5125" w:rsidRPr="00A51908">
              <w:rPr>
                <w:rFonts w:ascii="Calibri" w:hAnsi="Calibri" w:cs="Calibri"/>
                <w:sz w:val="20"/>
                <w:szCs w:val="20"/>
              </w:rPr>
              <w:t xml:space="preserve"> </w:t>
            </w:r>
            <w:r w:rsidR="008D6AC7" w:rsidRPr="00A51908">
              <w:rPr>
                <w:rFonts w:ascii="Calibri" w:hAnsi="Calibri" w:cs="Calibri"/>
                <w:sz w:val="20"/>
                <w:szCs w:val="20"/>
              </w:rPr>
              <w:t>T2, p.7,</w:t>
            </w:r>
            <w:r w:rsidR="009F5125" w:rsidRPr="00A51908">
              <w:rPr>
                <w:rFonts w:ascii="Calibri" w:hAnsi="Calibri" w:cs="Calibri"/>
                <w:sz w:val="20"/>
                <w:szCs w:val="20"/>
              </w:rPr>
              <w:t xml:space="preserve"> </w:t>
            </w:r>
            <w:r w:rsidR="008D6AC7" w:rsidRPr="00A51908">
              <w:rPr>
                <w:rFonts w:ascii="Calibri" w:hAnsi="Calibri" w:cs="Calibri"/>
                <w:sz w:val="20"/>
                <w:szCs w:val="20"/>
              </w:rPr>
              <w:t>par 3)</w:t>
            </w:r>
          </w:p>
        </w:tc>
        <w:tc>
          <w:tcPr>
            <w:tcW w:w="4343" w:type="dxa"/>
          </w:tcPr>
          <w:p w14:paraId="539DA76C" w14:textId="77777777" w:rsidR="001872B0" w:rsidRPr="00A51908" w:rsidRDefault="001872B0" w:rsidP="0023487A">
            <w:pPr>
              <w:rPr>
                <w:rFonts w:ascii="Calibri" w:hAnsi="Calibri" w:cs="Calibri"/>
                <w:sz w:val="20"/>
                <w:szCs w:val="20"/>
              </w:rPr>
            </w:pPr>
            <w:r w:rsidRPr="00A51908">
              <w:rPr>
                <w:rFonts w:ascii="Calibri" w:hAnsi="Calibri" w:cs="Calibri"/>
                <w:sz w:val="20"/>
                <w:szCs w:val="20"/>
              </w:rPr>
              <w:t>Encouragement of reflective practice as an important aspect of teacher development.</w:t>
            </w:r>
          </w:p>
          <w:p w14:paraId="622CC2AF" w14:textId="6589A4D5" w:rsidR="001872B0" w:rsidRPr="00A51908" w:rsidRDefault="001872B0" w:rsidP="0023487A">
            <w:pPr>
              <w:rPr>
                <w:rFonts w:ascii="Calibri" w:hAnsi="Calibri" w:cs="Calibri"/>
                <w:sz w:val="20"/>
                <w:szCs w:val="20"/>
              </w:rPr>
            </w:pPr>
            <w:r w:rsidRPr="00A51908">
              <w:rPr>
                <w:rFonts w:ascii="Calibri" w:hAnsi="Calibri" w:cs="Calibri"/>
                <w:sz w:val="20"/>
                <w:szCs w:val="20"/>
              </w:rPr>
              <w:t>Reflection in a collaborative team or group of others in good relationship</w:t>
            </w:r>
          </w:p>
        </w:tc>
      </w:tr>
      <w:tr w:rsidR="001872B0" w14:paraId="7656C427" w14:textId="77777777" w:rsidTr="0059767D">
        <w:tc>
          <w:tcPr>
            <w:tcW w:w="4673" w:type="dxa"/>
          </w:tcPr>
          <w:p w14:paraId="23AB042A" w14:textId="7016C41D" w:rsidR="001872B0" w:rsidRPr="00A51908" w:rsidRDefault="001872B0" w:rsidP="0023487A">
            <w:pPr>
              <w:rPr>
                <w:rFonts w:ascii="Calibri" w:hAnsi="Calibri" w:cs="Calibri"/>
                <w:sz w:val="20"/>
                <w:szCs w:val="20"/>
              </w:rPr>
            </w:pPr>
            <w:r w:rsidRPr="00A51908">
              <w:rPr>
                <w:rFonts w:ascii="Calibri" w:hAnsi="Calibri" w:cs="Calibri"/>
                <w:sz w:val="20"/>
                <w:szCs w:val="20"/>
              </w:rPr>
              <w:t>We too often look at the statistical outcomes, the frameworks, how have we delivered versus what we were supposed to deliver. We very rarely look at the human experience in it, and the value of that what we can learn from that (Mo</w:t>
            </w:r>
            <w:r w:rsidR="008D6AC7" w:rsidRPr="00A51908">
              <w:rPr>
                <w:rFonts w:ascii="Calibri" w:hAnsi="Calibri" w:cs="Calibri"/>
                <w:sz w:val="20"/>
                <w:szCs w:val="20"/>
              </w:rPr>
              <w:t xml:space="preserve">, </w:t>
            </w:r>
            <w:r w:rsidR="009F5125" w:rsidRPr="00A51908">
              <w:rPr>
                <w:rFonts w:ascii="Calibri" w:hAnsi="Calibri" w:cs="Calibri"/>
                <w:sz w:val="20"/>
                <w:szCs w:val="20"/>
              </w:rPr>
              <w:t>T2, p. 3, par</w:t>
            </w:r>
            <w:r w:rsidR="00AE7905" w:rsidRPr="00A51908">
              <w:rPr>
                <w:rFonts w:ascii="Calibri" w:hAnsi="Calibri" w:cs="Calibri"/>
                <w:sz w:val="20"/>
                <w:szCs w:val="20"/>
              </w:rPr>
              <w:t xml:space="preserve"> 8</w:t>
            </w:r>
            <w:r w:rsidRPr="00A51908">
              <w:rPr>
                <w:rFonts w:ascii="Calibri" w:hAnsi="Calibri" w:cs="Calibri"/>
                <w:sz w:val="20"/>
                <w:szCs w:val="20"/>
              </w:rPr>
              <w:t>)</w:t>
            </w:r>
          </w:p>
        </w:tc>
        <w:tc>
          <w:tcPr>
            <w:tcW w:w="4343" w:type="dxa"/>
          </w:tcPr>
          <w:p w14:paraId="072D77BA" w14:textId="6C857803" w:rsidR="001872B0" w:rsidRPr="00A51908" w:rsidRDefault="001872B0" w:rsidP="0023487A">
            <w:pPr>
              <w:rPr>
                <w:rFonts w:ascii="Calibri" w:hAnsi="Calibri" w:cs="Calibri"/>
                <w:sz w:val="20"/>
                <w:szCs w:val="20"/>
              </w:rPr>
            </w:pPr>
            <w:r w:rsidRPr="00A51908">
              <w:rPr>
                <w:rFonts w:ascii="Calibri" w:hAnsi="Calibri" w:cs="Calibri"/>
                <w:sz w:val="20"/>
                <w:szCs w:val="20"/>
              </w:rPr>
              <w:t>To develop relational and human aspects and understanding of experience/s</w:t>
            </w:r>
          </w:p>
        </w:tc>
      </w:tr>
      <w:tr w:rsidR="001872B0" w14:paraId="033A0185" w14:textId="77777777" w:rsidTr="0059767D">
        <w:tc>
          <w:tcPr>
            <w:tcW w:w="4673" w:type="dxa"/>
          </w:tcPr>
          <w:p w14:paraId="70C096E0" w14:textId="41405E91" w:rsidR="001872B0" w:rsidRPr="00A51908" w:rsidRDefault="001872B0" w:rsidP="0023487A">
            <w:pPr>
              <w:rPr>
                <w:rFonts w:ascii="Calibri" w:hAnsi="Calibri" w:cs="Calibri"/>
                <w:sz w:val="20"/>
                <w:szCs w:val="20"/>
              </w:rPr>
            </w:pPr>
            <w:r w:rsidRPr="00A51908">
              <w:rPr>
                <w:rFonts w:ascii="Calibri" w:hAnsi="Calibri" w:cs="Calibri"/>
                <w:sz w:val="20"/>
                <w:szCs w:val="20"/>
              </w:rPr>
              <w:t>When I started in education again, I was a fish out of water compared to some of the other people on that course and I don’t think that we reflect enough on the modules, on the programme, it seems to run from one year to the next without any sort of redevelopment. I think you need to be critically examined in your projects and your modules and your programmes (Jenko</w:t>
            </w:r>
            <w:r w:rsidR="00AE7905" w:rsidRPr="00A51908">
              <w:rPr>
                <w:rFonts w:ascii="Calibri" w:hAnsi="Calibri" w:cs="Calibri"/>
                <w:sz w:val="20"/>
                <w:szCs w:val="20"/>
              </w:rPr>
              <w:t>, T</w:t>
            </w:r>
            <w:r w:rsidR="00C24EC7" w:rsidRPr="00A51908">
              <w:rPr>
                <w:rFonts w:ascii="Calibri" w:hAnsi="Calibri" w:cs="Calibri"/>
                <w:sz w:val="20"/>
                <w:szCs w:val="20"/>
              </w:rPr>
              <w:t>2, p.3, par 8)</w:t>
            </w:r>
          </w:p>
        </w:tc>
        <w:tc>
          <w:tcPr>
            <w:tcW w:w="4343" w:type="dxa"/>
          </w:tcPr>
          <w:p w14:paraId="276906E3" w14:textId="172B5CE8" w:rsidR="001872B0" w:rsidRPr="00A51908" w:rsidRDefault="001872B0" w:rsidP="0023487A">
            <w:pPr>
              <w:rPr>
                <w:rFonts w:ascii="Calibri" w:hAnsi="Calibri" w:cs="Calibri"/>
                <w:sz w:val="20"/>
                <w:szCs w:val="20"/>
              </w:rPr>
            </w:pPr>
            <w:r w:rsidRPr="00A51908">
              <w:rPr>
                <w:rFonts w:ascii="Calibri" w:hAnsi="Calibri" w:cs="Calibri"/>
                <w:sz w:val="20"/>
                <w:szCs w:val="20"/>
              </w:rPr>
              <w:t>Departmental staff to embed reflective practice in curricula and to reflect on the overall programme and content delivery as a developmental process</w:t>
            </w:r>
          </w:p>
        </w:tc>
      </w:tr>
      <w:tr w:rsidR="001872B0" w14:paraId="2B11FB20" w14:textId="77777777" w:rsidTr="0059767D">
        <w:tc>
          <w:tcPr>
            <w:tcW w:w="4673" w:type="dxa"/>
          </w:tcPr>
          <w:p w14:paraId="66143BDC" w14:textId="3C82B1C9" w:rsidR="001872B0" w:rsidRPr="00A51908" w:rsidRDefault="001872B0" w:rsidP="0023487A">
            <w:pPr>
              <w:rPr>
                <w:rFonts w:ascii="Calibri" w:hAnsi="Calibri" w:cs="Calibri"/>
                <w:sz w:val="20"/>
                <w:szCs w:val="20"/>
              </w:rPr>
            </w:pPr>
            <w:r w:rsidRPr="00A51908">
              <w:rPr>
                <w:rFonts w:ascii="Calibri" w:hAnsi="Calibri" w:cs="Calibri"/>
                <w:sz w:val="20"/>
                <w:szCs w:val="20"/>
              </w:rPr>
              <w:t xml:space="preserve">On the pastoral side our skills are limited and so I’m not sure that we are fully equipped to support students with emotional well-being, the personal supervision stuff. The University still runs, it looks to the outside world like the place is functioning but I’m not sure that the well-being of us and the workload of us on the ground, or the effects of the workload on our well-being is, I don’t know, if it’s even considered. Put a plaster over it, let’s do some activities to support staff well-being but not </w:t>
            </w:r>
            <w:r w:rsidR="00574813" w:rsidRPr="00A51908">
              <w:rPr>
                <w:rFonts w:ascii="Calibri" w:hAnsi="Calibri" w:cs="Calibri"/>
                <w:sz w:val="20"/>
                <w:szCs w:val="20"/>
              </w:rPr>
              <w:t xml:space="preserve">address </w:t>
            </w:r>
            <w:r w:rsidRPr="00A51908">
              <w:rPr>
                <w:rFonts w:ascii="Calibri" w:hAnsi="Calibri" w:cs="Calibri"/>
                <w:sz w:val="20"/>
                <w:szCs w:val="20"/>
              </w:rPr>
              <w:t>the root cause of a lot of the problems (Laura</w:t>
            </w:r>
            <w:r w:rsidR="00574813" w:rsidRPr="00A51908">
              <w:rPr>
                <w:rFonts w:ascii="Calibri" w:hAnsi="Calibri" w:cs="Calibri"/>
                <w:sz w:val="20"/>
                <w:szCs w:val="20"/>
              </w:rPr>
              <w:t xml:space="preserve">, </w:t>
            </w:r>
            <w:r w:rsidR="00A51908" w:rsidRPr="00A51908">
              <w:rPr>
                <w:rFonts w:ascii="Calibri" w:hAnsi="Calibri" w:cs="Calibri"/>
                <w:sz w:val="20"/>
                <w:szCs w:val="20"/>
              </w:rPr>
              <w:t>T2, p.1, par 8</w:t>
            </w:r>
            <w:r w:rsidRPr="00A51908">
              <w:rPr>
                <w:rFonts w:ascii="Calibri" w:hAnsi="Calibri" w:cs="Calibri"/>
                <w:sz w:val="20"/>
                <w:szCs w:val="20"/>
              </w:rPr>
              <w:t>)</w:t>
            </w:r>
          </w:p>
        </w:tc>
        <w:tc>
          <w:tcPr>
            <w:tcW w:w="4343" w:type="dxa"/>
          </w:tcPr>
          <w:p w14:paraId="314962EE" w14:textId="77777777" w:rsidR="001872B0" w:rsidRPr="00A51908" w:rsidRDefault="001872B0" w:rsidP="0023487A">
            <w:pPr>
              <w:rPr>
                <w:rFonts w:ascii="Calibri" w:hAnsi="Calibri" w:cs="Calibri"/>
                <w:sz w:val="20"/>
                <w:szCs w:val="20"/>
              </w:rPr>
            </w:pPr>
            <w:r w:rsidRPr="00A51908">
              <w:rPr>
                <w:rFonts w:ascii="Calibri" w:hAnsi="Calibri" w:cs="Calibri"/>
                <w:sz w:val="20"/>
                <w:szCs w:val="20"/>
              </w:rPr>
              <w:t>For management to be aware of workload impact on teacher well-being and to better equip teaching staff with pastoral skills sets.</w:t>
            </w:r>
          </w:p>
          <w:p w14:paraId="67650F89" w14:textId="5DDE6899" w:rsidR="001872B0" w:rsidRPr="00A51908" w:rsidRDefault="001872B0" w:rsidP="0023487A">
            <w:pPr>
              <w:rPr>
                <w:rFonts w:ascii="Calibri" w:hAnsi="Calibri" w:cs="Calibri"/>
                <w:sz w:val="20"/>
                <w:szCs w:val="20"/>
              </w:rPr>
            </w:pPr>
            <w:r w:rsidRPr="00A51908">
              <w:rPr>
                <w:rFonts w:ascii="Calibri" w:hAnsi="Calibri" w:cs="Calibri"/>
                <w:sz w:val="20"/>
                <w:szCs w:val="20"/>
              </w:rPr>
              <w:t>To garner the views of staff on their development needs</w:t>
            </w:r>
          </w:p>
        </w:tc>
      </w:tr>
      <w:tr w:rsidR="001872B0" w14:paraId="46E0F197" w14:textId="77777777" w:rsidTr="0059767D">
        <w:tc>
          <w:tcPr>
            <w:tcW w:w="4673" w:type="dxa"/>
          </w:tcPr>
          <w:p w14:paraId="6BDBB3DE" w14:textId="75D6D2DE" w:rsidR="001872B0" w:rsidRPr="00A51908" w:rsidRDefault="001872B0" w:rsidP="00F351F0">
            <w:pPr>
              <w:rPr>
                <w:rFonts w:ascii="Calibri" w:hAnsi="Calibri" w:cs="Calibri"/>
                <w:sz w:val="20"/>
                <w:szCs w:val="20"/>
              </w:rPr>
            </w:pPr>
            <w:r w:rsidRPr="00A51908">
              <w:rPr>
                <w:rFonts w:ascii="Calibri" w:hAnsi="Calibri" w:cs="Calibri"/>
                <w:sz w:val="20"/>
                <w:szCs w:val="20"/>
              </w:rPr>
              <w:t xml:space="preserve">I think there’s a whole lot of potential in teacher training and in knowing more about emotions and understanding that emotions exist in both teachers and students even though they are adults. Emotions don’t suddenly go away when you turn 18, that’s not </w:t>
            </w:r>
            <w:r w:rsidR="0057769E">
              <w:rPr>
                <w:rFonts w:ascii="Calibri" w:hAnsi="Calibri" w:cs="Calibri"/>
                <w:sz w:val="20"/>
                <w:szCs w:val="20"/>
              </w:rPr>
              <w:t>our worries</w:t>
            </w:r>
            <w:r w:rsidRPr="00A51908">
              <w:rPr>
                <w:rFonts w:ascii="Calibri" w:hAnsi="Calibri" w:cs="Calibri"/>
                <w:sz w:val="20"/>
                <w:szCs w:val="20"/>
              </w:rPr>
              <w:t>. But emotions affect decisions and affect teaching quality, in all directions and I think that’s an important thing to recognise through this process (Dana</w:t>
            </w:r>
            <w:r w:rsidR="00860236">
              <w:rPr>
                <w:rFonts w:ascii="Calibri" w:hAnsi="Calibri" w:cs="Calibri"/>
                <w:sz w:val="20"/>
                <w:szCs w:val="20"/>
              </w:rPr>
              <w:t>, T2, p.6, par 4</w:t>
            </w:r>
            <w:r w:rsidRPr="00A51908">
              <w:rPr>
                <w:rFonts w:ascii="Calibri" w:hAnsi="Calibri" w:cs="Calibri"/>
                <w:sz w:val="20"/>
                <w:szCs w:val="20"/>
              </w:rPr>
              <w:t>)</w:t>
            </w:r>
          </w:p>
          <w:p w14:paraId="66904328" w14:textId="77777777" w:rsidR="001872B0" w:rsidRPr="00A51908" w:rsidRDefault="001872B0" w:rsidP="0023487A">
            <w:pPr>
              <w:rPr>
                <w:rFonts w:ascii="Calibri" w:hAnsi="Calibri" w:cs="Calibri"/>
                <w:sz w:val="20"/>
                <w:szCs w:val="20"/>
              </w:rPr>
            </w:pPr>
          </w:p>
        </w:tc>
        <w:tc>
          <w:tcPr>
            <w:tcW w:w="4343" w:type="dxa"/>
          </w:tcPr>
          <w:p w14:paraId="476D4AF2" w14:textId="45FF690B" w:rsidR="001872B0" w:rsidRPr="00A51908" w:rsidRDefault="001872B0" w:rsidP="0023487A">
            <w:pPr>
              <w:rPr>
                <w:rFonts w:ascii="Calibri" w:hAnsi="Calibri" w:cs="Calibri"/>
                <w:sz w:val="20"/>
                <w:szCs w:val="20"/>
              </w:rPr>
            </w:pPr>
            <w:r w:rsidRPr="00A51908">
              <w:rPr>
                <w:rFonts w:ascii="Calibri" w:hAnsi="Calibri" w:cs="Calibri"/>
                <w:sz w:val="20"/>
                <w:szCs w:val="20"/>
              </w:rPr>
              <w:t>To bring more awareness of the emotional aspects of teaching to teacher trainings and from the perspective of students of how emotions feature in learning</w:t>
            </w:r>
          </w:p>
        </w:tc>
      </w:tr>
    </w:tbl>
    <w:p w14:paraId="715F69A3" w14:textId="77777777" w:rsidR="00A51908" w:rsidRDefault="00A51908" w:rsidP="00D60482">
      <w:pPr>
        <w:ind w:left="2160" w:firstLine="720"/>
        <w:rPr>
          <w:rFonts w:ascii="Calibri" w:hAnsi="Calibri" w:cs="Calibri"/>
          <w:b/>
          <w:bCs/>
          <w:sz w:val="28"/>
          <w:szCs w:val="28"/>
        </w:rPr>
      </w:pPr>
      <w:bookmarkStart w:id="85" w:name="_Hlk206851863"/>
      <w:bookmarkEnd w:id="85"/>
    </w:p>
    <w:p w14:paraId="4CD41859" w14:textId="77777777" w:rsidR="00A51908" w:rsidRDefault="00A51908" w:rsidP="00D60482">
      <w:pPr>
        <w:ind w:left="2160" w:firstLine="720"/>
        <w:rPr>
          <w:rFonts w:ascii="Calibri" w:hAnsi="Calibri" w:cs="Calibri"/>
          <w:b/>
          <w:bCs/>
          <w:sz w:val="28"/>
          <w:szCs w:val="28"/>
        </w:rPr>
      </w:pPr>
    </w:p>
    <w:p w14:paraId="27C4A859" w14:textId="77777777" w:rsidR="00A51908" w:rsidRDefault="00A51908" w:rsidP="00D60482">
      <w:pPr>
        <w:ind w:left="2160" w:firstLine="720"/>
        <w:rPr>
          <w:rFonts w:ascii="Calibri" w:hAnsi="Calibri" w:cs="Calibri"/>
          <w:b/>
          <w:bCs/>
          <w:sz w:val="28"/>
          <w:szCs w:val="28"/>
        </w:rPr>
      </w:pPr>
    </w:p>
    <w:p w14:paraId="13E272CE" w14:textId="77777777" w:rsidR="00A51908" w:rsidRDefault="00A51908" w:rsidP="00D60482">
      <w:pPr>
        <w:ind w:left="2160" w:firstLine="720"/>
        <w:rPr>
          <w:rFonts w:ascii="Calibri" w:hAnsi="Calibri" w:cs="Calibri"/>
          <w:b/>
          <w:bCs/>
          <w:sz w:val="28"/>
          <w:szCs w:val="28"/>
        </w:rPr>
      </w:pPr>
    </w:p>
    <w:p w14:paraId="6A5357F2" w14:textId="3E7B1BB3" w:rsidR="00BF61A6" w:rsidRPr="008E4538" w:rsidRDefault="00BF61A6" w:rsidP="00D60482">
      <w:pPr>
        <w:ind w:left="2160" w:firstLine="720"/>
        <w:rPr>
          <w:rFonts w:ascii="Calibri" w:hAnsi="Calibri" w:cs="Calibri"/>
          <w:sz w:val="28"/>
          <w:szCs w:val="28"/>
        </w:rPr>
      </w:pPr>
      <w:r w:rsidRPr="008E4538">
        <w:rPr>
          <w:rFonts w:ascii="Calibri" w:hAnsi="Calibri" w:cs="Calibri"/>
          <w:b/>
          <w:bCs/>
          <w:sz w:val="28"/>
          <w:szCs w:val="28"/>
        </w:rPr>
        <w:lastRenderedPageBreak/>
        <w:t xml:space="preserve">Chapter </w:t>
      </w:r>
      <w:r w:rsidR="00DE5E50" w:rsidRPr="008E4538">
        <w:rPr>
          <w:rFonts w:ascii="Calibri" w:hAnsi="Calibri" w:cs="Calibri"/>
          <w:b/>
          <w:bCs/>
          <w:sz w:val="28"/>
          <w:szCs w:val="28"/>
        </w:rPr>
        <w:t>Eight</w:t>
      </w:r>
      <w:r w:rsidRPr="008E4538">
        <w:rPr>
          <w:rFonts w:ascii="Calibri" w:hAnsi="Calibri" w:cs="Calibri"/>
          <w:b/>
          <w:bCs/>
          <w:sz w:val="28"/>
          <w:szCs w:val="28"/>
        </w:rPr>
        <w:t>:  Discussion</w:t>
      </w:r>
    </w:p>
    <w:p w14:paraId="1A61C186" w14:textId="77777777" w:rsidR="00BF61A6" w:rsidRPr="00A673BB" w:rsidRDefault="00BF61A6" w:rsidP="000C7580">
      <w:pPr>
        <w:rPr>
          <w:rFonts w:ascii="Calibri" w:hAnsi="Calibri" w:cs="Calibri"/>
          <w:b/>
          <w:bCs/>
          <w:sz w:val="24"/>
          <w:szCs w:val="24"/>
        </w:rPr>
      </w:pPr>
      <w:r w:rsidRPr="00372EFA">
        <w:rPr>
          <w:rFonts w:ascii="Calibri" w:hAnsi="Calibri" w:cs="Calibri"/>
          <w:b/>
          <w:bCs/>
          <w:sz w:val="24"/>
          <w:szCs w:val="24"/>
        </w:rPr>
        <w:t>Introduction</w:t>
      </w:r>
    </w:p>
    <w:p w14:paraId="3FC4A35F" w14:textId="39DCC915" w:rsidR="00CC6F0B" w:rsidRDefault="00BF61A6" w:rsidP="00CC6F0B">
      <w:pPr>
        <w:spacing w:line="360" w:lineRule="auto"/>
        <w:rPr>
          <w:rFonts w:ascii="Calibri" w:hAnsi="Calibri" w:cs="Calibri"/>
          <w:sz w:val="24"/>
          <w:szCs w:val="24"/>
        </w:rPr>
      </w:pPr>
      <w:r>
        <w:rPr>
          <w:rFonts w:ascii="Calibri" w:hAnsi="Calibri" w:cs="Calibri"/>
          <w:sz w:val="24"/>
          <w:szCs w:val="24"/>
        </w:rPr>
        <w:t>With a view to</w:t>
      </w:r>
      <w:r w:rsidRPr="00372EFA">
        <w:rPr>
          <w:rFonts w:ascii="Calibri" w:hAnsi="Calibri" w:cs="Calibri"/>
          <w:sz w:val="24"/>
          <w:szCs w:val="24"/>
        </w:rPr>
        <w:t xml:space="preserve"> provid</w:t>
      </w:r>
      <w:r>
        <w:rPr>
          <w:rFonts w:ascii="Calibri" w:hAnsi="Calibri" w:cs="Calibri"/>
          <w:sz w:val="24"/>
          <w:szCs w:val="24"/>
        </w:rPr>
        <w:t>ing</w:t>
      </w:r>
      <w:r w:rsidRPr="00372EFA">
        <w:rPr>
          <w:rFonts w:ascii="Calibri" w:hAnsi="Calibri" w:cs="Calibri"/>
          <w:sz w:val="24"/>
          <w:szCs w:val="24"/>
        </w:rPr>
        <w:t xml:space="preserve"> a perspective beyond the more localised stories of the participants</w:t>
      </w:r>
      <w:r>
        <w:rPr>
          <w:rFonts w:ascii="Calibri" w:hAnsi="Calibri" w:cs="Calibri"/>
          <w:sz w:val="24"/>
          <w:szCs w:val="24"/>
        </w:rPr>
        <w:t xml:space="preserve"> (Myers, 2000), in this chapter </w:t>
      </w:r>
      <w:r w:rsidR="00507F00">
        <w:rPr>
          <w:rFonts w:ascii="Calibri" w:hAnsi="Calibri" w:cs="Calibri"/>
          <w:sz w:val="24"/>
          <w:szCs w:val="24"/>
        </w:rPr>
        <w:t>participants’</w:t>
      </w:r>
      <w:r>
        <w:rPr>
          <w:rFonts w:ascii="Calibri" w:hAnsi="Calibri" w:cs="Calibri"/>
          <w:sz w:val="24"/>
          <w:szCs w:val="24"/>
        </w:rPr>
        <w:t xml:space="preserve"> stories are related to the wider context. </w:t>
      </w:r>
      <w:r w:rsidRPr="003E0730">
        <w:rPr>
          <w:rFonts w:ascii="Calibri" w:hAnsi="Calibri" w:cs="Calibri"/>
          <w:sz w:val="24"/>
          <w:szCs w:val="24"/>
        </w:rPr>
        <w:t>T</w:t>
      </w:r>
      <w:r>
        <w:rPr>
          <w:rFonts w:ascii="Calibri" w:hAnsi="Calibri" w:cs="Calibri"/>
          <w:sz w:val="24"/>
          <w:szCs w:val="24"/>
        </w:rPr>
        <w:t xml:space="preserve">his chapter </w:t>
      </w:r>
      <w:r w:rsidRPr="003E0730">
        <w:rPr>
          <w:rFonts w:ascii="Calibri" w:hAnsi="Calibri" w:cs="Calibri"/>
          <w:sz w:val="24"/>
          <w:szCs w:val="24"/>
        </w:rPr>
        <w:t xml:space="preserve">forms a collective </w:t>
      </w:r>
      <w:r w:rsidRPr="00960B1B">
        <w:rPr>
          <w:rFonts w:ascii="Calibri" w:hAnsi="Calibri" w:cs="Calibri"/>
          <w:sz w:val="24"/>
          <w:szCs w:val="24"/>
        </w:rPr>
        <w:t xml:space="preserve">“Return” </w:t>
      </w:r>
      <w:r w:rsidRPr="003E0730">
        <w:rPr>
          <w:rFonts w:ascii="Calibri" w:hAnsi="Calibri" w:cs="Calibri"/>
          <w:sz w:val="24"/>
          <w:szCs w:val="24"/>
        </w:rPr>
        <w:t xml:space="preserve">which </w:t>
      </w:r>
      <w:r w:rsidR="00DA364A">
        <w:rPr>
          <w:rFonts w:ascii="Calibri" w:hAnsi="Calibri" w:cs="Calibri"/>
          <w:sz w:val="24"/>
          <w:szCs w:val="24"/>
        </w:rPr>
        <w:t xml:space="preserve">is </w:t>
      </w:r>
      <w:r w:rsidRPr="003E0730">
        <w:rPr>
          <w:rFonts w:ascii="Calibri" w:hAnsi="Calibri" w:cs="Calibri"/>
          <w:sz w:val="24"/>
          <w:szCs w:val="24"/>
        </w:rPr>
        <w:t>consider</w:t>
      </w:r>
      <w:r w:rsidR="00DA364A">
        <w:rPr>
          <w:rFonts w:ascii="Calibri" w:hAnsi="Calibri" w:cs="Calibri"/>
          <w:sz w:val="24"/>
          <w:szCs w:val="24"/>
        </w:rPr>
        <w:t>ing</w:t>
      </w:r>
      <w:r w:rsidRPr="003E0730">
        <w:rPr>
          <w:rFonts w:ascii="Calibri" w:hAnsi="Calibri" w:cs="Calibri"/>
          <w:sz w:val="24"/>
          <w:szCs w:val="24"/>
        </w:rPr>
        <w:t xml:space="preserve"> the boons of knowledge collected</w:t>
      </w:r>
      <w:bookmarkStart w:id="86" w:name="_Hlk200886610"/>
      <w:r>
        <w:rPr>
          <w:rFonts w:ascii="Calibri" w:hAnsi="Calibri" w:cs="Calibri"/>
          <w:sz w:val="24"/>
          <w:szCs w:val="24"/>
        </w:rPr>
        <w:t xml:space="preserve"> and </w:t>
      </w:r>
      <w:r w:rsidRPr="001D1B09">
        <w:rPr>
          <w:rFonts w:ascii="Calibri" w:hAnsi="Calibri" w:cs="Calibri"/>
          <w:sz w:val="24"/>
          <w:szCs w:val="24"/>
        </w:rPr>
        <w:t>venturing into a new story of meaning</w:t>
      </w:r>
      <w:r w:rsidRPr="000520C0">
        <w:rPr>
          <w:rFonts w:ascii="Calibri" w:hAnsi="Calibri" w:cs="Calibri"/>
          <w:sz w:val="24"/>
          <w:szCs w:val="24"/>
        </w:rPr>
        <w:t xml:space="preserve">, </w:t>
      </w:r>
      <w:r w:rsidRPr="001D1B09">
        <w:rPr>
          <w:rFonts w:ascii="Calibri" w:hAnsi="Calibri" w:cs="Calibri"/>
          <w:sz w:val="24"/>
          <w:szCs w:val="24"/>
        </w:rPr>
        <w:t>inference</w:t>
      </w:r>
      <w:r w:rsidRPr="000520C0">
        <w:rPr>
          <w:rFonts w:ascii="Calibri" w:hAnsi="Calibri" w:cs="Calibri"/>
          <w:sz w:val="24"/>
          <w:szCs w:val="24"/>
        </w:rPr>
        <w:t xml:space="preserve"> and knowledge</w:t>
      </w:r>
      <w:r w:rsidRPr="001D1B09">
        <w:rPr>
          <w:rFonts w:ascii="Calibri" w:hAnsi="Calibri" w:cs="Calibri"/>
          <w:sz w:val="24"/>
          <w:szCs w:val="24"/>
        </w:rPr>
        <w:t xml:space="preserve">. </w:t>
      </w:r>
      <w:r w:rsidRPr="000520C0">
        <w:rPr>
          <w:rFonts w:ascii="Calibri" w:hAnsi="Calibri" w:cs="Calibri"/>
          <w:sz w:val="24"/>
          <w:szCs w:val="24"/>
        </w:rPr>
        <w:t xml:space="preserve">According to one participant, knowledge is a house, and the teacher’s task is </w:t>
      </w:r>
      <w:r>
        <w:rPr>
          <w:rFonts w:ascii="Calibri" w:hAnsi="Calibri" w:cs="Calibri"/>
          <w:sz w:val="24"/>
          <w:szCs w:val="24"/>
        </w:rPr>
        <w:t>“</w:t>
      </w:r>
      <w:r w:rsidRPr="00F31E24">
        <w:rPr>
          <w:rFonts w:ascii="Calibri" w:hAnsi="Calibri" w:cs="Calibri"/>
          <w:i/>
          <w:iCs/>
          <w:sz w:val="24"/>
          <w:szCs w:val="24"/>
        </w:rPr>
        <w:t>to stabilise the house, not the foundations</w:t>
      </w:r>
      <w:r>
        <w:rPr>
          <w:rFonts w:ascii="Calibri" w:hAnsi="Calibri" w:cs="Calibri"/>
          <w:sz w:val="24"/>
          <w:szCs w:val="24"/>
        </w:rPr>
        <w:t xml:space="preserve"> “(</w:t>
      </w:r>
      <w:r w:rsidRPr="000520C0">
        <w:rPr>
          <w:rFonts w:ascii="Calibri" w:hAnsi="Calibri" w:cs="Calibri"/>
          <w:sz w:val="24"/>
          <w:szCs w:val="24"/>
        </w:rPr>
        <w:t xml:space="preserve">Fred, </w:t>
      </w:r>
      <w:r>
        <w:rPr>
          <w:rFonts w:ascii="Calibri" w:hAnsi="Calibri" w:cs="Calibri"/>
          <w:sz w:val="24"/>
          <w:szCs w:val="24"/>
        </w:rPr>
        <w:t>T1, p.15, par 6</w:t>
      </w:r>
      <w:r w:rsidRPr="000520C0">
        <w:rPr>
          <w:rFonts w:ascii="Calibri" w:hAnsi="Calibri" w:cs="Calibri"/>
          <w:sz w:val="24"/>
          <w:szCs w:val="24"/>
        </w:rPr>
        <w:t>). The task of the discussion is to stabilise the research house by plugging some of the gaps identified in the literature review (</w:t>
      </w:r>
      <w:r>
        <w:rPr>
          <w:rFonts w:ascii="Calibri" w:hAnsi="Calibri" w:cs="Calibri"/>
          <w:sz w:val="24"/>
          <w:szCs w:val="24"/>
        </w:rPr>
        <w:t xml:space="preserve">see Table </w:t>
      </w:r>
      <w:r w:rsidR="00F43ADA">
        <w:rPr>
          <w:rFonts w:ascii="Calibri" w:hAnsi="Calibri" w:cs="Calibri"/>
          <w:sz w:val="24"/>
          <w:szCs w:val="24"/>
        </w:rPr>
        <w:t>13</w:t>
      </w:r>
      <w:r w:rsidRPr="000520C0">
        <w:rPr>
          <w:rFonts w:ascii="Calibri" w:hAnsi="Calibri" w:cs="Calibri"/>
          <w:sz w:val="24"/>
          <w:szCs w:val="24"/>
        </w:rPr>
        <w:t>) and to</w:t>
      </w:r>
      <w:r w:rsidR="00AF5644">
        <w:rPr>
          <w:rFonts w:ascii="Calibri" w:hAnsi="Calibri" w:cs="Calibri"/>
          <w:sz w:val="24"/>
          <w:szCs w:val="24"/>
        </w:rPr>
        <w:t xml:space="preserve"> </w:t>
      </w:r>
      <w:r w:rsidRPr="000520C0">
        <w:rPr>
          <w:rFonts w:ascii="Calibri" w:hAnsi="Calibri" w:cs="Calibri"/>
          <w:sz w:val="24"/>
          <w:szCs w:val="24"/>
        </w:rPr>
        <w:t>demonstrate how these gaps have been addressed</w:t>
      </w:r>
      <w:r w:rsidR="00AF5644">
        <w:rPr>
          <w:rFonts w:ascii="Calibri" w:hAnsi="Calibri" w:cs="Calibri"/>
          <w:sz w:val="24"/>
          <w:szCs w:val="24"/>
        </w:rPr>
        <w:t xml:space="preserve"> by the </w:t>
      </w:r>
      <w:r w:rsidR="00CC6F0B">
        <w:rPr>
          <w:rFonts w:ascii="Calibri" w:hAnsi="Calibri" w:cs="Calibri"/>
          <w:sz w:val="24"/>
          <w:szCs w:val="24"/>
        </w:rPr>
        <w:t>collective data</w:t>
      </w:r>
      <w:r w:rsidRPr="000520C0">
        <w:rPr>
          <w:rFonts w:ascii="Calibri" w:hAnsi="Calibri" w:cs="Calibri"/>
          <w:sz w:val="24"/>
          <w:szCs w:val="24"/>
        </w:rPr>
        <w:t xml:space="preserve">. </w:t>
      </w:r>
      <w:r w:rsidRPr="007C2C97">
        <w:rPr>
          <w:rFonts w:ascii="Calibri" w:hAnsi="Calibri" w:cs="Calibri"/>
          <w:sz w:val="24"/>
          <w:szCs w:val="24"/>
        </w:rPr>
        <w:t xml:space="preserve">To aid in this endeavour, I draw upon the concepts of individuation (Jung, 1959), the hero’s journey (Campbell 1949/1968) and holding (Winnicott, 1965), </w:t>
      </w:r>
      <w:r>
        <w:rPr>
          <w:rFonts w:ascii="Calibri" w:hAnsi="Calibri" w:cs="Calibri"/>
          <w:sz w:val="24"/>
          <w:szCs w:val="24"/>
        </w:rPr>
        <w:t>“</w:t>
      </w:r>
      <w:r w:rsidRPr="007C2C97">
        <w:rPr>
          <w:rFonts w:ascii="Calibri" w:hAnsi="Calibri" w:cs="Calibri"/>
          <w:sz w:val="24"/>
          <w:szCs w:val="24"/>
        </w:rPr>
        <w:t>central sprites</w:t>
      </w:r>
      <w:r>
        <w:rPr>
          <w:rFonts w:ascii="Calibri" w:hAnsi="Calibri" w:cs="Calibri"/>
          <w:sz w:val="24"/>
          <w:szCs w:val="24"/>
        </w:rPr>
        <w:t>”</w:t>
      </w:r>
      <w:r w:rsidRPr="007C2C97">
        <w:rPr>
          <w:rFonts w:ascii="Calibri" w:hAnsi="Calibri" w:cs="Calibri"/>
          <w:sz w:val="24"/>
          <w:szCs w:val="24"/>
        </w:rPr>
        <w:t xml:space="preserve"> </w:t>
      </w:r>
      <w:r>
        <w:rPr>
          <w:rFonts w:ascii="Calibri" w:hAnsi="Calibri" w:cs="Calibri"/>
          <w:sz w:val="24"/>
          <w:szCs w:val="24"/>
        </w:rPr>
        <w:t>(Pullman, 2012, p.</w:t>
      </w:r>
      <w:r w:rsidR="00E36F46">
        <w:rPr>
          <w:rFonts w:ascii="Calibri" w:hAnsi="Calibri" w:cs="Calibri"/>
          <w:sz w:val="24"/>
          <w:szCs w:val="24"/>
        </w:rPr>
        <w:t xml:space="preserve"> </w:t>
      </w:r>
      <w:r>
        <w:rPr>
          <w:rFonts w:ascii="Calibri" w:hAnsi="Calibri" w:cs="Calibri"/>
          <w:sz w:val="24"/>
          <w:szCs w:val="24"/>
        </w:rPr>
        <w:t xml:space="preserve">xx) </w:t>
      </w:r>
      <w:r w:rsidRPr="007C2C97">
        <w:rPr>
          <w:rFonts w:ascii="Calibri" w:hAnsi="Calibri" w:cs="Calibri"/>
          <w:sz w:val="24"/>
          <w:szCs w:val="24"/>
        </w:rPr>
        <w:t xml:space="preserve">in the conceptual framework (Chapter </w:t>
      </w:r>
      <w:r w:rsidR="008504B2">
        <w:rPr>
          <w:rFonts w:ascii="Calibri" w:hAnsi="Calibri" w:cs="Calibri"/>
          <w:sz w:val="24"/>
          <w:szCs w:val="24"/>
        </w:rPr>
        <w:t>Three</w:t>
      </w:r>
      <w:r w:rsidRPr="007C2C97">
        <w:rPr>
          <w:rFonts w:ascii="Calibri" w:hAnsi="Calibri" w:cs="Calibri"/>
          <w:sz w:val="24"/>
          <w:szCs w:val="24"/>
        </w:rPr>
        <w:t>) which serve to weave a new</w:t>
      </w:r>
      <w:r w:rsidR="00A9544F">
        <w:rPr>
          <w:rFonts w:ascii="Calibri" w:hAnsi="Calibri" w:cs="Calibri"/>
          <w:sz w:val="24"/>
          <w:szCs w:val="24"/>
        </w:rPr>
        <w:t>, future</w:t>
      </w:r>
      <w:r w:rsidRPr="007C2C97">
        <w:rPr>
          <w:rFonts w:ascii="Calibri" w:hAnsi="Calibri" w:cs="Calibri"/>
          <w:sz w:val="24"/>
          <w:szCs w:val="24"/>
        </w:rPr>
        <w:t xml:space="preserve"> story</w:t>
      </w:r>
      <w:bookmarkEnd w:id="86"/>
      <w:r w:rsidR="00A9544F">
        <w:rPr>
          <w:rFonts w:ascii="Calibri" w:hAnsi="Calibri" w:cs="Calibri"/>
          <w:sz w:val="24"/>
          <w:szCs w:val="24"/>
        </w:rPr>
        <w:t>.</w:t>
      </w:r>
    </w:p>
    <w:p w14:paraId="35227E9E" w14:textId="14C40A1C" w:rsidR="00BF61A6" w:rsidRPr="00CC6F0B" w:rsidRDefault="00BF61A6" w:rsidP="00CC6F0B">
      <w:pPr>
        <w:spacing w:line="360" w:lineRule="auto"/>
        <w:ind w:left="2160" w:firstLine="720"/>
        <w:rPr>
          <w:rFonts w:ascii="Calibri" w:hAnsi="Calibri" w:cs="Calibri"/>
          <w:sz w:val="24"/>
          <w:szCs w:val="24"/>
        </w:rPr>
      </w:pPr>
      <w:r w:rsidRPr="00055821">
        <w:rPr>
          <w:rFonts w:ascii="Calibri" w:hAnsi="Calibri" w:cs="Calibri"/>
          <w:i/>
          <w:iCs/>
          <w:sz w:val="24"/>
          <w:szCs w:val="24"/>
        </w:rPr>
        <w:t xml:space="preserve">Table </w:t>
      </w:r>
      <w:r w:rsidR="00F43ADA" w:rsidRPr="00055821">
        <w:rPr>
          <w:rFonts w:ascii="Calibri" w:hAnsi="Calibri" w:cs="Calibri"/>
          <w:i/>
          <w:iCs/>
          <w:sz w:val="24"/>
          <w:szCs w:val="24"/>
        </w:rPr>
        <w:t>13</w:t>
      </w:r>
      <w:r w:rsidRPr="00055821">
        <w:rPr>
          <w:rFonts w:ascii="Calibri" w:hAnsi="Calibri" w:cs="Calibri"/>
          <w:i/>
          <w:iCs/>
          <w:sz w:val="24"/>
          <w:szCs w:val="24"/>
        </w:rPr>
        <w:t xml:space="preserve">: Gaps identified </w:t>
      </w:r>
    </w:p>
    <w:tbl>
      <w:tblPr>
        <w:tblStyle w:val="TableGrid"/>
        <w:tblW w:w="0" w:type="auto"/>
        <w:tblLook w:val="04A0" w:firstRow="1" w:lastRow="0" w:firstColumn="1" w:lastColumn="0" w:noHBand="0" w:noVBand="1"/>
      </w:tblPr>
      <w:tblGrid>
        <w:gridCol w:w="8926"/>
      </w:tblGrid>
      <w:tr w:rsidR="00BF61A6" w14:paraId="13943971" w14:textId="77777777" w:rsidTr="007B1621">
        <w:trPr>
          <w:trHeight w:val="264"/>
        </w:trPr>
        <w:tc>
          <w:tcPr>
            <w:tcW w:w="8926" w:type="dxa"/>
          </w:tcPr>
          <w:p w14:paraId="1E404296" w14:textId="77777777" w:rsidR="00BF61A6" w:rsidRPr="006462A9" w:rsidRDefault="00BF61A6" w:rsidP="00F628D7">
            <w:pPr>
              <w:rPr>
                <w:rFonts w:ascii="Calibri" w:hAnsi="Calibri" w:cs="Calibri"/>
                <w:b/>
                <w:bCs/>
                <w:sz w:val="24"/>
                <w:szCs w:val="24"/>
              </w:rPr>
            </w:pPr>
            <w:r>
              <w:rPr>
                <w:rFonts w:ascii="Calibri" w:hAnsi="Calibri" w:cs="Calibri"/>
                <w:sz w:val="24"/>
                <w:szCs w:val="24"/>
              </w:rPr>
              <w:t xml:space="preserve">                 </w:t>
            </w:r>
            <w:r w:rsidRPr="006462A9">
              <w:rPr>
                <w:rFonts w:ascii="Calibri" w:hAnsi="Calibri" w:cs="Calibri"/>
                <w:b/>
                <w:bCs/>
                <w:sz w:val="24"/>
                <w:szCs w:val="24"/>
              </w:rPr>
              <w:t xml:space="preserve">  Gaps in literature identified in the literature review (Chapter </w:t>
            </w:r>
            <w:r w:rsidR="008504B2" w:rsidRPr="006462A9">
              <w:rPr>
                <w:rFonts w:ascii="Calibri" w:hAnsi="Calibri" w:cs="Calibri"/>
                <w:b/>
                <w:bCs/>
                <w:sz w:val="24"/>
                <w:szCs w:val="24"/>
              </w:rPr>
              <w:t>Three</w:t>
            </w:r>
            <w:r w:rsidRPr="006462A9">
              <w:rPr>
                <w:rFonts w:ascii="Calibri" w:hAnsi="Calibri" w:cs="Calibri"/>
                <w:b/>
                <w:bCs/>
                <w:sz w:val="24"/>
                <w:szCs w:val="24"/>
              </w:rPr>
              <w:t>)</w:t>
            </w:r>
          </w:p>
          <w:p w14:paraId="07604719" w14:textId="4D47BF15" w:rsidR="006462A9" w:rsidRPr="00F65DB8" w:rsidRDefault="006462A9" w:rsidP="00F628D7">
            <w:pPr>
              <w:rPr>
                <w:rFonts w:ascii="Calibri" w:hAnsi="Calibri" w:cs="Calibri"/>
                <w:sz w:val="24"/>
                <w:szCs w:val="24"/>
              </w:rPr>
            </w:pPr>
          </w:p>
        </w:tc>
      </w:tr>
      <w:tr w:rsidR="00BF61A6" w14:paraId="43A1EC3E" w14:textId="77777777" w:rsidTr="007B1621">
        <w:trPr>
          <w:trHeight w:val="249"/>
        </w:trPr>
        <w:tc>
          <w:tcPr>
            <w:tcW w:w="8926" w:type="dxa"/>
          </w:tcPr>
          <w:p w14:paraId="5F97425F" w14:textId="77777777" w:rsidR="00BF61A6" w:rsidRDefault="00BF61A6" w:rsidP="00F628D7">
            <w:pPr>
              <w:pStyle w:val="ListParagraph"/>
              <w:numPr>
                <w:ilvl w:val="0"/>
                <w:numId w:val="10"/>
              </w:numPr>
              <w:spacing w:after="0" w:line="240" w:lineRule="auto"/>
              <w:rPr>
                <w:rFonts w:ascii="Calibri" w:hAnsi="Calibri" w:cs="Calibri"/>
              </w:rPr>
            </w:pPr>
            <w:r w:rsidRPr="000724CF">
              <w:rPr>
                <w:rFonts w:ascii="Calibri" w:hAnsi="Calibri" w:cs="Calibri"/>
              </w:rPr>
              <w:t>Soft skills in present-day students</w:t>
            </w:r>
          </w:p>
          <w:p w14:paraId="2E3BB52B" w14:textId="6B499B66" w:rsidR="007B1621" w:rsidRPr="00DD74F6" w:rsidRDefault="007B1621" w:rsidP="007B1621">
            <w:pPr>
              <w:pStyle w:val="ListParagraph"/>
              <w:spacing w:after="0" w:line="240" w:lineRule="auto"/>
              <w:rPr>
                <w:rFonts w:ascii="Calibri" w:hAnsi="Calibri" w:cs="Calibri"/>
              </w:rPr>
            </w:pPr>
          </w:p>
        </w:tc>
      </w:tr>
      <w:tr w:rsidR="00BF61A6" w14:paraId="0526F2B8" w14:textId="77777777" w:rsidTr="007B1621">
        <w:trPr>
          <w:trHeight w:val="264"/>
        </w:trPr>
        <w:tc>
          <w:tcPr>
            <w:tcW w:w="8926" w:type="dxa"/>
          </w:tcPr>
          <w:p w14:paraId="72B4A737" w14:textId="77777777" w:rsidR="00BF61A6" w:rsidRDefault="00BF61A6" w:rsidP="00F628D7">
            <w:pPr>
              <w:pStyle w:val="ListParagraph"/>
              <w:numPr>
                <w:ilvl w:val="0"/>
                <w:numId w:val="10"/>
              </w:numPr>
              <w:spacing w:after="0" w:line="240" w:lineRule="auto"/>
              <w:rPr>
                <w:rFonts w:ascii="Calibri" w:hAnsi="Calibri" w:cs="Calibri"/>
              </w:rPr>
            </w:pPr>
            <w:r w:rsidRPr="000724CF">
              <w:rPr>
                <w:rFonts w:ascii="Calibri" w:hAnsi="Calibri" w:cs="Calibri"/>
              </w:rPr>
              <w:t>Soft skills development in teacher training</w:t>
            </w:r>
          </w:p>
          <w:p w14:paraId="73079689" w14:textId="336EC0BC" w:rsidR="007B1621" w:rsidRPr="00EE1D3D" w:rsidRDefault="007B1621" w:rsidP="007B1621">
            <w:pPr>
              <w:pStyle w:val="ListParagraph"/>
              <w:spacing w:after="0" w:line="240" w:lineRule="auto"/>
              <w:rPr>
                <w:rFonts w:ascii="Calibri" w:hAnsi="Calibri" w:cs="Calibri"/>
              </w:rPr>
            </w:pPr>
          </w:p>
        </w:tc>
      </w:tr>
      <w:tr w:rsidR="00BF61A6" w14:paraId="11C63123" w14:textId="77777777" w:rsidTr="007B1621">
        <w:trPr>
          <w:trHeight w:val="264"/>
        </w:trPr>
        <w:tc>
          <w:tcPr>
            <w:tcW w:w="8926" w:type="dxa"/>
          </w:tcPr>
          <w:p w14:paraId="1FBFF1A8" w14:textId="77777777" w:rsidR="00BF61A6" w:rsidRDefault="00BF61A6" w:rsidP="00EE1D3D">
            <w:pPr>
              <w:pStyle w:val="ListParagraph"/>
              <w:numPr>
                <w:ilvl w:val="0"/>
                <w:numId w:val="10"/>
              </w:numPr>
              <w:spacing w:after="0" w:line="240" w:lineRule="auto"/>
              <w:rPr>
                <w:rFonts w:ascii="Calibri" w:hAnsi="Calibri" w:cs="Calibri"/>
              </w:rPr>
            </w:pPr>
            <w:r>
              <w:rPr>
                <w:rFonts w:ascii="Calibri" w:hAnsi="Calibri" w:cs="Calibri"/>
              </w:rPr>
              <w:t>Recognition of support for transitions into the learning process</w:t>
            </w:r>
          </w:p>
          <w:p w14:paraId="4DFD8438" w14:textId="50088EFA" w:rsidR="007B1621" w:rsidRPr="00EE1D3D" w:rsidRDefault="007B1621" w:rsidP="007B1621">
            <w:pPr>
              <w:pStyle w:val="ListParagraph"/>
              <w:spacing w:after="0" w:line="240" w:lineRule="auto"/>
              <w:rPr>
                <w:rFonts w:ascii="Calibri" w:hAnsi="Calibri" w:cs="Calibri"/>
              </w:rPr>
            </w:pPr>
          </w:p>
        </w:tc>
      </w:tr>
      <w:tr w:rsidR="00BF61A6" w14:paraId="68D18BC1" w14:textId="77777777" w:rsidTr="007B1621">
        <w:trPr>
          <w:trHeight w:val="275"/>
        </w:trPr>
        <w:tc>
          <w:tcPr>
            <w:tcW w:w="8926" w:type="dxa"/>
          </w:tcPr>
          <w:p w14:paraId="09EBF895" w14:textId="77777777" w:rsidR="00BF61A6" w:rsidRDefault="00BF61A6" w:rsidP="00F628D7">
            <w:pPr>
              <w:pStyle w:val="ListParagraph"/>
              <w:numPr>
                <w:ilvl w:val="0"/>
                <w:numId w:val="10"/>
              </w:numPr>
              <w:spacing w:after="0" w:line="240" w:lineRule="auto"/>
              <w:rPr>
                <w:rFonts w:ascii="Calibri" w:hAnsi="Calibri" w:cs="Calibri"/>
              </w:rPr>
            </w:pPr>
            <w:r w:rsidRPr="000724CF">
              <w:rPr>
                <w:rFonts w:ascii="Calibri" w:hAnsi="Calibri" w:cs="Calibri"/>
              </w:rPr>
              <w:t>Pastoral duty awareness</w:t>
            </w:r>
            <w:r>
              <w:rPr>
                <w:rFonts w:ascii="Calibri" w:hAnsi="Calibri" w:cs="Calibri"/>
              </w:rPr>
              <w:t xml:space="preserve"> in the HE teacher role </w:t>
            </w:r>
          </w:p>
          <w:p w14:paraId="71B5DC4E" w14:textId="57E54A5E" w:rsidR="007B1621" w:rsidRPr="007B1621" w:rsidRDefault="007B1621" w:rsidP="007B1621">
            <w:pPr>
              <w:ind w:left="360"/>
              <w:rPr>
                <w:rFonts w:ascii="Calibri" w:hAnsi="Calibri" w:cs="Calibri"/>
              </w:rPr>
            </w:pPr>
          </w:p>
        </w:tc>
      </w:tr>
      <w:tr w:rsidR="00BF61A6" w14:paraId="2DCF56C5" w14:textId="77777777" w:rsidTr="007B1621">
        <w:trPr>
          <w:trHeight w:val="264"/>
        </w:trPr>
        <w:tc>
          <w:tcPr>
            <w:tcW w:w="8926" w:type="dxa"/>
          </w:tcPr>
          <w:p w14:paraId="3971D32C" w14:textId="77777777" w:rsidR="00BF61A6" w:rsidRDefault="00BF61A6" w:rsidP="00F628D7">
            <w:pPr>
              <w:pStyle w:val="ListParagraph"/>
              <w:numPr>
                <w:ilvl w:val="0"/>
                <w:numId w:val="10"/>
              </w:numPr>
              <w:spacing w:after="0" w:line="240" w:lineRule="auto"/>
              <w:rPr>
                <w:rFonts w:ascii="Calibri" w:hAnsi="Calibri" w:cs="Calibri"/>
              </w:rPr>
            </w:pPr>
            <w:r w:rsidRPr="000724CF">
              <w:rPr>
                <w:rFonts w:ascii="Calibri" w:hAnsi="Calibri" w:cs="Calibri"/>
              </w:rPr>
              <w:t xml:space="preserve">Pastoral support for teachers </w:t>
            </w:r>
          </w:p>
          <w:p w14:paraId="62568F96" w14:textId="42F11258" w:rsidR="007B1621" w:rsidRPr="00EE1D3D" w:rsidRDefault="007B1621" w:rsidP="007B1621">
            <w:pPr>
              <w:pStyle w:val="ListParagraph"/>
              <w:spacing w:after="0" w:line="240" w:lineRule="auto"/>
              <w:rPr>
                <w:rFonts w:ascii="Calibri" w:hAnsi="Calibri" w:cs="Calibri"/>
              </w:rPr>
            </w:pPr>
          </w:p>
        </w:tc>
      </w:tr>
      <w:tr w:rsidR="00BF61A6" w14:paraId="73518516" w14:textId="77777777" w:rsidTr="007B1621">
        <w:trPr>
          <w:trHeight w:val="528"/>
        </w:trPr>
        <w:tc>
          <w:tcPr>
            <w:tcW w:w="8926" w:type="dxa"/>
          </w:tcPr>
          <w:p w14:paraId="06407EEA" w14:textId="77777777" w:rsidR="00BF61A6" w:rsidRPr="000724CF" w:rsidRDefault="00BF61A6" w:rsidP="00495434">
            <w:pPr>
              <w:pStyle w:val="ListParagraph"/>
              <w:numPr>
                <w:ilvl w:val="0"/>
                <w:numId w:val="10"/>
              </w:numPr>
              <w:spacing w:after="0" w:line="240" w:lineRule="auto"/>
              <w:rPr>
                <w:rFonts w:ascii="Calibri" w:hAnsi="Calibri" w:cs="Calibri"/>
              </w:rPr>
            </w:pPr>
            <w:r w:rsidRPr="000724CF">
              <w:rPr>
                <w:rFonts w:ascii="Calibri" w:hAnsi="Calibri" w:cs="Calibri"/>
              </w:rPr>
              <w:t>Meaning, value and application of reflective practice</w:t>
            </w:r>
          </w:p>
        </w:tc>
      </w:tr>
      <w:tr w:rsidR="00BF61A6" w14:paraId="4ECE0C41" w14:textId="77777777" w:rsidTr="007B1621">
        <w:trPr>
          <w:trHeight w:val="528"/>
        </w:trPr>
        <w:tc>
          <w:tcPr>
            <w:tcW w:w="8926" w:type="dxa"/>
          </w:tcPr>
          <w:p w14:paraId="196B9208" w14:textId="77777777" w:rsidR="00BF61A6" w:rsidRPr="000724CF" w:rsidRDefault="00BF61A6" w:rsidP="00495434">
            <w:pPr>
              <w:pStyle w:val="ListParagraph"/>
              <w:numPr>
                <w:ilvl w:val="0"/>
                <w:numId w:val="10"/>
              </w:numPr>
              <w:spacing w:after="0" w:line="240" w:lineRule="auto"/>
              <w:rPr>
                <w:rFonts w:ascii="Calibri" w:hAnsi="Calibri" w:cs="Calibri"/>
              </w:rPr>
            </w:pPr>
            <w:r>
              <w:rPr>
                <w:rFonts w:ascii="Calibri" w:hAnsi="Calibri" w:cs="Calibri"/>
              </w:rPr>
              <w:t>The role emotions play in learning</w:t>
            </w:r>
          </w:p>
        </w:tc>
      </w:tr>
      <w:tr w:rsidR="00BF61A6" w14:paraId="416E8325" w14:textId="77777777" w:rsidTr="007B1621">
        <w:trPr>
          <w:trHeight w:val="539"/>
        </w:trPr>
        <w:tc>
          <w:tcPr>
            <w:tcW w:w="8926" w:type="dxa"/>
          </w:tcPr>
          <w:p w14:paraId="51B9012A" w14:textId="77777777" w:rsidR="00BF61A6" w:rsidRPr="000724CF" w:rsidRDefault="00BF61A6" w:rsidP="00495434">
            <w:pPr>
              <w:pStyle w:val="ListParagraph"/>
              <w:numPr>
                <w:ilvl w:val="0"/>
                <w:numId w:val="10"/>
              </w:numPr>
              <w:spacing w:after="0" w:line="240" w:lineRule="auto"/>
              <w:rPr>
                <w:rFonts w:ascii="Calibri" w:hAnsi="Calibri" w:cs="Calibri"/>
              </w:rPr>
            </w:pPr>
            <w:r w:rsidRPr="000724CF">
              <w:rPr>
                <w:rFonts w:ascii="Calibri" w:hAnsi="Calibri" w:cs="Calibri"/>
              </w:rPr>
              <w:t>Reflective practice as a well-being tool/restorative device</w:t>
            </w:r>
          </w:p>
        </w:tc>
      </w:tr>
      <w:tr w:rsidR="00BF61A6" w14:paraId="6125F1F8" w14:textId="77777777" w:rsidTr="007B1621">
        <w:trPr>
          <w:trHeight w:val="528"/>
        </w:trPr>
        <w:tc>
          <w:tcPr>
            <w:tcW w:w="8926" w:type="dxa"/>
          </w:tcPr>
          <w:p w14:paraId="47AA08F1" w14:textId="77777777" w:rsidR="00BF61A6" w:rsidRPr="000724CF" w:rsidRDefault="00BF61A6" w:rsidP="00495434">
            <w:pPr>
              <w:pStyle w:val="ListParagraph"/>
              <w:numPr>
                <w:ilvl w:val="0"/>
                <w:numId w:val="10"/>
              </w:numPr>
              <w:spacing w:after="0" w:line="240" w:lineRule="auto"/>
              <w:rPr>
                <w:rFonts w:ascii="Calibri" w:hAnsi="Calibri" w:cs="Calibri"/>
              </w:rPr>
            </w:pPr>
            <w:r w:rsidRPr="000724CF">
              <w:rPr>
                <w:rFonts w:ascii="Calibri" w:hAnsi="Calibri" w:cs="Calibri"/>
              </w:rPr>
              <w:t>Consideration of the conditions for reflective practice</w:t>
            </w:r>
          </w:p>
        </w:tc>
      </w:tr>
      <w:tr w:rsidR="00BF61A6" w14:paraId="06505B47" w14:textId="77777777" w:rsidTr="007B1621">
        <w:trPr>
          <w:trHeight w:val="528"/>
        </w:trPr>
        <w:tc>
          <w:tcPr>
            <w:tcW w:w="8926" w:type="dxa"/>
          </w:tcPr>
          <w:p w14:paraId="07C0B0EE" w14:textId="77777777" w:rsidR="00BF61A6" w:rsidRPr="000724CF" w:rsidRDefault="00BF61A6" w:rsidP="00495434">
            <w:pPr>
              <w:pStyle w:val="ListParagraph"/>
              <w:numPr>
                <w:ilvl w:val="0"/>
                <w:numId w:val="10"/>
              </w:numPr>
              <w:spacing w:after="0" w:line="240" w:lineRule="auto"/>
              <w:rPr>
                <w:rFonts w:ascii="Calibri" w:hAnsi="Calibri" w:cs="Calibri"/>
              </w:rPr>
            </w:pPr>
            <w:r w:rsidRPr="000724CF">
              <w:rPr>
                <w:rFonts w:ascii="Calibri" w:hAnsi="Calibri" w:cs="Calibri"/>
              </w:rPr>
              <w:t>The value and importance of holding/support mechanisms for HE teachers</w:t>
            </w:r>
          </w:p>
        </w:tc>
      </w:tr>
      <w:tr w:rsidR="00BF61A6" w14:paraId="7A820560" w14:textId="77777777" w:rsidTr="007B1621">
        <w:trPr>
          <w:trHeight w:val="264"/>
        </w:trPr>
        <w:tc>
          <w:tcPr>
            <w:tcW w:w="8926" w:type="dxa"/>
          </w:tcPr>
          <w:p w14:paraId="53CA6AD7" w14:textId="77777777" w:rsidR="00BF61A6" w:rsidRDefault="00BF61A6" w:rsidP="00495434">
            <w:pPr>
              <w:pStyle w:val="ListParagraph"/>
              <w:numPr>
                <w:ilvl w:val="0"/>
                <w:numId w:val="10"/>
              </w:numPr>
              <w:spacing w:after="0" w:line="240" w:lineRule="auto"/>
              <w:rPr>
                <w:rFonts w:ascii="Calibri" w:hAnsi="Calibri" w:cs="Calibri"/>
              </w:rPr>
            </w:pPr>
            <w:r w:rsidRPr="000724CF">
              <w:rPr>
                <w:rFonts w:ascii="Calibri" w:hAnsi="Calibri" w:cs="Calibri"/>
              </w:rPr>
              <w:t>An ethic of care for HE teachers</w:t>
            </w:r>
          </w:p>
          <w:p w14:paraId="17718EDA" w14:textId="77777777" w:rsidR="00BF61A6" w:rsidRPr="006462A9" w:rsidRDefault="00BF61A6" w:rsidP="006462A9">
            <w:pPr>
              <w:ind w:left="360"/>
              <w:rPr>
                <w:rFonts w:ascii="Calibri" w:hAnsi="Calibri" w:cs="Calibri"/>
              </w:rPr>
            </w:pPr>
          </w:p>
        </w:tc>
      </w:tr>
      <w:tr w:rsidR="00BF61A6" w14:paraId="6F2AE19C" w14:textId="77777777" w:rsidTr="007B1621">
        <w:trPr>
          <w:trHeight w:val="264"/>
        </w:trPr>
        <w:tc>
          <w:tcPr>
            <w:tcW w:w="8926" w:type="dxa"/>
          </w:tcPr>
          <w:p w14:paraId="69153F50" w14:textId="77777777" w:rsidR="00BF61A6" w:rsidRPr="000724CF" w:rsidRDefault="00BF61A6" w:rsidP="00495434">
            <w:pPr>
              <w:pStyle w:val="ListParagraph"/>
              <w:numPr>
                <w:ilvl w:val="0"/>
                <w:numId w:val="10"/>
              </w:numPr>
              <w:spacing w:after="0" w:line="240" w:lineRule="auto"/>
              <w:rPr>
                <w:rFonts w:ascii="Calibri" w:hAnsi="Calibri" w:cs="Calibri"/>
              </w:rPr>
            </w:pPr>
            <w:r>
              <w:rPr>
                <w:rFonts w:ascii="Calibri" w:hAnsi="Calibri" w:cs="Calibri"/>
              </w:rPr>
              <w:t>The importance of some form of “supervision” and of holding the reflective practice process with ethics, care and the reflector in mind</w:t>
            </w:r>
          </w:p>
        </w:tc>
      </w:tr>
    </w:tbl>
    <w:p w14:paraId="5769B70D" w14:textId="303ED9B6" w:rsidR="006C6C0C" w:rsidRPr="00A606FB" w:rsidRDefault="00A95E2B" w:rsidP="00A606FB">
      <w:pPr>
        <w:spacing w:line="360" w:lineRule="auto"/>
        <w:rPr>
          <w:rFonts w:ascii="Calibri" w:hAnsi="Calibri" w:cs="Calibri"/>
          <w:sz w:val="24"/>
          <w:szCs w:val="24"/>
        </w:rPr>
      </w:pPr>
      <w:r w:rsidRPr="00A606FB">
        <w:rPr>
          <w:rFonts w:ascii="Calibri" w:hAnsi="Calibri" w:cs="Calibri"/>
          <w:sz w:val="24"/>
          <w:szCs w:val="24"/>
        </w:rPr>
        <w:lastRenderedPageBreak/>
        <w:t xml:space="preserve">As a note for the reader, </w:t>
      </w:r>
      <w:r w:rsidR="00C44A34" w:rsidRPr="00A606FB">
        <w:rPr>
          <w:rFonts w:ascii="Calibri" w:hAnsi="Calibri" w:cs="Calibri"/>
          <w:sz w:val="24"/>
          <w:szCs w:val="24"/>
        </w:rPr>
        <w:t xml:space="preserve">the research questions are not in order </w:t>
      </w:r>
      <w:r w:rsidR="004B1B7E" w:rsidRPr="00A606FB">
        <w:rPr>
          <w:rFonts w:ascii="Calibri" w:hAnsi="Calibri" w:cs="Calibri"/>
          <w:sz w:val="24"/>
          <w:szCs w:val="24"/>
        </w:rPr>
        <w:t xml:space="preserve">as they appear in Table 3 </w:t>
      </w:r>
      <w:r w:rsidR="00B77ACF" w:rsidRPr="00A606FB">
        <w:rPr>
          <w:rFonts w:ascii="Calibri" w:hAnsi="Calibri" w:cs="Calibri"/>
          <w:sz w:val="24"/>
          <w:szCs w:val="24"/>
        </w:rPr>
        <w:t xml:space="preserve">by necessity, as the cadence of the analysis </w:t>
      </w:r>
      <w:r w:rsidR="004B41EF" w:rsidRPr="00A606FB">
        <w:rPr>
          <w:rFonts w:ascii="Calibri" w:hAnsi="Calibri" w:cs="Calibri"/>
          <w:sz w:val="24"/>
          <w:szCs w:val="24"/>
        </w:rPr>
        <w:t xml:space="preserve">dictated a different </w:t>
      </w:r>
      <w:r w:rsidR="00A606FB" w:rsidRPr="00A606FB">
        <w:rPr>
          <w:rFonts w:ascii="Calibri" w:hAnsi="Calibri" w:cs="Calibri"/>
          <w:sz w:val="24"/>
          <w:szCs w:val="24"/>
        </w:rPr>
        <w:t>direction of travel.</w:t>
      </w:r>
    </w:p>
    <w:p w14:paraId="2DC0484C" w14:textId="30EB8C14" w:rsidR="00BF61A6" w:rsidRPr="00372EFA" w:rsidRDefault="00BF61A6" w:rsidP="000C7580">
      <w:pPr>
        <w:rPr>
          <w:rFonts w:ascii="Calibri" w:hAnsi="Calibri" w:cs="Calibri"/>
          <w:b/>
          <w:bCs/>
          <w:sz w:val="24"/>
          <w:szCs w:val="24"/>
        </w:rPr>
      </w:pPr>
      <w:r w:rsidRPr="00372EFA">
        <w:rPr>
          <w:rFonts w:ascii="Calibri" w:hAnsi="Calibri" w:cs="Calibri"/>
          <w:b/>
          <w:bCs/>
          <w:sz w:val="24"/>
          <w:szCs w:val="24"/>
        </w:rPr>
        <w:t>Theme 1: Into the Woods</w:t>
      </w:r>
    </w:p>
    <w:p w14:paraId="44A26094" w14:textId="77777777" w:rsidR="00BF61A6" w:rsidRDefault="00BF61A6" w:rsidP="00A669ED">
      <w:pPr>
        <w:rPr>
          <w:rFonts w:ascii="Calibri" w:hAnsi="Calibri" w:cs="Calibri"/>
          <w:sz w:val="24"/>
          <w:szCs w:val="24"/>
        </w:rPr>
      </w:pPr>
      <w:r w:rsidRPr="00BE161D">
        <w:rPr>
          <w:rFonts w:ascii="Calibri" w:hAnsi="Calibri" w:cs="Calibri"/>
          <w:b/>
          <w:bCs/>
          <w:sz w:val="24"/>
          <w:szCs w:val="24"/>
        </w:rPr>
        <w:t>Overarching research question:</w:t>
      </w:r>
      <w:r w:rsidRPr="00BE161D">
        <w:rPr>
          <w:rFonts w:ascii="Calibri" w:eastAsia="Calibri" w:hAnsi="Calibri" w:cs="Times New Roman"/>
          <w:b/>
          <w:bCs/>
          <w:sz w:val="24"/>
          <w:szCs w:val="24"/>
          <w:lang w:val="en-US"/>
        </w:rPr>
        <w:t xml:space="preserve"> </w:t>
      </w:r>
      <w:r w:rsidRPr="00BE161D">
        <w:rPr>
          <w:rFonts w:ascii="Calibri" w:hAnsi="Calibri" w:cs="Calibri"/>
          <w:b/>
          <w:bCs/>
          <w:sz w:val="24"/>
          <w:szCs w:val="24"/>
          <w:lang w:val="en-US"/>
        </w:rPr>
        <w:t>What are the lived experiences of HE teachers?</w:t>
      </w:r>
    </w:p>
    <w:p w14:paraId="245FE6DB" w14:textId="1FB99649" w:rsidR="00BF61A6" w:rsidRPr="001E2B7E" w:rsidRDefault="00BF61A6" w:rsidP="004F789A">
      <w:pPr>
        <w:rPr>
          <w:rFonts w:ascii="Calibri" w:eastAsia="Calibri" w:hAnsi="Calibri" w:cs="Times New Roman"/>
          <w:b/>
          <w:bCs/>
          <w:sz w:val="24"/>
          <w:szCs w:val="24"/>
          <w:lang w:val="en-US"/>
        </w:rPr>
      </w:pPr>
      <w:r w:rsidRPr="001E2B7E">
        <w:rPr>
          <w:rFonts w:ascii="Calibri" w:hAnsi="Calibri" w:cs="Calibri"/>
          <w:b/>
          <w:bCs/>
          <w:sz w:val="24"/>
          <w:szCs w:val="24"/>
        </w:rPr>
        <w:t xml:space="preserve">Research question 1: </w:t>
      </w:r>
      <w:r w:rsidRPr="001E2B7E">
        <w:rPr>
          <w:rFonts w:ascii="Calibri" w:eastAsia="Calibri" w:hAnsi="Calibri" w:cs="Times New Roman"/>
          <w:b/>
          <w:bCs/>
          <w:sz w:val="24"/>
          <w:szCs w:val="24"/>
          <w:lang w:val="en-US"/>
        </w:rPr>
        <w:t xml:space="preserve">What are the experiences, perspectives, and reflections of HE </w:t>
      </w:r>
      <w:r w:rsidR="004F789A">
        <w:rPr>
          <w:rFonts w:ascii="Calibri" w:eastAsia="Calibri" w:hAnsi="Calibri" w:cs="Times New Roman"/>
          <w:b/>
          <w:bCs/>
          <w:sz w:val="24"/>
          <w:szCs w:val="24"/>
          <w:lang w:val="en-US"/>
        </w:rPr>
        <w:t xml:space="preserve">    </w:t>
      </w:r>
      <w:r w:rsidRPr="001E2B7E">
        <w:rPr>
          <w:rFonts w:ascii="Calibri" w:eastAsia="Calibri" w:hAnsi="Calibri" w:cs="Times New Roman"/>
          <w:b/>
          <w:bCs/>
          <w:sz w:val="24"/>
          <w:szCs w:val="24"/>
          <w:lang w:val="en-US"/>
        </w:rPr>
        <w:t>teachers on their teaching, and teacher training journeys?</w:t>
      </w:r>
    </w:p>
    <w:p w14:paraId="0E283847" w14:textId="77777777" w:rsidR="00BF61A6" w:rsidRPr="00E37D65" w:rsidRDefault="00BF61A6" w:rsidP="00B34100">
      <w:pPr>
        <w:spacing w:line="360" w:lineRule="auto"/>
        <w:rPr>
          <w:rFonts w:ascii="Calibri" w:hAnsi="Calibri" w:cs="Calibri"/>
          <w:sz w:val="24"/>
          <w:szCs w:val="24"/>
        </w:rPr>
      </w:pPr>
      <w:r w:rsidRPr="00E37D65">
        <w:rPr>
          <w:rFonts w:ascii="Calibri" w:hAnsi="Calibri" w:cs="Calibri"/>
          <w:sz w:val="24"/>
          <w:szCs w:val="24"/>
        </w:rPr>
        <w:t xml:space="preserve">By eliciting the lived experience of participants, </w:t>
      </w:r>
      <w:r w:rsidRPr="002F4A41">
        <w:rPr>
          <w:rFonts w:ascii="Calibri" w:hAnsi="Calibri" w:cs="Calibri"/>
          <w:sz w:val="24"/>
          <w:szCs w:val="24"/>
        </w:rPr>
        <w:t>“an experience from within, not from without” (Lindseth and Norberg, 2004, p.146)</w:t>
      </w:r>
      <w:r>
        <w:rPr>
          <w:rFonts w:ascii="Calibri" w:hAnsi="Calibri" w:cs="Calibri"/>
          <w:sz w:val="24"/>
          <w:szCs w:val="24"/>
        </w:rPr>
        <w:t>,</w:t>
      </w:r>
      <w:r w:rsidRPr="002F4A41">
        <w:rPr>
          <w:rFonts w:ascii="Calibri" w:hAnsi="Calibri" w:cs="Calibri"/>
          <w:sz w:val="24"/>
          <w:szCs w:val="24"/>
        </w:rPr>
        <w:t xml:space="preserve"> </w:t>
      </w:r>
      <w:r w:rsidRPr="00E37D65">
        <w:rPr>
          <w:rFonts w:ascii="Calibri" w:hAnsi="Calibri" w:cs="Calibri"/>
          <w:sz w:val="24"/>
          <w:szCs w:val="24"/>
        </w:rPr>
        <w:t xml:space="preserve">the </w:t>
      </w:r>
      <w:r>
        <w:rPr>
          <w:rFonts w:ascii="Calibri" w:hAnsi="Calibri" w:cs="Calibri"/>
          <w:sz w:val="24"/>
          <w:szCs w:val="24"/>
        </w:rPr>
        <w:t>depth, meaning and very</w:t>
      </w:r>
      <w:r w:rsidRPr="00E37D65">
        <w:rPr>
          <w:rFonts w:ascii="Calibri" w:hAnsi="Calibri" w:cs="Calibri"/>
          <w:sz w:val="24"/>
          <w:szCs w:val="24"/>
        </w:rPr>
        <w:t xml:space="preserve"> nature of </w:t>
      </w:r>
      <w:r w:rsidRPr="00CB2E76">
        <w:rPr>
          <w:rFonts w:ascii="Calibri" w:hAnsi="Calibri" w:cs="Calibri"/>
          <w:sz w:val="24"/>
          <w:szCs w:val="24"/>
        </w:rPr>
        <w:t>how</w:t>
      </w:r>
      <w:r w:rsidRPr="00E37D65">
        <w:rPr>
          <w:rFonts w:ascii="Calibri" w:hAnsi="Calibri" w:cs="Calibri"/>
          <w:i/>
          <w:iCs/>
          <w:sz w:val="24"/>
          <w:szCs w:val="24"/>
        </w:rPr>
        <w:t xml:space="preserve"> </w:t>
      </w:r>
      <w:r w:rsidRPr="00E37D65">
        <w:rPr>
          <w:rFonts w:ascii="Calibri" w:hAnsi="Calibri" w:cs="Calibri"/>
          <w:sz w:val="24"/>
          <w:szCs w:val="24"/>
        </w:rPr>
        <w:t>they navigated their learning</w:t>
      </w:r>
      <w:r>
        <w:rPr>
          <w:rFonts w:ascii="Calibri" w:hAnsi="Calibri" w:cs="Calibri"/>
          <w:sz w:val="24"/>
          <w:szCs w:val="24"/>
        </w:rPr>
        <w:t xml:space="preserve"> </w:t>
      </w:r>
      <w:r w:rsidRPr="00E37D65">
        <w:rPr>
          <w:rFonts w:ascii="Calibri" w:hAnsi="Calibri" w:cs="Calibri"/>
          <w:sz w:val="24"/>
          <w:szCs w:val="24"/>
        </w:rPr>
        <w:t xml:space="preserve">and teaching work was identified. The </w:t>
      </w:r>
      <w:r>
        <w:rPr>
          <w:rFonts w:ascii="Calibri" w:hAnsi="Calibri" w:cs="Calibri"/>
          <w:sz w:val="24"/>
          <w:szCs w:val="24"/>
        </w:rPr>
        <w:t>“</w:t>
      </w:r>
      <w:r w:rsidRPr="00AE21B4">
        <w:rPr>
          <w:rFonts w:ascii="Calibri" w:hAnsi="Calibri" w:cs="Calibri"/>
          <w:sz w:val="24"/>
          <w:szCs w:val="24"/>
        </w:rPr>
        <w:t>how</w:t>
      </w:r>
      <w:r>
        <w:rPr>
          <w:rFonts w:ascii="Calibri" w:hAnsi="Calibri" w:cs="Calibri"/>
          <w:sz w:val="24"/>
          <w:szCs w:val="24"/>
        </w:rPr>
        <w:t>”</w:t>
      </w:r>
      <w:r w:rsidRPr="00AE21B4">
        <w:rPr>
          <w:rFonts w:ascii="Calibri" w:hAnsi="Calibri" w:cs="Calibri"/>
          <w:sz w:val="24"/>
          <w:szCs w:val="24"/>
        </w:rPr>
        <w:t xml:space="preserve"> </w:t>
      </w:r>
      <w:r w:rsidRPr="00E37D65">
        <w:rPr>
          <w:rFonts w:ascii="Calibri" w:hAnsi="Calibri" w:cs="Calibri"/>
          <w:sz w:val="24"/>
          <w:szCs w:val="24"/>
        </w:rPr>
        <w:t xml:space="preserve">elucidated the </w:t>
      </w:r>
      <w:r>
        <w:rPr>
          <w:rFonts w:ascii="Calibri" w:hAnsi="Calibri" w:cs="Calibri"/>
          <w:sz w:val="24"/>
          <w:szCs w:val="24"/>
        </w:rPr>
        <w:t>“</w:t>
      </w:r>
      <w:r w:rsidRPr="00AD5BA3">
        <w:rPr>
          <w:rFonts w:ascii="Calibri" w:hAnsi="Calibri" w:cs="Calibri"/>
          <w:sz w:val="24"/>
          <w:szCs w:val="24"/>
        </w:rPr>
        <w:t>what</w:t>
      </w:r>
      <w:r>
        <w:rPr>
          <w:rFonts w:ascii="Calibri" w:hAnsi="Calibri" w:cs="Calibri"/>
          <w:sz w:val="24"/>
          <w:szCs w:val="24"/>
        </w:rPr>
        <w:t>”</w:t>
      </w:r>
      <w:r w:rsidRPr="00E37D65">
        <w:rPr>
          <w:rFonts w:ascii="Calibri" w:hAnsi="Calibri" w:cs="Calibri"/>
          <w:sz w:val="24"/>
          <w:szCs w:val="24"/>
        </w:rPr>
        <w:t xml:space="preserve"> participants identified as </w:t>
      </w:r>
      <w:r>
        <w:rPr>
          <w:rFonts w:ascii="Calibri" w:hAnsi="Calibri" w:cs="Calibri"/>
          <w:sz w:val="24"/>
          <w:szCs w:val="24"/>
        </w:rPr>
        <w:t xml:space="preserve">important </w:t>
      </w:r>
      <w:r w:rsidRPr="00E37D65">
        <w:rPr>
          <w:rFonts w:ascii="Calibri" w:hAnsi="Calibri" w:cs="Calibri"/>
          <w:sz w:val="24"/>
          <w:szCs w:val="24"/>
        </w:rPr>
        <w:t>during their transitions into teacher training, and beyond.</w:t>
      </w:r>
      <w:r>
        <w:rPr>
          <w:rFonts w:ascii="Calibri" w:hAnsi="Calibri" w:cs="Calibri"/>
          <w:sz w:val="24"/>
          <w:szCs w:val="24"/>
        </w:rPr>
        <w:t xml:space="preserve"> </w:t>
      </w:r>
    </w:p>
    <w:p w14:paraId="3803B1AB" w14:textId="77777777" w:rsidR="00BF61A6" w:rsidRPr="00372EFA" w:rsidRDefault="00BF61A6" w:rsidP="00956774">
      <w:pPr>
        <w:spacing w:line="360" w:lineRule="auto"/>
        <w:ind w:firstLine="720"/>
        <w:rPr>
          <w:rFonts w:ascii="Calibri" w:hAnsi="Calibri" w:cs="Calibri"/>
          <w:b/>
          <w:bCs/>
          <w:i/>
          <w:iCs/>
          <w:sz w:val="24"/>
          <w:szCs w:val="24"/>
        </w:rPr>
      </w:pPr>
      <w:r w:rsidRPr="00372EFA">
        <w:rPr>
          <w:rFonts w:ascii="Calibri" w:hAnsi="Calibri" w:cs="Calibri"/>
          <w:b/>
          <w:bCs/>
          <w:i/>
          <w:iCs/>
          <w:sz w:val="24"/>
          <w:szCs w:val="24"/>
        </w:rPr>
        <w:t>Initiation and holding</w:t>
      </w:r>
    </w:p>
    <w:p w14:paraId="00C3B79B" w14:textId="6F60835C" w:rsidR="00BF61A6" w:rsidRDefault="00BF61A6" w:rsidP="00B34100">
      <w:pPr>
        <w:spacing w:line="360" w:lineRule="auto"/>
        <w:rPr>
          <w:rFonts w:ascii="Calibri" w:hAnsi="Calibri" w:cs="Calibri"/>
          <w:sz w:val="24"/>
          <w:szCs w:val="24"/>
        </w:rPr>
      </w:pPr>
      <w:r w:rsidRPr="0024564C">
        <w:rPr>
          <w:rFonts w:ascii="Calibri" w:hAnsi="Calibri" w:cs="Calibri"/>
          <w:sz w:val="24"/>
          <w:szCs w:val="24"/>
        </w:rPr>
        <w:t>A strong feature</w:t>
      </w:r>
      <w:r>
        <w:rPr>
          <w:rFonts w:ascii="Calibri" w:hAnsi="Calibri" w:cs="Calibri"/>
          <w:sz w:val="24"/>
          <w:szCs w:val="24"/>
        </w:rPr>
        <w:t xml:space="preserve"> arising from the interviews </w:t>
      </w:r>
      <w:r w:rsidRPr="0024564C">
        <w:rPr>
          <w:rFonts w:ascii="Calibri" w:hAnsi="Calibri" w:cs="Calibri"/>
          <w:sz w:val="24"/>
          <w:szCs w:val="24"/>
        </w:rPr>
        <w:t>was the essential role that support played for participants during their transitions into being students of pedagogy</w:t>
      </w:r>
      <w:r>
        <w:rPr>
          <w:rFonts w:ascii="Calibri" w:hAnsi="Calibri" w:cs="Calibri"/>
          <w:sz w:val="24"/>
          <w:szCs w:val="24"/>
        </w:rPr>
        <w:t>. It aligns with some historical literature that t</w:t>
      </w:r>
      <w:r w:rsidRPr="00964081">
        <w:rPr>
          <w:rFonts w:ascii="Calibri" w:hAnsi="Calibri" w:cs="Calibri"/>
          <w:sz w:val="24"/>
          <w:szCs w:val="24"/>
        </w:rPr>
        <w:t>he transition into a new learning situation involves an identity shift and a process of “being and becoming” (Ecclestone, 2009, p.12)</w:t>
      </w:r>
      <w:r>
        <w:rPr>
          <w:rFonts w:ascii="Calibri" w:hAnsi="Calibri" w:cs="Calibri"/>
          <w:sz w:val="24"/>
          <w:szCs w:val="24"/>
        </w:rPr>
        <w:t xml:space="preserve"> and “going on being” (Winnicott, 1956, p.303)</w:t>
      </w:r>
      <w:r w:rsidRPr="00964081">
        <w:rPr>
          <w:rFonts w:ascii="Calibri" w:hAnsi="Calibri" w:cs="Calibri"/>
          <w:sz w:val="24"/>
          <w:szCs w:val="24"/>
        </w:rPr>
        <w:t>.</w:t>
      </w:r>
      <w:r w:rsidRPr="00A57D10">
        <w:rPr>
          <w:rFonts w:ascii="Calibri" w:hAnsi="Calibri" w:cs="Calibri"/>
          <w:sz w:val="24"/>
          <w:szCs w:val="24"/>
        </w:rPr>
        <w:t xml:space="preserve"> For a small number the support required was practical or methodological</w:t>
      </w:r>
      <w:r>
        <w:rPr>
          <w:rFonts w:ascii="Calibri" w:hAnsi="Calibri" w:cs="Calibri"/>
          <w:sz w:val="24"/>
          <w:szCs w:val="24"/>
        </w:rPr>
        <w:t>,</w:t>
      </w:r>
      <w:r w:rsidRPr="00A57D10">
        <w:rPr>
          <w:rFonts w:ascii="Calibri" w:hAnsi="Calibri" w:cs="Calibri"/>
          <w:sz w:val="24"/>
          <w:szCs w:val="24"/>
        </w:rPr>
        <w:t xml:space="preserve"> however</w:t>
      </w:r>
      <w:r>
        <w:rPr>
          <w:rFonts w:ascii="Calibri" w:hAnsi="Calibri" w:cs="Calibri"/>
          <w:sz w:val="24"/>
          <w:szCs w:val="24"/>
        </w:rPr>
        <w:t>,</w:t>
      </w:r>
      <w:r w:rsidRPr="00A57D10">
        <w:rPr>
          <w:rFonts w:ascii="Calibri" w:hAnsi="Calibri" w:cs="Calibri"/>
          <w:sz w:val="24"/>
          <w:szCs w:val="24"/>
        </w:rPr>
        <w:t xml:space="preserve"> for the majority it was relational</w:t>
      </w:r>
      <w:r>
        <w:rPr>
          <w:rFonts w:ascii="Calibri" w:hAnsi="Calibri" w:cs="Calibri"/>
          <w:sz w:val="24"/>
          <w:szCs w:val="24"/>
        </w:rPr>
        <w:t xml:space="preserve"> and involved the support of a person as a transitional object</w:t>
      </w:r>
      <w:r w:rsidRPr="00A57D10">
        <w:rPr>
          <w:rFonts w:ascii="Calibri" w:hAnsi="Calibri" w:cs="Calibri"/>
          <w:sz w:val="24"/>
          <w:szCs w:val="24"/>
        </w:rPr>
        <w:t>.</w:t>
      </w:r>
      <w:r>
        <w:rPr>
          <w:rFonts w:ascii="Calibri" w:hAnsi="Calibri" w:cs="Calibri"/>
          <w:sz w:val="24"/>
          <w:szCs w:val="24"/>
        </w:rPr>
        <w:t xml:space="preserve"> Relational support featured psychosocial/soft skills </w:t>
      </w:r>
      <w:r w:rsidRPr="00CB3875">
        <w:rPr>
          <w:rFonts w:ascii="Calibri" w:hAnsi="Calibri" w:cs="Calibri"/>
          <w:sz w:val="24"/>
          <w:szCs w:val="24"/>
        </w:rPr>
        <w:t xml:space="preserve">(Microsoft and McKinsey, 2018) </w:t>
      </w:r>
      <w:r>
        <w:rPr>
          <w:rFonts w:ascii="Calibri" w:hAnsi="Calibri" w:cs="Calibri"/>
          <w:sz w:val="24"/>
          <w:szCs w:val="24"/>
        </w:rPr>
        <w:t xml:space="preserve">such as </w:t>
      </w:r>
      <w:r w:rsidRPr="00DC16ED">
        <w:rPr>
          <w:rFonts w:ascii="Calibri" w:hAnsi="Calibri" w:cs="Calibri"/>
          <w:sz w:val="24"/>
          <w:szCs w:val="24"/>
        </w:rPr>
        <w:t xml:space="preserve">empathy, unconditional acceptance, and compassion </w:t>
      </w:r>
      <w:r>
        <w:rPr>
          <w:rFonts w:ascii="Calibri" w:hAnsi="Calibri" w:cs="Calibri"/>
          <w:sz w:val="24"/>
          <w:szCs w:val="24"/>
        </w:rPr>
        <w:t xml:space="preserve">identified in the literature as important for learning and educational practice </w:t>
      </w:r>
      <w:r w:rsidRPr="00633D22">
        <w:rPr>
          <w:rFonts w:ascii="Calibri" w:eastAsia="Calibri" w:hAnsi="Calibri" w:cs="Times New Roman"/>
          <w:sz w:val="24"/>
          <w:szCs w:val="24"/>
        </w:rPr>
        <w:t>(Golbasi and Onder, 2017)</w:t>
      </w:r>
      <w:r>
        <w:rPr>
          <w:rFonts w:ascii="Calibri" w:eastAsia="Calibri" w:hAnsi="Calibri" w:cs="Times New Roman"/>
          <w:sz w:val="24"/>
          <w:szCs w:val="24"/>
        </w:rPr>
        <w:t xml:space="preserve"> which can be applied</w:t>
      </w:r>
      <w:r w:rsidRPr="00B97050">
        <w:rPr>
          <w:rFonts w:ascii="Calibri" w:eastAsia="Calibri" w:hAnsi="Calibri" w:cs="Times New Roman"/>
          <w:sz w:val="24"/>
          <w:szCs w:val="24"/>
        </w:rPr>
        <w:t xml:space="preserve"> to all professions (NACE, 2022</w:t>
      </w:r>
      <w:r w:rsidR="0047179E" w:rsidRPr="00B97050">
        <w:rPr>
          <w:rFonts w:ascii="Calibri" w:eastAsia="Calibri" w:hAnsi="Calibri" w:cs="Times New Roman"/>
          <w:sz w:val="24"/>
          <w:szCs w:val="24"/>
        </w:rPr>
        <w:t>)</w:t>
      </w:r>
      <w:r w:rsidR="0047179E">
        <w:rPr>
          <w:rFonts w:ascii="Calibri" w:eastAsia="Calibri" w:hAnsi="Calibri" w:cs="Times New Roman"/>
          <w:sz w:val="24"/>
          <w:szCs w:val="24"/>
        </w:rPr>
        <w:t xml:space="preserve"> and</w:t>
      </w:r>
      <w:r>
        <w:rPr>
          <w:rFonts w:ascii="Calibri" w:eastAsia="Calibri" w:hAnsi="Calibri" w:cs="Times New Roman"/>
          <w:sz w:val="24"/>
          <w:szCs w:val="24"/>
        </w:rPr>
        <w:t xml:space="preserve"> improve success prospects in the workplace (</w:t>
      </w:r>
      <w:r w:rsidRPr="006C072D">
        <w:rPr>
          <w:rFonts w:ascii="Calibri" w:eastAsia="Calibri" w:hAnsi="Calibri" w:cs="Times New Roman"/>
          <w:sz w:val="24"/>
          <w:szCs w:val="24"/>
        </w:rPr>
        <w:t xml:space="preserve">Cillo </w:t>
      </w:r>
      <w:r w:rsidR="00FB3A6E" w:rsidRPr="00FB3A6E">
        <w:rPr>
          <w:rFonts w:ascii="Calibri" w:eastAsia="Calibri" w:hAnsi="Calibri" w:cs="Times New Roman"/>
          <w:i/>
          <w:sz w:val="24"/>
          <w:szCs w:val="24"/>
        </w:rPr>
        <w:t>et al.</w:t>
      </w:r>
      <w:r>
        <w:rPr>
          <w:rFonts w:ascii="Calibri" w:eastAsia="Calibri" w:hAnsi="Calibri" w:cs="Times New Roman"/>
          <w:sz w:val="24"/>
          <w:szCs w:val="24"/>
        </w:rPr>
        <w:t xml:space="preserve">, </w:t>
      </w:r>
      <w:r w:rsidRPr="006C072D">
        <w:rPr>
          <w:rFonts w:ascii="Calibri" w:eastAsia="Calibri" w:hAnsi="Calibri" w:cs="Times New Roman"/>
          <w:sz w:val="24"/>
          <w:szCs w:val="24"/>
        </w:rPr>
        <w:t>2019)</w:t>
      </w:r>
      <w:r>
        <w:rPr>
          <w:rFonts w:ascii="Calibri" w:eastAsia="Calibri" w:hAnsi="Calibri" w:cs="Times New Roman"/>
          <w:sz w:val="24"/>
          <w:szCs w:val="24"/>
        </w:rPr>
        <w:t xml:space="preserve">. The findings demonstrated that “success” relates to fruitful relationships with others containing specific features of </w:t>
      </w:r>
      <w:r>
        <w:rPr>
          <w:rFonts w:ascii="Calibri" w:hAnsi="Calibri" w:cs="Calibri"/>
          <w:sz w:val="24"/>
          <w:szCs w:val="24"/>
        </w:rPr>
        <w:t>attunement, trust and holding.</w:t>
      </w:r>
    </w:p>
    <w:p w14:paraId="6F67578C" w14:textId="744EB9C0" w:rsidR="00BF61A6" w:rsidRDefault="00BF61A6" w:rsidP="00B34100">
      <w:pPr>
        <w:spacing w:line="360" w:lineRule="auto"/>
        <w:rPr>
          <w:rFonts w:ascii="Calibri" w:hAnsi="Calibri" w:cs="Calibri"/>
          <w:sz w:val="24"/>
          <w:szCs w:val="24"/>
        </w:rPr>
      </w:pPr>
      <w:r w:rsidRPr="00403936">
        <w:rPr>
          <w:rFonts w:ascii="Calibri" w:hAnsi="Calibri" w:cs="Calibri"/>
          <w:sz w:val="24"/>
          <w:szCs w:val="24"/>
        </w:rPr>
        <w:t>The overall findings</w:t>
      </w:r>
      <w:r>
        <w:rPr>
          <w:rFonts w:ascii="Calibri" w:hAnsi="Calibri" w:cs="Calibri"/>
          <w:sz w:val="24"/>
          <w:szCs w:val="24"/>
        </w:rPr>
        <w:t xml:space="preserve"> bear out </w:t>
      </w:r>
      <w:r w:rsidRPr="00403936">
        <w:rPr>
          <w:rFonts w:ascii="Calibri" w:hAnsi="Calibri" w:cs="Calibri"/>
          <w:sz w:val="24"/>
          <w:szCs w:val="24"/>
        </w:rPr>
        <w:t xml:space="preserve">that attunement (Erskine and Trautman, 1996) </w:t>
      </w:r>
      <w:r>
        <w:rPr>
          <w:rFonts w:ascii="Calibri" w:hAnsi="Calibri" w:cs="Calibri"/>
          <w:sz w:val="24"/>
          <w:szCs w:val="24"/>
        </w:rPr>
        <w:t xml:space="preserve">to </w:t>
      </w:r>
      <w:r w:rsidRPr="00403936">
        <w:rPr>
          <w:rFonts w:ascii="Calibri" w:hAnsi="Calibri" w:cs="Calibri"/>
          <w:sz w:val="24"/>
          <w:szCs w:val="24"/>
        </w:rPr>
        <w:t>the</w:t>
      </w:r>
      <w:r>
        <w:rPr>
          <w:rFonts w:ascii="Calibri" w:hAnsi="Calibri" w:cs="Calibri"/>
          <w:sz w:val="24"/>
          <w:szCs w:val="24"/>
        </w:rPr>
        <w:t xml:space="preserve"> </w:t>
      </w:r>
      <w:r w:rsidRPr="00403936">
        <w:rPr>
          <w:rFonts w:ascii="Calibri" w:hAnsi="Calibri" w:cs="Calibri"/>
          <w:sz w:val="24"/>
          <w:szCs w:val="24"/>
        </w:rPr>
        <w:t xml:space="preserve">needs </w:t>
      </w:r>
      <w:r>
        <w:rPr>
          <w:rFonts w:ascii="Calibri" w:hAnsi="Calibri" w:cs="Calibri"/>
          <w:sz w:val="24"/>
          <w:szCs w:val="24"/>
        </w:rPr>
        <w:t>of</w:t>
      </w:r>
      <w:r w:rsidRPr="00403936">
        <w:rPr>
          <w:rFonts w:ascii="Calibri" w:hAnsi="Calibri" w:cs="Calibri"/>
          <w:sz w:val="24"/>
          <w:szCs w:val="24"/>
        </w:rPr>
        <w:t xml:space="preserve"> a learner, </w:t>
      </w:r>
      <w:r w:rsidRPr="0053148B">
        <w:rPr>
          <w:rFonts w:ascii="Calibri" w:hAnsi="Calibri" w:cs="Calibri"/>
          <w:sz w:val="24"/>
          <w:szCs w:val="24"/>
        </w:rPr>
        <w:t xml:space="preserve">particularly the adult returner (Slowey and Schuetze, 2012) </w:t>
      </w:r>
      <w:r w:rsidRPr="00403936">
        <w:rPr>
          <w:rFonts w:ascii="Calibri" w:hAnsi="Calibri" w:cs="Calibri"/>
          <w:sz w:val="24"/>
          <w:szCs w:val="24"/>
        </w:rPr>
        <w:t>was essential to the</w:t>
      </w:r>
      <w:r>
        <w:rPr>
          <w:rFonts w:ascii="Calibri" w:hAnsi="Calibri" w:cs="Calibri"/>
          <w:sz w:val="24"/>
          <w:szCs w:val="24"/>
        </w:rPr>
        <w:t>ir well-being</w:t>
      </w:r>
      <w:r w:rsidRPr="00403936">
        <w:rPr>
          <w:rFonts w:ascii="Calibri" w:hAnsi="Calibri" w:cs="Calibri"/>
          <w:sz w:val="24"/>
          <w:szCs w:val="24"/>
        </w:rPr>
        <w:t xml:space="preserve">. </w:t>
      </w:r>
      <w:r>
        <w:rPr>
          <w:rFonts w:ascii="Calibri" w:hAnsi="Calibri" w:cs="Calibri"/>
          <w:sz w:val="24"/>
          <w:szCs w:val="24"/>
        </w:rPr>
        <w:t>Provided by a significant other, it enabled</w:t>
      </w:r>
      <w:r w:rsidRPr="00403936">
        <w:rPr>
          <w:rFonts w:ascii="Calibri" w:hAnsi="Calibri" w:cs="Calibri"/>
          <w:sz w:val="24"/>
          <w:szCs w:val="24"/>
        </w:rPr>
        <w:t xml:space="preserve"> relationship, fostered trust </w:t>
      </w:r>
      <w:r>
        <w:rPr>
          <w:rFonts w:ascii="Calibri" w:hAnsi="Calibri" w:cs="Calibri"/>
          <w:sz w:val="24"/>
          <w:szCs w:val="24"/>
        </w:rPr>
        <w:t xml:space="preserve">(Erikson, 1963) </w:t>
      </w:r>
      <w:r w:rsidRPr="00403936">
        <w:rPr>
          <w:rFonts w:ascii="Calibri" w:hAnsi="Calibri" w:cs="Calibri"/>
          <w:sz w:val="24"/>
          <w:szCs w:val="24"/>
        </w:rPr>
        <w:t xml:space="preserve">and </w:t>
      </w:r>
      <w:r>
        <w:rPr>
          <w:rFonts w:ascii="Calibri" w:hAnsi="Calibri" w:cs="Calibri"/>
          <w:sz w:val="24"/>
          <w:szCs w:val="24"/>
        </w:rPr>
        <w:t xml:space="preserve">constituted reliable </w:t>
      </w:r>
      <w:r w:rsidRPr="00403936">
        <w:rPr>
          <w:rFonts w:ascii="Calibri" w:hAnsi="Calibri" w:cs="Calibri"/>
          <w:sz w:val="24"/>
          <w:szCs w:val="24"/>
        </w:rPr>
        <w:t>holding</w:t>
      </w:r>
      <w:r>
        <w:rPr>
          <w:rFonts w:ascii="Calibri" w:hAnsi="Calibri" w:cs="Calibri"/>
          <w:sz w:val="24"/>
          <w:szCs w:val="24"/>
        </w:rPr>
        <w:t xml:space="preserve"> (Winnicott, 2002) within a frame (Milner, 1952). </w:t>
      </w:r>
      <w:r w:rsidRPr="00403936">
        <w:rPr>
          <w:rFonts w:ascii="Calibri" w:hAnsi="Calibri" w:cs="Calibri"/>
          <w:sz w:val="24"/>
          <w:szCs w:val="24"/>
        </w:rPr>
        <w:t xml:space="preserve">This chimes with </w:t>
      </w:r>
      <w:r>
        <w:rPr>
          <w:rFonts w:ascii="Calibri" w:hAnsi="Calibri" w:cs="Calibri"/>
          <w:sz w:val="24"/>
          <w:szCs w:val="24"/>
        </w:rPr>
        <w:t xml:space="preserve">the notions of Bowlby, (1980) and </w:t>
      </w:r>
      <w:r w:rsidRPr="00403936">
        <w:rPr>
          <w:rFonts w:ascii="Calibri" w:hAnsi="Calibri" w:cs="Calibri"/>
          <w:sz w:val="24"/>
          <w:szCs w:val="24"/>
        </w:rPr>
        <w:t>Coren (1997) that during transitions</w:t>
      </w:r>
      <w:r>
        <w:rPr>
          <w:rFonts w:ascii="Calibri" w:hAnsi="Calibri" w:cs="Calibri"/>
          <w:sz w:val="24"/>
          <w:szCs w:val="24"/>
        </w:rPr>
        <w:t>,</w:t>
      </w:r>
      <w:r w:rsidRPr="00403936">
        <w:rPr>
          <w:rFonts w:ascii="Calibri" w:hAnsi="Calibri" w:cs="Calibri"/>
          <w:sz w:val="24"/>
          <w:szCs w:val="24"/>
        </w:rPr>
        <w:t xml:space="preserve"> and </w:t>
      </w:r>
      <w:r w:rsidRPr="00403936">
        <w:rPr>
          <w:rFonts w:ascii="Calibri" w:hAnsi="Calibri" w:cs="Calibri"/>
          <w:sz w:val="24"/>
          <w:szCs w:val="24"/>
        </w:rPr>
        <w:lastRenderedPageBreak/>
        <w:t>throughout the lifetime</w:t>
      </w:r>
      <w:r>
        <w:rPr>
          <w:rFonts w:ascii="Calibri" w:hAnsi="Calibri" w:cs="Calibri"/>
          <w:sz w:val="24"/>
          <w:szCs w:val="24"/>
        </w:rPr>
        <w:t>,</w:t>
      </w:r>
      <w:r w:rsidRPr="00403936">
        <w:rPr>
          <w:rFonts w:ascii="Calibri" w:hAnsi="Calibri" w:cs="Calibri"/>
          <w:sz w:val="24"/>
          <w:szCs w:val="24"/>
        </w:rPr>
        <w:t xml:space="preserve"> recognition </w:t>
      </w:r>
      <w:r>
        <w:rPr>
          <w:rFonts w:ascii="Calibri" w:hAnsi="Calibri" w:cs="Calibri"/>
          <w:sz w:val="24"/>
          <w:szCs w:val="24"/>
        </w:rPr>
        <w:t xml:space="preserve">is </w:t>
      </w:r>
      <w:r w:rsidRPr="00403936">
        <w:rPr>
          <w:rFonts w:ascii="Calibri" w:hAnsi="Calibri" w:cs="Calibri"/>
          <w:sz w:val="24"/>
          <w:szCs w:val="24"/>
        </w:rPr>
        <w:t xml:space="preserve">sought </w:t>
      </w:r>
      <w:r w:rsidRPr="00403936">
        <w:rPr>
          <w:rFonts w:ascii="Calibri" w:hAnsi="Calibri" w:cs="Calibri"/>
          <w:i/>
          <w:iCs/>
          <w:sz w:val="24"/>
          <w:szCs w:val="24"/>
        </w:rPr>
        <w:t>by</w:t>
      </w:r>
      <w:r w:rsidRPr="00403936">
        <w:rPr>
          <w:rFonts w:ascii="Calibri" w:hAnsi="Calibri" w:cs="Calibri"/>
          <w:sz w:val="24"/>
          <w:szCs w:val="24"/>
        </w:rPr>
        <w:t xml:space="preserve"> another in relationships that are trustworthy. This echoes </w:t>
      </w:r>
      <w:r>
        <w:rPr>
          <w:rFonts w:ascii="Calibri" w:hAnsi="Calibri" w:cs="Calibri"/>
          <w:sz w:val="24"/>
          <w:szCs w:val="24"/>
        </w:rPr>
        <w:t xml:space="preserve">with </w:t>
      </w:r>
      <w:r w:rsidRPr="00403936">
        <w:rPr>
          <w:rFonts w:ascii="Calibri" w:hAnsi="Calibri" w:cs="Calibri"/>
          <w:sz w:val="24"/>
          <w:szCs w:val="24"/>
        </w:rPr>
        <w:t xml:space="preserve">Nussbaum (2001) who defines holding as the responsive and stable continuity of care provision which is a foundation stone in the development of trust and healthy relationships </w:t>
      </w:r>
      <w:r w:rsidRPr="00403936">
        <w:rPr>
          <w:rFonts w:ascii="Calibri" w:hAnsi="Calibri" w:cs="Calibri"/>
          <w:i/>
          <w:iCs/>
          <w:sz w:val="24"/>
          <w:szCs w:val="24"/>
        </w:rPr>
        <w:t>from childhood onwards</w:t>
      </w:r>
      <w:r w:rsidRPr="00403936">
        <w:rPr>
          <w:rFonts w:ascii="Calibri" w:hAnsi="Calibri" w:cs="Calibri"/>
          <w:sz w:val="24"/>
          <w:szCs w:val="24"/>
        </w:rPr>
        <w:t xml:space="preserve">. </w:t>
      </w:r>
      <w:r>
        <w:rPr>
          <w:rFonts w:ascii="Calibri" w:hAnsi="Calibri" w:cs="Calibri"/>
          <w:sz w:val="24"/>
          <w:szCs w:val="24"/>
        </w:rPr>
        <w:t xml:space="preserve">As discussed in </w:t>
      </w:r>
      <w:r w:rsidRPr="00403936">
        <w:rPr>
          <w:rFonts w:ascii="Calibri" w:hAnsi="Calibri" w:cs="Calibri"/>
          <w:sz w:val="24"/>
          <w:szCs w:val="24"/>
        </w:rPr>
        <w:t>the literature</w:t>
      </w:r>
      <w:r w:rsidR="00D26E88">
        <w:rPr>
          <w:rFonts w:ascii="Calibri" w:hAnsi="Calibri" w:cs="Calibri"/>
          <w:sz w:val="24"/>
          <w:szCs w:val="24"/>
        </w:rPr>
        <w:t>,</w:t>
      </w:r>
      <w:r>
        <w:rPr>
          <w:rFonts w:ascii="Calibri" w:hAnsi="Calibri" w:cs="Calibri"/>
          <w:sz w:val="24"/>
          <w:szCs w:val="24"/>
        </w:rPr>
        <w:t xml:space="preserve"> </w:t>
      </w:r>
      <w:r w:rsidRPr="00403936">
        <w:rPr>
          <w:rFonts w:ascii="Calibri" w:hAnsi="Calibri" w:cs="Calibri"/>
          <w:sz w:val="24"/>
          <w:szCs w:val="24"/>
        </w:rPr>
        <w:t xml:space="preserve">validation is not solely applicable </w:t>
      </w:r>
      <w:r w:rsidR="00D26E88">
        <w:rPr>
          <w:rFonts w:ascii="Calibri" w:hAnsi="Calibri" w:cs="Calibri"/>
          <w:sz w:val="24"/>
          <w:szCs w:val="24"/>
        </w:rPr>
        <w:t>to</w:t>
      </w:r>
      <w:r w:rsidRPr="00403936">
        <w:rPr>
          <w:rFonts w:ascii="Calibri" w:hAnsi="Calibri" w:cs="Calibri"/>
          <w:sz w:val="24"/>
          <w:szCs w:val="24"/>
        </w:rPr>
        <w:t xml:space="preserve"> the field of teaching children (Greenhalgh, 1994; Levy and Campbell, 2000; MacRury, 2007), </w:t>
      </w:r>
      <w:r w:rsidR="00FE1293">
        <w:rPr>
          <w:rFonts w:ascii="Calibri" w:hAnsi="Calibri" w:cs="Calibri"/>
          <w:sz w:val="24"/>
          <w:szCs w:val="24"/>
        </w:rPr>
        <w:t xml:space="preserve">it is applicable to </w:t>
      </w:r>
      <w:r w:rsidRPr="00403936">
        <w:rPr>
          <w:rFonts w:ascii="Calibri" w:hAnsi="Calibri" w:cs="Calibri"/>
          <w:sz w:val="24"/>
          <w:szCs w:val="24"/>
        </w:rPr>
        <w:t>adults in organisations (van Buskirk and McGrath, 1999)</w:t>
      </w:r>
      <w:r>
        <w:rPr>
          <w:rFonts w:ascii="Calibri" w:hAnsi="Calibri" w:cs="Calibri"/>
          <w:sz w:val="24"/>
          <w:szCs w:val="24"/>
        </w:rPr>
        <w:t>.</w:t>
      </w:r>
      <w:r w:rsidRPr="00527B0E">
        <w:rPr>
          <w:rFonts w:ascii="Calibri" w:hAnsi="Calibri" w:cs="Calibri"/>
          <w:sz w:val="24"/>
          <w:szCs w:val="24"/>
        </w:rPr>
        <w:t xml:space="preserve"> </w:t>
      </w:r>
      <w:r w:rsidRPr="00403936">
        <w:rPr>
          <w:rFonts w:ascii="Calibri" w:hAnsi="Calibri" w:cs="Calibri"/>
          <w:sz w:val="24"/>
          <w:szCs w:val="24"/>
        </w:rPr>
        <w:t>The findings have implications for the future field of teacher training and validate that learner</w:t>
      </w:r>
      <w:r>
        <w:rPr>
          <w:rFonts w:ascii="Calibri" w:hAnsi="Calibri" w:cs="Calibri"/>
          <w:sz w:val="24"/>
          <w:szCs w:val="24"/>
        </w:rPr>
        <w:t>s</w:t>
      </w:r>
      <w:r w:rsidRPr="00403936">
        <w:rPr>
          <w:rFonts w:ascii="Calibri" w:hAnsi="Calibri" w:cs="Calibri"/>
          <w:sz w:val="24"/>
          <w:szCs w:val="24"/>
        </w:rPr>
        <w:t xml:space="preserve"> need </w:t>
      </w:r>
      <w:r>
        <w:rPr>
          <w:rFonts w:ascii="Calibri" w:hAnsi="Calibri" w:cs="Calibri"/>
          <w:sz w:val="24"/>
          <w:szCs w:val="24"/>
        </w:rPr>
        <w:t xml:space="preserve">to be held by </w:t>
      </w:r>
      <w:r w:rsidRPr="00403936">
        <w:rPr>
          <w:rFonts w:ascii="Calibri" w:hAnsi="Calibri" w:cs="Calibri"/>
          <w:sz w:val="24"/>
          <w:szCs w:val="24"/>
        </w:rPr>
        <w:t xml:space="preserve">a </w:t>
      </w:r>
      <w:r w:rsidRPr="00527B0E">
        <w:rPr>
          <w:rFonts w:ascii="Calibri" w:hAnsi="Calibri" w:cs="Calibri"/>
          <w:sz w:val="24"/>
          <w:szCs w:val="24"/>
        </w:rPr>
        <w:t>supportive person</w:t>
      </w:r>
      <w:r>
        <w:rPr>
          <w:rFonts w:ascii="Calibri" w:hAnsi="Calibri" w:cs="Calibri"/>
          <w:sz w:val="24"/>
          <w:szCs w:val="24"/>
        </w:rPr>
        <w:t xml:space="preserve"> as a </w:t>
      </w:r>
      <w:r w:rsidRPr="00EA7B85">
        <w:rPr>
          <w:rFonts w:ascii="Calibri" w:hAnsi="Calibri" w:cs="Calibri"/>
          <w:sz w:val="24"/>
          <w:szCs w:val="24"/>
        </w:rPr>
        <w:t>transitional object (Winnicott, 1951;</w:t>
      </w:r>
      <w:r w:rsidR="00DB58CD">
        <w:rPr>
          <w:rFonts w:ascii="Calibri" w:hAnsi="Calibri" w:cs="Calibri"/>
          <w:sz w:val="24"/>
          <w:szCs w:val="24"/>
        </w:rPr>
        <w:t xml:space="preserve"> </w:t>
      </w:r>
      <w:r w:rsidRPr="00EA7B85">
        <w:rPr>
          <w:rFonts w:ascii="Calibri" w:hAnsi="Calibri" w:cs="Calibri"/>
          <w:sz w:val="24"/>
          <w:szCs w:val="24"/>
        </w:rPr>
        <w:t>1953)</w:t>
      </w:r>
      <w:r>
        <w:rPr>
          <w:rFonts w:ascii="Calibri" w:hAnsi="Calibri" w:cs="Calibri"/>
          <w:sz w:val="24"/>
          <w:szCs w:val="24"/>
        </w:rPr>
        <w:t xml:space="preserve"> to mediate any potential difficulties encountered during the learning process.</w:t>
      </w:r>
    </w:p>
    <w:p w14:paraId="6A96966F" w14:textId="3BF9FEA5" w:rsidR="00BF61A6" w:rsidRDefault="00BF61A6" w:rsidP="00B34100">
      <w:pPr>
        <w:spacing w:line="360" w:lineRule="auto"/>
        <w:rPr>
          <w:rFonts w:ascii="Calibri" w:hAnsi="Calibri" w:cs="Calibri"/>
          <w:sz w:val="24"/>
          <w:szCs w:val="24"/>
        </w:rPr>
      </w:pPr>
      <w:r w:rsidRPr="00FB248B">
        <w:rPr>
          <w:rFonts w:ascii="Calibri" w:hAnsi="Calibri" w:cs="Calibri"/>
          <w:sz w:val="24"/>
          <w:szCs w:val="24"/>
        </w:rPr>
        <w:t xml:space="preserve">By utilising the term </w:t>
      </w:r>
      <w:r>
        <w:rPr>
          <w:rFonts w:ascii="Calibri" w:hAnsi="Calibri" w:cs="Calibri"/>
          <w:sz w:val="24"/>
          <w:szCs w:val="24"/>
        </w:rPr>
        <w:t>“</w:t>
      </w:r>
      <w:r w:rsidRPr="00FB248B">
        <w:rPr>
          <w:rFonts w:ascii="Calibri" w:hAnsi="Calibri" w:cs="Calibri"/>
          <w:sz w:val="24"/>
          <w:szCs w:val="24"/>
        </w:rPr>
        <w:t>holding</w:t>
      </w:r>
      <w:r>
        <w:rPr>
          <w:rFonts w:ascii="Calibri" w:hAnsi="Calibri" w:cs="Calibri"/>
          <w:sz w:val="24"/>
          <w:szCs w:val="24"/>
        </w:rPr>
        <w:t>”</w:t>
      </w:r>
      <w:r w:rsidR="00241068">
        <w:rPr>
          <w:rFonts w:ascii="Calibri" w:hAnsi="Calibri" w:cs="Calibri"/>
          <w:sz w:val="24"/>
          <w:szCs w:val="24"/>
        </w:rPr>
        <w:t xml:space="preserve"> (Winnicott, 1965, pp.43-44)</w:t>
      </w:r>
      <w:r w:rsidRPr="00FB248B">
        <w:rPr>
          <w:rFonts w:ascii="Calibri" w:hAnsi="Calibri" w:cs="Calibri"/>
          <w:sz w:val="24"/>
          <w:szCs w:val="24"/>
        </w:rPr>
        <w:t>,</w:t>
      </w:r>
      <w:r>
        <w:rPr>
          <w:rFonts w:ascii="Calibri" w:hAnsi="Calibri" w:cs="Calibri"/>
          <w:sz w:val="24"/>
          <w:szCs w:val="24"/>
        </w:rPr>
        <w:t xml:space="preserve"> </w:t>
      </w:r>
      <w:r w:rsidRPr="00FB248B">
        <w:rPr>
          <w:rFonts w:ascii="Calibri" w:hAnsi="Calibri" w:cs="Calibri"/>
          <w:sz w:val="24"/>
          <w:szCs w:val="24"/>
        </w:rPr>
        <w:t xml:space="preserve">support incorporates the relational and extends beyond practical support identified by Tindle </w:t>
      </w:r>
      <w:r w:rsidR="00FB3A6E" w:rsidRPr="00FB3A6E">
        <w:rPr>
          <w:rFonts w:ascii="Calibri" w:hAnsi="Calibri" w:cs="Calibri"/>
          <w:i/>
          <w:sz w:val="24"/>
          <w:szCs w:val="24"/>
        </w:rPr>
        <w:t>et al.</w:t>
      </w:r>
      <w:r w:rsidRPr="00FB248B">
        <w:rPr>
          <w:rFonts w:ascii="Calibri" w:hAnsi="Calibri" w:cs="Calibri"/>
          <w:sz w:val="24"/>
          <w:szCs w:val="24"/>
        </w:rPr>
        <w:t xml:space="preserve"> (2022)</w:t>
      </w:r>
      <w:r>
        <w:rPr>
          <w:rFonts w:ascii="Calibri" w:hAnsi="Calibri" w:cs="Calibri"/>
          <w:sz w:val="24"/>
          <w:szCs w:val="24"/>
        </w:rPr>
        <w:t xml:space="preserve">. It </w:t>
      </w:r>
      <w:r w:rsidRPr="00FB248B">
        <w:rPr>
          <w:rFonts w:ascii="Calibri" w:hAnsi="Calibri" w:cs="Calibri"/>
          <w:sz w:val="24"/>
          <w:szCs w:val="24"/>
        </w:rPr>
        <w:t xml:space="preserve">becomes an ontological requirement, foundational stone and invisible embrace </w:t>
      </w:r>
      <w:r>
        <w:rPr>
          <w:rFonts w:ascii="Calibri" w:hAnsi="Calibri" w:cs="Calibri"/>
          <w:sz w:val="24"/>
          <w:szCs w:val="24"/>
        </w:rPr>
        <w:t xml:space="preserve">that is wholly </w:t>
      </w:r>
      <w:r w:rsidRPr="00FB248B">
        <w:rPr>
          <w:rFonts w:ascii="Calibri" w:hAnsi="Calibri" w:cs="Calibri"/>
          <w:sz w:val="24"/>
          <w:szCs w:val="24"/>
        </w:rPr>
        <w:t>dependent upon the relational nature of the holder. What emerged strongly in the findings was for those who experienced holding by a supportive person, their passage into teaching and their ensuing teaching work was</w:t>
      </w:r>
      <w:r>
        <w:rPr>
          <w:rFonts w:ascii="Calibri" w:hAnsi="Calibri" w:cs="Calibri"/>
          <w:sz w:val="24"/>
          <w:szCs w:val="24"/>
        </w:rPr>
        <w:t xml:space="preserve"> eased, </w:t>
      </w:r>
      <w:r w:rsidRPr="00FB248B">
        <w:rPr>
          <w:rFonts w:ascii="Calibri" w:hAnsi="Calibri" w:cs="Calibri"/>
          <w:sz w:val="24"/>
          <w:szCs w:val="24"/>
        </w:rPr>
        <w:t xml:space="preserve">and they drew upon this past and current support as an object constant (Mahler </w:t>
      </w:r>
      <w:r w:rsidR="00FB3A6E" w:rsidRPr="00FB3A6E">
        <w:rPr>
          <w:rFonts w:ascii="Calibri" w:hAnsi="Calibri" w:cs="Calibri"/>
          <w:i/>
          <w:sz w:val="24"/>
          <w:szCs w:val="24"/>
        </w:rPr>
        <w:t>et al.</w:t>
      </w:r>
      <w:r w:rsidRPr="00FB248B">
        <w:rPr>
          <w:rFonts w:ascii="Calibri" w:hAnsi="Calibri" w:cs="Calibri"/>
          <w:sz w:val="24"/>
          <w:szCs w:val="24"/>
        </w:rPr>
        <w:t xml:space="preserve">, </w:t>
      </w:r>
      <w:r>
        <w:rPr>
          <w:rFonts w:ascii="Calibri" w:hAnsi="Calibri" w:cs="Calibri"/>
          <w:sz w:val="24"/>
          <w:szCs w:val="24"/>
        </w:rPr>
        <w:t>1975</w:t>
      </w:r>
      <w:r w:rsidRPr="00FB248B">
        <w:rPr>
          <w:rFonts w:ascii="Calibri" w:hAnsi="Calibri" w:cs="Calibri"/>
          <w:sz w:val="24"/>
          <w:szCs w:val="24"/>
        </w:rPr>
        <w:t xml:space="preserve">; Piaget, </w:t>
      </w:r>
      <w:r>
        <w:rPr>
          <w:rFonts w:ascii="Calibri" w:hAnsi="Calibri" w:cs="Calibri"/>
          <w:sz w:val="24"/>
          <w:szCs w:val="24"/>
        </w:rPr>
        <w:t>1937</w:t>
      </w:r>
      <w:r w:rsidRPr="00FB248B">
        <w:rPr>
          <w:rFonts w:ascii="Calibri" w:hAnsi="Calibri" w:cs="Calibri"/>
          <w:sz w:val="24"/>
          <w:szCs w:val="24"/>
        </w:rPr>
        <w:t>).</w:t>
      </w:r>
      <w:r w:rsidRPr="007954E1">
        <w:rPr>
          <w:rFonts w:ascii="Calibri" w:hAnsi="Calibri" w:cs="Calibri"/>
          <w:sz w:val="24"/>
          <w:szCs w:val="24"/>
        </w:rPr>
        <w:t xml:space="preserve"> Sally, Sophie and Laura </w:t>
      </w:r>
      <w:r w:rsidR="00941318">
        <w:rPr>
          <w:rFonts w:ascii="Calibri" w:hAnsi="Calibri" w:cs="Calibri"/>
          <w:sz w:val="24"/>
          <w:szCs w:val="24"/>
        </w:rPr>
        <w:t xml:space="preserve">(T1) </w:t>
      </w:r>
      <w:r w:rsidRPr="007954E1">
        <w:rPr>
          <w:rFonts w:ascii="Calibri" w:hAnsi="Calibri" w:cs="Calibri"/>
          <w:sz w:val="24"/>
          <w:szCs w:val="24"/>
        </w:rPr>
        <w:t xml:space="preserve">all had good experiences primarily due to </w:t>
      </w:r>
      <w:r>
        <w:rPr>
          <w:rFonts w:ascii="Calibri" w:hAnsi="Calibri" w:cs="Calibri"/>
          <w:sz w:val="24"/>
          <w:szCs w:val="24"/>
        </w:rPr>
        <w:t xml:space="preserve">individual support provided by </w:t>
      </w:r>
      <w:r w:rsidRPr="007954E1">
        <w:rPr>
          <w:rFonts w:ascii="Calibri" w:hAnsi="Calibri" w:cs="Calibri"/>
          <w:sz w:val="24"/>
          <w:szCs w:val="24"/>
        </w:rPr>
        <w:t>“benevolent others” (Ryan and Deci, 2000, p.70)</w:t>
      </w:r>
      <w:r>
        <w:rPr>
          <w:rFonts w:ascii="Calibri" w:hAnsi="Calibri" w:cs="Calibri"/>
          <w:sz w:val="24"/>
          <w:szCs w:val="24"/>
        </w:rPr>
        <w:t xml:space="preserve"> who held </w:t>
      </w:r>
      <w:r w:rsidR="00DB58CD">
        <w:rPr>
          <w:rFonts w:ascii="Calibri" w:hAnsi="Calibri" w:cs="Calibri"/>
          <w:sz w:val="24"/>
          <w:szCs w:val="24"/>
        </w:rPr>
        <w:t>them and</w:t>
      </w:r>
      <w:r>
        <w:rPr>
          <w:rFonts w:ascii="Calibri" w:hAnsi="Calibri" w:cs="Calibri"/>
          <w:sz w:val="24"/>
          <w:szCs w:val="24"/>
        </w:rPr>
        <w:t xml:space="preserve"> </w:t>
      </w:r>
      <w:r w:rsidRPr="007954E1">
        <w:rPr>
          <w:rFonts w:ascii="Calibri" w:hAnsi="Calibri" w:cs="Calibri"/>
          <w:sz w:val="24"/>
          <w:szCs w:val="24"/>
        </w:rPr>
        <w:t>acted as a guide and support in a</w:t>
      </w:r>
      <w:r>
        <w:rPr>
          <w:rFonts w:ascii="Calibri" w:hAnsi="Calibri" w:cs="Calibri"/>
          <w:sz w:val="24"/>
          <w:szCs w:val="24"/>
        </w:rPr>
        <w:t>n unassuming</w:t>
      </w:r>
      <w:r w:rsidRPr="007954E1">
        <w:rPr>
          <w:rFonts w:ascii="Calibri" w:hAnsi="Calibri" w:cs="Calibri"/>
          <w:sz w:val="24"/>
          <w:szCs w:val="24"/>
        </w:rPr>
        <w:t xml:space="preserve"> and benign way. The</w:t>
      </w:r>
      <w:r>
        <w:rPr>
          <w:rFonts w:ascii="Calibri" w:hAnsi="Calibri" w:cs="Calibri"/>
          <w:sz w:val="24"/>
          <w:szCs w:val="24"/>
        </w:rPr>
        <w:t xml:space="preserve">se figures </w:t>
      </w:r>
      <w:r w:rsidRPr="007954E1">
        <w:rPr>
          <w:rFonts w:ascii="Calibri" w:hAnsi="Calibri" w:cs="Calibri"/>
          <w:sz w:val="24"/>
          <w:szCs w:val="24"/>
        </w:rPr>
        <w:t>provided</w:t>
      </w:r>
      <w:r>
        <w:rPr>
          <w:rFonts w:ascii="Calibri" w:hAnsi="Calibri" w:cs="Calibri"/>
          <w:sz w:val="24"/>
          <w:szCs w:val="24"/>
        </w:rPr>
        <w:t xml:space="preserve"> </w:t>
      </w:r>
      <w:r w:rsidRPr="007954E1">
        <w:rPr>
          <w:rFonts w:ascii="Calibri" w:hAnsi="Calibri" w:cs="Calibri"/>
          <w:sz w:val="24"/>
          <w:szCs w:val="24"/>
        </w:rPr>
        <w:t>”effectance-promoting feedback” (</w:t>
      </w:r>
      <w:r w:rsidR="00D941F3">
        <w:rPr>
          <w:rFonts w:ascii="Calibri" w:hAnsi="Calibri" w:cs="Calibri"/>
          <w:sz w:val="24"/>
          <w:szCs w:val="24"/>
        </w:rPr>
        <w:t>ibid.</w:t>
      </w:r>
      <w:r w:rsidRPr="007954E1">
        <w:rPr>
          <w:rFonts w:ascii="Calibri" w:hAnsi="Calibri" w:cs="Calibri"/>
          <w:sz w:val="24"/>
          <w:szCs w:val="24"/>
        </w:rPr>
        <w:t xml:space="preserve">) </w:t>
      </w:r>
      <w:r>
        <w:rPr>
          <w:rFonts w:ascii="Calibri" w:hAnsi="Calibri" w:cs="Calibri"/>
          <w:sz w:val="24"/>
          <w:szCs w:val="24"/>
        </w:rPr>
        <w:t xml:space="preserve">which enabled them to </w:t>
      </w:r>
      <w:r w:rsidRPr="007954E1">
        <w:rPr>
          <w:rFonts w:ascii="Calibri" w:hAnsi="Calibri" w:cs="Calibri"/>
          <w:sz w:val="24"/>
          <w:szCs w:val="24"/>
        </w:rPr>
        <w:t xml:space="preserve">autonomously identify </w:t>
      </w:r>
      <w:r>
        <w:rPr>
          <w:rFonts w:ascii="Calibri" w:hAnsi="Calibri" w:cs="Calibri"/>
          <w:sz w:val="24"/>
          <w:szCs w:val="24"/>
        </w:rPr>
        <w:t xml:space="preserve">their own </w:t>
      </w:r>
      <w:r w:rsidRPr="007954E1">
        <w:rPr>
          <w:rFonts w:ascii="Calibri" w:hAnsi="Calibri" w:cs="Calibri"/>
          <w:sz w:val="24"/>
          <w:szCs w:val="24"/>
        </w:rPr>
        <w:t xml:space="preserve">magical tools to aid their teaching. </w:t>
      </w:r>
    </w:p>
    <w:p w14:paraId="2E162061" w14:textId="045D02C7" w:rsidR="00BF61A6" w:rsidRDefault="00BF61A6" w:rsidP="00B34100">
      <w:pPr>
        <w:spacing w:line="360" w:lineRule="auto"/>
        <w:rPr>
          <w:rFonts w:ascii="Calibri" w:hAnsi="Calibri" w:cs="Calibri"/>
          <w:sz w:val="24"/>
          <w:szCs w:val="24"/>
        </w:rPr>
      </w:pPr>
      <w:r w:rsidRPr="007954E1">
        <w:rPr>
          <w:rFonts w:ascii="Calibri" w:hAnsi="Calibri" w:cs="Calibri"/>
          <w:sz w:val="24"/>
          <w:szCs w:val="24"/>
        </w:rPr>
        <w:t>Others, such as Fred and Dana</w:t>
      </w:r>
      <w:r>
        <w:rPr>
          <w:rFonts w:ascii="Calibri" w:hAnsi="Calibri" w:cs="Calibri"/>
          <w:sz w:val="24"/>
          <w:szCs w:val="24"/>
        </w:rPr>
        <w:t xml:space="preserve"> </w:t>
      </w:r>
      <w:r w:rsidRPr="007954E1">
        <w:rPr>
          <w:rFonts w:ascii="Calibri" w:hAnsi="Calibri" w:cs="Calibri"/>
          <w:sz w:val="24"/>
          <w:szCs w:val="24"/>
        </w:rPr>
        <w:t xml:space="preserve">were able to draw upon internalised transitional objects, their teachers and mentors from their initial teacher trainings. The experiences of all five participants affirm that the teacher presence and teacher as role model can form a positive object constant for the student which endures (Mahler </w:t>
      </w:r>
      <w:r w:rsidRPr="00C46914">
        <w:rPr>
          <w:rFonts w:ascii="Calibri" w:hAnsi="Calibri" w:cs="Calibri"/>
          <w:i/>
          <w:iCs/>
          <w:sz w:val="24"/>
          <w:szCs w:val="24"/>
        </w:rPr>
        <w:t>et al</w:t>
      </w:r>
      <w:r w:rsidR="00C46914" w:rsidRPr="00C46914">
        <w:rPr>
          <w:rFonts w:ascii="Calibri" w:hAnsi="Calibri" w:cs="Calibri"/>
          <w:i/>
          <w:iCs/>
          <w:sz w:val="24"/>
          <w:szCs w:val="24"/>
        </w:rPr>
        <w:t>.</w:t>
      </w:r>
      <w:r w:rsidRPr="00C46914">
        <w:rPr>
          <w:rFonts w:ascii="Calibri" w:hAnsi="Calibri" w:cs="Calibri"/>
          <w:i/>
          <w:iCs/>
          <w:sz w:val="24"/>
          <w:szCs w:val="24"/>
        </w:rPr>
        <w:t>,</w:t>
      </w:r>
      <w:r w:rsidRPr="007954E1">
        <w:rPr>
          <w:rFonts w:ascii="Calibri" w:hAnsi="Calibri" w:cs="Calibri"/>
          <w:sz w:val="24"/>
          <w:szCs w:val="24"/>
        </w:rPr>
        <w:t xml:space="preserve"> 1975; Piaget, 1937). These results demonstrate the enduring nature of positive teaching experiences that become internalised and </w:t>
      </w:r>
      <w:r>
        <w:rPr>
          <w:rFonts w:ascii="Calibri" w:hAnsi="Calibri" w:cs="Calibri"/>
          <w:sz w:val="24"/>
          <w:szCs w:val="24"/>
        </w:rPr>
        <w:t xml:space="preserve">are </w:t>
      </w:r>
      <w:r w:rsidRPr="007954E1">
        <w:rPr>
          <w:rFonts w:ascii="Calibri" w:hAnsi="Calibri" w:cs="Calibri"/>
          <w:sz w:val="24"/>
          <w:szCs w:val="24"/>
        </w:rPr>
        <w:t>drawn upon in the future</w:t>
      </w:r>
      <w:r w:rsidR="00DB0C62">
        <w:rPr>
          <w:rFonts w:ascii="Calibri" w:hAnsi="Calibri" w:cs="Calibri"/>
          <w:sz w:val="24"/>
          <w:szCs w:val="24"/>
        </w:rPr>
        <w:t xml:space="preserve"> which</w:t>
      </w:r>
      <w:r>
        <w:rPr>
          <w:rFonts w:ascii="Calibri" w:hAnsi="Calibri" w:cs="Calibri"/>
          <w:sz w:val="24"/>
          <w:szCs w:val="24"/>
        </w:rPr>
        <w:t xml:space="preserve"> </w:t>
      </w:r>
      <w:r w:rsidRPr="007954E1">
        <w:rPr>
          <w:rFonts w:ascii="Calibri" w:hAnsi="Calibri" w:cs="Calibri"/>
          <w:sz w:val="24"/>
          <w:szCs w:val="24"/>
        </w:rPr>
        <w:t>might inform teacher trainings of the importance of relationality</w:t>
      </w:r>
      <w:r w:rsidR="00605D6A">
        <w:rPr>
          <w:rFonts w:ascii="Calibri" w:hAnsi="Calibri" w:cs="Calibri"/>
          <w:sz w:val="24"/>
          <w:szCs w:val="24"/>
        </w:rPr>
        <w:t>,</w:t>
      </w:r>
      <w:r w:rsidRPr="007954E1">
        <w:rPr>
          <w:rFonts w:ascii="Calibri" w:hAnsi="Calibri" w:cs="Calibri"/>
          <w:sz w:val="24"/>
          <w:szCs w:val="24"/>
        </w:rPr>
        <w:t xml:space="preserve"> and the teacher</w:t>
      </w:r>
      <w:r w:rsidR="00420680">
        <w:rPr>
          <w:rFonts w:ascii="Calibri" w:hAnsi="Calibri" w:cs="Calibri"/>
          <w:sz w:val="24"/>
          <w:szCs w:val="24"/>
        </w:rPr>
        <w:t xml:space="preserve"> </w:t>
      </w:r>
      <w:r w:rsidRPr="007954E1">
        <w:rPr>
          <w:rFonts w:ascii="Calibri" w:hAnsi="Calibri" w:cs="Calibri"/>
          <w:sz w:val="24"/>
          <w:szCs w:val="24"/>
        </w:rPr>
        <w:t xml:space="preserve">as transitional object </w:t>
      </w:r>
      <w:r>
        <w:rPr>
          <w:rFonts w:ascii="Calibri" w:hAnsi="Calibri" w:cs="Calibri"/>
          <w:sz w:val="24"/>
          <w:szCs w:val="24"/>
        </w:rPr>
        <w:t xml:space="preserve">and object constant </w:t>
      </w:r>
      <w:r w:rsidRPr="007954E1">
        <w:rPr>
          <w:rFonts w:ascii="Calibri" w:hAnsi="Calibri" w:cs="Calibri"/>
          <w:sz w:val="24"/>
          <w:szCs w:val="24"/>
        </w:rPr>
        <w:t xml:space="preserve">as </w:t>
      </w:r>
      <w:r w:rsidR="00420680">
        <w:rPr>
          <w:rFonts w:ascii="Calibri" w:hAnsi="Calibri" w:cs="Calibri"/>
          <w:sz w:val="24"/>
          <w:szCs w:val="24"/>
        </w:rPr>
        <w:t xml:space="preserve">important </w:t>
      </w:r>
      <w:r w:rsidRPr="007954E1">
        <w:rPr>
          <w:rFonts w:ascii="Calibri" w:hAnsi="Calibri" w:cs="Calibri"/>
          <w:sz w:val="24"/>
          <w:szCs w:val="24"/>
        </w:rPr>
        <w:t>factor</w:t>
      </w:r>
      <w:r>
        <w:rPr>
          <w:rFonts w:ascii="Calibri" w:hAnsi="Calibri" w:cs="Calibri"/>
          <w:sz w:val="24"/>
          <w:szCs w:val="24"/>
        </w:rPr>
        <w:t>s</w:t>
      </w:r>
      <w:r w:rsidRPr="007954E1">
        <w:rPr>
          <w:rFonts w:ascii="Calibri" w:hAnsi="Calibri" w:cs="Calibri"/>
          <w:sz w:val="24"/>
          <w:szCs w:val="24"/>
        </w:rPr>
        <w:t xml:space="preserve"> for learning. </w:t>
      </w:r>
    </w:p>
    <w:p w14:paraId="21E4ECFA" w14:textId="69D8C23F" w:rsidR="00BF61A6" w:rsidRDefault="00BF61A6" w:rsidP="00B34100">
      <w:pPr>
        <w:spacing w:line="360" w:lineRule="auto"/>
        <w:rPr>
          <w:rFonts w:ascii="Calibri" w:hAnsi="Calibri" w:cs="Calibri"/>
          <w:sz w:val="24"/>
          <w:szCs w:val="24"/>
        </w:rPr>
      </w:pPr>
      <w:r w:rsidRPr="00E40561">
        <w:rPr>
          <w:rFonts w:ascii="Calibri" w:hAnsi="Calibri" w:cs="Calibri"/>
          <w:sz w:val="24"/>
          <w:szCs w:val="24"/>
        </w:rPr>
        <w:lastRenderedPageBreak/>
        <w:t>Hungarian film director Marta Meszaros</w:t>
      </w:r>
      <w:r>
        <w:rPr>
          <w:rFonts w:ascii="Calibri" w:hAnsi="Calibri" w:cs="Calibri"/>
          <w:sz w:val="24"/>
          <w:szCs w:val="24"/>
        </w:rPr>
        <w:t xml:space="preserve"> (in Peary, 1988)</w:t>
      </w:r>
      <w:r w:rsidRPr="00E40561">
        <w:rPr>
          <w:rFonts w:ascii="Calibri" w:hAnsi="Calibri" w:cs="Calibri"/>
          <w:sz w:val="24"/>
          <w:szCs w:val="24"/>
        </w:rPr>
        <w:t xml:space="preserve"> stated: “I think all my films are about little girls who try to get to the other side of the forest unscathed” </w:t>
      </w:r>
      <w:r>
        <w:rPr>
          <w:rFonts w:ascii="Calibri" w:hAnsi="Calibri" w:cs="Calibri"/>
          <w:sz w:val="24"/>
          <w:szCs w:val="24"/>
        </w:rPr>
        <w:t>(</w:t>
      </w:r>
      <w:r w:rsidRPr="00E40561">
        <w:rPr>
          <w:rFonts w:ascii="Calibri" w:hAnsi="Calibri" w:cs="Calibri"/>
          <w:sz w:val="24"/>
          <w:szCs w:val="24"/>
        </w:rPr>
        <w:t>p.150)</w:t>
      </w:r>
      <w:r w:rsidR="00C26327">
        <w:rPr>
          <w:rFonts w:ascii="Calibri" w:hAnsi="Calibri" w:cs="Calibri"/>
          <w:sz w:val="24"/>
          <w:szCs w:val="24"/>
        </w:rPr>
        <w:t xml:space="preserve">, </w:t>
      </w:r>
      <w:r>
        <w:rPr>
          <w:rFonts w:ascii="Calibri" w:hAnsi="Calibri" w:cs="Calibri"/>
          <w:sz w:val="24"/>
          <w:szCs w:val="24"/>
        </w:rPr>
        <w:t>and</w:t>
      </w:r>
      <w:r w:rsidRPr="00E40561">
        <w:rPr>
          <w:rFonts w:ascii="Calibri" w:hAnsi="Calibri" w:cs="Calibri"/>
          <w:sz w:val="24"/>
          <w:szCs w:val="24"/>
        </w:rPr>
        <w:t xml:space="preserve"> </w:t>
      </w:r>
      <w:r>
        <w:rPr>
          <w:rFonts w:ascii="Calibri" w:hAnsi="Calibri" w:cs="Calibri"/>
          <w:sz w:val="24"/>
          <w:szCs w:val="24"/>
        </w:rPr>
        <w:t>o</w:t>
      </w:r>
      <w:r w:rsidRPr="00E40561">
        <w:rPr>
          <w:rFonts w:ascii="Calibri" w:hAnsi="Calibri" w:cs="Calibri"/>
          <w:sz w:val="24"/>
          <w:szCs w:val="24"/>
        </w:rPr>
        <w:t>ne of the unexpected results centred around th</w:t>
      </w:r>
      <w:r>
        <w:rPr>
          <w:rFonts w:ascii="Calibri" w:hAnsi="Calibri" w:cs="Calibri"/>
          <w:sz w:val="24"/>
          <w:szCs w:val="24"/>
        </w:rPr>
        <w:t xml:space="preserve">e </w:t>
      </w:r>
      <w:r w:rsidRPr="00E40561">
        <w:rPr>
          <w:rFonts w:ascii="Calibri" w:hAnsi="Calibri" w:cs="Calibri"/>
          <w:sz w:val="24"/>
          <w:szCs w:val="24"/>
        </w:rPr>
        <w:t xml:space="preserve">scathing experiences </w:t>
      </w:r>
      <w:r>
        <w:rPr>
          <w:rFonts w:ascii="Calibri" w:hAnsi="Calibri" w:cs="Calibri"/>
          <w:sz w:val="24"/>
          <w:szCs w:val="24"/>
        </w:rPr>
        <w:t>of three adult returners during</w:t>
      </w:r>
      <w:r w:rsidRPr="00E40561">
        <w:rPr>
          <w:rFonts w:ascii="Calibri" w:hAnsi="Calibri" w:cs="Calibri"/>
          <w:sz w:val="24"/>
          <w:szCs w:val="24"/>
        </w:rPr>
        <w:t xml:space="preserve"> their teacher training journeys</w:t>
      </w:r>
      <w:r>
        <w:rPr>
          <w:rFonts w:ascii="Calibri" w:hAnsi="Calibri" w:cs="Calibri"/>
          <w:sz w:val="24"/>
          <w:szCs w:val="24"/>
        </w:rPr>
        <w:t xml:space="preserve"> which resulted in moral injury (Hibbins, 2020)</w:t>
      </w:r>
      <w:r w:rsidRPr="00E40561">
        <w:rPr>
          <w:rFonts w:ascii="Calibri" w:hAnsi="Calibri" w:cs="Calibri"/>
          <w:sz w:val="24"/>
          <w:szCs w:val="24"/>
        </w:rPr>
        <w:t xml:space="preserve">. </w:t>
      </w:r>
      <w:r>
        <w:rPr>
          <w:rFonts w:ascii="Calibri" w:hAnsi="Calibri" w:cs="Calibri"/>
          <w:sz w:val="24"/>
          <w:szCs w:val="24"/>
        </w:rPr>
        <w:t>Mo, Liz and Jenko described</w:t>
      </w:r>
      <w:r w:rsidRPr="00E40561">
        <w:rPr>
          <w:rFonts w:ascii="Calibri" w:hAnsi="Calibri" w:cs="Calibri"/>
          <w:sz w:val="24"/>
          <w:szCs w:val="24"/>
        </w:rPr>
        <w:t xml:space="preserve"> their </w:t>
      </w:r>
      <w:r>
        <w:rPr>
          <w:rFonts w:ascii="Calibri" w:hAnsi="Calibri" w:cs="Calibri"/>
          <w:sz w:val="24"/>
          <w:szCs w:val="24"/>
        </w:rPr>
        <w:t xml:space="preserve">learning journeys as </w:t>
      </w:r>
      <w:r w:rsidRPr="0082635C">
        <w:rPr>
          <w:rFonts w:ascii="Calibri" w:hAnsi="Calibri" w:cs="Calibri"/>
          <w:sz w:val="24"/>
          <w:szCs w:val="24"/>
        </w:rPr>
        <w:t>arduous</w:t>
      </w:r>
      <w:r>
        <w:rPr>
          <w:rFonts w:ascii="Calibri" w:hAnsi="Calibri" w:cs="Calibri"/>
          <w:sz w:val="24"/>
          <w:szCs w:val="24"/>
        </w:rPr>
        <w:t xml:space="preserve"> which </w:t>
      </w:r>
      <w:r w:rsidRPr="00E40561">
        <w:rPr>
          <w:rFonts w:ascii="Calibri" w:hAnsi="Calibri" w:cs="Calibri"/>
          <w:sz w:val="24"/>
          <w:szCs w:val="24"/>
        </w:rPr>
        <w:t>they attributed to a lack of attention to their learning needs</w:t>
      </w:r>
      <w:r>
        <w:rPr>
          <w:rFonts w:ascii="Calibri" w:hAnsi="Calibri" w:cs="Calibri"/>
          <w:sz w:val="24"/>
          <w:szCs w:val="24"/>
        </w:rPr>
        <w:t xml:space="preserve">, </w:t>
      </w:r>
      <w:r w:rsidRPr="0037224F">
        <w:rPr>
          <w:rFonts w:ascii="Calibri" w:hAnsi="Calibri" w:cs="Calibri"/>
          <w:sz w:val="24"/>
          <w:szCs w:val="24"/>
        </w:rPr>
        <w:t xml:space="preserve">the lack of visibility and clarity in learning requirements (Brunton and Buckley, 2020) and not understanding what was required of them. </w:t>
      </w:r>
      <w:r>
        <w:rPr>
          <w:rFonts w:ascii="Calibri" w:hAnsi="Calibri" w:cs="Calibri"/>
          <w:sz w:val="24"/>
          <w:szCs w:val="24"/>
        </w:rPr>
        <w:t>T</w:t>
      </w:r>
      <w:r w:rsidRPr="0037224F">
        <w:rPr>
          <w:rFonts w:ascii="Calibri" w:hAnsi="Calibri" w:cs="Calibri"/>
          <w:sz w:val="24"/>
          <w:szCs w:val="24"/>
        </w:rPr>
        <w:t xml:space="preserve">here was an unexpected disconnect between </w:t>
      </w:r>
      <w:r>
        <w:rPr>
          <w:rFonts w:ascii="Calibri" w:hAnsi="Calibri" w:cs="Calibri"/>
          <w:sz w:val="24"/>
          <w:szCs w:val="24"/>
        </w:rPr>
        <w:t xml:space="preserve">their </w:t>
      </w:r>
      <w:r w:rsidRPr="0037224F">
        <w:rPr>
          <w:rFonts w:ascii="Calibri" w:hAnsi="Calibri" w:cs="Calibri"/>
          <w:sz w:val="24"/>
          <w:szCs w:val="24"/>
        </w:rPr>
        <w:t xml:space="preserve">expectations and their actual experiences which intensified difficulties in the formation of their student identities (McPhail </w:t>
      </w:r>
      <w:r w:rsidR="00FB3A6E" w:rsidRPr="00FB3A6E">
        <w:rPr>
          <w:rFonts w:ascii="Calibri" w:hAnsi="Calibri" w:cs="Calibri"/>
          <w:i/>
          <w:sz w:val="24"/>
          <w:szCs w:val="24"/>
        </w:rPr>
        <w:t>et al.</w:t>
      </w:r>
      <w:r w:rsidRPr="0037224F">
        <w:rPr>
          <w:rFonts w:ascii="Calibri" w:hAnsi="Calibri" w:cs="Calibri"/>
          <w:sz w:val="24"/>
          <w:szCs w:val="24"/>
        </w:rPr>
        <w:t xml:space="preserve">, 2009). </w:t>
      </w:r>
      <w:r w:rsidRPr="00805785">
        <w:rPr>
          <w:rFonts w:ascii="Calibri" w:hAnsi="Calibri" w:cs="Calibri"/>
          <w:sz w:val="24"/>
          <w:szCs w:val="24"/>
        </w:rPr>
        <w:t>In addition, inconsistencies in teacher trainers</w:t>
      </w:r>
      <w:r w:rsidR="00294232">
        <w:rPr>
          <w:rFonts w:ascii="Calibri" w:hAnsi="Calibri" w:cs="Calibri"/>
          <w:sz w:val="24"/>
          <w:szCs w:val="24"/>
        </w:rPr>
        <w:t>’</w:t>
      </w:r>
      <w:r w:rsidRPr="00805785">
        <w:rPr>
          <w:rFonts w:ascii="Calibri" w:hAnsi="Calibri" w:cs="Calibri"/>
          <w:sz w:val="24"/>
          <w:szCs w:val="24"/>
        </w:rPr>
        <w:t xml:space="preserve"> modelling of theories taught (McAlpine and Amundsen, 2011) added to </w:t>
      </w:r>
      <w:r>
        <w:rPr>
          <w:rFonts w:ascii="Calibri" w:hAnsi="Calibri" w:cs="Calibri"/>
          <w:sz w:val="24"/>
          <w:szCs w:val="24"/>
        </w:rPr>
        <w:t xml:space="preserve">Liz’s </w:t>
      </w:r>
      <w:r w:rsidRPr="00805785">
        <w:rPr>
          <w:rFonts w:ascii="Calibri" w:hAnsi="Calibri" w:cs="Calibri"/>
          <w:sz w:val="24"/>
          <w:szCs w:val="24"/>
        </w:rPr>
        <w:t>difficult journey.</w:t>
      </w:r>
      <w:r w:rsidRPr="008765E9">
        <w:rPr>
          <w:rFonts w:ascii="Calibri" w:hAnsi="Calibri" w:cs="Calibri"/>
          <w:sz w:val="24"/>
          <w:szCs w:val="24"/>
        </w:rPr>
        <w:t xml:space="preserve"> </w:t>
      </w:r>
    </w:p>
    <w:p w14:paraId="6663EE16" w14:textId="223FC33B" w:rsidR="00BF61A6" w:rsidRDefault="00BF61A6" w:rsidP="00B34100">
      <w:pPr>
        <w:spacing w:line="360" w:lineRule="auto"/>
        <w:rPr>
          <w:rFonts w:ascii="Calibri" w:hAnsi="Calibri" w:cs="Calibri"/>
          <w:sz w:val="24"/>
          <w:szCs w:val="24"/>
        </w:rPr>
      </w:pPr>
      <w:r w:rsidRPr="0069753D">
        <w:rPr>
          <w:rFonts w:ascii="Calibri" w:hAnsi="Calibri" w:cs="Calibri"/>
          <w:sz w:val="24"/>
          <w:szCs w:val="24"/>
        </w:rPr>
        <w:t>The</w:t>
      </w:r>
      <w:r>
        <w:rPr>
          <w:rFonts w:ascii="Calibri" w:hAnsi="Calibri" w:cs="Calibri"/>
          <w:sz w:val="24"/>
          <w:szCs w:val="24"/>
        </w:rPr>
        <w:t>se</w:t>
      </w:r>
      <w:r w:rsidRPr="0069753D">
        <w:rPr>
          <w:rFonts w:ascii="Calibri" w:hAnsi="Calibri" w:cs="Calibri"/>
          <w:sz w:val="24"/>
          <w:szCs w:val="24"/>
        </w:rPr>
        <w:t xml:space="preserve"> participants were not consulted about their needs which suggests that by attuning to their needs (Stevenson and Farmer, 2017)</w:t>
      </w:r>
      <w:r>
        <w:rPr>
          <w:rFonts w:ascii="Calibri" w:hAnsi="Calibri" w:cs="Calibri"/>
          <w:sz w:val="24"/>
          <w:szCs w:val="24"/>
        </w:rPr>
        <w:t xml:space="preserve"> </w:t>
      </w:r>
      <w:r w:rsidRPr="0069753D">
        <w:rPr>
          <w:rFonts w:ascii="Calibri" w:hAnsi="Calibri" w:cs="Calibri"/>
          <w:sz w:val="24"/>
          <w:szCs w:val="24"/>
        </w:rPr>
        <w:t xml:space="preserve">their ease of passage into teaching might have been less arduous. </w:t>
      </w:r>
      <w:r w:rsidRPr="007847EA">
        <w:rPr>
          <w:rFonts w:ascii="Calibri" w:hAnsi="Calibri" w:cs="Calibri"/>
          <w:sz w:val="24"/>
          <w:szCs w:val="24"/>
        </w:rPr>
        <w:t>The findings affirm that the psychological, academic and life needs of the returning adult learner differ from traditional age learners (Richardson and Kind, 2019)</w:t>
      </w:r>
      <w:r>
        <w:rPr>
          <w:rFonts w:ascii="Calibri" w:hAnsi="Calibri" w:cs="Calibri"/>
          <w:sz w:val="24"/>
          <w:szCs w:val="24"/>
        </w:rPr>
        <w:t xml:space="preserve"> and they can indeed </w:t>
      </w:r>
      <w:r w:rsidRPr="007847EA">
        <w:rPr>
          <w:rFonts w:ascii="Calibri" w:hAnsi="Calibri" w:cs="Calibri"/>
          <w:sz w:val="24"/>
          <w:szCs w:val="24"/>
        </w:rPr>
        <w:t xml:space="preserve">undergo an identity formation process (Bell, </w:t>
      </w:r>
      <w:r w:rsidR="00FB3A6E" w:rsidRPr="00FB3A6E">
        <w:rPr>
          <w:rFonts w:ascii="Calibri" w:hAnsi="Calibri" w:cs="Calibri"/>
          <w:i/>
          <w:sz w:val="24"/>
          <w:szCs w:val="24"/>
        </w:rPr>
        <w:t>et al.</w:t>
      </w:r>
      <w:r w:rsidRPr="007847EA">
        <w:rPr>
          <w:rFonts w:ascii="Calibri" w:hAnsi="Calibri" w:cs="Calibri"/>
          <w:sz w:val="24"/>
          <w:szCs w:val="24"/>
        </w:rPr>
        <w:t>, 2007) whereby their inherited learning is perhaps not destroyed (Abercrombie, 1993) but agitated</w:t>
      </w:r>
      <w:r>
        <w:rPr>
          <w:rFonts w:ascii="Calibri" w:hAnsi="Calibri" w:cs="Calibri"/>
          <w:sz w:val="24"/>
          <w:szCs w:val="24"/>
        </w:rPr>
        <w:t>, and a</w:t>
      </w:r>
      <w:r w:rsidRPr="007847EA">
        <w:rPr>
          <w:rFonts w:ascii="Calibri" w:hAnsi="Calibri" w:cs="Calibri"/>
          <w:sz w:val="24"/>
          <w:szCs w:val="24"/>
        </w:rPr>
        <w:t>nxiety</w:t>
      </w:r>
      <w:r>
        <w:rPr>
          <w:rFonts w:ascii="Calibri" w:hAnsi="Calibri" w:cs="Calibri"/>
          <w:sz w:val="24"/>
          <w:szCs w:val="24"/>
        </w:rPr>
        <w:t xml:space="preserve">, </w:t>
      </w:r>
      <w:r w:rsidRPr="007847EA">
        <w:rPr>
          <w:rFonts w:ascii="Calibri" w:hAnsi="Calibri" w:cs="Calibri"/>
          <w:sz w:val="24"/>
          <w:szCs w:val="24"/>
        </w:rPr>
        <w:t xml:space="preserve">vulnerability </w:t>
      </w:r>
      <w:r>
        <w:rPr>
          <w:rFonts w:ascii="Calibri" w:hAnsi="Calibri" w:cs="Calibri"/>
          <w:sz w:val="24"/>
          <w:szCs w:val="24"/>
        </w:rPr>
        <w:t xml:space="preserve">and feeling overwhelmed (Hirblinger, 2017) </w:t>
      </w:r>
      <w:r w:rsidRPr="007847EA">
        <w:rPr>
          <w:rFonts w:ascii="Calibri" w:hAnsi="Calibri" w:cs="Calibri"/>
          <w:sz w:val="24"/>
          <w:szCs w:val="24"/>
        </w:rPr>
        <w:t>are a consequence</w:t>
      </w:r>
      <w:r>
        <w:rPr>
          <w:rFonts w:ascii="Calibri" w:hAnsi="Calibri" w:cs="Calibri"/>
          <w:sz w:val="24"/>
          <w:szCs w:val="24"/>
        </w:rPr>
        <w:t>.</w:t>
      </w:r>
    </w:p>
    <w:p w14:paraId="22B1B5D5" w14:textId="19ADD749" w:rsidR="00BF61A6" w:rsidRPr="00447073" w:rsidRDefault="00BF61A6" w:rsidP="00B34100">
      <w:pPr>
        <w:spacing w:line="360" w:lineRule="auto"/>
        <w:rPr>
          <w:rFonts w:ascii="Calibri" w:hAnsi="Calibri" w:cs="Calibri"/>
          <w:sz w:val="24"/>
          <w:szCs w:val="24"/>
        </w:rPr>
      </w:pPr>
      <w:r w:rsidRPr="0077785A">
        <w:rPr>
          <w:rFonts w:ascii="Calibri" w:hAnsi="Calibri" w:cs="Calibri"/>
          <w:sz w:val="24"/>
          <w:szCs w:val="24"/>
        </w:rPr>
        <w:t xml:space="preserve">Although it could be argued that these mature students were critical of their learning experiences </w:t>
      </w:r>
      <w:r w:rsidRPr="0077785A">
        <w:rPr>
          <w:rFonts w:ascii="Calibri" w:hAnsi="Calibri" w:cs="Calibri"/>
          <w:i/>
          <w:iCs/>
          <w:sz w:val="24"/>
          <w:szCs w:val="24"/>
        </w:rPr>
        <w:t>because of</w:t>
      </w:r>
      <w:r w:rsidRPr="0077785A">
        <w:rPr>
          <w:rFonts w:ascii="Calibri" w:hAnsi="Calibri" w:cs="Calibri"/>
          <w:sz w:val="24"/>
          <w:szCs w:val="24"/>
        </w:rPr>
        <w:t xml:space="preserve"> their maturity, work and life experiences, it could be speculated that the</w:t>
      </w:r>
      <w:r>
        <w:rPr>
          <w:rFonts w:ascii="Calibri" w:hAnsi="Calibri" w:cs="Calibri"/>
          <w:sz w:val="24"/>
          <w:szCs w:val="24"/>
        </w:rPr>
        <w:t xml:space="preserve">se </w:t>
      </w:r>
      <w:r w:rsidRPr="0077785A">
        <w:rPr>
          <w:rFonts w:ascii="Calibri" w:hAnsi="Calibri" w:cs="Calibri"/>
          <w:sz w:val="24"/>
          <w:szCs w:val="24"/>
        </w:rPr>
        <w:t>proved somewhat irrelevant in the new context as students. The difficult experiences the</w:t>
      </w:r>
      <w:r w:rsidR="000D2ECE">
        <w:rPr>
          <w:rFonts w:ascii="Calibri" w:hAnsi="Calibri" w:cs="Calibri"/>
          <w:sz w:val="24"/>
          <w:szCs w:val="24"/>
        </w:rPr>
        <w:t>se</w:t>
      </w:r>
      <w:r w:rsidRPr="0077785A">
        <w:rPr>
          <w:rFonts w:ascii="Calibri" w:hAnsi="Calibri" w:cs="Calibri"/>
          <w:sz w:val="24"/>
          <w:szCs w:val="24"/>
        </w:rPr>
        <w:t xml:space="preserve"> participants relayed were not from a position of attack, they were from a position of confusion. </w:t>
      </w:r>
      <w:r w:rsidRPr="00DD5B1B">
        <w:rPr>
          <w:rFonts w:ascii="Calibri" w:hAnsi="Calibri" w:cs="Calibri"/>
          <w:sz w:val="24"/>
          <w:szCs w:val="24"/>
        </w:rPr>
        <w:t xml:space="preserve">Their difficult, isolating journeys offer insights into the importance of dispelling myths about the epistemology of mature students who might be considered as </w:t>
      </w:r>
      <w:r w:rsidRPr="00DD5B1B">
        <w:rPr>
          <w:rFonts w:ascii="Calibri" w:hAnsi="Calibri" w:cs="Calibri"/>
          <w:i/>
          <w:iCs/>
          <w:sz w:val="24"/>
          <w:szCs w:val="24"/>
        </w:rPr>
        <w:t>not</w:t>
      </w:r>
      <w:r w:rsidRPr="00DD5B1B">
        <w:rPr>
          <w:rFonts w:ascii="Calibri" w:hAnsi="Calibri" w:cs="Calibri"/>
          <w:sz w:val="24"/>
          <w:szCs w:val="24"/>
        </w:rPr>
        <w:t xml:space="preserve"> needing </w:t>
      </w:r>
      <w:r>
        <w:rPr>
          <w:rFonts w:ascii="Calibri" w:hAnsi="Calibri" w:cs="Calibri"/>
          <w:sz w:val="24"/>
          <w:szCs w:val="24"/>
        </w:rPr>
        <w:t>support</w:t>
      </w:r>
      <w:r w:rsidRPr="00DD5B1B">
        <w:rPr>
          <w:rFonts w:ascii="Calibri" w:hAnsi="Calibri" w:cs="Calibri"/>
          <w:sz w:val="24"/>
          <w:szCs w:val="24"/>
        </w:rPr>
        <w:t xml:space="preserve">. </w:t>
      </w:r>
      <w:r w:rsidRPr="00447073">
        <w:rPr>
          <w:rFonts w:ascii="Calibri" w:hAnsi="Calibri" w:cs="Calibri"/>
          <w:sz w:val="24"/>
          <w:szCs w:val="24"/>
        </w:rPr>
        <w:t xml:space="preserve">The data contribute to a clearer understanding of the pastoral role of the teacher trainer </w:t>
      </w:r>
      <w:r>
        <w:rPr>
          <w:rFonts w:ascii="Calibri" w:hAnsi="Calibri" w:cs="Calibri"/>
          <w:sz w:val="24"/>
          <w:szCs w:val="24"/>
        </w:rPr>
        <w:t xml:space="preserve">during learning transitions </w:t>
      </w:r>
      <w:r w:rsidRPr="00447073">
        <w:rPr>
          <w:rFonts w:ascii="Calibri" w:hAnsi="Calibri" w:cs="Calibri"/>
          <w:sz w:val="24"/>
          <w:szCs w:val="24"/>
        </w:rPr>
        <w:t xml:space="preserve">and prompt the exercising of an ethic of care </w:t>
      </w:r>
      <w:r w:rsidR="00F74883">
        <w:rPr>
          <w:rFonts w:ascii="Calibri" w:hAnsi="Calibri" w:cs="Calibri"/>
          <w:sz w:val="24"/>
          <w:szCs w:val="24"/>
        </w:rPr>
        <w:t xml:space="preserve">(Noddings, 2002) </w:t>
      </w:r>
      <w:r>
        <w:rPr>
          <w:rFonts w:ascii="Calibri" w:hAnsi="Calibri" w:cs="Calibri"/>
          <w:sz w:val="24"/>
          <w:szCs w:val="24"/>
        </w:rPr>
        <w:t xml:space="preserve">for all learners </w:t>
      </w:r>
      <w:r w:rsidRPr="00447073">
        <w:rPr>
          <w:rFonts w:ascii="Calibri" w:hAnsi="Calibri" w:cs="Calibri"/>
          <w:sz w:val="24"/>
          <w:szCs w:val="24"/>
        </w:rPr>
        <w:t xml:space="preserve">that extends beyond the act of knowledge delivery. </w:t>
      </w:r>
    </w:p>
    <w:p w14:paraId="16997F2D" w14:textId="48AC8978" w:rsidR="00BF61A6" w:rsidRPr="003438C9" w:rsidRDefault="00BF61A6" w:rsidP="00B34100">
      <w:pPr>
        <w:spacing w:line="360" w:lineRule="auto"/>
        <w:rPr>
          <w:rFonts w:ascii="Calibri" w:hAnsi="Calibri" w:cs="Calibri"/>
          <w:color w:val="C00000"/>
          <w:sz w:val="24"/>
          <w:szCs w:val="24"/>
        </w:rPr>
      </w:pPr>
      <w:r>
        <w:rPr>
          <w:rFonts w:ascii="Calibri" w:hAnsi="Calibri" w:cs="Calibri"/>
          <w:sz w:val="24"/>
          <w:szCs w:val="24"/>
        </w:rPr>
        <w:t>The findings lend support for h</w:t>
      </w:r>
      <w:r w:rsidRPr="007847EA">
        <w:rPr>
          <w:rFonts w:ascii="Calibri" w:hAnsi="Calibri" w:cs="Calibri"/>
          <w:sz w:val="24"/>
          <w:szCs w:val="24"/>
        </w:rPr>
        <w:t xml:space="preserve">olding </w:t>
      </w:r>
      <w:r w:rsidR="00E14600">
        <w:rPr>
          <w:rFonts w:ascii="Calibri" w:hAnsi="Calibri" w:cs="Calibri"/>
          <w:sz w:val="24"/>
          <w:szCs w:val="24"/>
        </w:rPr>
        <w:t xml:space="preserve">(Winnicott, 1965) </w:t>
      </w:r>
      <w:r>
        <w:rPr>
          <w:rFonts w:ascii="Calibri" w:hAnsi="Calibri" w:cs="Calibri"/>
          <w:sz w:val="24"/>
          <w:szCs w:val="24"/>
        </w:rPr>
        <w:t>by a teacher as transitional object (Coren, 1997)</w:t>
      </w:r>
      <w:r w:rsidRPr="00EB3E7A">
        <w:rPr>
          <w:rFonts w:ascii="Calibri" w:hAnsi="Calibri" w:cs="Calibri"/>
          <w:sz w:val="24"/>
          <w:szCs w:val="24"/>
        </w:rPr>
        <w:t xml:space="preserve"> </w:t>
      </w:r>
      <w:r>
        <w:rPr>
          <w:rFonts w:ascii="Calibri" w:hAnsi="Calibri" w:cs="Calibri"/>
          <w:sz w:val="24"/>
          <w:szCs w:val="24"/>
        </w:rPr>
        <w:t xml:space="preserve">who </w:t>
      </w:r>
      <w:r w:rsidRPr="00EB3E7A">
        <w:rPr>
          <w:rFonts w:ascii="Calibri" w:hAnsi="Calibri" w:cs="Calibri"/>
          <w:sz w:val="24"/>
          <w:szCs w:val="24"/>
        </w:rPr>
        <w:t xml:space="preserve">can guide, support and act as a bridge between the student and their learning experience </w:t>
      </w:r>
      <w:r>
        <w:rPr>
          <w:rFonts w:ascii="Calibri" w:hAnsi="Calibri" w:cs="Calibri"/>
          <w:sz w:val="24"/>
          <w:szCs w:val="24"/>
        </w:rPr>
        <w:t>being essential</w:t>
      </w:r>
      <w:r w:rsidRPr="007847EA">
        <w:rPr>
          <w:rFonts w:ascii="Calibri" w:hAnsi="Calibri" w:cs="Calibri"/>
          <w:sz w:val="24"/>
          <w:szCs w:val="24"/>
        </w:rPr>
        <w:t xml:space="preserve"> (Phuongloan, 2020). </w:t>
      </w:r>
      <w:bookmarkStart w:id="87" w:name="_Hlk215742333"/>
      <w:r>
        <w:rPr>
          <w:rFonts w:ascii="Calibri" w:hAnsi="Calibri" w:cs="Calibri"/>
          <w:color w:val="C00000"/>
          <w:sz w:val="24"/>
          <w:szCs w:val="24"/>
        </w:rPr>
        <w:t xml:space="preserve"> </w:t>
      </w:r>
      <w:bookmarkEnd w:id="87"/>
      <w:r w:rsidRPr="00367739">
        <w:rPr>
          <w:rFonts w:ascii="Calibri" w:hAnsi="Calibri" w:cs="Calibri"/>
          <w:sz w:val="24"/>
          <w:szCs w:val="24"/>
        </w:rPr>
        <w:t>For the</w:t>
      </w:r>
      <w:r>
        <w:rPr>
          <w:rFonts w:ascii="Calibri" w:hAnsi="Calibri" w:cs="Calibri"/>
          <w:sz w:val="24"/>
          <w:szCs w:val="24"/>
        </w:rPr>
        <w:t>se</w:t>
      </w:r>
      <w:r w:rsidRPr="00367739">
        <w:rPr>
          <w:rFonts w:ascii="Calibri" w:hAnsi="Calibri" w:cs="Calibri"/>
          <w:sz w:val="24"/>
          <w:szCs w:val="24"/>
        </w:rPr>
        <w:t xml:space="preserve"> adult returners their </w:t>
      </w:r>
      <w:r w:rsidRPr="00367739">
        <w:rPr>
          <w:rFonts w:ascii="Calibri" w:hAnsi="Calibri" w:cs="Calibri"/>
          <w:sz w:val="24"/>
          <w:szCs w:val="24"/>
        </w:rPr>
        <w:lastRenderedPageBreak/>
        <w:t>teachers failed to hold them adequately</w:t>
      </w:r>
      <w:r>
        <w:rPr>
          <w:rFonts w:ascii="Calibri" w:hAnsi="Calibri" w:cs="Calibri"/>
          <w:sz w:val="24"/>
          <w:szCs w:val="24"/>
        </w:rPr>
        <w:t xml:space="preserve"> and</w:t>
      </w:r>
      <w:r w:rsidRPr="00BB7AAE">
        <w:rPr>
          <w:rFonts w:ascii="Calibri" w:hAnsi="Calibri" w:cs="Calibri"/>
          <w:sz w:val="24"/>
          <w:szCs w:val="24"/>
        </w:rPr>
        <w:t xml:space="preserve"> holding in the context of their training was missing </w:t>
      </w:r>
      <w:r>
        <w:rPr>
          <w:rFonts w:ascii="Calibri" w:hAnsi="Calibri" w:cs="Calibri"/>
          <w:sz w:val="24"/>
          <w:szCs w:val="24"/>
        </w:rPr>
        <w:t>rendering them</w:t>
      </w:r>
      <w:r w:rsidRPr="00BB7AAE">
        <w:rPr>
          <w:rFonts w:ascii="Calibri" w:hAnsi="Calibri" w:cs="Calibri"/>
          <w:sz w:val="24"/>
          <w:szCs w:val="24"/>
        </w:rPr>
        <w:t xml:space="preserve"> academically unprepared (Black, 2022).</w:t>
      </w:r>
      <w:r>
        <w:rPr>
          <w:rFonts w:ascii="Calibri" w:hAnsi="Calibri" w:cs="Calibri"/>
          <w:sz w:val="24"/>
          <w:szCs w:val="24"/>
        </w:rPr>
        <w:t xml:space="preserve"> </w:t>
      </w:r>
      <w:r w:rsidRPr="009E58C7">
        <w:rPr>
          <w:rFonts w:ascii="Calibri" w:hAnsi="Calibri" w:cs="Calibri"/>
          <w:sz w:val="24"/>
          <w:szCs w:val="24"/>
        </w:rPr>
        <w:t xml:space="preserve">It would appear from the findings that there were clear consequences emotionally for participants when </w:t>
      </w:r>
      <w:r>
        <w:rPr>
          <w:rFonts w:ascii="Calibri" w:hAnsi="Calibri" w:cs="Calibri"/>
          <w:sz w:val="24"/>
          <w:szCs w:val="24"/>
        </w:rPr>
        <w:t>holding</w:t>
      </w:r>
      <w:r w:rsidRPr="009E58C7">
        <w:rPr>
          <w:rFonts w:ascii="Calibri" w:hAnsi="Calibri" w:cs="Calibri"/>
          <w:sz w:val="24"/>
          <w:szCs w:val="24"/>
        </w:rPr>
        <w:t xml:space="preserve"> during their teacher trainings was missing. </w:t>
      </w:r>
    </w:p>
    <w:p w14:paraId="19B0B02D" w14:textId="15F6FD86" w:rsidR="00BF61A6" w:rsidRDefault="00BF61A6" w:rsidP="00B34100">
      <w:pPr>
        <w:spacing w:line="360" w:lineRule="auto"/>
        <w:rPr>
          <w:rFonts w:ascii="Calibri" w:hAnsi="Calibri" w:cs="Calibri"/>
          <w:sz w:val="24"/>
          <w:szCs w:val="24"/>
        </w:rPr>
      </w:pPr>
      <w:r>
        <w:rPr>
          <w:rFonts w:ascii="Calibri" w:hAnsi="Calibri" w:cs="Calibri"/>
          <w:sz w:val="24"/>
          <w:szCs w:val="24"/>
        </w:rPr>
        <w:t>These mature students were at risk</w:t>
      </w:r>
      <w:r w:rsidRPr="00DB2C06">
        <w:rPr>
          <w:rFonts w:ascii="Calibri" w:hAnsi="Calibri" w:cs="Calibri"/>
          <w:sz w:val="24"/>
          <w:szCs w:val="24"/>
        </w:rPr>
        <w:t xml:space="preserve"> (Tett, 2004), particularly </w:t>
      </w:r>
      <w:r>
        <w:rPr>
          <w:rFonts w:ascii="Calibri" w:hAnsi="Calibri" w:cs="Calibri"/>
          <w:sz w:val="24"/>
          <w:szCs w:val="24"/>
        </w:rPr>
        <w:t xml:space="preserve">at </w:t>
      </w:r>
      <w:r w:rsidRPr="00DB2C06">
        <w:rPr>
          <w:rFonts w:ascii="Calibri" w:hAnsi="Calibri" w:cs="Calibri"/>
          <w:sz w:val="24"/>
          <w:szCs w:val="24"/>
        </w:rPr>
        <w:t>risk</w:t>
      </w:r>
      <w:r>
        <w:rPr>
          <w:rFonts w:ascii="Calibri" w:hAnsi="Calibri" w:cs="Calibri"/>
          <w:sz w:val="24"/>
          <w:szCs w:val="24"/>
        </w:rPr>
        <w:t xml:space="preserve"> </w:t>
      </w:r>
      <w:r w:rsidRPr="00DB2C06">
        <w:rPr>
          <w:rFonts w:ascii="Calibri" w:hAnsi="Calibri" w:cs="Calibri"/>
          <w:sz w:val="24"/>
          <w:szCs w:val="24"/>
        </w:rPr>
        <w:t>of vulnerability</w:t>
      </w:r>
      <w:r>
        <w:rPr>
          <w:rFonts w:ascii="Calibri" w:hAnsi="Calibri" w:cs="Calibri"/>
          <w:sz w:val="24"/>
          <w:szCs w:val="24"/>
        </w:rPr>
        <w:t xml:space="preserve"> and stress. It appears that these findings directly challenge a </w:t>
      </w:r>
      <w:r w:rsidRPr="00DB2C06">
        <w:rPr>
          <w:rFonts w:ascii="Calibri" w:hAnsi="Calibri" w:cs="Calibri"/>
          <w:sz w:val="24"/>
          <w:szCs w:val="24"/>
        </w:rPr>
        <w:t xml:space="preserve">deficit ideology in HE (Black, 2022; Butcher </w:t>
      </w:r>
      <w:r w:rsidR="00FB3A6E" w:rsidRPr="00FB3A6E">
        <w:rPr>
          <w:rFonts w:ascii="Calibri" w:hAnsi="Calibri" w:cs="Calibri"/>
          <w:i/>
          <w:sz w:val="24"/>
          <w:szCs w:val="24"/>
        </w:rPr>
        <w:t>et al.</w:t>
      </w:r>
      <w:r w:rsidRPr="004F7F65">
        <w:rPr>
          <w:rFonts w:ascii="Calibri" w:hAnsi="Calibri" w:cs="Calibri"/>
          <w:sz w:val="24"/>
          <w:szCs w:val="24"/>
        </w:rPr>
        <w:t>,</w:t>
      </w:r>
      <w:r w:rsidRPr="00DB2C06">
        <w:rPr>
          <w:rFonts w:ascii="Calibri" w:hAnsi="Calibri" w:cs="Calibri"/>
          <w:sz w:val="24"/>
          <w:szCs w:val="24"/>
        </w:rPr>
        <w:t xml:space="preserve"> 2020)</w:t>
      </w:r>
      <w:r>
        <w:rPr>
          <w:rFonts w:ascii="Calibri" w:hAnsi="Calibri" w:cs="Calibri"/>
          <w:sz w:val="24"/>
          <w:szCs w:val="24"/>
        </w:rPr>
        <w:t xml:space="preserve"> that attributes blame if a teacher experiences</w:t>
      </w:r>
      <w:r w:rsidRPr="00DB2C06">
        <w:rPr>
          <w:rFonts w:ascii="Calibri" w:hAnsi="Calibri" w:cs="Calibri"/>
          <w:sz w:val="24"/>
          <w:szCs w:val="24"/>
        </w:rPr>
        <w:t xml:space="preserve"> stress </w:t>
      </w:r>
      <w:r>
        <w:rPr>
          <w:rFonts w:ascii="Calibri" w:hAnsi="Calibri" w:cs="Calibri"/>
          <w:sz w:val="24"/>
          <w:szCs w:val="24"/>
        </w:rPr>
        <w:t xml:space="preserve">(Malach, 2017) </w:t>
      </w:r>
      <w:r w:rsidRPr="00DB2C06">
        <w:rPr>
          <w:rFonts w:ascii="Calibri" w:hAnsi="Calibri" w:cs="Calibri"/>
          <w:sz w:val="24"/>
          <w:szCs w:val="24"/>
        </w:rPr>
        <w:t xml:space="preserve">and </w:t>
      </w:r>
      <w:r>
        <w:rPr>
          <w:rFonts w:ascii="Calibri" w:hAnsi="Calibri" w:cs="Calibri"/>
          <w:sz w:val="24"/>
          <w:szCs w:val="24"/>
        </w:rPr>
        <w:t>thus commands them “</w:t>
      </w:r>
      <w:r w:rsidRPr="00DB2C06">
        <w:rPr>
          <w:rFonts w:ascii="Calibri" w:hAnsi="Calibri" w:cs="Calibri"/>
          <w:sz w:val="24"/>
          <w:szCs w:val="24"/>
        </w:rPr>
        <w:t xml:space="preserve">to improve their well-being without addressing the systemic causes of stress” (Manning </w:t>
      </w:r>
      <w:r w:rsidRPr="008A1DC7">
        <w:rPr>
          <w:rFonts w:ascii="Calibri" w:hAnsi="Calibri" w:cs="Calibri"/>
          <w:i/>
          <w:iCs/>
          <w:sz w:val="24"/>
          <w:szCs w:val="24"/>
        </w:rPr>
        <w:t>et al</w:t>
      </w:r>
      <w:r w:rsidR="008A1DC7">
        <w:rPr>
          <w:rFonts w:ascii="Calibri" w:hAnsi="Calibri" w:cs="Calibri"/>
          <w:i/>
          <w:iCs/>
          <w:sz w:val="24"/>
          <w:szCs w:val="24"/>
        </w:rPr>
        <w:t>.</w:t>
      </w:r>
      <w:r w:rsidRPr="00DB2C06">
        <w:rPr>
          <w:rFonts w:ascii="Calibri" w:hAnsi="Calibri" w:cs="Calibri"/>
          <w:sz w:val="24"/>
          <w:szCs w:val="24"/>
        </w:rPr>
        <w:t>, 2020, p.79).</w:t>
      </w:r>
      <w:r>
        <w:rPr>
          <w:rFonts w:ascii="Calibri" w:hAnsi="Calibri" w:cs="Calibri"/>
          <w:sz w:val="24"/>
          <w:szCs w:val="24"/>
        </w:rPr>
        <w:t xml:space="preserve"> T</w:t>
      </w:r>
      <w:r w:rsidRPr="004346B5">
        <w:rPr>
          <w:rFonts w:ascii="Calibri" w:hAnsi="Calibri" w:cs="Calibri"/>
          <w:sz w:val="24"/>
          <w:szCs w:val="24"/>
        </w:rPr>
        <w:t>he</w:t>
      </w:r>
      <w:r>
        <w:rPr>
          <w:rFonts w:ascii="Calibri" w:hAnsi="Calibri" w:cs="Calibri"/>
          <w:sz w:val="24"/>
          <w:szCs w:val="24"/>
        </w:rPr>
        <w:t xml:space="preserve"> findings affirm </w:t>
      </w:r>
      <w:r w:rsidRPr="00C27AFF">
        <w:rPr>
          <w:rFonts w:ascii="Calibri" w:hAnsi="Calibri" w:cs="Calibri"/>
          <w:sz w:val="24"/>
          <w:szCs w:val="24"/>
        </w:rPr>
        <w:t xml:space="preserve">pastoral support is deficient (Lyu </w:t>
      </w:r>
      <w:r w:rsidR="00FB3A6E" w:rsidRPr="00FB3A6E">
        <w:rPr>
          <w:rFonts w:ascii="Calibri" w:hAnsi="Calibri" w:cs="Calibri"/>
          <w:i/>
          <w:sz w:val="24"/>
          <w:szCs w:val="24"/>
        </w:rPr>
        <w:t>et al.</w:t>
      </w:r>
      <w:r w:rsidRPr="00C27AFF">
        <w:rPr>
          <w:rFonts w:ascii="Calibri" w:hAnsi="Calibri" w:cs="Calibri"/>
          <w:sz w:val="24"/>
          <w:szCs w:val="24"/>
        </w:rPr>
        <w:t>, 2025)</w:t>
      </w:r>
      <w:r>
        <w:rPr>
          <w:rFonts w:ascii="Calibri" w:hAnsi="Calibri" w:cs="Calibri"/>
          <w:sz w:val="24"/>
          <w:szCs w:val="24"/>
        </w:rPr>
        <w:t xml:space="preserve"> and there is </w:t>
      </w:r>
      <w:r w:rsidRPr="004346B5">
        <w:rPr>
          <w:rFonts w:ascii="Calibri" w:hAnsi="Calibri" w:cs="Calibri"/>
          <w:sz w:val="24"/>
          <w:szCs w:val="24"/>
        </w:rPr>
        <w:t xml:space="preserve">a deficit in </w:t>
      </w:r>
      <w:r>
        <w:rPr>
          <w:rFonts w:ascii="Calibri" w:hAnsi="Calibri" w:cs="Calibri"/>
          <w:sz w:val="24"/>
          <w:szCs w:val="24"/>
        </w:rPr>
        <w:t xml:space="preserve">structural ideology </w:t>
      </w:r>
      <w:r w:rsidRPr="004346B5">
        <w:rPr>
          <w:rFonts w:ascii="Calibri" w:hAnsi="Calibri" w:cs="Calibri"/>
          <w:sz w:val="24"/>
          <w:szCs w:val="24"/>
        </w:rPr>
        <w:t>which is failing to reduce barriers and promote inclusivity (Hope and Quinlan, </w:t>
      </w:r>
      <w:bookmarkStart w:id="88" w:name="_Hlk215744671"/>
      <w:r>
        <w:rPr>
          <w:rFonts w:ascii="Calibri" w:hAnsi="Calibri" w:cs="Calibri"/>
          <w:sz w:val="24"/>
          <w:szCs w:val="24"/>
        </w:rPr>
        <w:t xml:space="preserve">2021) for mature students. </w:t>
      </w:r>
      <w:bookmarkEnd w:id="88"/>
      <w:r w:rsidRPr="004346B5">
        <w:rPr>
          <w:rFonts w:ascii="Calibri" w:hAnsi="Calibri" w:cs="Calibri"/>
          <w:sz w:val="24"/>
          <w:szCs w:val="24"/>
        </w:rPr>
        <w:t xml:space="preserve">This </w:t>
      </w:r>
      <w:r>
        <w:rPr>
          <w:rFonts w:ascii="Calibri" w:hAnsi="Calibri" w:cs="Calibri"/>
          <w:sz w:val="24"/>
          <w:szCs w:val="24"/>
        </w:rPr>
        <w:t>proves</w:t>
      </w:r>
      <w:r w:rsidRPr="004346B5">
        <w:rPr>
          <w:rFonts w:ascii="Calibri" w:hAnsi="Calibri" w:cs="Calibri"/>
          <w:sz w:val="24"/>
          <w:szCs w:val="24"/>
        </w:rPr>
        <w:t xml:space="preserve"> somewhat worrying as Smart (2025) recently identified a decline in mature students applying to university. </w:t>
      </w:r>
    </w:p>
    <w:p w14:paraId="2A63651F" w14:textId="3E2C4829" w:rsidR="00BF61A6" w:rsidRDefault="00BF61A6" w:rsidP="00B34100">
      <w:pPr>
        <w:spacing w:line="360" w:lineRule="auto"/>
        <w:rPr>
          <w:rFonts w:ascii="Calibri" w:hAnsi="Calibri" w:cs="Calibri"/>
          <w:sz w:val="24"/>
          <w:szCs w:val="24"/>
        </w:rPr>
      </w:pPr>
      <w:r w:rsidRPr="00D5121F">
        <w:rPr>
          <w:rFonts w:ascii="Calibri" w:hAnsi="Calibri" w:cs="Calibri"/>
          <w:sz w:val="24"/>
          <w:szCs w:val="24"/>
        </w:rPr>
        <w:t xml:space="preserve">An unexpected outcome, out of all of the participants I consider </w:t>
      </w:r>
      <w:r w:rsidR="00D55447">
        <w:rPr>
          <w:rFonts w:ascii="Calibri" w:hAnsi="Calibri" w:cs="Calibri"/>
          <w:sz w:val="24"/>
          <w:szCs w:val="24"/>
        </w:rPr>
        <w:t>Mo, Liz and Jenko</w:t>
      </w:r>
      <w:r w:rsidRPr="00D5121F">
        <w:rPr>
          <w:rFonts w:ascii="Calibri" w:hAnsi="Calibri" w:cs="Calibri"/>
          <w:sz w:val="24"/>
          <w:szCs w:val="24"/>
        </w:rPr>
        <w:t xml:space="preserve"> the most resilient, yet the most vulnerable not by nature, but by circumstance. </w:t>
      </w:r>
      <w:r>
        <w:rPr>
          <w:rFonts w:ascii="Calibri" w:hAnsi="Calibri" w:cs="Calibri"/>
          <w:sz w:val="24"/>
          <w:szCs w:val="24"/>
        </w:rPr>
        <w:t>G</w:t>
      </w:r>
      <w:r w:rsidRPr="004346B5">
        <w:rPr>
          <w:rFonts w:ascii="Calibri" w:hAnsi="Calibri" w:cs="Calibri"/>
          <w:sz w:val="24"/>
          <w:szCs w:val="24"/>
        </w:rPr>
        <w:t xml:space="preserve">iven that recent figures signify that mature students entering university accounted for 63% of the </w:t>
      </w:r>
      <w:r>
        <w:rPr>
          <w:rFonts w:ascii="Calibri" w:hAnsi="Calibri" w:cs="Calibri"/>
          <w:sz w:val="24"/>
          <w:szCs w:val="24"/>
        </w:rPr>
        <w:t xml:space="preserve">UK </w:t>
      </w:r>
      <w:r w:rsidRPr="004346B5">
        <w:rPr>
          <w:rFonts w:ascii="Calibri" w:hAnsi="Calibri" w:cs="Calibri"/>
          <w:sz w:val="24"/>
          <w:szCs w:val="24"/>
        </w:rPr>
        <w:t xml:space="preserve">student population (Higher Education Statistics Agency, 2022), </w:t>
      </w:r>
      <w:r>
        <w:rPr>
          <w:rFonts w:ascii="Calibri" w:hAnsi="Calibri" w:cs="Calibri"/>
          <w:sz w:val="24"/>
          <w:szCs w:val="24"/>
        </w:rPr>
        <w:t xml:space="preserve">taking note of </w:t>
      </w:r>
      <w:r w:rsidRPr="004346B5">
        <w:rPr>
          <w:rFonts w:ascii="Calibri" w:hAnsi="Calibri" w:cs="Calibri"/>
          <w:sz w:val="24"/>
          <w:szCs w:val="24"/>
        </w:rPr>
        <w:t>their</w:t>
      </w:r>
      <w:r>
        <w:rPr>
          <w:rFonts w:ascii="Calibri" w:hAnsi="Calibri" w:cs="Calibri"/>
          <w:sz w:val="24"/>
          <w:szCs w:val="24"/>
        </w:rPr>
        <w:t xml:space="preserve"> </w:t>
      </w:r>
      <w:r w:rsidRPr="004346B5">
        <w:rPr>
          <w:rFonts w:ascii="Calibri" w:hAnsi="Calibri" w:cs="Calibri"/>
          <w:sz w:val="24"/>
          <w:szCs w:val="24"/>
        </w:rPr>
        <w:t>struggles could contribute to a more nuanced teacher training offering in the future.</w:t>
      </w:r>
      <w:r w:rsidRPr="006803A3">
        <w:rPr>
          <w:rFonts w:ascii="Calibri" w:hAnsi="Calibri" w:cs="Calibri"/>
          <w:sz w:val="24"/>
          <w:szCs w:val="24"/>
        </w:rPr>
        <w:t xml:space="preserve"> These findings </w:t>
      </w:r>
      <w:r>
        <w:rPr>
          <w:rFonts w:ascii="Calibri" w:hAnsi="Calibri" w:cs="Calibri"/>
          <w:sz w:val="24"/>
          <w:szCs w:val="24"/>
        </w:rPr>
        <w:t xml:space="preserve">indicate that </w:t>
      </w:r>
      <w:r w:rsidRPr="006803A3">
        <w:rPr>
          <w:rFonts w:ascii="Calibri" w:hAnsi="Calibri" w:cs="Calibri"/>
          <w:sz w:val="24"/>
          <w:szCs w:val="24"/>
        </w:rPr>
        <w:t xml:space="preserve">the more seasoned </w:t>
      </w:r>
      <w:r>
        <w:rPr>
          <w:rFonts w:ascii="Calibri" w:hAnsi="Calibri" w:cs="Calibri"/>
          <w:sz w:val="24"/>
          <w:szCs w:val="24"/>
        </w:rPr>
        <w:t>individual</w:t>
      </w:r>
      <w:r w:rsidRPr="006803A3">
        <w:rPr>
          <w:rFonts w:ascii="Calibri" w:hAnsi="Calibri" w:cs="Calibri"/>
          <w:sz w:val="24"/>
          <w:szCs w:val="24"/>
        </w:rPr>
        <w:t xml:space="preserve"> returning to education requires</w:t>
      </w:r>
      <w:r>
        <w:rPr>
          <w:rFonts w:ascii="Calibri" w:hAnsi="Calibri" w:cs="Calibri"/>
          <w:sz w:val="24"/>
          <w:szCs w:val="24"/>
        </w:rPr>
        <w:t xml:space="preserve"> a sensitive approach when they cross the threshold into learning</w:t>
      </w:r>
      <w:r w:rsidRPr="006803A3">
        <w:rPr>
          <w:rFonts w:ascii="Calibri" w:hAnsi="Calibri" w:cs="Calibri"/>
          <w:sz w:val="24"/>
          <w:szCs w:val="24"/>
        </w:rPr>
        <w:t>.</w:t>
      </w:r>
    </w:p>
    <w:p w14:paraId="422B27A2" w14:textId="05922283" w:rsidR="00BF61A6" w:rsidRPr="00267E60" w:rsidRDefault="00BF61A6" w:rsidP="00B34100">
      <w:pPr>
        <w:spacing w:line="360" w:lineRule="auto"/>
        <w:rPr>
          <w:rFonts w:ascii="Calibri" w:hAnsi="Calibri" w:cs="Calibri"/>
          <w:sz w:val="24"/>
          <w:szCs w:val="24"/>
        </w:rPr>
      </w:pPr>
      <w:r w:rsidRPr="0037224F">
        <w:rPr>
          <w:rFonts w:ascii="Calibri" w:hAnsi="Calibri" w:cs="Calibri"/>
          <w:sz w:val="24"/>
          <w:szCs w:val="24"/>
        </w:rPr>
        <w:t>It would seem judicious to suggest that a lack of the appropriate and nuanced support</w:t>
      </w:r>
      <w:r w:rsidRPr="0037224F">
        <w:rPr>
          <w:rFonts w:ascii="Calibri" w:hAnsi="Calibri" w:cs="Calibri"/>
          <w:i/>
          <w:iCs/>
          <w:sz w:val="24"/>
          <w:szCs w:val="24"/>
        </w:rPr>
        <w:t xml:space="preserve"> </w:t>
      </w:r>
      <w:r w:rsidRPr="00933D02">
        <w:rPr>
          <w:rFonts w:ascii="Calibri" w:hAnsi="Calibri" w:cs="Calibri"/>
          <w:sz w:val="24"/>
          <w:szCs w:val="24"/>
        </w:rPr>
        <w:t>can result in</w:t>
      </w:r>
      <w:r w:rsidRPr="0037224F">
        <w:rPr>
          <w:rFonts w:ascii="Calibri" w:hAnsi="Calibri" w:cs="Calibri"/>
          <w:sz w:val="24"/>
          <w:szCs w:val="24"/>
        </w:rPr>
        <w:t xml:space="preserve"> student vulnerability and cause more emotional labour (Hochschild, 1983) for adult returners. Jenko’s salient comment about feeling “</w:t>
      </w:r>
      <w:r w:rsidRPr="00F43ADA">
        <w:rPr>
          <w:rFonts w:ascii="Calibri" w:hAnsi="Calibri" w:cs="Calibri"/>
          <w:i/>
          <w:iCs/>
          <w:sz w:val="24"/>
          <w:szCs w:val="24"/>
        </w:rPr>
        <w:t>like a fish out of water</w:t>
      </w:r>
      <w:r w:rsidRPr="0037224F">
        <w:rPr>
          <w:rFonts w:ascii="Calibri" w:hAnsi="Calibri" w:cs="Calibri"/>
          <w:sz w:val="24"/>
          <w:szCs w:val="24"/>
        </w:rPr>
        <w:t xml:space="preserve">” </w:t>
      </w:r>
      <w:r>
        <w:rPr>
          <w:rFonts w:ascii="Calibri" w:hAnsi="Calibri" w:cs="Calibri"/>
          <w:sz w:val="24"/>
          <w:szCs w:val="24"/>
        </w:rPr>
        <w:t>(</w:t>
      </w:r>
      <w:r w:rsidR="00421F3A">
        <w:rPr>
          <w:rFonts w:ascii="Calibri" w:hAnsi="Calibri" w:cs="Calibri"/>
          <w:sz w:val="24"/>
          <w:szCs w:val="24"/>
        </w:rPr>
        <w:t xml:space="preserve">Jenko, </w:t>
      </w:r>
      <w:r>
        <w:rPr>
          <w:rFonts w:ascii="Calibri" w:hAnsi="Calibri" w:cs="Calibri"/>
          <w:sz w:val="24"/>
          <w:szCs w:val="24"/>
        </w:rPr>
        <w:t xml:space="preserve">T1, p. 2, par 5) </w:t>
      </w:r>
      <w:r w:rsidRPr="0037224F">
        <w:rPr>
          <w:rFonts w:ascii="Calibri" w:hAnsi="Calibri" w:cs="Calibri"/>
          <w:sz w:val="24"/>
          <w:szCs w:val="24"/>
        </w:rPr>
        <w:t xml:space="preserve">left an enduring impression. </w:t>
      </w:r>
      <w:r>
        <w:rPr>
          <w:rFonts w:ascii="Calibri" w:hAnsi="Calibri" w:cs="Calibri"/>
          <w:sz w:val="24"/>
          <w:szCs w:val="24"/>
        </w:rPr>
        <w:t xml:space="preserve">Using </w:t>
      </w:r>
      <w:r w:rsidRPr="0037224F">
        <w:rPr>
          <w:rFonts w:ascii="Calibri" w:hAnsi="Calibri" w:cs="Calibri"/>
          <w:sz w:val="24"/>
          <w:szCs w:val="24"/>
        </w:rPr>
        <w:t>th</w:t>
      </w:r>
      <w:r>
        <w:rPr>
          <w:rFonts w:ascii="Calibri" w:hAnsi="Calibri" w:cs="Calibri"/>
          <w:sz w:val="24"/>
          <w:szCs w:val="24"/>
        </w:rPr>
        <w:t>is metaphor</w:t>
      </w:r>
      <w:r w:rsidR="00196315">
        <w:rPr>
          <w:rFonts w:ascii="Calibri" w:hAnsi="Calibri" w:cs="Calibri"/>
          <w:sz w:val="24"/>
          <w:szCs w:val="24"/>
        </w:rPr>
        <w:t>,</w:t>
      </w:r>
      <w:r>
        <w:rPr>
          <w:rFonts w:ascii="Calibri" w:hAnsi="Calibri" w:cs="Calibri"/>
          <w:sz w:val="24"/>
          <w:szCs w:val="24"/>
        </w:rPr>
        <w:t xml:space="preserve"> Frank (2010) </w:t>
      </w:r>
      <w:r w:rsidRPr="0037224F">
        <w:rPr>
          <w:rFonts w:ascii="Calibri" w:hAnsi="Calibri" w:cs="Calibri"/>
          <w:sz w:val="24"/>
          <w:szCs w:val="24"/>
        </w:rPr>
        <w:t>suggests</w:t>
      </w:r>
      <w:r>
        <w:rPr>
          <w:rFonts w:ascii="Calibri" w:hAnsi="Calibri" w:cs="Calibri"/>
          <w:sz w:val="24"/>
          <w:szCs w:val="24"/>
        </w:rPr>
        <w:t xml:space="preserve"> the fish with no contextual or experiential narrative </w:t>
      </w:r>
      <w:r w:rsidRPr="0037224F">
        <w:rPr>
          <w:rFonts w:ascii="Calibri" w:hAnsi="Calibri" w:cs="Calibri"/>
          <w:sz w:val="24"/>
          <w:szCs w:val="24"/>
        </w:rPr>
        <w:t xml:space="preserve">will be unable to </w:t>
      </w:r>
      <w:r w:rsidR="00196315" w:rsidRPr="0037224F">
        <w:rPr>
          <w:rFonts w:ascii="Calibri" w:hAnsi="Calibri" w:cs="Calibri"/>
          <w:sz w:val="24"/>
          <w:szCs w:val="24"/>
        </w:rPr>
        <w:t>breathe</w:t>
      </w:r>
      <w:r w:rsidR="00196315">
        <w:rPr>
          <w:rFonts w:ascii="Calibri" w:hAnsi="Calibri" w:cs="Calibri"/>
          <w:sz w:val="24"/>
          <w:szCs w:val="24"/>
        </w:rPr>
        <w:t xml:space="preserve"> and</w:t>
      </w:r>
      <w:r w:rsidRPr="0037224F">
        <w:rPr>
          <w:rFonts w:ascii="Calibri" w:hAnsi="Calibri" w:cs="Calibri"/>
          <w:sz w:val="24"/>
          <w:szCs w:val="24"/>
        </w:rPr>
        <w:t xml:space="preserve"> therefore die. However, the </w:t>
      </w:r>
      <w:r>
        <w:rPr>
          <w:rFonts w:ascii="Calibri" w:hAnsi="Calibri" w:cs="Calibri"/>
          <w:sz w:val="24"/>
          <w:szCs w:val="24"/>
        </w:rPr>
        <w:t>metaphor</w:t>
      </w:r>
      <w:r w:rsidRPr="0037224F">
        <w:rPr>
          <w:rFonts w:ascii="Calibri" w:hAnsi="Calibri" w:cs="Calibri"/>
          <w:sz w:val="24"/>
          <w:szCs w:val="24"/>
        </w:rPr>
        <w:t xml:space="preserve"> contains a seed of hope: </w:t>
      </w:r>
      <w:r>
        <w:rPr>
          <w:rFonts w:ascii="Calibri" w:hAnsi="Calibri" w:cs="Calibri"/>
          <w:sz w:val="24"/>
          <w:szCs w:val="24"/>
        </w:rPr>
        <w:t>“</w:t>
      </w:r>
      <w:r w:rsidR="00196315">
        <w:rPr>
          <w:rFonts w:ascii="Calibri" w:hAnsi="Calibri" w:cs="Calibri"/>
          <w:sz w:val="24"/>
          <w:szCs w:val="24"/>
        </w:rPr>
        <w:t>T</w:t>
      </w:r>
      <w:r w:rsidRPr="0037224F">
        <w:rPr>
          <w:rFonts w:ascii="Calibri" w:hAnsi="Calibri" w:cs="Calibri"/>
          <w:sz w:val="24"/>
          <w:szCs w:val="24"/>
        </w:rPr>
        <w:t>he occasional fish out of water becomes a new species on land” (p.122). In the case of Mo, Jenko and Liz</w:t>
      </w:r>
      <w:r>
        <w:rPr>
          <w:rFonts w:ascii="Calibri" w:hAnsi="Calibri" w:cs="Calibri"/>
          <w:sz w:val="24"/>
          <w:szCs w:val="24"/>
        </w:rPr>
        <w:t xml:space="preserve">, </w:t>
      </w:r>
      <w:r w:rsidRPr="0037224F">
        <w:rPr>
          <w:rFonts w:ascii="Calibri" w:hAnsi="Calibri" w:cs="Calibri"/>
          <w:sz w:val="24"/>
          <w:szCs w:val="24"/>
        </w:rPr>
        <w:t xml:space="preserve">their </w:t>
      </w:r>
      <w:r>
        <w:rPr>
          <w:rFonts w:ascii="Calibri" w:hAnsi="Calibri" w:cs="Calibri"/>
          <w:sz w:val="24"/>
          <w:szCs w:val="24"/>
        </w:rPr>
        <w:t xml:space="preserve">difficult experiences </w:t>
      </w:r>
      <w:r w:rsidRPr="000E3EC2">
        <w:rPr>
          <w:rFonts w:ascii="Calibri" w:hAnsi="Calibri" w:cs="Calibri"/>
          <w:sz w:val="24"/>
          <w:szCs w:val="24"/>
        </w:rPr>
        <w:t xml:space="preserve">spurred them on to ensure their students were understood, held and prepared for their futures. </w:t>
      </w:r>
      <w:r w:rsidRPr="0037224F">
        <w:rPr>
          <w:rFonts w:ascii="Calibri" w:hAnsi="Calibri" w:cs="Calibri"/>
          <w:sz w:val="24"/>
          <w:szCs w:val="24"/>
        </w:rPr>
        <w:t xml:space="preserve">This </w:t>
      </w:r>
      <w:r>
        <w:rPr>
          <w:rFonts w:ascii="Calibri" w:hAnsi="Calibri" w:cs="Calibri"/>
          <w:sz w:val="24"/>
          <w:szCs w:val="24"/>
        </w:rPr>
        <w:t>“new species on land” (</w:t>
      </w:r>
      <w:r w:rsidR="00AB1ADC">
        <w:rPr>
          <w:rFonts w:ascii="Calibri" w:hAnsi="Calibri" w:cs="Calibri"/>
          <w:sz w:val="24"/>
          <w:szCs w:val="24"/>
        </w:rPr>
        <w:t>ibid.</w:t>
      </w:r>
      <w:r>
        <w:rPr>
          <w:rFonts w:ascii="Calibri" w:hAnsi="Calibri" w:cs="Calibri"/>
          <w:sz w:val="24"/>
          <w:szCs w:val="24"/>
        </w:rPr>
        <w:t xml:space="preserve">) </w:t>
      </w:r>
      <w:r w:rsidRPr="0037224F">
        <w:rPr>
          <w:rFonts w:ascii="Calibri" w:hAnsi="Calibri" w:cs="Calibri"/>
          <w:sz w:val="24"/>
          <w:szCs w:val="24"/>
        </w:rPr>
        <w:t>positionality was one replete with caring for</w:t>
      </w:r>
      <w:r>
        <w:rPr>
          <w:rFonts w:ascii="Calibri" w:hAnsi="Calibri" w:cs="Calibri"/>
          <w:sz w:val="24"/>
          <w:szCs w:val="24"/>
        </w:rPr>
        <w:t xml:space="preserve"> </w:t>
      </w:r>
      <w:r w:rsidRPr="0037224F">
        <w:rPr>
          <w:rFonts w:ascii="Calibri" w:hAnsi="Calibri" w:cs="Calibri"/>
          <w:sz w:val="24"/>
          <w:szCs w:val="24"/>
        </w:rPr>
        <w:t>the heroic journeys of their impending students based on their lived experiences.</w:t>
      </w:r>
      <w:r w:rsidRPr="00267E60">
        <w:rPr>
          <w:rFonts w:ascii="Calibri" w:hAnsi="Calibri" w:cs="Calibri"/>
          <w:sz w:val="24"/>
          <w:szCs w:val="24"/>
        </w:rPr>
        <w:t xml:space="preserve"> </w:t>
      </w:r>
    </w:p>
    <w:p w14:paraId="0C9C55BC" w14:textId="0192CBD8" w:rsidR="00BF61A6" w:rsidRPr="00EE18F0" w:rsidRDefault="00BF61A6" w:rsidP="00B34100">
      <w:pPr>
        <w:spacing w:line="360" w:lineRule="auto"/>
        <w:rPr>
          <w:rFonts w:ascii="Calibri" w:hAnsi="Calibri" w:cs="Calibri"/>
          <w:sz w:val="24"/>
          <w:szCs w:val="24"/>
        </w:rPr>
      </w:pPr>
      <w:r>
        <w:rPr>
          <w:rFonts w:ascii="Calibri" w:hAnsi="Calibri" w:cs="Calibri"/>
          <w:sz w:val="24"/>
          <w:szCs w:val="24"/>
        </w:rPr>
        <w:lastRenderedPageBreak/>
        <w:t>A</w:t>
      </w:r>
      <w:r w:rsidRPr="0037224F">
        <w:rPr>
          <w:rFonts w:ascii="Calibri" w:hAnsi="Calibri" w:cs="Calibri"/>
          <w:sz w:val="24"/>
          <w:szCs w:val="24"/>
        </w:rPr>
        <w:t xml:space="preserve">pplied to the wider university context, a more nuanced ethic of care </w:t>
      </w:r>
      <w:r w:rsidR="009332E6">
        <w:rPr>
          <w:rFonts w:ascii="Calibri" w:hAnsi="Calibri" w:cs="Calibri"/>
          <w:sz w:val="24"/>
          <w:szCs w:val="24"/>
        </w:rPr>
        <w:t xml:space="preserve">(Noddings, 2002) </w:t>
      </w:r>
      <w:r w:rsidRPr="0037224F">
        <w:rPr>
          <w:rFonts w:ascii="Calibri" w:hAnsi="Calibri" w:cs="Calibri"/>
          <w:i/>
          <w:iCs/>
          <w:sz w:val="24"/>
          <w:szCs w:val="24"/>
        </w:rPr>
        <w:t xml:space="preserve">for all </w:t>
      </w:r>
      <w:r w:rsidR="00EE602E">
        <w:rPr>
          <w:rFonts w:ascii="Calibri" w:hAnsi="Calibri" w:cs="Calibri"/>
          <w:sz w:val="24"/>
          <w:szCs w:val="24"/>
        </w:rPr>
        <w:t xml:space="preserve">teaching </w:t>
      </w:r>
      <w:r w:rsidR="006C177D">
        <w:rPr>
          <w:rFonts w:ascii="Calibri" w:hAnsi="Calibri" w:cs="Calibri"/>
          <w:sz w:val="24"/>
          <w:szCs w:val="24"/>
        </w:rPr>
        <w:t>trainee</w:t>
      </w:r>
      <w:r w:rsidR="00EE602E">
        <w:rPr>
          <w:rFonts w:ascii="Calibri" w:hAnsi="Calibri" w:cs="Calibri"/>
          <w:sz w:val="24"/>
          <w:szCs w:val="24"/>
        </w:rPr>
        <w:t xml:space="preserve">s </w:t>
      </w:r>
      <w:r w:rsidRPr="0037224F">
        <w:rPr>
          <w:rFonts w:ascii="Calibri" w:hAnsi="Calibri" w:cs="Calibri"/>
          <w:sz w:val="24"/>
          <w:szCs w:val="24"/>
        </w:rPr>
        <w:t xml:space="preserve">and qualified teachers </w:t>
      </w:r>
      <w:r w:rsidR="00421F3A">
        <w:rPr>
          <w:rFonts w:ascii="Calibri" w:hAnsi="Calibri" w:cs="Calibri"/>
          <w:sz w:val="24"/>
          <w:szCs w:val="24"/>
        </w:rPr>
        <w:t>could</w:t>
      </w:r>
      <w:r w:rsidRPr="0037224F">
        <w:rPr>
          <w:rFonts w:ascii="Calibri" w:hAnsi="Calibri" w:cs="Calibri"/>
          <w:sz w:val="24"/>
          <w:szCs w:val="24"/>
        </w:rPr>
        <w:t xml:space="preserve"> reduce the potential for moral injury or harm within trainings. This  ubiquitous offering could very simply be an acknowledgement during the induction process and beyond of the process involved in</w:t>
      </w:r>
      <w:r>
        <w:rPr>
          <w:rFonts w:ascii="Calibri" w:hAnsi="Calibri" w:cs="Calibri"/>
          <w:sz w:val="24"/>
          <w:szCs w:val="24"/>
        </w:rPr>
        <w:t xml:space="preserve"> adopting</w:t>
      </w:r>
      <w:r w:rsidRPr="0037224F">
        <w:rPr>
          <w:rFonts w:ascii="Calibri" w:hAnsi="Calibri" w:cs="Calibri"/>
          <w:sz w:val="24"/>
          <w:szCs w:val="24"/>
        </w:rPr>
        <w:t xml:space="preserve"> a student identity</w:t>
      </w:r>
      <w:r w:rsidR="00284B83">
        <w:rPr>
          <w:rFonts w:ascii="Calibri" w:hAnsi="Calibri" w:cs="Calibri"/>
          <w:sz w:val="24"/>
          <w:szCs w:val="24"/>
        </w:rPr>
        <w:t>,</w:t>
      </w:r>
      <w:r w:rsidRPr="0037224F">
        <w:rPr>
          <w:rFonts w:ascii="Calibri" w:hAnsi="Calibri" w:cs="Calibri"/>
          <w:sz w:val="24"/>
          <w:szCs w:val="24"/>
        </w:rPr>
        <w:t xml:space="preserve"> and suggestions of how this passage could be eased. Furthermore, resilience skills, the importance of holding and transitional objects</w:t>
      </w:r>
      <w:r>
        <w:rPr>
          <w:rFonts w:ascii="Calibri" w:hAnsi="Calibri" w:cs="Calibri"/>
          <w:sz w:val="24"/>
          <w:szCs w:val="24"/>
        </w:rPr>
        <w:t xml:space="preserve"> </w:t>
      </w:r>
      <w:r w:rsidR="009745B5">
        <w:rPr>
          <w:rFonts w:ascii="Calibri" w:hAnsi="Calibri" w:cs="Calibri"/>
          <w:sz w:val="24"/>
          <w:szCs w:val="24"/>
        </w:rPr>
        <w:t xml:space="preserve">(Winnicott, 1965) </w:t>
      </w:r>
      <w:r>
        <w:rPr>
          <w:rFonts w:ascii="Calibri" w:hAnsi="Calibri" w:cs="Calibri"/>
          <w:sz w:val="24"/>
          <w:szCs w:val="24"/>
        </w:rPr>
        <w:t xml:space="preserve">and </w:t>
      </w:r>
      <w:r w:rsidRPr="0037224F">
        <w:rPr>
          <w:rFonts w:ascii="Calibri" w:hAnsi="Calibri" w:cs="Calibri"/>
          <w:sz w:val="24"/>
          <w:szCs w:val="24"/>
        </w:rPr>
        <w:t xml:space="preserve">the </w:t>
      </w:r>
      <w:r>
        <w:rPr>
          <w:rFonts w:ascii="Calibri" w:hAnsi="Calibri" w:cs="Calibri"/>
          <w:sz w:val="24"/>
          <w:szCs w:val="24"/>
        </w:rPr>
        <w:t xml:space="preserve">ontological </w:t>
      </w:r>
      <w:r w:rsidRPr="0037224F">
        <w:rPr>
          <w:rFonts w:ascii="Calibri" w:hAnsi="Calibri" w:cs="Calibri"/>
          <w:sz w:val="24"/>
          <w:szCs w:val="24"/>
        </w:rPr>
        <w:t xml:space="preserve">need </w:t>
      </w:r>
      <w:r>
        <w:rPr>
          <w:rFonts w:ascii="Calibri" w:hAnsi="Calibri" w:cs="Calibri"/>
          <w:sz w:val="24"/>
          <w:szCs w:val="24"/>
        </w:rPr>
        <w:t xml:space="preserve">for </w:t>
      </w:r>
      <w:r w:rsidRPr="0037224F">
        <w:rPr>
          <w:rFonts w:ascii="Calibri" w:hAnsi="Calibri" w:cs="Calibri"/>
          <w:sz w:val="24"/>
          <w:szCs w:val="24"/>
        </w:rPr>
        <w:t>support could be imparted.</w:t>
      </w:r>
    </w:p>
    <w:p w14:paraId="6491C5A4" w14:textId="77777777" w:rsidR="00BF61A6" w:rsidRPr="00953C43" w:rsidRDefault="00BF61A6" w:rsidP="00AF1CF2">
      <w:pPr>
        <w:spacing w:line="360" w:lineRule="auto"/>
        <w:ind w:firstLine="720"/>
        <w:rPr>
          <w:rFonts w:ascii="Calibri" w:hAnsi="Calibri" w:cs="Calibri"/>
          <w:b/>
          <w:bCs/>
          <w:i/>
          <w:iCs/>
          <w:sz w:val="24"/>
          <w:szCs w:val="24"/>
        </w:rPr>
      </w:pPr>
      <w:r w:rsidRPr="00953C43">
        <w:rPr>
          <w:rFonts w:ascii="Calibri" w:hAnsi="Calibri" w:cs="Calibri"/>
          <w:b/>
          <w:bCs/>
          <w:i/>
          <w:iCs/>
          <w:sz w:val="24"/>
          <w:szCs w:val="24"/>
        </w:rPr>
        <w:t>The role of teacher</w:t>
      </w:r>
    </w:p>
    <w:p w14:paraId="47581532" w14:textId="2BA840F9" w:rsidR="00BF61A6" w:rsidRDefault="006B0846" w:rsidP="00B34100">
      <w:pPr>
        <w:spacing w:line="360" w:lineRule="auto"/>
        <w:rPr>
          <w:rFonts w:ascii="Calibri" w:hAnsi="Calibri" w:cs="Calibri"/>
          <w:sz w:val="24"/>
          <w:szCs w:val="24"/>
        </w:rPr>
      </w:pPr>
      <w:r>
        <w:rPr>
          <w:rFonts w:ascii="Calibri" w:hAnsi="Calibri" w:cs="Calibri"/>
          <w:sz w:val="24"/>
          <w:szCs w:val="24"/>
        </w:rPr>
        <w:t>Generated during the interviews</w:t>
      </w:r>
      <w:r w:rsidR="002017B8">
        <w:rPr>
          <w:rFonts w:ascii="Calibri" w:hAnsi="Calibri" w:cs="Calibri"/>
          <w:sz w:val="24"/>
          <w:szCs w:val="24"/>
        </w:rPr>
        <w:t xml:space="preserve">, </w:t>
      </w:r>
      <w:r w:rsidR="00BF61A6">
        <w:rPr>
          <w:rFonts w:ascii="Calibri" w:hAnsi="Calibri" w:cs="Calibri"/>
          <w:sz w:val="24"/>
          <w:szCs w:val="24"/>
        </w:rPr>
        <w:t xml:space="preserve">Table </w:t>
      </w:r>
      <w:r w:rsidR="000A227B">
        <w:rPr>
          <w:rFonts w:ascii="Calibri" w:hAnsi="Calibri" w:cs="Calibri"/>
          <w:sz w:val="24"/>
          <w:szCs w:val="24"/>
        </w:rPr>
        <w:t>14</w:t>
      </w:r>
      <w:r w:rsidR="00BF61A6">
        <w:rPr>
          <w:rFonts w:ascii="Calibri" w:hAnsi="Calibri" w:cs="Calibri"/>
          <w:sz w:val="24"/>
          <w:szCs w:val="24"/>
        </w:rPr>
        <w:t xml:space="preserve"> </w:t>
      </w:r>
      <w:r w:rsidR="002017B8">
        <w:rPr>
          <w:rFonts w:ascii="Calibri" w:hAnsi="Calibri" w:cs="Calibri"/>
          <w:sz w:val="24"/>
          <w:szCs w:val="24"/>
        </w:rPr>
        <w:t>captures</w:t>
      </w:r>
      <w:r w:rsidR="00B7067C">
        <w:rPr>
          <w:rFonts w:ascii="Calibri" w:hAnsi="Calibri" w:cs="Calibri"/>
          <w:sz w:val="24"/>
          <w:szCs w:val="24"/>
        </w:rPr>
        <w:t xml:space="preserve"> and summarises the </w:t>
      </w:r>
      <w:r w:rsidR="00BF61A6">
        <w:rPr>
          <w:rFonts w:ascii="Calibri" w:hAnsi="Calibri" w:cs="Calibri"/>
          <w:sz w:val="24"/>
          <w:szCs w:val="24"/>
        </w:rPr>
        <w:t xml:space="preserve">relational </w:t>
      </w:r>
      <w:r w:rsidR="00BF61A6" w:rsidRPr="005F17F3">
        <w:rPr>
          <w:rFonts w:ascii="Calibri" w:hAnsi="Calibri" w:cs="Calibri"/>
          <w:sz w:val="24"/>
          <w:szCs w:val="24"/>
        </w:rPr>
        <w:t>features</w:t>
      </w:r>
      <w:r w:rsidR="00B7067C">
        <w:rPr>
          <w:rFonts w:ascii="Calibri" w:hAnsi="Calibri" w:cs="Calibri"/>
          <w:sz w:val="24"/>
          <w:szCs w:val="24"/>
        </w:rPr>
        <w:t xml:space="preserve"> </w:t>
      </w:r>
      <w:r w:rsidR="00BF61A6" w:rsidRPr="005F17F3">
        <w:rPr>
          <w:rFonts w:ascii="Calibri" w:hAnsi="Calibri" w:cs="Calibri"/>
          <w:sz w:val="24"/>
          <w:szCs w:val="24"/>
        </w:rPr>
        <w:t xml:space="preserve">identified </w:t>
      </w:r>
      <w:r w:rsidR="00B7067C">
        <w:rPr>
          <w:rFonts w:ascii="Calibri" w:hAnsi="Calibri" w:cs="Calibri"/>
          <w:sz w:val="24"/>
          <w:szCs w:val="24"/>
        </w:rPr>
        <w:t xml:space="preserve">by participants </w:t>
      </w:r>
      <w:r w:rsidR="00BF61A6" w:rsidRPr="005F17F3">
        <w:rPr>
          <w:rFonts w:ascii="Calibri" w:hAnsi="Calibri" w:cs="Calibri"/>
          <w:sz w:val="24"/>
          <w:szCs w:val="24"/>
        </w:rPr>
        <w:t>as being essential to the role of the HE teacher</w:t>
      </w:r>
      <w:r w:rsidR="00BF61A6">
        <w:rPr>
          <w:rFonts w:ascii="Calibri" w:hAnsi="Calibri" w:cs="Calibri"/>
          <w:sz w:val="24"/>
          <w:szCs w:val="24"/>
        </w:rPr>
        <w:t>:</w:t>
      </w:r>
      <w:r w:rsidR="00BF61A6" w:rsidRPr="00C244EC">
        <w:rPr>
          <w:rFonts w:ascii="Calibri" w:hAnsi="Calibri" w:cs="Calibri"/>
          <w:sz w:val="24"/>
          <w:szCs w:val="24"/>
        </w:rPr>
        <w:t xml:space="preserve"> </w:t>
      </w:r>
    </w:p>
    <w:p w14:paraId="1931F93B" w14:textId="42244B5A" w:rsidR="00BF61A6" w:rsidRPr="00896906" w:rsidRDefault="00BF61A6" w:rsidP="00CA6F50">
      <w:pPr>
        <w:spacing w:line="360" w:lineRule="auto"/>
        <w:ind w:left="1440" w:firstLine="720"/>
        <w:rPr>
          <w:rFonts w:ascii="Calibri" w:hAnsi="Calibri" w:cs="Calibri"/>
          <w:i/>
          <w:iCs/>
          <w:sz w:val="24"/>
          <w:szCs w:val="24"/>
        </w:rPr>
      </w:pPr>
      <w:r w:rsidRPr="00896906">
        <w:rPr>
          <w:rFonts w:ascii="Calibri" w:hAnsi="Calibri" w:cs="Calibri"/>
          <w:i/>
          <w:iCs/>
          <w:sz w:val="24"/>
          <w:szCs w:val="24"/>
        </w:rPr>
        <w:t xml:space="preserve">Table </w:t>
      </w:r>
      <w:r w:rsidR="000A227B" w:rsidRPr="00896906">
        <w:rPr>
          <w:rFonts w:ascii="Calibri" w:hAnsi="Calibri" w:cs="Calibri"/>
          <w:i/>
          <w:iCs/>
          <w:sz w:val="24"/>
          <w:szCs w:val="24"/>
        </w:rPr>
        <w:t>14</w:t>
      </w:r>
      <w:r w:rsidRPr="00896906">
        <w:rPr>
          <w:rFonts w:ascii="Calibri" w:hAnsi="Calibri" w:cs="Calibri"/>
          <w:i/>
          <w:iCs/>
          <w:sz w:val="24"/>
          <w:szCs w:val="24"/>
        </w:rPr>
        <w:t xml:space="preserve">:  Relational features of the HE teacher </w:t>
      </w:r>
    </w:p>
    <w:tbl>
      <w:tblPr>
        <w:tblStyle w:val="TableGrid"/>
        <w:tblW w:w="0" w:type="auto"/>
        <w:tblLook w:val="04A0" w:firstRow="1" w:lastRow="0" w:firstColumn="1" w:lastColumn="0" w:noHBand="0" w:noVBand="1"/>
      </w:tblPr>
      <w:tblGrid>
        <w:gridCol w:w="4508"/>
        <w:gridCol w:w="4508"/>
      </w:tblGrid>
      <w:tr w:rsidR="00BF61A6" w14:paraId="3067D13B" w14:textId="77777777" w:rsidTr="003A5241">
        <w:tc>
          <w:tcPr>
            <w:tcW w:w="4508" w:type="dxa"/>
          </w:tcPr>
          <w:p w14:paraId="2D330CA6" w14:textId="77777777" w:rsidR="00BF61A6" w:rsidRPr="00421F3A" w:rsidRDefault="00BF61A6" w:rsidP="000C7580">
            <w:pPr>
              <w:rPr>
                <w:rFonts w:ascii="Calibri" w:hAnsi="Calibri" w:cs="Calibri"/>
                <w:b/>
                <w:bCs/>
                <w:sz w:val="24"/>
                <w:szCs w:val="24"/>
              </w:rPr>
            </w:pPr>
            <w:r w:rsidRPr="00421F3A">
              <w:rPr>
                <w:rFonts w:ascii="Calibri" w:hAnsi="Calibri" w:cs="Calibri"/>
                <w:b/>
                <w:bCs/>
                <w:sz w:val="24"/>
                <w:szCs w:val="24"/>
              </w:rPr>
              <w:t>The role they inhabit as teachers</w:t>
            </w:r>
          </w:p>
        </w:tc>
        <w:tc>
          <w:tcPr>
            <w:tcW w:w="4508" w:type="dxa"/>
          </w:tcPr>
          <w:p w14:paraId="1A790955" w14:textId="77777777" w:rsidR="00BF61A6" w:rsidRPr="00421F3A" w:rsidRDefault="00BF61A6" w:rsidP="000C7580">
            <w:pPr>
              <w:rPr>
                <w:rFonts w:ascii="Calibri" w:hAnsi="Calibri" w:cs="Calibri"/>
                <w:b/>
                <w:bCs/>
                <w:sz w:val="24"/>
                <w:szCs w:val="24"/>
              </w:rPr>
            </w:pPr>
            <w:r w:rsidRPr="00421F3A">
              <w:rPr>
                <w:rFonts w:ascii="Calibri" w:hAnsi="Calibri" w:cs="Calibri"/>
                <w:b/>
                <w:bCs/>
                <w:sz w:val="24"/>
                <w:szCs w:val="24"/>
              </w:rPr>
              <w:t xml:space="preserve">Key personal features and attitudes essential to the role </w:t>
            </w:r>
          </w:p>
        </w:tc>
      </w:tr>
      <w:tr w:rsidR="00BF61A6" w14:paraId="56C869CE" w14:textId="77777777" w:rsidTr="003A5241">
        <w:tc>
          <w:tcPr>
            <w:tcW w:w="4508" w:type="dxa"/>
          </w:tcPr>
          <w:p w14:paraId="19D285A0" w14:textId="77777777" w:rsidR="00BF61A6" w:rsidRPr="00F813E1" w:rsidRDefault="00BF61A6" w:rsidP="000C7580">
            <w:pPr>
              <w:rPr>
                <w:rFonts w:ascii="Calibri" w:hAnsi="Calibri" w:cs="Calibri"/>
              </w:rPr>
            </w:pPr>
            <w:r w:rsidRPr="00F813E1">
              <w:rPr>
                <w:rFonts w:ascii="Calibri" w:hAnsi="Calibri" w:cs="Calibri"/>
              </w:rPr>
              <w:t>Guide, donor and mentor</w:t>
            </w:r>
          </w:p>
        </w:tc>
        <w:tc>
          <w:tcPr>
            <w:tcW w:w="4508" w:type="dxa"/>
          </w:tcPr>
          <w:p w14:paraId="3C5CFFA6" w14:textId="77777777" w:rsidR="00BF61A6" w:rsidRPr="00F813E1" w:rsidRDefault="00BF61A6" w:rsidP="000C7580">
            <w:pPr>
              <w:rPr>
                <w:rFonts w:ascii="Calibri" w:hAnsi="Calibri" w:cs="Calibri"/>
              </w:rPr>
            </w:pPr>
            <w:r w:rsidRPr="00F813E1">
              <w:rPr>
                <w:rFonts w:ascii="Calibri" w:hAnsi="Calibri" w:cs="Calibri"/>
              </w:rPr>
              <w:t>Willingness and ability to reflect alone and collaboratively</w:t>
            </w:r>
          </w:p>
        </w:tc>
      </w:tr>
      <w:tr w:rsidR="00BF61A6" w14:paraId="3FBBE797" w14:textId="77777777" w:rsidTr="003A5241">
        <w:tc>
          <w:tcPr>
            <w:tcW w:w="4508" w:type="dxa"/>
          </w:tcPr>
          <w:p w14:paraId="618FF041" w14:textId="6E97C335" w:rsidR="00BF61A6" w:rsidRPr="00F813E1" w:rsidRDefault="00BF61A6" w:rsidP="000C7580">
            <w:pPr>
              <w:rPr>
                <w:rFonts w:ascii="Calibri" w:hAnsi="Calibri" w:cs="Calibri"/>
              </w:rPr>
            </w:pPr>
            <w:r w:rsidRPr="00F813E1">
              <w:rPr>
                <w:rFonts w:ascii="Calibri" w:hAnsi="Calibri" w:cs="Calibri"/>
              </w:rPr>
              <w:t>Being a strong object constant</w:t>
            </w:r>
            <w:r>
              <w:rPr>
                <w:rFonts w:ascii="Calibri" w:hAnsi="Calibri" w:cs="Calibri"/>
              </w:rPr>
              <w:t xml:space="preserve"> which provides holding </w:t>
            </w:r>
            <w:r w:rsidR="0008635D">
              <w:rPr>
                <w:rFonts w:ascii="Calibri" w:hAnsi="Calibri" w:cs="Calibri"/>
              </w:rPr>
              <w:t xml:space="preserve">(Winnicott, 1965) </w:t>
            </w:r>
            <w:r>
              <w:rPr>
                <w:rFonts w:ascii="Calibri" w:hAnsi="Calibri" w:cs="Calibri"/>
              </w:rPr>
              <w:t>for the student</w:t>
            </w:r>
          </w:p>
        </w:tc>
        <w:tc>
          <w:tcPr>
            <w:tcW w:w="4508" w:type="dxa"/>
          </w:tcPr>
          <w:p w14:paraId="6A00E772" w14:textId="77777777" w:rsidR="00BF61A6" w:rsidRPr="00F813E1" w:rsidRDefault="00BF61A6" w:rsidP="000C7580">
            <w:pPr>
              <w:rPr>
                <w:rFonts w:ascii="Calibri" w:hAnsi="Calibri" w:cs="Calibri"/>
              </w:rPr>
            </w:pPr>
            <w:r w:rsidRPr="00F813E1">
              <w:rPr>
                <w:rFonts w:ascii="Calibri" w:hAnsi="Calibri" w:cs="Calibri"/>
              </w:rPr>
              <w:t>Awareness of their emotions, how they feature in their work and how to tend to them</w:t>
            </w:r>
          </w:p>
        </w:tc>
      </w:tr>
      <w:tr w:rsidR="00BF61A6" w14:paraId="11FE0AF7" w14:textId="77777777" w:rsidTr="003A5241">
        <w:tc>
          <w:tcPr>
            <w:tcW w:w="4508" w:type="dxa"/>
          </w:tcPr>
          <w:p w14:paraId="26B06A44" w14:textId="77777777" w:rsidR="00BF61A6" w:rsidRPr="00F813E1" w:rsidRDefault="00BF61A6" w:rsidP="000C7580">
            <w:pPr>
              <w:rPr>
                <w:rFonts w:ascii="Calibri" w:hAnsi="Calibri" w:cs="Calibri"/>
              </w:rPr>
            </w:pPr>
            <w:r w:rsidRPr="00F813E1">
              <w:rPr>
                <w:rFonts w:ascii="Calibri" w:hAnsi="Calibri" w:cs="Calibri"/>
              </w:rPr>
              <w:t>Providing holding for the student</w:t>
            </w:r>
            <w:r>
              <w:rPr>
                <w:rFonts w:ascii="Calibri" w:hAnsi="Calibri" w:cs="Calibri"/>
              </w:rPr>
              <w:t xml:space="preserve"> during their transitions to learning and throughout the learning journey</w:t>
            </w:r>
          </w:p>
        </w:tc>
        <w:tc>
          <w:tcPr>
            <w:tcW w:w="4508" w:type="dxa"/>
          </w:tcPr>
          <w:p w14:paraId="58E98772" w14:textId="77777777" w:rsidR="00BF61A6" w:rsidRPr="00F813E1" w:rsidRDefault="00BF61A6" w:rsidP="000C7580">
            <w:pPr>
              <w:rPr>
                <w:rFonts w:ascii="Calibri" w:hAnsi="Calibri" w:cs="Calibri"/>
              </w:rPr>
            </w:pPr>
            <w:r w:rsidRPr="00F813E1">
              <w:rPr>
                <w:rFonts w:ascii="Calibri" w:hAnsi="Calibri" w:cs="Calibri"/>
              </w:rPr>
              <w:t>Professional curiosity</w:t>
            </w:r>
            <w:r>
              <w:rPr>
                <w:rFonts w:ascii="Calibri" w:hAnsi="Calibri" w:cs="Calibri"/>
              </w:rPr>
              <w:t xml:space="preserve"> to enhance self-development</w:t>
            </w:r>
          </w:p>
        </w:tc>
      </w:tr>
      <w:tr w:rsidR="00BF61A6" w14:paraId="4AB2C416" w14:textId="77777777" w:rsidTr="003A5241">
        <w:tc>
          <w:tcPr>
            <w:tcW w:w="4508" w:type="dxa"/>
          </w:tcPr>
          <w:p w14:paraId="59F76472" w14:textId="77777777" w:rsidR="00BF61A6" w:rsidRPr="00F813E1" w:rsidRDefault="00BF61A6" w:rsidP="000C7580">
            <w:pPr>
              <w:rPr>
                <w:rFonts w:ascii="Calibri" w:hAnsi="Calibri" w:cs="Calibri"/>
              </w:rPr>
            </w:pPr>
            <w:r w:rsidRPr="00F813E1">
              <w:rPr>
                <w:rFonts w:ascii="Calibri" w:hAnsi="Calibri" w:cs="Calibri"/>
              </w:rPr>
              <w:t>Creating an environ of trust and safety</w:t>
            </w:r>
          </w:p>
        </w:tc>
        <w:tc>
          <w:tcPr>
            <w:tcW w:w="4508" w:type="dxa"/>
          </w:tcPr>
          <w:p w14:paraId="02D54488" w14:textId="77777777" w:rsidR="00BF61A6" w:rsidRPr="00F813E1" w:rsidRDefault="00BF61A6" w:rsidP="000C7580">
            <w:pPr>
              <w:rPr>
                <w:rFonts w:ascii="Calibri" w:hAnsi="Calibri" w:cs="Calibri"/>
              </w:rPr>
            </w:pPr>
            <w:r>
              <w:rPr>
                <w:rFonts w:ascii="Calibri" w:hAnsi="Calibri" w:cs="Calibri"/>
              </w:rPr>
              <w:t xml:space="preserve">Using reflection for professional development, personal support and to improve teaching </w:t>
            </w:r>
          </w:p>
        </w:tc>
      </w:tr>
      <w:tr w:rsidR="00BF61A6" w14:paraId="53402355" w14:textId="77777777" w:rsidTr="003A5241">
        <w:tc>
          <w:tcPr>
            <w:tcW w:w="4508" w:type="dxa"/>
          </w:tcPr>
          <w:p w14:paraId="4719600D" w14:textId="77777777" w:rsidR="00BF61A6" w:rsidRPr="00F813E1" w:rsidRDefault="00BF61A6" w:rsidP="000C7580">
            <w:pPr>
              <w:rPr>
                <w:rFonts w:ascii="Calibri" w:hAnsi="Calibri" w:cs="Calibri"/>
              </w:rPr>
            </w:pPr>
            <w:r w:rsidRPr="00F813E1">
              <w:rPr>
                <w:rFonts w:ascii="Calibri" w:hAnsi="Calibri" w:cs="Calibri"/>
              </w:rPr>
              <w:t xml:space="preserve">Developing a relationship with the students with awareness </w:t>
            </w:r>
          </w:p>
        </w:tc>
        <w:tc>
          <w:tcPr>
            <w:tcW w:w="4508" w:type="dxa"/>
          </w:tcPr>
          <w:p w14:paraId="3386BE52" w14:textId="77777777" w:rsidR="00BF61A6" w:rsidRPr="00F813E1" w:rsidRDefault="00BF61A6" w:rsidP="000C7580">
            <w:pPr>
              <w:rPr>
                <w:rFonts w:ascii="Calibri" w:hAnsi="Calibri" w:cs="Calibri"/>
              </w:rPr>
            </w:pPr>
            <w:r w:rsidRPr="00F813E1">
              <w:rPr>
                <w:rFonts w:ascii="Calibri" w:hAnsi="Calibri" w:cs="Calibri"/>
              </w:rPr>
              <w:t>An ethic of care for the self, the student and their colleagues</w:t>
            </w:r>
          </w:p>
        </w:tc>
      </w:tr>
      <w:tr w:rsidR="00BF61A6" w14:paraId="5D9C82B6" w14:textId="77777777" w:rsidTr="003A5241">
        <w:tc>
          <w:tcPr>
            <w:tcW w:w="4508" w:type="dxa"/>
          </w:tcPr>
          <w:p w14:paraId="5E986206" w14:textId="3B6D6EA4" w:rsidR="00BF61A6" w:rsidRPr="00F813E1" w:rsidRDefault="00BF61A6" w:rsidP="000C7580">
            <w:pPr>
              <w:rPr>
                <w:rFonts w:ascii="Calibri" w:hAnsi="Calibri" w:cs="Calibri"/>
              </w:rPr>
            </w:pPr>
            <w:r w:rsidRPr="00F813E1">
              <w:rPr>
                <w:rFonts w:ascii="Calibri" w:hAnsi="Calibri" w:cs="Calibri"/>
              </w:rPr>
              <w:t xml:space="preserve">Having a capacity for concern </w:t>
            </w:r>
            <w:r w:rsidR="00D456C1">
              <w:rPr>
                <w:rFonts w:ascii="Calibri" w:hAnsi="Calibri" w:cs="Calibri"/>
              </w:rPr>
              <w:t>(Winnicott, 196</w:t>
            </w:r>
            <w:r w:rsidR="00421F3A">
              <w:rPr>
                <w:rFonts w:ascii="Calibri" w:hAnsi="Calibri" w:cs="Calibri"/>
              </w:rPr>
              <w:t>3</w:t>
            </w:r>
            <w:r w:rsidR="00D456C1">
              <w:rPr>
                <w:rFonts w:ascii="Calibri" w:hAnsi="Calibri" w:cs="Calibri"/>
              </w:rPr>
              <w:t xml:space="preserve">) </w:t>
            </w:r>
            <w:r w:rsidRPr="00F813E1">
              <w:rPr>
                <w:rFonts w:ascii="Calibri" w:hAnsi="Calibri" w:cs="Calibri"/>
              </w:rPr>
              <w:t>for the student and their learning</w:t>
            </w:r>
          </w:p>
        </w:tc>
        <w:tc>
          <w:tcPr>
            <w:tcW w:w="4508" w:type="dxa"/>
          </w:tcPr>
          <w:p w14:paraId="16F55A79" w14:textId="77777777" w:rsidR="00BF61A6" w:rsidRPr="00F813E1" w:rsidRDefault="00BF61A6" w:rsidP="000C7580">
            <w:pPr>
              <w:rPr>
                <w:rFonts w:ascii="Calibri" w:hAnsi="Calibri" w:cs="Calibri"/>
              </w:rPr>
            </w:pPr>
            <w:r w:rsidRPr="00F813E1">
              <w:rPr>
                <w:rFonts w:ascii="Calibri" w:hAnsi="Calibri" w:cs="Calibri"/>
              </w:rPr>
              <w:t>Love and passion for their work</w:t>
            </w:r>
          </w:p>
        </w:tc>
      </w:tr>
      <w:tr w:rsidR="00BF61A6" w14:paraId="73678925" w14:textId="77777777" w:rsidTr="003A5241">
        <w:tc>
          <w:tcPr>
            <w:tcW w:w="4508" w:type="dxa"/>
          </w:tcPr>
          <w:p w14:paraId="584F6724" w14:textId="77777777" w:rsidR="00BF61A6" w:rsidRPr="00F813E1" w:rsidRDefault="00BF61A6" w:rsidP="000C7580">
            <w:pPr>
              <w:rPr>
                <w:rFonts w:ascii="Calibri" w:hAnsi="Calibri" w:cs="Calibri"/>
              </w:rPr>
            </w:pPr>
            <w:r w:rsidRPr="00F813E1">
              <w:rPr>
                <w:rFonts w:ascii="Calibri" w:hAnsi="Calibri" w:cs="Calibri"/>
              </w:rPr>
              <w:t>Being a sturdy frame and container</w:t>
            </w:r>
            <w:r>
              <w:rPr>
                <w:rFonts w:ascii="Calibri" w:hAnsi="Calibri" w:cs="Calibri"/>
              </w:rPr>
              <w:t xml:space="preserve"> that models a commitment to foster a sense of security and safety among students</w:t>
            </w:r>
          </w:p>
        </w:tc>
        <w:tc>
          <w:tcPr>
            <w:tcW w:w="4508" w:type="dxa"/>
          </w:tcPr>
          <w:p w14:paraId="7934C6E9" w14:textId="77777777" w:rsidR="00BF61A6" w:rsidRPr="003D7175" w:rsidRDefault="00BF61A6" w:rsidP="003D7175">
            <w:pPr>
              <w:rPr>
                <w:rFonts w:ascii="Calibri" w:hAnsi="Calibri" w:cs="Calibri"/>
              </w:rPr>
            </w:pPr>
            <w:r w:rsidRPr="003D7175">
              <w:rPr>
                <w:rFonts w:ascii="Calibri" w:hAnsi="Calibri" w:cs="Calibri"/>
              </w:rPr>
              <w:t>Deeply relational, emotionally intelligent, caring and sincere</w:t>
            </w:r>
          </w:p>
          <w:p w14:paraId="78BFDBFE" w14:textId="77777777" w:rsidR="00BF61A6" w:rsidRPr="00F813E1" w:rsidRDefault="00BF61A6" w:rsidP="000C7580">
            <w:pPr>
              <w:rPr>
                <w:rFonts w:ascii="Calibri" w:hAnsi="Calibri" w:cs="Calibri"/>
              </w:rPr>
            </w:pPr>
          </w:p>
        </w:tc>
      </w:tr>
      <w:tr w:rsidR="00BF61A6" w14:paraId="4CCC9652" w14:textId="77777777" w:rsidTr="003A5241">
        <w:tc>
          <w:tcPr>
            <w:tcW w:w="4508" w:type="dxa"/>
          </w:tcPr>
          <w:p w14:paraId="6605439B" w14:textId="77777777" w:rsidR="00BF61A6" w:rsidRPr="00F813E1" w:rsidRDefault="00BF61A6" w:rsidP="000C7580">
            <w:pPr>
              <w:rPr>
                <w:rFonts w:ascii="Calibri" w:hAnsi="Calibri" w:cs="Calibri"/>
              </w:rPr>
            </w:pPr>
            <w:r w:rsidRPr="00F813E1">
              <w:rPr>
                <w:rFonts w:ascii="Calibri" w:hAnsi="Calibri" w:cs="Calibri"/>
              </w:rPr>
              <w:t>Being a provider of academic</w:t>
            </w:r>
            <w:r>
              <w:rPr>
                <w:rFonts w:ascii="Calibri" w:hAnsi="Calibri" w:cs="Calibri"/>
              </w:rPr>
              <w:t>, emotional</w:t>
            </w:r>
            <w:r w:rsidRPr="00F813E1">
              <w:rPr>
                <w:rFonts w:ascii="Calibri" w:hAnsi="Calibri" w:cs="Calibri"/>
              </w:rPr>
              <w:t xml:space="preserve"> and pastoral support</w:t>
            </w:r>
          </w:p>
        </w:tc>
        <w:tc>
          <w:tcPr>
            <w:tcW w:w="4508" w:type="dxa"/>
          </w:tcPr>
          <w:p w14:paraId="72FF7230" w14:textId="77777777" w:rsidR="00BF61A6" w:rsidRPr="00F813E1" w:rsidRDefault="00BF61A6" w:rsidP="000C7580">
            <w:pPr>
              <w:rPr>
                <w:rFonts w:ascii="Calibri" w:hAnsi="Calibri" w:cs="Calibri"/>
              </w:rPr>
            </w:pPr>
            <w:r w:rsidRPr="00F813E1">
              <w:rPr>
                <w:rFonts w:ascii="Calibri" w:hAnsi="Calibri" w:cs="Calibri"/>
              </w:rPr>
              <w:t>Discernment about support mechanisms and provision</w:t>
            </w:r>
          </w:p>
        </w:tc>
      </w:tr>
      <w:tr w:rsidR="00BF61A6" w14:paraId="3DC62768" w14:textId="77777777" w:rsidTr="003A5241">
        <w:tc>
          <w:tcPr>
            <w:tcW w:w="4508" w:type="dxa"/>
          </w:tcPr>
          <w:p w14:paraId="5FAF9D6E" w14:textId="77777777" w:rsidR="00BF61A6" w:rsidRPr="00F813E1" w:rsidRDefault="00BF61A6" w:rsidP="000C7580">
            <w:pPr>
              <w:rPr>
                <w:rFonts w:ascii="Calibri" w:hAnsi="Calibri" w:cs="Calibri"/>
              </w:rPr>
            </w:pPr>
            <w:r>
              <w:rPr>
                <w:rFonts w:ascii="Calibri" w:hAnsi="Calibri" w:cs="Calibri"/>
              </w:rPr>
              <w:t>Inclusivity</w:t>
            </w:r>
          </w:p>
        </w:tc>
        <w:tc>
          <w:tcPr>
            <w:tcW w:w="4508" w:type="dxa"/>
          </w:tcPr>
          <w:p w14:paraId="6F377666" w14:textId="77777777" w:rsidR="00BF61A6" w:rsidRPr="00F813E1" w:rsidRDefault="00BF61A6" w:rsidP="000C7580">
            <w:pPr>
              <w:rPr>
                <w:rFonts w:ascii="Calibri" w:hAnsi="Calibri" w:cs="Calibri"/>
              </w:rPr>
            </w:pPr>
            <w:r w:rsidRPr="00F813E1">
              <w:rPr>
                <w:rFonts w:ascii="Calibri" w:hAnsi="Calibri" w:cs="Calibri"/>
              </w:rPr>
              <w:t>Ability to exercise self-care</w:t>
            </w:r>
          </w:p>
        </w:tc>
      </w:tr>
      <w:tr w:rsidR="00BF61A6" w14:paraId="41FC9A30" w14:textId="77777777" w:rsidTr="003A5241">
        <w:tc>
          <w:tcPr>
            <w:tcW w:w="4508" w:type="dxa"/>
          </w:tcPr>
          <w:p w14:paraId="75E2A076" w14:textId="77777777" w:rsidR="00BF61A6" w:rsidRPr="00F813E1" w:rsidRDefault="00BF61A6" w:rsidP="000C7580">
            <w:pPr>
              <w:rPr>
                <w:rFonts w:ascii="Calibri" w:hAnsi="Calibri" w:cs="Calibri"/>
              </w:rPr>
            </w:pPr>
            <w:r>
              <w:rPr>
                <w:rFonts w:ascii="Calibri" w:hAnsi="Calibri" w:cs="Calibri"/>
              </w:rPr>
              <w:t>Being a transitional object for students</w:t>
            </w:r>
          </w:p>
        </w:tc>
        <w:tc>
          <w:tcPr>
            <w:tcW w:w="4508" w:type="dxa"/>
          </w:tcPr>
          <w:p w14:paraId="1232CD59" w14:textId="77777777" w:rsidR="00BF61A6" w:rsidRPr="00F813E1" w:rsidRDefault="00BF61A6" w:rsidP="000C7580">
            <w:pPr>
              <w:rPr>
                <w:rFonts w:ascii="Calibri" w:hAnsi="Calibri" w:cs="Calibri"/>
              </w:rPr>
            </w:pPr>
            <w:r w:rsidRPr="00F813E1">
              <w:rPr>
                <w:rFonts w:ascii="Calibri" w:hAnsi="Calibri" w:cs="Calibri"/>
              </w:rPr>
              <w:t xml:space="preserve">Ability to be vulnerable </w:t>
            </w:r>
          </w:p>
        </w:tc>
      </w:tr>
      <w:tr w:rsidR="00BF61A6" w14:paraId="6FEC40E7" w14:textId="77777777" w:rsidTr="003A5241">
        <w:tc>
          <w:tcPr>
            <w:tcW w:w="4508" w:type="dxa"/>
          </w:tcPr>
          <w:p w14:paraId="12B3E886" w14:textId="77777777" w:rsidR="00BF61A6" w:rsidRPr="00F813E1" w:rsidRDefault="00BF61A6" w:rsidP="000C7580">
            <w:pPr>
              <w:rPr>
                <w:rFonts w:ascii="Calibri" w:hAnsi="Calibri" w:cs="Calibri"/>
              </w:rPr>
            </w:pPr>
            <w:r>
              <w:rPr>
                <w:rFonts w:ascii="Calibri" w:hAnsi="Calibri" w:cs="Calibri"/>
              </w:rPr>
              <w:t>Being the facilitating environment for students and their learning</w:t>
            </w:r>
          </w:p>
        </w:tc>
        <w:tc>
          <w:tcPr>
            <w:tcW w:w="4508" w:type="dxa"/>
          </w:tcPr>
          <w:p w14:paraId="1AEC224A" w14:textId="77777777" w:rsidR="00BF61A6" w:rsidRPr="00F813E1" w:rsidRDefault="00BF61A6" w:rsidP="000C7580">
            <w:pPr>
              <w:rPr>
                <w:rFonts w:ascii="Calibri" w:hAnsi="Calibri" w:cs="Calibri"/>
              </w:rPr>
            </w:pPr>
            <w:r w:rsidRPr="00F813E1">
              <w:rPr>
                <w:rFonts w:ascii="Calibri" w:hAnsi="Calibri" w:cs="Calibri"/>
              </w:rPr>
              <w:t>Recognising the importance of space, safe spaces and the pause</w:t>
            </w:r>
          </w:p>
        </w:tc>
      </w:tr>
    </w:tbl>
    <w:p w14:paraId="5582DDD2" w14:textId="77777777" w:rsidR="00BF61A6" w:rsidRPr="00372EFA" w:rsidRDefault="00BF61A6" w:rsidP="00444961">
      <w:pPr>
        <w:rPr>
          <w:rFonts w:ascii="Calibri" w:hAnsi="Calibri" w:cs="Calibri"/>
          <w:b/>
          <w:bCs/>
          <w:i/>
          <w:iCs/>
          <w:sz w:val="24"/>
          <w:szCs w:val="24"/>
        </w:rPr>
      </w:pPr>
    </w:p>
    <w:p w14:paraId="18849D87" w14:textId="2051C9AD" w:rsidR="00BF61A6" w:rsidRPr="0079449E" w:rsidRDefault="00BF61A6" w:rsidP="00B34100">
      <w:pPr>
        <w:spacing w:line="360" w:lineRule="auto"/>
        <w:rPr>
          <w:rFonts w:ascii="Calibri" w:hAnsi="Calibri" w:cs="Calibri"/>
          <w:sz w:val="24"/>
          <w:szCs w:val="24"/>
        </w:rPr>
      </w:pPr>
      <w:r>
        <w:rPr>
          <w:rFonts w:ascii="Calibri" w:hAnsi="Calibri" w:cs="Calibri"/>
          <w:sz w:val="24"/>
          <w:szCs w:val="24"/>
        </w:rPr>
        <w:t>A</w:t>
      </w:r>
      <w:r w:rsidRPr="00D212A6">
        <w:rPr>
          <w:rFonts w:ascii="Calibri" w:hAnsi="Calibri" w:cs="Calibri"/>
          <w:sz w:val="24"/>
          <w:szCs w:val="24"/>
        </w:rPr>
        <w:t xml:space="preserve">ll participants </w:t>
      </w:r>
      <w:r>
        <w:rPr>
          <w:rFonts w:ascii="Calibri" w:hAnsi="Calibri" w:cs="Calibri"/>
          <w:sz w:val="24"/>
          <w:szCs w:val="24"/>
        </w:rPr>
        <w:t xml:space="preserve">emphasised </w:t>
      </w:r>
      <w:r w:rsidRPr="00D212A6">
        <w:rPr>
          <w:rFonts w:ascii="Calibri" w:hAnsi="Calibri" w:cs="Calibri"/>
          <w:sz w:val="24"/>
          <w:szCs w:val="24"/>
        </w:rPr>
        <w:t xml:space="preserve">that </w:t>
      </w:r>
      <w:r>
        <w:rPr>
          <w:rFonts w:ascii="Calibri" w:hAnsi="Calibri" w:cs="Calibri"/>
          <w:sz w:val="24"/>
          <w:szCs w:val="24"/>
        </w:rPr>
        <w:t>they were</w:t>
      </w:r>
      <w:r w:rsidRPr="00D212A6">
        <w:rPr>
          <w:rFonts w:ascii="Calibri" w:hAnsi="Calibri" w:cs="Calibri"/>
          <w:sz w:val="24"/>
          <w:szCs w:val="24"/>
        </w:rPr>
        <w:t xml:space="preserve"> a positive </w:t>
      </w:r>
      <w:r>
        <w:rPr>
          <w:rFonts w:ascii="Calibri" w:hAnsi="Calibri" w:cs="Calibri"/>
          <w:sz w:val="24"/>
          <w:szCs w:val="24"/>
        </w:rPr>
        <w:t xml:space="preserve">role model and influence in the future lives of their students. They identified as an </w:t>
      </w:r>
      <w:r w:rsidRPr="00D212A6">
        <w:rPr>
          <w:rFonts w:ascii="Calibri" w:hAnsi="Calibri" w:cs="Calibri"/>
          <w:sz w:val="24"/>
          <w:szCs w:val="24"/>
        </w:rPr>
        <w:t>object constant, transitional object, guide, facilitator, pastoral</w:t>
      </w:r>
      <w:r>
        <w:rPr>
          <w:rFonts w:ascii="Calibri" w:hAnsi="Calibri" w:cs="Calibri"/>
          <w:sz w:val="24"/>
          <w:szCs w:val="24"/>
        </w:rPr>
        <w:t>/</w:t>
      </w:r>
      <w:r w:rsidRPr="00D212A6">
        <w:rPr>
          <w:rFonts w:ascii="Calibri" w:hAnsi="Calibri" w:cs="Calibri"/>
          <w:sz w:val="24"/>
          <w:szCs w:val="24"/>
        </w:rPr>
        <w:t xml:space="preserve">emotional support mentor and transmitter of knowledge. </w:t>
      </w:r>
      <w:r>
        <w:rPr>
          <w:rFonts w:ascii="Calibri" w:hAnsi="Calibri" w:cs="Calibri"/>
          <w:sz w:val="24"/>
          <w:szCs w:val="24"/>
        </w:rPr>
        <w:t xml:space="preserve">It was, </w:t>
      </w:r>
      <w:r>
        <w:rPr>
          <w:rFonts w:ascii="Calibri" w:hAnsi="Calibri" w:cs="Calibri"/>
          <w:sz w:val="24"/>
          <w:szCs w:val="24"/>
        </w:rPr>
        <w:lastRenderedPageBreak/>
        <w:t>however, highlighted by Jenko, Liz and Laura that d</w:t>
      </w:r>
      <w:r w:rsidRPr="0079449E">
        <w:rPr>
          <w:rFonts w:ascii="Calibri" w:hAnsi="Calibri" w:cs="Calibri"/>
          <w:sz w:val="24"/>
          <w:szCs w:val="24"/>
        </w:rPr>
        <w:t xml:space="preserve">ispelling </w:t>
      </w:r>
      <w:r>
        <w:rPr>
          <w:rFonts w:ascii="Calibri" w:hAnsi="Calibri" w:cs="Calibri"/>
          <w:sz w:val="24"/>
          <w:szCs w:val="24"/>
        </w:rPr>
        <w:t>the myth of the</w:t>
      </w:r>
      <w:r w:rsidRPr="0079449E">
        <w:rPr>
          <w:rFonts w:ascii="Calibri" w:hAnsi="Calibri" w:cs="Calibri"/>
          <w:sz w:val="24"/>
          <w:szCs w:val="24"/>
        </w:rPr>
        <w:t xml:space="preserve"> </w:t>
      </w:r>
      <w:r>
        <w:rPr>
          <w:rFonts w:ascii="Calibri" w:hAnsi="Calibri" w:cs="Calibri"/>
          <w:sz w:val="24"/>
          <w:szCs w:val="24"/>
        </w:rPr>
        <w:t xml:space="preserve">functional </w:t>
      </w:r>
      <w:r w:rsidRPr="0079449E">
        <w:rPr>
          <w:rFonts w:ascii="Calibri" w:hAnsi="Calibri" w:cs="Calibri"/>
          <w:sz w:val="24"/>
          <w:szCs w:val="24"/>
        </w:rPr>
        <w:t xml:space="preserve">teacher archetype </w:t>
      </w:r>
      <w:r>
        <w:rPr>
          <w:rFonts w:ascii="Calibri" w:hAnsi="Calibri" w:cs="Calibri"/>
          <w:sz w:val="24"/>
          <w:szCs w:val="24"/>
        </w:rPr>
        <w:t xml:space="preserve">was important to them as such a perception implies that the entirety of their administrative and pastoral tasks is not valued by either the employer or the student. By inference their comments lend support for the </w:t>
      </w:r>
      <w:r w:rsidR="006426B7">
        <w:rPr>
          <w:rFonts w:ascii="Calibri" w:hAnsi="Calibri" w:cs="Calibri"/>
          <w:sz w:val="24"/>
          <w:szCs w:val="24"/>
        </w:rPr>
        <w:t xml:space="preserve">notion of </w:t>
      </w:r>
      <w:r>
        <w:rPr>
          <w:rFonts w:ascii="Calibri" w:hAnsi="Calibri" w:cs="Calibri"/>
          <w:sz w:val="24"/>
          <w:szCs w:val="24"/>
        </w:rPr>
        <w:t>marginalisation of teacher’s feelings and meaning (</w:t>
      </w:r>
      <w:r w:rsidRPr="008965C2">
        <w:rPr>
          <w:rFonts w:ascii="Calibri" w:hAnsi="Calibri" w:cs="Calibri"/>
          <w:sz w:val="24"/>
          <w:szCs w:val="24"/>
        </w:rPr>
        <w:t>Bettelheim</w:t>
      </w:r>
      <w:r>
        <w:rPr>
          <w:rFonts w:ascii="Calibri" w:hAnsi="Calibri" w:cs="Calibri"/>
          <w:sz w:val="24"/>
          <w:szCs w:val="24"/>
        </w:rPr>
        <w:t xml:space="preserve">, </w:t>
      </w:r>
      <w:r w:rsidRPr="008965C2">
        <w:rPr>
          <w:rFonts w:ascii="Calibri" w:hAnsi="Calibri" w:cs="Calibri"/>
          <w:sz w:val="24"/>
          <w:szCs w:val="24"/>
        </w:rPr>
        <w:t>1972)</w:t>
      </w:r>
      <w:r>
        <w:rPr>
          <w:rFonts w:ascii="Calibri" w:hAnsi="Calibri" w:cs="Calibri"/>
          <w:sz w:val="24"/>
          <w:szCs w:val="24"/>
        </w:rPr>
        <w:t>, and a narrative of teacher resilience being perpetuated</w:t>
      </w:r>
      <w:bookmarkStart w:id="89" w:name="_Hlk205715680"/>
      <w:r w:rsidR="00371A14">
        <w:rPr>
          <w:rFonts w:ascii="Calibri" w:hAnsi="Calibri" w:cs="Calibri"/>
          <w:sz w:val="24"/>
          <w:szCs w:val="24"/>
        </w:rPr>
        <w:t xml:space="preserve"> therein</w:t>
      </w:r>
      <w:r>
        <w:rPr>
          <w:rFonts w:ascii="Calibri" w:hAnsi="Calibri" w:cs="Calibri"/>
          <w:sz w:val="24"/>
          <w:szCs w:val="24"/>
        </w:rPr>
        <w:t xml:space="preserve">. Archetypes and myths can provide </w:t>
      </w:r>
      <w:r w:rsidRPr="00DA7540">
        <w:rPr>
          <w:rFonts w:ascii="Calibri" w:hAnsi="Calibri" w:cs="Calibri"/>
          <w:sz w:val="24"/>
          <w:szCs w:val="24"/>
        </w:rPr>
        <w:t>“a fresh perspective on an individual’s experience” (Bolen, 1984, p.327)</w:t>
      </w:r>
      <w:r>
        <w:rPr>
          <w:rFonts w:ascii="Calibri" w:hAnsi="Calibri" w:cs="Calibri"/>
          <w:sz w:val="24"/>
          <w:szCs w:val="24"/>
        </w:rPr>
        <w:t xml:space="preserve"> which </w:t>
      </w:r>
      <w:r w:rsidRPr="00DA7540">
        <w:rPr>
          <w:rFonts w:ascii="Calibri" w:hAnsi="Calibri" w:cs="Calibri"/>
          <w:sz w:val="24"/>
          <w:szCs w:val="24"/>
        </w:rPr>
        <w:t xml:space="preserve">can be informed by </w:t>
      </w:r>
      <w:r>
        <w:rPr>
          <w:rFonts w:ascii="Calibri" w:hAnsi="Calibri" w:cs="Calibri"/>
          <w:sz w:val="24"/>
          <w:szCs w:val="24"/>
        </w:rPr>
        <w:t xml:space="preserve">the relational, human and affect realms that serve to debunk the resilient-functional-teacher story. The findings overall contribute to </w:t>
      </w:r>
      <w:r w:rsidR="00E24FA2">
        <w:rPr>
          <w:rFonts w:ascii="Calibri" w:hAnsi="Calibri" w:cs="Calibri"/>
          <w:sz w:val="24"/>
          <w:szCs w:val="24"/>
        </w:rPr>
        <w:t xml:space="preserve">a </w:t>
      </w:r>
      <w:r>
        <w:rPr>
          <w:rFonts w:ascii="Calibri" w:hAnsi="Calibri" w:cs="Calibri"/>
          <w:sz w:val="24"/>
          <w:szCs w:val="24"/>
        </w:rPr>
        <w:t>debunking</w:t>
      </w:r>
      <w:r w:rsidR="00E24FA2">
        <w:rPr>
          <w:rFonts w:ascii="Calibri" w:hAnsi="Calibri" w:cs="Calibri"/>
          <w:sz w:val="24"/>
          <w:szCs w:val="24"/>
        </w:rPr>
        <w:t xml:space="preserve"> of </w:t>
      </w:r>
      <w:r>
        <w:rPr>
          <w:rFonts w:ascii="Calibri" w:hAnsi="Calibri" w:cs="Calibri"/>
          <w:sz w:val="24"/>
          <w:szCs w:val="24"/>
        </w:rPr>
        <w:t xml:space="preserve"> the myth of the functional-teacher archetype.</w:t>
      </w:r>
    </w:p>
    <w:bookmarkEnd w:id="89"/>
    <w:p w14:paraId="329C0E86" w14:textId="77777777" w:rsidR="00BF61A6" w:rsidRPr="00D81309" w:rsidRDefault="00BF61A6" w:rsidP="00AF1CF2">
      <w:pPr>
        <w:spacing w:line="360" w:lineRule="auto"/>
        <w:ind w:firstLine="720"/>
        <w:rPr>
          <w:rFonts w:ascii="Calibri" w:hAnsi="Calibri" w:cs="Calibri"/>
          <w:b/>
          <w:bCs/>
          <w:i/>
          <w:iCs/>
          <w:sz w:val="24"/>
          <w:szCs w:val="24"/>
        </w:rPr>
      </w:pPr>
      <w:r w:rsidRPr="00D81309">
        <w:rPr>
          <w:rFonts w:ascii="Calibri" w:hAnsi="Calibri" w:cs="Calibri"/>
          <w:b/>
          <w:bCs/>
          <w:i/>
          <w:iCs/>
          <w:sz w:val="24"/>
          <w:szCs w:val="24"/>
        </w:rPr>
        <w:t>Pastoral needs and awareness</w:t>
      </w:r>
    </w:p>
    <w:p w14:paraId="27E5F349" w14:textId="0B81E577" w:rsidR="00BF61A6" w:rsidRDefault="00BF61A6" w:rsidP="00B34100">
      <w:pPr>
        <w:spacing w:line="360" w:lineRule="auto"/>
        <w:rPr>
          <w:rFonts w:ascii="Calibri" w:hAnsi="Calibri" w:cs="Calibri"/>
          <w:sz w:val="24"/>
          <w:szCs w:val="24"/>
        </w:rPr>
      </w:pPr>
      <w:r>
        <w:rPr>
          <w:rFonts w:ascii="Calibri" w:hAnsi="Calibri" w:cs="Calibri"/>
          <w:sz w:val="24"/>
          <w:szCs w:val="24"/>
        </w:rPr>
        <w:t>Changes in the</w:t>
      </w:r>
      <w:r w:rsidRPr="003F3C3D">
        <w:rPr>
          <w:rFonts w:ascii="Calibri" w:hAnsi="Calibri" w:cs="Calibri"/>
          <w:sz w:val="24"/>
          <w:szCs w:val="24"/>
        </w:rPr>
        <w:t xml:space="preserve"> </w:t>
      </w:r>
      <w:r>
        <w:rPr>
          <w:rFonts w:ascii="Calibri" w:hAnsi="Calibri" w:cs="Calibri"/>
          <w:sz w:val="24"/>
          <w:szCs w:val="24"/>
        </w:rPr>
        <w:t xml:space="preserve">cultural </w:t>
      </w:r>
      <w:r w:rsidRPr="003F3C3D">
        <w:rPr>
          <w:rFonts w:ascii="Calibri" w:hAnsi="Calibri" w:cs="Calibri"/>
          <w:sz w:val="24"/>
          <w:szCs w:val="24"/>
        </w:rPr>
        <w:t xml:space="preserve">landscape </w:t>
      </w:r>
      <w:r>
        <w:rPr>
          <w:rFonts w:ascii="Calibri" w:hAnsi="Calibri" w:cs="Calibri"/>
          <w:sz w:val="24"/>
          <w:szCs w:val="24"/>
        </w:rPr>
        <w:t xml:space="preserve">of education include </w:t>
      </w:r>
      <w:r w:rsidRPr="003F3C3D">
        <w:rPr>
          <w:rFonts w:ascii="Calibri" w:hAnsi="Calibri" w:cs="Calibri"/>
          <w:sz w:val="24"/>
          <w:szCs w:val="24"/>
        </w:rPr>
        <w:t xml:space="preserve">a more diverse student body (Skaalvik and Skaalvik, 2020) and ever-shifting student demographics (Kyriacou, 2020). </w:t>
      </w:r>
      <w:r w:rsidR="00C167FF">
        <w:rPr>
          <w:rFonts w:ascii="Calibri" w:hAnsi="Calibri" w:cs="Calibri"/>
          <w:sz w:val="24"/>
          <w:szCs w:val="24"/>
        </w:rPr>
        <w:t>F</w:t>
      </w:r>
      <w:r w:rsidR="00725BE1">
        <w:rPr>
          <w:rFonts w:ascii="Calibri" w:hAnsi="Calibri" w:cs="Calibri"/>
          <w:sz w:val="24"/>
          <w:szCs w:val="24"/>
        </w:rPr>
        <w:t>urther</w:t>
      </w:r>
      <w:r w:rsidRPr="003F3C3D">
        <w:rPr>
          <w:rFonts w:ascii="Calibri" w:hAnsi="Calibri" w:cs="Calibri"/>
          <w:sz w:val="24"/>
          <w:szCs w:val="24"/>
        </w:rPr>
        <w:t xml:space="preserve"> </w:t>
      </w:r>
      <w:r>
        <w:rPr>
          <w:rFonts w:ascii="Calibri" w:hAnsi="Calibri" w:cs="Calibri"/>
          <w:sz w:val="24"/>
          <w:szCs w:val="24"/>
        </w:rPr>
        <w:t xml:space="preserve">cultural </w:t>
      </w:r>
      <w:r w:rsidRPr="003F3C3D">
        <w:rPr>
          <w:rFonts w:ascii="Calibri" w:hAnsi="Calibri" w:cs="Calibri"/>
          <w:sz w:val="24"/>
          <w:szCs w:val="24"/>
        </w:rPr>
        <w:t>shift</w:t>
      </w:r>
      <w:r w:rsidR="007A11D7">
        <w:rPr>
          <w:rFonts w:ascii="Calibri" w:hAnsi="Calibri" w:cs="Calibri"/>
          <w:sz w:val="24"/>
          <w:szCs w:val="24"/>
        </w:rPr>
        <w:t>s</w:t>
      </w:r>
      <w:r w:rsidRPr="003F3C3D">
        <w:rPr>
          <w:rFonts w:ascii="Calibri" w:hAnsi="Calibri" w:cs="Calibri"/>
          <w:sz w:val="24"/>
          <w:szCs w:val="24"/>
        </w:rPr>
        <w:t xml:space="preserve"> </w:t>
      </w:r>
      <w:r>
        <w:rPr>
          <w:rFonts w:ascii="Calibri" w:hAnsi="Calibri" w:cs="Calibri"/>
          <w:sz w:val="24"/>
          <w:szCs w:val="24"/>
        </w:rPr>
        <w:t xml:space="preserve">identified </w:t>
      </w:r>
      <w:r w:rsidR="007A11D7">
        <w:rPr>
          <w:rFonts w:ascii="Calibri" w:hAnsi="Calibri" w:cs="Calibri"/>
          <w:sz w:val="24"/>
          <w:szCs w:val="24"/>
        </w:rPr>
        <w:t xml:space="preserve">are </w:t>
      </w:r>
      <w:r>
        <w:rPr>
          <w:rFonts w:ascii="Calibri" w:hAnsi="Calibri" w:cs="Calibri"/>
          <w:sz w:val="24"/>
          <w:szCs w:val="24"/>
        </w:rPr>
        <w:t xml:space="preserve">an epidemic of </w:t>
      </w:r>
      <w:r w:rsidRPr="003F3C3D">
        <w:rPr>
          <w:rFonts w:ascii="Calibri" w:hAnsi="Calibri" w:cs="Calibri"/>
          <w:sz w:val="24"/>
          <w:szCs w:val="24"/>
        </w:rPr>
        <w:t>declining resilience in students</w:t>
      </w:r>
      <w:r>
        <w:rPr>
          <w:rFonts w:ascii="Calibri" w:hAnsi="Calibri" w:cs="Calibri"/>
          <w:sz w:val="24"/>
          <w:szCs w:val="24"/>
        </w:rPr>
        <w:t xml:space="preserve"> (</w:t>
      </w:r>
      <w:r w:rsidRPr="004C714C">
        <w:rPr>
          <w:rFonts w:ascii="Calibri" w:hAnsi="Calibri" w:cs="Calibri"/>
          <w:sz w:val="24"/>
          <w:szCs w:val="24"/>
        </w:rPr>
        <w:t>Makhubela</w:t>
      </w:r>
      <w:r>
        <w:rPr>
          <w:rFonts w:ascii="Calibri" w:hAnsi="Calibri" w:cs="Calibri"/>
          <w:sz w:val="24"/>
          <w:szCs w:val="24"/>
        </w:rPr>
        <w:t xml:space="preserve">, </w:t>
      </w:r>
      <w:r w:rsidRPr="004C714C">
        <w:rPr>
          <w:rFonts w:ascii="Calibri" w:hAnsi="Calibri" w:cs="Calibri"/>
          <w:sz w:val="24"/>
          <w:szCs w:val="24"/>
        </w:rPr>
        <w:t>2021</w:t>
      </w:r>
      <w:r>
        <w:rPr>
          <w:rFonts w:ascii="Calibri" w:hAnsi="Calibri" w:cs="Calibri"/>
          <w:sz w:val="24"/>
          <w:szCs w:val="24"/>
        </w:rPr>
        <w:t>;</w:t>
      </w:r>
      <w:r w:rsidRPr="004C714C">
        <w:rPr>
          <w:rFonts w:ascii="Calibri" w:hAnsi="Calibri" w:cs="Calibri"/>
          <w:sz w:val="24"/>
          <w:szCs w:val="24"/>
        </w:rPr>
        <w:t xml:space="preserve"> </w:t>
      </w:r>
      <w:r w:rsidRPr="006E2F5C">
        <w:rPr>
          <w:rFonts w:ascii="Calibri" w:hAnsi="Calibri" w:cs="Calibri"/>
          <w:sz w:val="24"/>
          <w:szCs w:val="24"/>
        </w:rPr>
        <w:t>Morrish</w:t>
      </w:r>
      <w:r>
        <w:rPr>
          <w:rFonts w:ascii="Calibri" w:hAnsi="Calibri" w:cs="Calibri"/>
          <w:sz w:val="24"/>
          <w:szCs w:val="24"/>
        </w:rPr>
        <w:t xml:space="preserve">, </w:t>
      </w:r>
      <w:r w:rsidRPr="006E2F5C">
        <w:rPr>
          <w:rFonts w:ascii="Calibri" w:hAnsi="Calibri" w:cs="Calibri"/>
          <w:sz w:val="24"/>
          <w:szCs w:val="24"/>
        </w:rPr>
        <w:t>2019</w:t>
      </w:r>
      <w:r>
        <w:rPr>
          <w:rFonts w:ascii="Calibri" w:hAnsi="Calibri" w:cs="Calibri"/>
          <w:sz w:val="24"/>
          <w:szCs w:val="24"/>
        </w:rPr>
        <w:t xml:space="preserve">; </w:t>
      </w:r>
      <w:r w:rsidRPr="006E2F5C">
        <w:rPr>
          <w:rFonts w:ascii="Calibri" w:hAnsi="Calibri" w:cs="Calibri"/>
          <w:sz w:val="24"/>
          <w:szCs w:val="24"/>
        </w:rPr>
        <w:t>Usher</w:t>
      </w:r>
      <w:r>
        <w:rPr>
          <w:rFonts w:ascii="Calibri" w:hAnsi="Calibri" w:cs="Calibri"/>
          <w:sz w:val="24"/>
          <w:szCs w:val="24"/>
        </w:rPr>
        <w:t xml:space="preserve"> </w:t>
      </w:r>
      <w:r w:rsidR="00FB3A6E" w:rsidRPr="00FB3A6E">
        <w:rPr>
          <w:rFonts w:ascii="Calibri" w:hAnsi="Calibri" w:cs="Calibri"/>
          <w:i/>
          <w:sz w:val="24"/>
          <w:szCs w:val="24"/>
        </w:rPr>
        <w:t>et al.</w:t>
      </w:r>
      <w:r>
        <w:rPr>
          <w:rFonts w:ascii="Calibri" w:hAnsi="Calibri" w:cs="Calibri"/>
          <w:sz w:val="24"/>
          <w:szCs w:val="24"/>
        </w:rPr>
        <w:t xml:space="preserve">, </w:t>
      </w:r>
      <w:r w:rsidRPr="006E2F5C">
        <w:rPr>
          <w:rFonts w:ascii="Calibri" w:hAnsi="Calibri" w:cs="Calibri"/>
          <w:sz w:val="24"/>
          <w:szCs w:val="24"/>
        </w:rPr>
        <w:t>2020</w:t>
      </w:r>
      <w:r>
        <w:rPr>
          <w:rFonts w:ascii="Calibri" w:hAnsi="Calibri" w:cs="Calibri"/>
          <w:sz w:val="24"/>
          <w:szCs w:val="24"/>
        </w:rPr>
        <w:t>) and a mental health crisis in universities (</w:t>
      </w:r>
      <w:r w:rsidRPr="00CA3FD2">
        <w:rPr>
          <w:rFonts w:ascii="Calibri" w:hAnsi="Calibri" w:cs="Calibri"/>
          <w:sz w:val="24"/>
          <w:szCs w:val="24"/>
        </w:rPr>
        <w:t>Andersen</w:t>
      </w:r>
      <w:r>
        <w:rPr>
          <w:rFonts w:ascii="Calibri" w:hAnsi="Calibri" w:cs="Calibri"/>
          <w:sz w:val="24"/>
          <w:szCs w:val="24"/>
        </w:rPr>
        <w:t xml:space="preserve"> </w:t>
      </w:r>
      <w:r w:rsidR="00FB3A6E" w:rsidRPr="00FB3A6E">
        <w:rPr>
          <w:rFonts w:ascii="Calibri" w:hAnsi="Calibri" w:cs="Calibri"/>
          <w:i/>
          <w:sz w:val="24"/>
          <w:szCs w:val="24"/>
        </w:rPr>
        <w:t>et al.</w:t>
      </w:r>
      <w:r w:rsidRPr="00CA3FD2">
        <w:rPr>
          <w:rFonts w:ascii="Calibri" w:hAnsi="Calibri" w:cs="Calibri"/>
          <w:sz w:val="24"/>
          <w:szCs w:val="24"/>
        </w:rPr>
        <w:t xml:space="preserve">, 2021; Jayman </w:t>
      </w:r>
      <w:r w:rsidR="00FB3A6E" w:rsidRPr="00FB3A6E">
        <w:rPr>
          <w:rFonts w:ascii="Calibri" w:hAnsi="Calibri" w:cs="Calibri"/>
          <w:i/>
          <w:sz w:val="24"/>
          <w:szCs w:val="24"/>
        </w:rPr>
        <w:t>et al.</w:t>
      </w:r>
      <w:r w:rsidRPr="00CA3FD2">
        <w:rPr>
          <w:rFonts w:ascii="Calibri" w:hAnsi="Calibri" w:cs="Calibri"/>
          <w:sz w:val="24"/>
          <w:szCs w:val="24"/>
        </w:rPr>
        <w:t>, 2022</w:t>
      </w:r>
      <w:r>
        <w:rPr>
          <w:rFonts w:ascii="Calibri" w:hAnsi="Calibri" w:cs="Calibri"/>
          <w:sz w:val="24"/>
          <w:szCs w:val="24"/>
        </w:rPr>
        <w:t xml:space="preserve">). Students are observed to be lacking in confidence, replete with uncertainty (Lavoie, 2018), and overwhelmed due to diminished </w:t>
      </w:r>
      <w:r w:rsidRPr="004D5341">
        <w:rPr>
          <w:rFonts w:ascii="Calibri" w:hAnsi="Calibri" w:cs="Calibri"/>
          <w:sz w:val="24"/>
          <w:szCs w:val="24"/>
        </w:rPr>
        <w:t>ego strength (Hirblinger, 2017)</w:t>
      </w:r>
      <w:r>
        <w:rPr>
          <w:rFonts w:ascii="Calibri" w:hAnsi="Calibri" w:cs="Calibri"/>
          <w:sz w:val="24"/>
          <w:szCs w:val="24"/>
        </w:rPr>
        <w:t>. Some, but not all participants explicitly affirmed this emotional incompetence paradigm</w:t>
      </w:r>
      <w:r w:rsidRPr="00A60AEB">
        <w:rPr>
          <w:rFonts w:ascii="Calibri" w:hAnsi="Calibri" w:cs="Calibri"/>
          <w:sz w:val="24"/>
          <w:szCs w:val="24"/>
        </w:rPr>
        <w:t xml:space="preserve"> </w:t>
      </w:r>
      <w:r>
        <w:rPr>
          <w:rFonts w:ascii="Calibri" w:hAnsi="Calibri" w:cs="Calibri"/>
          <w:sz w:val="24"/>
          <w:szCs w:val="24"/>
        </w:rPr>
        <w:t>(</w:t>
      </w:r>
      <w:r w:rsidRPr="00A60AEB">
        <w:rPr>
          <w:rFonts w:ascii="Calibri" w:hAnsi="Calibri" w:cs="Calibri"/>
          <w:sz w:val="24"/>
          <w:szCs w:val="24"/>
        </w:rPr>
        <w:t>Ippolito and Kingsbury</w:t>
      </w:r>
      <w:r>
        <w:rPr>
          <w:rFonts w:ascii="Calibri" w:hAnsi="Calibri" w:cs="Calibri"/>
          <w:sz w:val="24"/>
          <w:szCs w:val="24"/>
        </w:rPr>
        <w:t xml:space="preserve">, </w:t>
      </w:r>
      <w:r w:rsidRPr="00A60AEB">
        <w:rPr>
          <w:rFonts w:ascii="Calibri" w:hAnsi="Calibri" w:cs="Calibri"/>
          <w:sz w:val="24"/>
          <w:szCs w:val="24"/>
        </w:rPr>
        <w:t>2024)</w:t>
      </w:r>
      <w:r>
        <w:rPr>
          <w:rFonts w:ascii="Calibri" w:hAnsi="Calibri" w:cs="Calibri"/>
          <w:sz w:val="24"/>
          <w:szCs w:val="24"/>
        </w:rPr>
        <w:t xml:space="preserve">. </w:t>
      </w:r>
      <w:r w:rsidRPr="00EC00A4">
        <w:rPr>
          <w:rFonts w:ascii="Calibri" w:hAnsi="Calibri" w:cs="Calibri"/>
          <w:sz w:val="24"/>
          <w:szCs w:val="24"/>
        </w:rPr>
        <w:t xml:space="preserve">Both Laura and Fred observe that recent students </w:t>
      </w:r>
      <w:r>
        <w:rPr>
          <w:rFonts w:ascii="Calibri" w:hAnsi="Calibri" w:cs="Calibri"/>
          <w:sz w:val="24"/>
          <w:szCs w:val="24"/>
        </w:rPr>
        <w:t xml:space="preserve">have diminished </w:t>
      </w:r>
      <w:r w:rsidRPr="00EC00A4">
        <w:rPr>
          <w:rFonts w:ascii="Calibri" w:hAnsi="Calibri" w:cs="Calibri"/>
          <w:sz w:val="24"/>
          <w:szCs w:val="24"/>
        </w:rPr>
        <w:t>emotional resilience and higher stress and anxiety levels</w:t>
      </w:r>
      <w:r w:rsidRPr="00635635">
        <w:rPr>
          <w:rFonts w:ascii="Calibri" w:hAnsi="Calibri" w:cs="Calibri"/>
          <w:sz w:val="24"/>
          <w:szCs w:val="24"/>
        </w:rPr>
        <w:t xml:space="preserve"> reflecting the findings of the Deloitte Global report (2021) and Leahy </w:t>
      </w:r>
      <w:r w:rsidR="00FB3A6E" w:rsidRPr="00FB3A6E">
        <w:rPr>
          <w:rFonts w:ascii="Calibri" w:hAnsi="Calibri" w:cs="Calibri"/>
          <w:i/>
          <w:sz w:val="24"/>
          <w:szCs w:val="24"/>
        </w:rPr>
        <w:t>et al.</w:t>
      </w:r>
      <w:r w:rsidRPr="00635635">
        <w:rPr>
          <w:rFonts w:ascii="Calibri" w:hAnsi="Calibri" w:cs="Calibri"/>
          <w:sz w:val="24"/>
          <w:szCs w:val="24"/>
        </w:rPr>
        <w:t xml:space="preserve"> (2010).</w:t>
      </w:r>
      <w:r w:rsidRPr="009F0001">
        <w:rPr>
          <w:rFonts w:ascii="Calibri" w:hAnsi="Calibri" w:cs="Calibri"/>
          <w:sz w:val="24"/>
          <w:szCs w:val="24"/>
        </w:rPr>
        <w:t xml:space="preserve"> </w:t>
      </w:r>
      <w:r w:rsidRPr="00F2244F">
        <w:rPr>
          <w:rFonts w:ascii="Calibri" w:hAnsi="Calibri" w:cs="Calibri"/>
          <w:sz w:val="24"/>
          <w:szCs w:val="24"/>
        </w:rPr>
        <w:t>It has been observed that there is a decrease in the student’s ability to function as a student emotionally (Morton, 2010)</w:t>
      </w:r>
      <w:r w:rsidR="008B225A">
        <w:rPr>
          <w:rFonts w:ascii="Calibri" w:hAnsi="Calibri" w:cs="Calibri"/>
          <w:sz w:val="24"/>
          <w:szCs w:val="24"/>
        </w:rPr>
        <w:t>,</w:t>
      </w:r>
      <w:r>
        <w:rPr>
          <w:rFonts w:ascii="Calibri" w:hAnsi="Calibri" w:cs="Calibri"/>
          <w:sz w:val="24"/>
          <w:szCs w:val="24"/>
        </w:rPr>
        <w:t xml:space="preserve"> and Liz and Sally highlighted </w:t>
      </w:r>
      <w:r w:rsidRPr="00F2244F">
        <w:rPr>
          <w:rFonts w:ascii="Calibri" w:hAnsi="Calibri" w:cs="Calibri"/>
          <w:sz w:val="24"/>
          <w:szCs w:val="24"/>
        </w:rPr>
        <w:t>that students lack confidence, need help with their learning</w:t>
      </w:r>
      <w:r>
        <w:rPr>
          <w:rFonts w:ascii="Calibri" w:hAnsi="Calibri" w:cs="Calibri"/>
          <w:sz w:val="24"/>
          <w:szCs w:val="24"/>
        </w:rPr>
        <w:t xml:space="preserve"> and have </w:t>
      </w:r>
      <w:r w:rsidRPr="00F2244F">
        <w:rPr>
          <w:rFonts w:ascii="Calibri" w:hAnsi="Calibri" w:cs="Calibri"/>
          <w:sz w:val="24"/>
          <w:szCs w:val="24"/>
        </w:rPr>
        <w:t>emotional and relational deficits</w:t>
      </w:r>
      <w:r>
        <w:rPr>
          <w:rFonts w:ascii="Calibri" w:hAnsi="Calibri" w:cs="Calibri"/>
          <w:sz w:val="24"/>
          <w:szCs w:val="24"/>
        </w:rPr>
        <w:t xml:space="preserve">. </w:t>
      </w:r>
      <w:r w:rsidRPr="00F2244F">
        <w:rPr>
          <w:rFonts w:ascii="Calibri" w:hAnsi="Calibri" w:cs="Calibri"/>
          <w:sz w:val="24"/>
          <w:szCs w:val="24"/>
        </w:rPr>
        <w:t xml:space="preserve">These deficits could be </w:t>
      </w:r>
      <w:r>
        <w:rPr>
          <w:rFonts w:ascii="Calibri" w:hAnsi="Calibri" w:cs="Calibri"/>
          <w:sz w:val="24"/>
          <w:szCs w:val="24"/>
        </w:rPr>
        <w:t xml:space="preserve">read </w:t>
      </w:r>
      <w:r w:rsidRPr="00F2244F">
        <w:rPr>
          <w:rFonts w:ascii="Calibri" w:hAnsi="Calibri" w:cs="Calibri"/>
          <w:sz w:val="24"/>
          <w:szCs w:val="24"/>
        </w:rPr>
        <w:t xml:space="preserve">as deficits in the maturational processes of life. Seen from a Winnicottian perspective, </w:t>
      </w:r>
      <w:r>
        <w:rPr>
          <w:rFonts w:ascii="Calibri" w:hAnsi="Calibri" w:cs="Calibri"/>
          <w:sz w:val="24"/>
          <w:szCs w:val="24"/>
        </w:rPr>
        <w:t xml:space="preserve">cognitive and emotional </w:t>
      </w:r>
      <w:r w:rsidRPr="00F2244F">
        <w:rPr>
          <w:rFonts w:ascii="Calibri" w:hAnsi="Calibri" w:cs="Calibri"/>
          <w:sz w:val="24"/>
          <w:szCs w:val="24"/>
        </w:rPr>
        <w:t xml:space="preserve">deficits in students </w:t>
      </w:r>
      <w:r>
        <w:rPr>
          <w:rFonts w:ascii="Calibri" w:hAnsi="Calibri" w:cs="Calibri"/>
          <w:sz w:val="24"/>
          <w:szCs w:val="24"/>
        </w:rPr>
        <w:t xml:space="preserve">identified by these participants </w:t>
      </w:r>
      <w:r w:rsidRPr="00F2244F">
        <w:rPr>
          <w:rFonts w:ascii="Calibri" w:hAnsi="Calibri" w:cs="Calibri"/>
          <w:sz w:val="24"/>
          <w:szCs w:val="24"/>
        </w:rPr>
        <w:t xml:space="preserve">signify the rite of passage </w:t>
      </w:r>
      <w:r>
        <w:rPr>
          <w:rFonts w:ascii="Calibri" w:hAnsi="Calibri" w:cs="Calibri"/>
          <w:sz w:val="24"/>
          <w:szCs w:val="24"/>
        </w:rPr>
        <w:t>“</w:t>
      </w:r>
      <w:r w:rsidRPr="00F2244F">
        <w:rPr>
          <w:rFonts w:ascii="Calibri" w:hAnsi="Calibri" w:cs="Calibri"/>
          <w:sz w:val="24"/>
          <w:szCs w:val="24"/>
        </w:rPr>
        <w:t>towards independence</w:t>
      </w:r>
      <w:r>
        <w:rPr>
          <w:rFonts w:ascii="Calibri" w:hAnsi="Calibri" w:cs="Calibri"/>
          <w:sz w:val="24"/>
          <w:szCs w:val="24"/>
        </w:rPr>
        <w:t>” (Winnicott, 1965) requires more nuanced support.</w:t>
      </w:r>
      <w:r w:rsidRPr="00BD33CB">
        <w:rPr>
          <w:rFonts w:ascii="Calibri" w:hAnsi="Calibri" w:cs="Calibri"/>
          <w:sz w:val="24"/>
          <w:szCs w:val="24"/>
        </w:rPr>
        <w:t xml:space="preserve"> </w:t>
      </w:r>
    </w:p>
    <w:p w14:paraId="3BB311BC" w14:textId="497F2454" w:rsidR="00BF61A6" w:rsidRPr="00BD33CB" w:rsidRDefault="00BF61A6" w:rsidP="00B34100">
      <w:pPr>
        <w:spacing w:line="360" w:lineRule="auto"/>
        <w:rPr>
          <w:rFonts w:ascii="Calibri" w:hAnsi="Calibri" w:cs="Calibri"/>
          <w:sz w:val="24"/>
          <w:szCs w:val="24"/>
        </w:rPr>
      </w:pPr>
      <w:r w:rsidRPr="00BD33CB">
        <w:rPr>
          <w:rFonts w:ascii="Calibri" w:hAnsi="Calibri" w:cs="Calibri"/>
          <w:sz w:val="24"/>
          <w:szCs w:val="24"/>
        </w:rPr>
        <w:t xml:space="preserve">The term </w:t>
      </w:r>
      <w:r>
        <w:rPr>
          <w:rFonts w:ascii="Calibri" w:hAnsi="Calibri" w:cs="Calibri"/>
          <w:sz w:val="24"/>
          <w:szCs w:val="24"/>
        </w:rPr>
        <w:t>“</w:t>
      </w:r>
      <w:r w:rsidRPr="00BD33CB">
        <w:rPr>
          <w:rFonts w:ascii="Calibri" w:hAnsi="Calibri" w:cs="Calibri"/>
          <w:sz w:val="24"/>
          <w:szCs w:val="24"/>
        </w:rPr>
        <w:t>resilience</w:t>
      </w:r>
      <w:r>
        <w:rPr>
          <w:rFonts w:ascii="Calibri" w:hAnsi="Calibri" w:cs="Calibri"/>
          <w:sz w:val="24"/>
          <w:szCs w:val="24"/>
        </w:rPr>
        <w:t>”</w:t>
      </w:r>
      <w:r w:rsidRPr="00BD33CB">
        <w:rPr>
          <w:rFonts w:ascii="Calibri" w:hAnsi="Calibri" w:cs="Calibri"/>
          <w:sz w:val="24"/>
          <w:szCs w:val="24"/>
        </w:rPr>
        <w:t xml:space="preserve"> might be the latest buzzword in HE, contribute to a deficit discourse (Binnie, 2016</w:t>
      </w:r>
      <w:r>
        <w:rPr>
          <w:rFonts w:ascii="Calibri" w:hAnsi="Calibri" w:cs="Calibri"/>
          <w:sz w:val="24"/>
          <w:szCs w:val="24"/>
        </w:rPr>
        <w:t xml:space="preserve">; </w:t>
      </w:r>
      <w:r w:rsidRPr="00BD33CB">
        <w:rPr>
          <w:rFonts w:ascii="Calibri" w:hAnsi="Calibri" w:cs="Calibri"/>
          <w:sz w:val="24"/>
          <w:szCs w:val="24"/>
        </w:rPr>
        <w:t>Stevenson and Petrescu, 2016) and perpetuate an overmedicalisation of student distress (Percy, in Pointon, 2014)</w:t>
      </w:r>
      <w:r>
        <w:rPr>
          <w:rFonts w:ascii="Calibri" w:hAnsi="Calibri" w:cs="Calibri"/>
          <w:sz w:val="24"/>
          <w:szCs w:val="24"/>
        </w:rPr>
        <w:t>,</w:t>
      </w:r>
      <w:r w:rsidRPr="00BD33CB">
        <w:rPr>
          <w:rFonts w:ascii="Calibri" w:hAnsi="Calibri" w:cs="Calibri"/>
          <w:sz w:val="24"/>
          <w:szCs w:val="24"/>
        </w:rPr>
        <w:t xml:space="preserve"> however, some </w:t>
      </w:r>
      <w:r>
        <w:rPr>
          <w:rFonts w:ascii="Calibri" w:hAnsi="Calibri" w:cs="Calibri"/>
          <w:sz w:val="24"/>
          <w:szCs w:val="24"/>
        </w:rPr>
        <w:t xml:space="preserve">participants </w:t>
      </w:r>
      <w:r w:rsidRPr="00BD33CB">
        <w:rPr>
          <w:rFonts w:ascii="Calibri" w:hAnsi="Calibri" w:cs="Calibri"/>
          <w:sz w:val="24"/>
          <w:szCs w:val="24"/>
        </w:rPr>
        <w:t>experience</w:t>
      </w:r>
      <w:r>
        <w:rPr>
          <w:rFonts w:ascii="Calibri" w:hAnsi="Calibri" w:cs="Calibri"/>
          <w:sz w:val="24"/>
          <w:szCs w:val="24"/>
        </w:rPr>
        <w:t xml:space="preserve">d a lack of </w:t>
      </w:r>
      <w:r>
        <w:rPr>
          <w:rFonts w:ascii="Calibri" w:hAnsi="Calibri" w:cs="Calibri"/>
          <w:sz w:val="24"/>
          <w:szCs w:val="24"/>
        </w:rPr>
        <w:lastRenderedPageBreak/>
        <w:t>resilience</w:t>
      </w:r>
      <w:r w:rsidRPr="00BD33CB">
        <w:rPr>
          <w:rFonts w:ascii="Calibri" w:hAnsi="Calibri" w:cs="Calibri"/>
          <w:sz w:val="24"/>
          <w:szCs w:val="24"/>
        </w:rPr>
        <w:t xml:space="preserve"> </w:t>
      </w:r>
      <w:r w:rsidRPr="00961E35">
        <w:rPr>
          <w:rFonts w:ascii="Calibri" w:hAnsi="Calibri" w:cs="Calibri"/>
          <w:i/>
          <w:iCs/>
          <w:sz w:val="24"/>
          <w:szCs w:val="24"/>
        </w:rPr>
        <w:t>as</w:t>
      </w:r>
      <w:r w:rsidRPr="00BD33CB">
        <w:rPr>
          <w:rFonts w:ascii="Calibri" w:hAnsi="Calibri" w:cs="Calibri"/>
          <w:sz w:val="24"/>
          <w:szCs w:val="24"/>
        </w:rPr>
        <w:t xml:space="preserve"> students, and others </w:t>
      </w:r>
      <w:r>
        <w:rPr>
          <w:rFonts w:ascii="Calibri" w:hAnsi="Calibri" w:cs="Calibri"/>
          <w:sz w:val="24"/>
          <w:szCs w:val="24"/>
        </w:rPr>
        <w:t xml:space="preserve">experienced a lack of resilience </w:t>
      </w:r>
      <w:r w:rsidRPr="00961E35">
        <w:rPr>
          <w:rFonts w:ascii="Calibri" w:hAnsi="Calibri" w:cs="Calibri"/>
          <w:i/>
          <w:iCs/>
          <w:sz w:val="24"/>
          <w:szCs w:val="24"/>
        </w:rPr>
        <w:t>in their</w:t>
      </w:r>
      <w:r>
        <w:rPr>
          <w:rFonts w:ascii="Calibri" w:hAnsi="Calibri" w:cs="Calibri"/>
          <w:sz w:val="24"/>
          <w:szCs w:val="24"/>
        </w:rPr>
        <w:t xml:space="preserve"> </w:t>
      </w:r>
      <w:r w:rsidRPr="00BD33CB">
        <w:rPr>
          <w:rFonts w:ascii="Calibri" w:hAnsi="Calibri" w:cs="Calibri"/>
          <w:sz w:val="24"/>
          <w:szCs w:val="24"/>
        </w:rPr>
        <w:t xml:space="preserve">students. </w:t>
      </w:r>
      <w:r w:rsidRPr="00A23061">
        <w:rPr>
          <w:rFonts w:ascii="Calibri" w:hAnsi="Calibri" w:cs="Calibri"/>
          <w:sz w:val="24"/>
          <w:szCs w:val="24"/>
        </w:rPr>
        <w:t>The resilience paradigm may well reinforce passivity in students (</w:t>
      </w:r>
      <w:r w:rsidR="00AB1ADC">
        <w:rPr>
          <w:rFonts w:ascii="Calibri" w:hAnsi="Calibri" w:cs="Calibri"/>
          <w:sz w:val="24"/>
          <w:szCs w:val="24"/>
        </w:rPr>
        <w:t>ibid.</w:t>
      </w:r>
      <w:r w:rsidRPr="00A23061">
        <w:rPr>
          <w:rFonts w:ascii="Calibri" w:hAnsi="Calibri" w:cs="Calibri"/>
          <w:sz w:val="24"/>
          <w:szCs w:val="24"/>
        </w:rPr>
        <w:t xml:space="preserve">) </w:t>
      </w:r>
      <w:r>
        <w:rPr>
          <w:rFonts w:ascii="Calibri" w:hAnsi="Calibri" w:cs="Calibri"/>
          <w:sz w:val="24"/>
          <w:szCs w:val="24"/>
        </w:rPr>
        <w:t>but the</w:t>
      </w:r>
      <w:r w:rsidRPr="00A23061">
        <w:rPr>
          <w:rFonts w:ascii="Calibri" w:hAnsi="Calibri" w:cs="Calibri"/>
          <w:sz w:val="24"/>
          <w:szCs w:val="24"/>
        </w:rPr>
        <w:t xml:space="preserve"> judgement that the scholar’s role is being tipped in favour of the pastoral (Ecclestone and Hayes, 2009) seems irrelevant, as pastoral and well-being skills </w:t>
      </w:r>
      <w:r>
        <w:rPr>
          <w:rFonts w:ascii="Calibri" w:hAnsi="Calibri" w:cs="Calibri"/>
          <w:sz w:val="24"/>
          <w:szCs w:val="24"/>
        </w:rPr>
        <w:t xml:space="preserve">and elements </w:t>
      </w:r>
      <w:r w:rsidRPr="00A23061">
        <w:rPr>
          <w:rFonts w:ascii="Calibri" w:hAnsi="Calibri" w:cs="Calibri"/>
          <w:sz w:val="24"/>
          <w:szCs w:val="24"/>
        </w:rPr>
        <w:t>feature highly</w:t>
      </w:r>
      <w:r>
        <w:rPr>
          <w:rFonts w:ascii="Calibri" w:hAnsi="Calibri" w:cs="Calibri"/>
          <w:sz w:val="24"/>
          <w:szCs w:val="24"/>
        </w:rPr>
        <w:t xml:space="preserve"> in the formation of resilience</w:t>
      </w:r>
      <w:r w:rsidRPr="00A23061">
        <w:rPr>
          <w:rFonts w:ascii="Calibri" w:hAnsi="Calibri" w:cs="Calibri"/>
          <w:sz w:val="24"/>
          <w:szCs w:val="24"/>
        </w:rPr>
        <w:t>.</w:t>
      </w:r>
      <w:r>
        <w:rPr>
          <w:rFonts w:ascii="Calibri" w:hAnsi="Calibri" w:cs="Calibri"/>
          <w:sz w:val="24"/>
          <w:szCs w:val="24"/>
        </w:rPr>
        <w:t xml:space="preserve"> </w:t>
      </w:r>
      <w:r w:rsidRPr="00BD33CB">
        <w:rPr>
          <w:rFonts w:ascii="Calibri" w:hAnsi="Calibri" w:cs="Calibri"/>
          <w:sz w:val="24"/>
          <w:szCs w:val="24"/>
        </w:rPr>
        <w:t xml:space="preserve">This </w:t>
      </w:r>
      <w:r>
        <w:rPr>
          <w:rFonts w:ascii="Calibri" w:hAnsi="Calibri" w:cs="Calibri"/>
          <w:sz w:val="24"/>
          <w:szCs w:val="24"/>
        </w:rPr>
        <w:t xml:space="preserve">resilience story </w:t>
      </w:r>
      <w:r w:rsidRPr="00BD33CB">
        <w:rPr>
          <w:rFonts w:ascii="Calibri" w:hAnsi="Calibri" w:cs="Calibri"/>
          <w:sz w:val="24"/>
          <w:szCs w:val="24"/>
        </w:rPr>
        <w:t xml:space="preserve">needs to be heeded: there </w:t>
      </w:r>
      <w:r w:rsidRPr="00BD33CB">
        <w:rPr>
          <w:rFonts w:ascii="Calibri" w:hAnsi="Calibri" w:cs="Calibri"/>
          <w:i/>
          <w:iCs/>
          <w:sz w:val="24"/>
          <w:szCs w:val="24"/>
        </w:rPr>
        <w:t>is</w:t>
      </w:r>
      <w:r w:rsidRPr="00BD33CB">
        <w:rPr>
          <w:rFonts w:ascii="Calibri" w:hAnsi="Calibri" w:cs="Calibri"/>
          <w:sz w:val="24"/>
          <w:szCs w:val="24"/>
        </w:rPr>
        <w:t xml:space="preserve"> a resilience deficit in students,</w:t>
      </w:r>
      <w:r>
        <w:rPr>
          <w:rFonts w:ascii="Calibri" w:hAnsi="Calibri" w:cs="Calibri"/>
          <w:sz w:val="24"/>
          <w:szCs w:val="24"/>
        </w:rPr>
        <w:t xml:space="preserve"> and it leaves a vapour trail for teachers</w:t>
      </w:r>
      <w:r w:rsidRPr="00BD33CB">
        <w:rPr>
          <w:rFonts w:ascii="Calibri" w:hAnsi="Calibri" w:cs="Calibri"/>
          <w:sz w:val="24"/>
          <w:szCs w:val="24"/>
        </w:rPr>
        <w:t>.</w:t>
      </w:r>
    </w:p>
    <w:p w14:paraId="5FBC2772" w14:textId="39498B7B" w:rsidR="00BF61A6" w:rsidRPr="0077217F" w:rsidRDefault="00BF61A6" w:rsidP="00B34100">
      <w:pPr>
        <w:spacing w:line="360" w:lineRule="auto"/>
        <w:rPr>
          <w:rFonts w:ascii="Calibri" w:hAnsi="Calibri" w:cs="Calibri"/>
          <w:sz w:val="24"/>
          <w:szCs w:val="24"/>
        </w:rPr>
      </w:pPr>
      <w:r>
        <w:rPr>
          <w:rFonts w:ascii="Calibri" w:hAnsi="Calibri" w:cs="Calibri"/>
          <w:sz w:val="24"/>
          <w:szCs w:val="24"/>
        </w:rPr>
        <w:t>C</w:t>
      </w:r>
      <w:r w:rsidRPr="00A86E43">
        <w:rPr>
          <w:rFonts w:ascii="Calibri" w:hAnsi="Calibri" w:cs="Calibri"/>
          <w:sz w:val="24"/>
          <w:szCs w:val="24"/>
        </w:rPr>
        <w:t xml:space="preserve">ultural shifts and their psychological consequences </w:t>
      </w:r>
      <w:r>
        <w:rPr>
          <w:rFonts w:ascii="Calibri" w:hAnsi="Calibri" w:cs="Calibri"/>
          <w:sz w:val="24"/>
          <w:szCs w:val="24"/>
        </w:rPr>
        <w:t xml:space="preserve">can </w:t>
      </w:r>
      <w:r w:rsidRPr="00A86E43">
        <w:rPr>
          <w:rFonts w:ascii="Calibri" w:hAnsi="Calibri" w:cs="Calibri"/>
          <w:sz w:val="24"/>
          <w:szCs w:val="24"/>
        </w:rPr>
        <w:t>impact educators directly, and in subtle</w:t>
      </w:r>
      <w:r>
        <w:rPr>
          <w:rFonts w:ascii="Calibri" w:hAnsi="Calibri" w:cs="Calibri"/>
          <w:sz w:val="24"/>
          <w:szCs w:val="24"/>
        </w:rPr>
        <w:t xml:space="preserve">, indirect </w:t>
      </w:r>
      <w:r w:rsidRPr="00A86E43">
        <w:rPr>
          <w:rFonts w:ascii="Calibri" w:hAnsi="Calibri" w:cs="Calibri"/>
          <w:sz w:val="24"/>
          <w:szCs w:val="24"/>
        </w:rPr>
        <w:t>ways (Abou Assali and Al Abdouli, 2024)</w:t>
      </w:r>
      <w:r>
        <w:rPr>
          <w:rFonts w:ascii="Calibri" w:hAnsi="Calibri" w:cs="Calibri"/>
          <w:sz w:val="24"/>
          <w:szCs w:val="24"/>
        </w:rPr>
        <w:t xml:space="preserve">. Rather than choosing support from </w:t>
      </w:r>
      <w:r w:rsidRPr="00632135">
        <w:rPr>
          <w:rFonts w:ascii="Calibri" w:hAnsi="Calibri" w:cs="Calibri"/>
          <w:sz w:val="24"/>
          <w:szCs w:val="24"/>
        </w:rPr>
        <w:t xml:space="preserve">well-being </w:t>
      </w:r>
      <w:r>
        <w:rPr>
          <w:rFonts w:ascii="Calibri" w:hAnsi="Calibri" w:cs="Calibri"/>
          <w:sz w:val="24"/>
          <w:szCs w:val="24"/>
        </w:rPr>
        <w:t>services</w:t>
      </w:r>
      <w:r w:rsidRPr="00632135">
        <w:rPr>
          <w:rFonts w:ascii="Calibri" w:hAnsi="Calibri" w:cs="Calibri"/>
          <w:sz w:val="24"/>
          <w:szCs w:val="24"/>
        </w:rPr>
        <w:t xml:space="preserve"> (Universities UK, 2017) </w:t>
      </w:r>
      <w:r>
        <w:rPr>
          <w:rFonts w:ascii="Calibri" w:hAnsi="Calibri" w:cs="Calibri"/>
          <w:sz w:val="24"/>
          <w:szCs w:val="24"/>
        </w:rPr>
        <w:t xml:space="preserve">when students experience duress, they are increasingly </w:t>
      </w:r>
      <w:r w:rsidRPr="00632135">
        <w:rPr>
          <w:rFonts w:ascii="Calibri" w:hAnsi="Calibri" w:cs="Calibri"/>
          <w:sz w:val="24"/>
          <w:szCs w:val="24"/>
        </w:rPr>
        <w:t>defer</w:t>
      </w:r>
      <w:r>
        <w:rPr>
          <w:rFonts w:ascii="Calibri" w:hAnsi="Calibri" w:cs="Calibri"/>
          <w:sz w:val="24"/>
          <w:szCs w:val="24"/>
        </w:rPr>
        <w:t>ring</w:t>
      </w:r>
      <w:r w:rsidRPr="00632135">
        <w:rPr>
          <w:rFonts w:ascii="Calibri" w:hAnsi="Calibri" w:cs="Calibri"/>
          <w:sz w:val="24"/>
          <w:szCs w:val="24"/>
        </w:rPr>
        <w:t xml:space="preserve"> to teaching staff (Payne, 2022</w:t>
      </w:r>
      <w:r>
        <w:rPr>
          <w:rFonts w:ascii="Calibri" w:hAnsi="Calibri" w:cs="Calibri"/>
          <w:sz w:val="24"/>
          <w:szCs w:val="24"/>
        </w:rPr>
        <w:t xml:space="preserve">; Spilt </w:t>
      </w:r>
      <w:r w:rsidR="00FB3A6E" w:rsidRPr="00FB3A6E">
        <w:rPr>
          <w:rFonts w:ascii="Calibri" w:hAnsi="Calibri" w:cs="Calibri"/>
          <w:i/>
          <w:sz w:val="24"/>
          <w:szCs w:val="24"/>
        </w:rPr>
        <w:t>et al.</w:t>
      </w:r>
      <w:r>
        <w:rPr>
          <w:rFonts w:ascii="Calibri" w:hAnsi="Calibri" w:cs="Calibri"/>
          <w:sz w:val="24"/>
          <w:szCs w:val="24"/>
        </w:rPr>
        <w:t>, 2011</w:t>
      </w:r>
      <w:r w:rsidRPr="00632135">
        <w:rPr>
          <w:rFonts w:ascii="Calibri" w:hAnsi="Calibri" w:cs="Calibri"/>
          <w:sz w:val="24"/>
          <w:szCs w:val="24"/>
        </w:rPr>
        <w:t>)</w:t>
      </w:r>
      <w:r>
        <w:rPr>
          <w:rFonts w:ascii="Calibri" w:hAnsi="Calibri" w:cs="Calibri"/>
          <w:sz w:val="24"/>
          <w:szCs w:val="24"/>
        </w:rPr>
        <w:t>, a factor affirmed by most of the participants</w:t>
      </w:r>
      <w:r w:rsidRPr="00632135">
        <w:rPr>
          <w:rFonts w:ascii="Calibri" w:hAnsi="Calibri" w:cs="Calibri"/>
          <w:sz w:val="24"/>
          <w:szCs w:val="24"/>
        </w:rPr>
        <w:t>.</w:t>
      </w:r>
      <w:r>
        <w:rPr>
          <w:rFonts w:ascii="Calibri" w:hAnsi="Calibri" w:cs="Calibri"/>
          <w:sz w:val="24"/>
          <w:szCs w:val="24"/>
        </w:rPr>
        <w:t xml:space="preserve"> S</w:t>
      </w:r>
      <w:r w:rsidRPr="003C20FE">
        <w:rPr>
          <w:rFonts w:ascii="Calibri" w:hAnsi="Calibri" w:cs="Calibri"/>
          <w:sz w:val="24"/>
          <w:szCs w:val="24"/>
        </w:rPr>
        <w:t>ome participants found</w:t>
      </w:r>
      <w:r w:rsidRPr="00A22FB3">
        <w:rPr>
          <w:rFonts w:ascii="Calibri" w:hAnsi="Calibri" w:cs="Calibri"/>
          <w:sz w:val="24"/>
          <w:szCs w:val="24"/>
        </w:rPr>
        <w:t xml:space="preserve"> mental health/pastoral awareness </w:t>
      </w:r>
      <w:r w:rsidRPr="003C20FE">
        <w:rPr>
          <w:rFonts w:ascii="Calibri" w:hAnsi="Calibri" w:cs="Calibri"/>
          <w:sz w:val="24"/>
          <w:szCs w:val="24"/>
        </w:rPr>
        <w:t xml:space="preserve">deficient in their teacher trainings. For example, Mo, Liz and Laura perceived a lack of attendance to the imparting of relevant tools to deal with the nuances of pastoral responsibilities affirming that teachers lack the necessary skills to support students with their emotional well-being (Hughes, </w:t>
      </w:r>
      <w:r w:rsidR="00FB3A6E" w:rsidRPr="00FB3A6E">
        <w:rPr>
          <w:rFonts w:ascii="Calibri" w:hAnsi="Calibri" w:cs="Calibri"/>
          <w:i/>
          <w:sz w:val="24"/>
          <w:szCs w:val="24"/>
        </w:rPr>
        <w:t>et al.</w:t>
      </w:r>
      <w:r w:rsidRPr="003C20FE">
        <w:rPr>
          <w:rFonts w:ascii="Calibri" w:hAnsi="Calibri" w:cs="Calibri"/>
          <w:sz w:val="24"/>
          <w:szCs w:val="24"/>
        </w:rPr>
        <w:t>, 2018</w:t>
      </w:r>
      <w:r>
        <w:rPr>
          <w:rFonts w:ascii="Calibri" w:hAnsi="Calibri" w:cs="Calibri"/>
          <w:sz w:val="24"/>
          <w:szCs w:val="24"/>
        </w:rPr>
        <w:t xml:space="preserve">; Payne, 2022; Whyte </w:t>
      </w:r>
      <w:r w:rsidR="00FB3A6E" w:rsidRPr="00FB3A6E">
        <w:rPr>
          <w:rFonts w:ascii="Calibri" w:hAnsi="Calibri" w:cs="Calibri"/>
          <w:i/>
          <w:sz w:val="24"/>
          <w:szCs w:val="24"/>
        </w:rPr>
        <w:t>et al.</w:t>
      </w:r>
      <w:r>
        <w:rPr>
          <w:rFonts w:ascii="Calibri" w:hAnsi="Calibri" w:cs="Calibri"/>
          <w:sz w:val="24"/>
          <w:szCs w:val="24"/>
        </w:rPr>
        <w:t>, 2024</w:t>
      </w:r>
      <w:r w:rsidRPr="003C20FE">
        <w:rPr>
          <w:rFonts w:ascii="Calibri" w:hAnsi="Calibri" w:cs="Calibri"/>
          <w:sz w:val="24"/>
          <w:szCs w:val="24"/>
        </w:rPr>
        <w:t xml:space="preserve">). Where </w:t>
      </w:r>
      <w:r w:rsidRPr="003C20FE">
        <w:rPr>
          <w:rFonts w:ascii="Calibri" w:eastAsia="Calibri" w:hAnsi="Calibri" w:cs="Times New Roman"/>
          <w:sz w:val="24"/>
          <w:szCs w:val="24"/>
        </w:rPr>
        <w:t xml:space="preserve">pastoral skills were lacking, participants in this study utilised research and training autonomously or drew upon their own skills born of arduous experiences, or their object constancy </w:t>
      </w:r>
      <w:r w:rsidRPr="0077217F">
        <w:rPr>
          <w:rFonts w:ascii="Calibri" w:eastAsia="Calibri" w:hAnsi="Calibri" w:cs="Times New Roman"/>
          <w:sz w:val="24"/>
          <w:szCs w:val="24"/>
        </w:rPr>
        <w:t xml:space="preserve">experiences of having been held. </w:t>
      </w:r>
    </w:p>
    <w:p w14:paraId="50422B90" w14:textId="50D7FC98" w:rsidR="00BF61A6" w:rsidRDefault="00BF61A6" w:rsidP="00B34100">
      <w:pPr>
        <w:spacing w:line="360" w:lineRule="auto"/>
        <w:rPr>
          <w:rFonts w:ascii="Calibri" w:hAnsi="Calibri" w:cs="Calibri"/>
          <w:sz w:val="24"/>
          <w:szCs w:val="24"/>
        </w:rPr>
      </w:pPr>
      <w:r w:rsidRPr="0077217F">
        <w:rPr>
          <w:rFonts w:ascii="Calibri" w:hAnsi="Calibri" w:cs="Calibri"/>
          <w:sz w:val="24"/>
          <w:szCs w:val="24"/>
        </w:rPr>
        <w:t>There is evidence from one participant (Sally</w:t>
      </w:r>
      <w:r>
        <w:rPr>
          <w:rFonts w:ascii="Calibri" w:hAnsi="Calibri" w:cs="Calibri"/>
          <w:sz w:val="24"/>
          <w:szCs w:val="24"/>
        </w:rPr>
        <w:t>, T1, p. 8</w:t>
      </w:r>
      <w:r w:rsidRPr="0077217F">
        <w:rPr>
          <w:rFonts w:ascii="Calibri" w:hAnsi="Calibri" w:cs="Calibri"/>
          <w:sz w:val="24"/>
          <w:szCs w:val="24"/>
        </w:rPr>
        <w:t>) that teaching staff must focus on providing emotional spaces for their students and it is the teacher</w:t>
      </w:r>
      <w:r w:rsidR="00D33235">
        <w:rPr>
          <w:rFonts w:ascii="Calibri" w:hAnsi="Calibri" w:cs="Calibri"/>
          <w:sz w:val="24"/>
          <w:szCs w:val="24"/>
        </w:rPr>
        <w:t>’</w:t>
      </w:r>
      <w:r w:rsidRPr="0077217F">
        <w:rPr>
          <w:rFonts w:ascii="Calibri" w:hAnsi="Calibri" w:cs="Calibri"/>
          <w:sz w:val="24"/>
          <w:szCs w:val="24"/>
        </w:rPr>
        <w:t xml:space="preserve">s role to field threats and obstacles and provide a pleasant teaching experience for them (Arum and Roska, 2011; Collini, 2016). </w:t>
      </w:r>
      <w:r w:rsidRPr="0077217F">
        <w:rPr>
          <w:rFonts w:ascii="Calibri" w:eastAsia="Calibri" w:hAnsi="Calibri" w:cs="Times New Roman"/>
          <w:sz w:val="24"/>
          <w:szCs w:val="24"/>
        </w:rPr>
        <w:t xml:space="preserve"> </w:t>
      </w:r>
      <w:r w:rsidRPr="0077217F">
        <w:rPr>
          <w:rFonts w:ascii="Calibri" w:hAnsi="Calibri" w:cs="Calibri"/>
          <w:sz w:val="24"/>
          <w:szCs w:val="24"/>
        </w:rPr>
        <w:t>Laura, however, refused to protect her students from</w:t>
      </w:r>
      <w:r>
        <w:rPr>
          <w:rFonts w:ascii="Calibri" w:hAnsi="Calibri" w:cs="Calibri"/>
          <w:sz w:val="24"/>
          <w:szCs w:val="24"/>
        </w:rPr>
        <w:t xml:space="preserve"> </w:t>
      </w:r>
      <w:r w:rsidRPr="0077217F">
        <w:rPr>
          <w:rFonts w:ascii="Calibri" w:hAnsi="Calibri" w:cs="Calibri"/>
          <w:sz w:val="24"/>
          <w:szCs w:val="24"/>
        </w:rPr>
        <w:t>academic demands (Campbell and Manning, 2018)</w:t>
      </w:r>
      <w:r w:rsidRPr="0077217F">
        <w:rPr>
          <w:rFonts w:ascii="Calibri" w:eastAsia="Calibri" w:hAnsi="Calibri" w:cs="Times New Roman"/>
          <w:sz w:val="24"/>
          <w:szCs w:val="24"/>
        </w:rPr>
        <w:t xml:space="preserve"> </w:t>
      </w:r>
      <w:r w:rsidR="003F4780" w:rsidRPr="0077217F">
        <w:rPr>
          <w:rFonts w:ascii="Calibri" w:hAnsi="Calibri" w:cs="Calibri"/>
          <w:sz w:val="24"/>
          <w:szCs w:val="24"/>
        </w:rPr>
        <w:t>i</w:t>
      </w:r>
      <w:r w:rsidR="003F4780">
        <w:rPr>
          <w:rFonts w:ascii="Calibri" w:hAnsi="Calibri" w:cs="Calibri"/>
          <w:sz w:val="24"/>
          <w:szCs w:val="24"/>
        </w:rPr>
        <w:t>mplying</w:t>
      </w:r>
      <w:r w:rsidRPr="0077217F">
        <w:rPr>
          <w:rFonts w:ascii="Calibri" w:hAnsi="Calibri" w:cs="Calibri"/>
          <w:sz w:val="24"/>
          <w:szCs w:val="24"/>
        </w:rPr>
        <w:t xml:space="preserve"> she was being protective of her students by preparing them for their futures (Bakshi </w:t>
      </w:r>
      <w:r w:rsidR="00FB3A6E" w:rsidRPr="00FB3A6E">
        <w:rPr>
          <w:rFonts w:ascii="Calibri" w:hAnsi="Calibri" w:cs="Calibri"/>
          <w:i/>
          <w:sz w:val="24"/>
          <w:szCs w:val="24"/>
        </w:rPr>
        <w:t>et al.</w:t>
      </w:r>
      <w:r w:rsidRPr="0077217F">
        <w:rPr>
          <w:rFonts w:ascii="Calibri" w:hAnsi="Calibri" w:cs="Calibri"/>
          <w:sz w:val="24"/>
          <w:szCs w:val="24"/>
        </w:rPr>
        <w:t>, 2017; WEF, 2019). Mo recognises the importance of preparing students for their future lives and has noticed a distinct lack of relational skills in modern day students</w:t>
      </w:r>
      <w:r w:rsidR="005E10A8">
        <w:rPr>
          <w:rFonts w:ascii="Calibri" w:hAnsi="Calibri" w:cs="Calibri"/>
          <w:sz w:val="24"/>
          <w:szCs w:val="24"/>
        </w:rPr>
        <w:t xml:space="preserve"> which she finds herself having to plug.</w:t>
      </w:r>
      <w:r w:rsidRPr="0077217F">
        <w:rPr>
          <w:rFonts w:ascii="Calibri" w:hAnsi="Calibri" w:cs="Calibri"/>
          <w:sz w:val="24"/>
          <w:szCs w:val="24"/>
        </w:rPr>
        <w:t xml:space="preserve"> </w:t>
      </w:r>
    </w:p>
    <w:p w14:paraId="158E036A" w14:textId="310816ED" w:rsidR="00BF61A6" w:rsidRPr="006C1CAD" w:rsidRDefault="00BF61A6" w:rsidP="00B34100">
      <w:pPr>
        <w:spacing w:line="360" w:lineRule="auto"/>
        <w:rPr>
          <w:rFonts w:ascii="Calibri" w:hAnsi="Calibri" w:cs="Calibri"/>
          <w:sz w:val="24"/>
          <w:szCs w:val="24"/>
        </w:rPr>
      </w:pPr>
      <w:r w:rsidRPr="0077217F">
        <w:rPr>
          <w:rFonts w:ascii="Calibri" w:hAnsi="Calibri" w:cs="Calibri"/>
          <w:sz w:val="24"/>
          <w:szCs w:val="24"/>
        </w:rPr>
        <w:t xml:space="preserve">There is a recognition by both Sally and Laura that the tasks of creating a student identity (Campbell-Clark, 2000) are made much harder if the student arrives at university with a deficit in their functioning self. Fred has noted a trend of student passivity, a lack of self-agency and regulation, and a lack in general resilience which is echoed by Percy (in Pointon, </w:t>
      </w:r>
      <w:r w:rsidRPr="0077217F">
        <w:rPr>
          <w:rFonts w:ascii="Calibri" w:hAnsi="Calibri" w:cs="Calibri"/>
          <w:sz w:val="24"/>
          <w:szCs w:val="24"/>
        </w:rPr>
        <w:lastRenderedPageBreak/>
        <w:t>2014). This affirms the notion that students</w:t>
      </w:r>
      <w:r w:rsidR="00062F8E">
        <w:rPr>
          <w:rFonts w:ascii="Calibri" w:hAnsi="Calibri" w:cs="Calibri"/>
          <w:sz w:val="24"/>
          <w:szCs w:val="24"/>
        </w:rPr>
        <w:t xml:space="preserve"> </w:t>
      </w:r>
      <w:r w:rsidR="0033747C">
        <w:rPr>
          <w:rFonts w:ascii="Calibri" w:hAnsi="Calibri" w:cs="Calibri"/>
          <w:sz w:val="24"/>
          <w:szCs w:val="24"/>
        </w:rPr>
        <w:t>generically</w:t>
      </w:r>
      <w:r w:rsidRPr="0077217F">
        <w:rPr>
          <w:rFonts w:ascii="Calibri" w:hAnsi="Calibri" w:cs="Calibri"/>
          <w:sz w:val="24"/>
          <w:szCs w:val="24"/>
        </w:rPr>
        <w:t xml:space="preserve"> </w:t>
      </w:r>
      <w:r w:rsidR="0033747C">
        <w:rPr>
          <w:rFonts w:ascii="Calibri" w:hAnsi="Calibri" w:cs="Calibri"/>
          <w:i/>
          <w:iCs/>
          <w:sz w:val="24"/>
          <w:szCs w:val="24"/>
        </w:rPr>
        <w:t xml:space="preserve">seem </w:t>
      </w:r>
      <w:r w:rsidRPr="0077217F">
        <w:rPr>
          <w:rFonts w:ascii="Calibri" w:hAnsi="Calibri" w:cs="Calibri"/>
          <w:sz w:val="24"/>
          <w:szCs w:val="24"/>
        </w:rPr>
        <w:t xml:space="preserve">unable to learn without extensive emotional support and a there </w:t>
      </w:r>
      <w:r w:rsidRPr="0077217F">
        <w:rPr>
          <w:rFonts w:ascii="Calibri" w:hAnsi="Calibri" w:cs="Calibri"/>
          <w:i/>
          <w:iCs/>
          <w:sz w:val="24"/>
          <w:szCs w:val="24"/>
        </w:rPr>
        <w:t>is</w:t>
      </w:r>
      <w:r w:rsidRPr="0077217F">
        <w:rPr>
          <w:rFonts w:ascii="Calibri" w:hAnsi="Calibri" w:cs="Calibri"/>
          <w:sz w:val="24"/>
          <w:szCs w:val="24"/>
        </w:rPr>
        <w:t xml:space="preserve"> a lack of resilience in the present student population. As affirmed by the Royal College of Psychiatrists report (RCPsych, 2011), HE students were found to be more vulnerable at the point of transitioning from a school environ to university. The observations of Sally, Laura, Fred and Mo support the notion that students entering university lack cognitive and emotional skills (Ippolito and Kingsbury, 2024; RCPsych, 2011). Furthermore, comments from five of the nine participants suggest a need to address these support lacks which at the very least could be </w:t>
      </w:r>
      <w:r w:rsidR="00AB0AC1">
        <w:rPr>
          <w:rFonts w:ascii="Calibri" w:hAnsi="Calibri" w:cs="Calibri"/>
          <w:sz w:val="24"/>
          <w:szCs w:val="24"/>
        </w:rPr>
        <w:t xml:space="preserve">served </w:t>
      </w:r>
      <w:r w:rsidRPr="0077217F">
        <w:rPr>
          <w:rFonts w:ascii="Calibri" w:hAnsi="Calibri" w:cs="Calibri"/>
          <w:sz w:val="24"/>
          <w:szCs w:val="24"/>
        </w:rPr>
        <w:t xml:space="preserve">by more awareness and training (Hughes and Spanner, 2019). If we relate that support need back to the Winnicottian model (Appendix </w:t>
      </w:r>
      <w:r w:rsidR="002D069E">
        <w:rPr>
          <w:rFonts w:ascii="Calibri" w:hAnsi="Calibri" w:cs="Calibri"/>
          <w:sz w:val="24"/>
          <w:szCs w:val="24"/>
        </w:rPr>
        <w:t>H</w:t>
      </w:r>
      <w:r w:rsidRPr="0077217F">
        <w:rPr>
          <w:rFonts w:ascii="Calibri" w:hAnsi="Calibri" w:cs="Calibri"/>
          <w:sz w:val="24"/>
          <w:szCs w:val="24"/>
        </w:rPr>
        <w:t>), as Sophie attests</w:t>
      </w:r>
      <w:r>
        <w:rPr>
          <w:rFonts w:ascii="Calibri" w:hAnsi="Calibri" w:cs="Calibri"/>
          <w:sz w:val="24"/>
          <w:szCs w:val="24"/>
        </w:rPr>
        <w:t xml:space="preserve"> (T1)</w:t>
      </w:r>
      <w:r w:rsidRPr="0077217F">
        <w:rPr>
          <w:rFonts w:ascii="Calibri" w:hAnsi="Calibri" w:cs="Calibri"/>
          <w:sz w:val="24"/>
          <w:szCs w:val="24"/>
        </w:rPr>
        <w:t xml:space="preserve">, students need individual, pastoral care, encouragement and academic support which she also needs personally </w:t>
      </w:r>
      <w:r w:rsidRPr="006C1CAD">
        <w:rPr>
          <w:rFonts w:ascii="Calibri" w:hAnsi="Calibri" w:cs="Calibri"/>
          <w:sz w:val="24"/>
          <w:szCs w:val="24"/>
        </w:rPr>
        <w:t xml:space="preserve">in order to be able to offer that support to the student. </w:t>
      </w:r>
    </w:p>
    <w:p w14:paraId="0425B3A8" w14:textId="12149556" w:rsidR="00BF61A6" w:rsidRDefault="00BF61A6" w:rsidP="00B34100">
      <w:pPr>
        <w:spacing w:line="360" w:lineRule="auto"/>
        <w:rPr>
          <w:rFonts w:ascii="Calibri" w:hAnsi="Calibri" w:cs="Calibri"/>
          <w:sz w:val="24"/>
          <w:szCs w:val="24"/>
        </w:rPr>
      </w:pPr>
      <w:r>
        <w:rPr>
          <w:rFonts w:ascii="Calibri" w:hAnsi="Calibri" w:cs="Calibri"/>
          <w:sz w:val="24"/>
          <w:szCs w:val="24"/>
        </w:rPr>
        <w:t>I</w:t>
      </w:r>
      <w:r w:rsidRPr="00096897">
        <w:rPr>
          <w:rFonts w:ascii="Calibri" w:hAnsi="Calibri" w:cs="Calibri"/>
          <w:sz w:val="24"/>
          <w:szCs w:val="24"/>
        </w:rPr>
        <w:t xml:space="preserve">t is interesting to note that some participants </w:t>
      </w:r>
      <w:r>
        <w:rPr>
          <w:rFonts w:ascii="Calibri" w:hAnsi="Calibri" w:cs="Calibri"/>
          <w:sz w:val="24"/>
          <w:szCs w:val="24"/>
        </w:rPr>
        <w:t xml:space="preserve">personally </w:t>
      </w:r>
      <w:r w:rsidRPr="00096897">
        <w:rPr>
          <w:rFonts w:ascii="Calibri" w:hAnsi="Calibri" w:cs="Calibri"/>
          <w:sz w:val="24"/>
          <w:szCs w:val="24"/>
        </w:rPr>
        <w:t xml:space="preserve">had experienced vulnerability </w:t>
      </w:r>
      <w:r>
        <w:rPr>
          <w:rFonts w:ascii="Calibri" w:hAnsi="Calibri" w:cs="Calibri"/>
          <w:sz w:val="24"/>
          <w:szCs w:val="24"/>
        </w:rPr>
        <w:t>when they were</w:t>
      </w:r>
      <w:r w:rsidRPr="00096897">
        <w:rPr>
          <w:rFonts w:ascii="Calibri" w:hAnsi="Calibri" w:cs="Calibri"/>
          <w:sz w:val="24"/>
          <w:szCs w:val="24"/>
        </w:rPr>
        <w:t xml:space="preserve"> students. Returning to </w:t>
      </w:r>
      <w:r w:rsidR="002E201D">
        <w:rPr>
          <w:rFonts w:ascii="Calibri" w:hAnsi="Calibri" w:cs="Calibri"/>
          <w:sz w:val="24"/>
          <w:szCs w:val="24"/>
        </w:rPr>
        <w:t xml:space="preserve">Table 8 </w:t>
      </w:r>
      <w:r>
        <w:rPr>
          <w:rFonts w:ascii="Calibri" w:hAnsi="Calibri" w:cs="Calibri"/>
          <w:sz w:val="24"/>
          <w:szCs w:val="24"/>
        </w:rPr>
        <w:t xml:space="preserve">(Chapter </w:t>
      </w:r>
      <w:r w:rsidR="006A186B">
        <w:rPr>
          <w:rFonts w:ascii="Calibri" w:hAnsi="Calibri" w:cs="Calibri"/>
          <w:sz w:val="24"/>
          <w:szCs w:val="24"/>
        </w:rPr>
        <w:t>Four</w:t>
      </w:r>
      <w:r>
        <w:rPr>
          <w:rFonts w:ascii="Calibri" w:hAnsi="Calibri" w:cs="Calibri"/>
          <w:sz w:val="24"/>
          <w:szCs w:val="24"/>
        </w:rPr>
        <w:t xml:space="preserve">, </w:t>
      </w:r>
      <w:r w:rsidR="008A07D2">
        <w:rPr>
          <w:rFonts w:ascii="Calibri" w:hAnsi="Calibri" w:cs="Calibri"/>
          <w:sz w:val="24"/>
          <w:szCs w:val="24"/>
        </w:rPr>
        <w:t>p</w:t>
      </w:r>
      <w:r w:rsidR="00DD394B">
        <w:rPr>
          <w:rFonts w:ascii="Calibri" w:hAnsi="Calibri" w:cs="Calibri"/>
          <w:sz w:val="24"/>
          <w:szCs w:val="24"/>
        </w:rPr>
        <w:t>p</w:t>
      </w:r>
      <w:r w:rsidR="008A07D2">
        <w:rPr>
          <w:rFonts w:ascii="Calibri" w:hAnsi="Calibri" w:cs="Calibri"/>
          <w:sz w:val="24"/>
          <w:szCs w:val="24"/>
        </w:rPr>
        <w:t xml:space="preserve">. </w:t>
      </w:r>
      <w:r w:rsidR="008F061D">
        <w:rPr>
          <w:rFonts w:ascii="Calibri" w:hAnsi="Calibri" w:cs="Calibri"/>
          <w:sz w:val="24"/>
          <w:szCs w:val="24"/>
        </w:rPr>
        <w:t>12</w:t>
      </w:r>
      <w:r w:rsidR="00DD394B">
        <w:rPr>
          <w:rFonts w:ascii="Calibri" w:hAnsi="Calibri" w:cs="Calibri"/>
          <w:sz w:val="24"/>
          <w:szCs w:val="24"/>
        </w:rPr>
        <w:t>4 - 5</w:t>
      </w:r>
      <w:r w:rsidRPr="00096897">
        <w:rPr>
          <w:rFonts w:ascii="Calibri" w:hAnsi="Calibri" w:cs="Calibri"/>
          <w:sz w:val="24"/>
          <w:szCs w:val="24"/>
        </w:rPr>
        <w:t xml:space="preserve">) the range of academic ages </w:t>
      </w:r>
      <w:r>
        <w:rPr>
          <w:rFonts w:ascii="Calibri" w:hAnsi="Calibri" w:cs="Calibri"/>
          <w:sz w:val="24"/>
          <w:szCs w:val="24"/>
        </w:rPr>
        <w:t xml:space="preserve">of participants was </w:t>
      </w:r>
      <w:r w:rsidRPr="00096897">
        <w:rPr>
          <w:rFonts w:ascii="Calibri" w:hAnsi="Calibri" w:cs="Calibri"/>
          <w:sz w:val="24"/>
          <w:szCs w:val="24"/>
        </w:rPr>
        <w:t>between 4 and 19 years</w:t>
      </w:r>
      <w:r>
        <w:rPr>
          <w:rFonts w:ascii="Calibri" w:hAnsi="Calibri" w:cs="Calibri"/>
          <w:sz w:val="24"/>
          <w:szCs w:val="24"/>
        </w:rPr>
        <w:t xml:space="preserve">. </w:t>
      </w:r>
      <w:r w:rsidRPr="00096897">
        <w:rPr>
          <w:rFonts w:ascii="Calibri" w:hAnsi="Calibri" w:cs="Calibri"/>
          <w:sz w:val="24"/>
          <w:szCs w:val="24"/>
        </w:rPr>
        <w:t>T</w:t>
      </w:r>
      <w:r>
        <w:rPr>
          <w:rFonts w:ascii="Calibri" w:hAnsi="Calibri" w:cs="Calibri"/>
          <w:sz w:val="24"/>
          <w:szCs w:val="24"/>
        </w:rPr>
        <w:t>he participants were awarded</w:t>
      </w:r>
      <w:r w:rsidRPr="00096897">
        <w:rPr>
          <w:rFonts w:ascii="Calibri" w:hAnsi="Calibri" w:cs="Calibri"/>
          <w:sz w:val="24"/>
          <w:szCs w:val="24"/>
        </w:rPr>
        <w:t xml:space="preserve"> their degrees many years before entering teacher training </w:t>
      </w:r>
      <w:r>
        <w:rPr>
          <w:rFonts w:ascii="Calibri" w:hAnsi="Calibri" w:cs="Calibri"/>
          <w:sz w:val="24"/>
          <w:szCs w:val="24"/>
        </w:rPr>
        <w:t xml:space="preserve">and </w:t>
      </w:r>
      <w:r w:rsidR="008F061D">
        <w:rPr>
          <w:rFonts w:ascii="Calibri" w:hAnsi="Calibri" w:cs="Calibri"/>
          <w:sz w:val="24"/>
          <w:szCs w:val="24"/>
        </w:rPr>
        <w:t>some</w:t>
      </w:r>
      <w:r>
        <w:rPr>
          <w:rFonts w:ascii="Calibri" w:hAnsi="Calibri" w:cs="Calibri"/>
          <w:sz w:val="24"/>
          <w:szCs w:val="24"/>
        </w:rPr>
        <w:t xml:space="preserve"> had enjoyed a career in the interim. I</w:t>
      </w:r>
      <w:r w:rsidRPr="00096897">
        <w:rPr>
          <w:rFonts w:ascii="Calibri" w:hAnsi="Calibri" w:cs="Calibri"/>
          <w:sz w:val="24"/>
          <w:szCs w:val="24"/>
        </w:rPr>
        <w:t xml:space="preserve">t could be concluded that they do not sit within the current population of students whose </w:t>
      </w:r>
      <w:r>
        <w:rPr>
          <w:rFonts w:ascii="Calibri" w:hAnsi="Calibri" w:cs="Calibri"/>
          <w:sz w:val="24"/>
          <w:szCs w:val="24"/>
        </w:rPr>
        <w:t xml:space="preserve">lack of </w:t>
      </w:r>
      <w:r w:rsidRPr="00096897">
        <w:rPr>
          <w:rFonts w:ascii="Calibri" w:hAnsi="Calibri" w:cs="Calibri"/>
          <w:sz w:val="24"/>
          <w:szCs w:val="24"/>
        </w:rPr>
        <w:t xml:space="preserve">resilience is more </w:t>
      </w:r>
      <w:r w:rsidR="008F061D">
        <w:rPr>
          <w:rFonts w:ascii="Calibri" w:hAnsi="Calibri" w:cs="Calibri"/>
          <w:sz w:val="24"/>
          <w:szCs w:val="24"/>
        </w:rPr>
        <w:t>prevalent</w:t>
      </w:r>
      <w:r w:rsidRPr="00096897">
        <w:rPr>
          <w:rFonts w:ascii="Calibri" w:hAnsi="Calibri" w:cs="Calibri"/>
          <w:sz w:val="24"/>
          <w:szCs w:val="24"/>
        </w:rPr>
        <w:t xml:space="preserve">. For those participants who experienced difficulties in their teacher trainings, it </w:t>
      </w:r>
      <w:r>
        <w:rPr>
          <w:rFonts w:ascii="Calibri" w:hAnsi="Calibri" w:cs="Calibri"/>
          <w:sz w:val="24"/>
          <w:szCs w:val="24"/>
        </w:rPr>
        <w:t xml:space="preserve">is reasonable to speculate </w:t>
      </w:r>
      <w:r w:rsidRPr="00096897">
        <w:rPr>
          <w:rFonts w:ascii="Calibri" w:hAnsi="Calibri" w:cs="Calibri"/>
          <w:sz w:val="24"/>
          <w:szCs w:val="24"/>
        </w:rPr>
        <w:t>that their vulnerability arose from deficits in academic</w:t>
      </w:r>
      <w:r w:rsidR="0013628A">
        <w:rPr>
          <w:rFonts w:ascii="Calibri" w:hAnsi="Calibri" w:cs="Calibri"/>
          <w:sz w:val="24"/>
          <w:szCs w:val="24"/>
        </w:rPr>
        <w:t xml:space="preserve"> and</w:t>
      </w:r>
      <w:r w:rsidRPr="00096897">
        <w:rPr>
          <w:rFonts w:ascii="Calibri" w:hAnsi="Calibri" w:cs="Calibri"/>
          <w:sz w:val="24"/>
          <w:szCs w:val="24"/>
        </w:rPr>
        <w:t xml:space="preserve"> pastoral provision </w:t>
      </w:r>
      <w:r w:rsidRPr="005137DD">
        <w:rPr>
          <w:rFonts w:ascii="Calibri" w:hAnsi="Calibri" w:cs="Calibri"/>
          <w:i/>
          <w:iCs/>
          <w:sz w:val="24"/>
          <w:szCs w:val="24"/>
        </w:rPr>
        <w:t>during</w:t>
      </w:r>
      <w:r w:rsidRPr="00096897">
        <w:rPr>
          <w:rFonts w:ascii="Calibri" w:hAnsi="Calibri" w:cs="Calibri"/>
          <w:sz w:val="24"/>
          <w:szCs w:val="24"/>
        </w:rPr>
        <w:t xml:space="preserve"> their trainings rather than deficits in their personal and functional skills.</w:t>
      </w:r>
    </w:p>
    <w:p w14:paraId="3569E5B6" w14:textId="7C8651BC" w:rsidR="00BF61A6" w:rsidRPr="00740444" w:rsidRDefault="00BF61A6" w:rsidP="00B34100">
      <w:pPr>
        <w:spacing w:line="360" w:lineRule="auto"/>
        <w:rPr>
          <w:rFonts w:ascii="Calibri" w:hAnsi="Calibri" w:cs="Calibri"/>
          <w:color w:val="EE0000"/>
          <w:sz w:val="24"/>
          <w:szCs w:val="24"/>
        </w:rPr>
      </w:pPr>
      <w:r>
        <w:rPr>
          <w:rFonts w:ascii="Calibri" w:hAnsi="Calibri" w:cs="Calibri"/>
          <w:sz w:val="24"/>
          <w:szCs w:val="24"/>
        </w:rPr>
        <w:t xml:space="preserve">It was thought that a lack of role clarification and training for staff carrying out pastoral duties has a negative impact on staff well-being </w:t>
      </w:r>
      <w:r w:rsidRPr="00582263">
        <w:rPr>
          <w:rFonts w:ascii="Calibri" w:hAnsi="Calibri" w:cs="Calibri"/>
          <w:sz w:val="24"/>
          <w:szCs w:val="24"/>
        </w:rPr>
        <w:t xml:space="preserve">(Hughes </w:t>
      </w:r>
      <w:r w:rsidR="00FB3A6E" w:rsidRPr="00FB3A6E">
        <w:rPr>
          <w:rFonts w:ascii="Calibri" w:hAnsi="Calibri" w:cs="Calibri"/>
          <w:i/>
          <w:sz w:val="24"/>
          <w:szCs w:val="24"/>
        </w:rPr>
        <w:t>et al.</w:t>
      </w:r>
      <w:r w:rsidRPr="00582263">
        <w:rPr>
          <w:rFonts w:ascii="Calibri" w:hAnsi="Calibri" w:cs="Calibri"/>
          <w:sz w:val="24"/>
          <w:szCs w:val="24"/>
        </w:rPr>
        <w:t xml:space="preserve">, 2018; Jayman and Lyneham, 2020; </w:t>
      </w:r>
      <w:r w:rsidR="009A6D47" w:rsidRPr="009A6D47">
        <w:rPr>
          <w:rFonts w:ascii="Calibri" w:hAnsi="Calibri" w:cs="Calibri"/>
          <w:sz w:val="24"/>
          <w:szCs w:val="24"/>
        </w:rPr>
        <w:t xml:space="preserve">Margrove, </w:t>
      </w:r>
      <w:r w:rsidR="009A6D47" w:rsidRPr="009A6D47">
        <w:rPr>
          <w:rFonts w:ascii="Calibri" w:hAnsi="Calibri" w:cs="Calibri"/>
          <w:i/>
          <w:sz w:val="24"/>
          <w:szCs w:val="24"/>
        </w:rPr>
        <w:t>et al.</w:t>
      </w:r>
      <w:r w:rsidR="009A6D47" w:rsidRPr="009A6D47">
        <w:rPr>
          <w:rFonts w:ascii="Calibri" w:hAnsi="Calibri" w:cs="Calibri"/>
          <w:sz w:val="24"/>
          <w:szCs w:val="24"/>
        </w:rPr>
        <w:t xml:space="preserve">, 2014; </w:t>
      </w:r>
      <w:r w:rsidRPr="00582263">
        <w:rPr>
          <w:rFonts w:ascii="Calibri" w:hAnsi="Calibri" w:cs="Calibri"/>
          <w:sz w:val="24"/>
          <w:szCs w:val="24"/>
        </w:rPr>
        <w:t>Payne, 2022; Whyte, 2024)</w:t>
      </w:r>
      <w:r>
        <w:rPr>
          <w:rFonts w:ascii="Calibri" w:hAnsi="Calibri" w:cs="Calibri"/>
          <w:sz w:val="24"/>
          <w:szCs w:val="24"/>
        </w:rPr>
        <w:t xml:space="preserve">, yet participants did not definitively report these lacks as </w:t>
      </w:r>
      <w:r w:rsidRPr="00483813">
        <w:rPr>
          <w:rFonts w:ascii="Calibri" w:hAnsi="Calibri" w:cs="Calibri"/>
          <w:sz w:val="24"/>
          <w:szCs w:val="24"/>
        </w:rPr>
        <w:t>having a detrimental effect on their own well-being</w:t>
      </w:r>
      <w:r>
        <w:rPr>
          <w:rFonts w:ascii="Calibri" w:hAnsi="Calibri" w:cs="Calibri"/>
          <w:sz w:val="24"/>
          <w:szCs w:val="24"/>
        </w:rPr>
        <w:t xml:space="preserve">. </w:t>
      </w:r>
      <w:r w:rsidRPr="00372EFA">
        <w:rPr>
          <w:rFonts w:ascii="Calibri" w:hAnsi="Calibri" w:cs="Calibri"/>
          <w:sz w:val="24"/>
          <w:szCs w:val="24"/>
        </w:rPr>
        <w:t xml:space="preserve">All participants understood the pastoral nature of their role as teachers, the </w:t>
      </w:r>
      <w:r w:rsidRPr="00372EFA">
        <w:rPr>
          <w:rFonts w:ascii="Calibri" w:hAnsi="Calibri" w:cs="Calibri"/>
          <w:i/>
          <w:iCs/>
          <w:sz w:val="24"/>
          <w:szCs w:val="24"/>
        </w:rPr>
        <w:t>anima</w:t>
      </w:r>
      <w:r w:rsidRPr="00372EFA">
        <w:rPr>
          <w:rFonts w:ascii="Calibri" w:hAnsi="Calibri" w:cs="Calibri"/>
          <w:sz w:val="24"/>
          <w:szCs w:val="24"/>
        </w:rPr>
        <w:t xml:space="preserve"> principle (Jung, 1959) and </w:t>
      </w:r>
      <w:r>
        <w:rPr>
          <w:rFonts w:ascii="Calibri" w:hAnsi="Calibri" w:cs="Calibri"/>
          <w:sz w:val="24"/>
          <w:szCs w:val="24"/>
        </w:rPr>
        <w:t xml:space="preserve">sought to create </w:t>
      </w:r>
      <w:r w:rsidRPr="00372EFA">
        <w:rPr>
          <w:rFonts w:ascii="Calibri" w:hAnsi="Calibri" w:cs="Calibri"/>
          <w:sz w:val="24"/>
          <w:szCs w:val="24"/>
        </w:rPr>
        <w:t xml:space="preserve">the optimum conditions for their students to develop, grow </w:t>
      </w:r>
      <w:r w:rsidR="005137DD">
        <w:rPr>
          <w:rFonts w:ascii="Calibri" w:hAnsi="Calibri" w:cs="Calibri"/>
          <w:sz w:val="24"/>
          <w:szCs w:val="24"/>
        </w:rPr>
        <w:t xml:space="preserve">and </w:t>
      </w:r>
      <w:r w:rsidRPr="00372EFA">
        <w:rPr>
          <w:rFonts w:ascii="Calibri" w:hAnsi="Calibri" w:cs="Calibri"/>
          <w:sz w:val="24"/>
          <w:szCs w:val="24"/>
        </w:rPr>
        <w:t>learn. It was clear</w:t>
      </w:r>
      <w:r>
        <w:rPr>
          <w:rFonts w:ascii="Calibri" w:hAnsi="Calibri" w:cs="Calibri"/>
          <w:sz w:val="24"/>
          <w:szCs w:val="24"/>
        </w:rPr>
        <w:t xml:space="preserve"> they </w:t>
      </w:r>
      <w:r w:rsidRPr="00372EFA">
        <w:rPr>
          <w:rFonts w:ascii="Calibri" w:hAnsi="Calibri" w:cs="Calibri"/>
          <w:sz w:val="24"/>
          <w:szCs w:val="24"/>
        </w:rPr>
        <w:t>were committed to their students’ “flourishing” (Kraut, in Hughes and Spanner, 2019, p.</w:t>
      </w:r>
      <w:r w:rsidR="009B2088">
        <w:rPr>
          <w:rFonts w:ascii="Calibri" w:hAnsi="Calibri" w:cs="Calibri"/>
          <w:sz w:val="24"/>
          <w:szCs w:val="24"/>
        </w:rPr>
        <w:t xml:space="preserve"> </w:t>
      </w:r>
      <w:r w:rsidRPr="00372EFA">
        <w:rPr>
          <w:rFonts w:ascii="Calibri" w:hAnsi="Calibri" w:cs="Calibri"/>
          <w:sz w:val="24"/>
          <w:szCs w:val="24"/>
        </w:rPr>
        <w:t xml:space="preserve">9) and to the provision of an environment that facilitated this. </w:t>
      </w:r>
      <w:r w:rsidRPr="00A46D91">
        <w:rPr>
          <w:rFonts w:ascii="Calibri" w:hAnsi="Calibri" w:cs="Calibri"/>
          <w:sz w:val="24"/>
          <w:szCs w:val="24"/>
        </w:rPr>
        <w:t xml:space="preserve">None of the participants reported lacking confidence in dealing with their students’ mental </w:t>
      </w:r>
      <w:r w:rsidRPr="00A46D91">
        <w:rPr>
          <w:rFonts w:ascii="Calibri" w:hAnsi="Calibri" w:cs="Calibri"/>
          <w:sz w:val="24"/>
          <w:szCs w:val="24"/>
        </w:rPr>
        <w:lastRenderedPageBreak/>
        <w:t>health, however they identified they required more support</w:t>
      </w:r>
      <w:r w:rsidR="00B368E2">
        <w:rPr>
          <w:rFonts w:ascii="Calibri" w:hAnsi="Calibri" w:cs="Calibri"/>
          <w:sz w:val="24"/>
          <w:szCs w:val="24"/>
        </w:rPr>
        <w:t>, training and guidance</w:t>
      </w:r>
      <w:r w:rsidRPr="00A46D91">
        <w:rPr>
          <w:rFonts w:ascii="Calibri" w:hAnsi="Calibri" w:cs="Calibri"/>
          <w:sz w:val="24"/>
          <w:szCs w:val="24"/>
        </w:rPr>
        <w:t xml:space="preserve"> for the role of pastoral carer.</w:t>
      </w:r>
    </w:p>
    <w:p w14:paraId="3A9E3B01" w14:textId="5C7DB0B3" w:rsidR="00BF61A6" w:rsidRDefault="00BF61A6" w:rsidP="00B34100">
      <w:pPr>
        <w:spacing w:line="360" w:lineRule="auto"/>
        <w:rPr>
          <w:rFonts w:ascii="Calibri" w:eastAsia="Calibri" w:hAnsi="Calibri" w:cs="Times New Roman"/>
          <w:sz w:val="24"/>
          <w:szCs w:val="24"/>
        </w:rPr>
      </w:pPr>
      <w:r w:rsidRPr="00372EFA">
        <w:rPr>
          <w:rFonts w:ascii="Calibri" w:eastAsia="Calibri" w:hAnsi="Calibri" w:cs="Times New Roman"/>
          <w:sz w:val="24"/>
          <w:szCs w:val="24"/>
        </w:rPr>
        <w:t xml:space="preserve">The same commitment to </w:t>
      </w:r>
      <w:r>
        <w:rPr>
          <w:rFonts w:ascii="Calibri" w:eastAsia="Calibri" w:hAnsi="Calibri" w:cs="Times New Roman"/>
          <w:sz w:val="24"/>
          <w:szCs w:val="24"/>
        </w:rPr>
        <w:t xml:space="preserve">participants’ </w:t>
      </w:r>
      <w:r w:rsidRPr="00372EFA">
        <w:rPr>
          <w:rFonts w:ascii="Calibri" w:eastAsia="Calibri" w:hAnsi="Calibri" w:cs="Times New Roman"/>
          <w:sz w:val="24"/>
          <w:szCs w:val="24"/>
        </w:rPr>
        <w:t xml:space="preserve">well-being was seemingly not being taken seriously by their employer. When retrospectively reminiscing during the second interview, participants affirmed that </w:t>
      </w:r>
      <w:r>
        <w:rPr>
          <w:rFonts w:ascii="Calibri" w:eastAsia="Calibri" w:hAnsi="Calibri" w:cs="Times New Roman"/>
          <w:sz w:val="24"/>
          <w:szCs w:val="24"/>
        </w:rPr>
        <w:t xml:space="preserve">systemic support was inadequate. </w:t>
      </w:r>
      <w:r w:rsidRPr="00372EFA">
        <w:rPr>
          <w:rFonts w:ascii="Calibri" w:eastAsia="Calibri" w:hAnsi="Calibri" w:cs="Times New Roman"/>
          <w:sz w:val="24"/>
          <w:szCs w:val="24"/>
        </w:rPr>
        <w:t xml:space="preserve">Sophie identified the wider system as lacking in compassion for the individual </w:t>
      </w:r>
      <w:r>
        <w:rPr>
          <w:rFonts w:ascii="Calibri" w:eastAsia="Calibri" w:hAnsi="Calibri" w:cs="Times New Roman"/>
          <w:sz w:val="24"/>
          <w:szCs w:val="24"/>
        </w:rPr>
        <w:t xml:space="preserve">and </w:t>
      </w:r>
      <w:r w:rsidRPr="00372EFA">
        <w:rPr>
          <w:rFonts w:ascii="Calibri" w:eastAsia="Calibri" w:hAnsi="Calibri" w:cs="Times New Roman"/>
          <w:sz w:val="24"/>
          <w:szCs w:val="24"/>
        </w:rPr>
        <w:t xml:space="preserve">Laura </w:t>
      </w:r>
      <w:r>
        <w:rPr>
          <w:rFonts w:ascii="Calibri" w:hAnsi="Calibri" w:cs="Calibri"/>
          <w:sz w:val="24"/>
          <w:szCs w:val="24"/>
        </w:rPr>
        <w:t xml:space="preserve">noted </w:t>
      </w:r>
      <w:r w:rsidRPr="00372EFA">
        <w:rPr>
          <w:rFonts w:ascii="Calibri" w:hAnsi="Calibri" w:cs="Calibri"/>
          <w:sz w:val="24"/>
          <w:szCs w:val="24"/>
        </w:rPr>
        <w:t xml:space="preserve">the system neglects tending to the </w:t>
      </w:r>
      <w:r w:rsidRPr="00372EFA">
        <w:rPr>
          <w:rFonts w:ascii="Calibri" w:eastAsia="Calibri" w:hAnsi="Calibri" w:cs="Times New Roman"/>
          <w:sz w:val="24"/>
          <w:szCs w:val="24"/>
        </w:rPr>
        <w:t>well-being of teachers</w:t>
      </w:r>
      <w:r w:rsidR="00B53915">
        <w:rPr>
          <w:rFonts w:ascii="Calibri" w:eastAsia="Calibri" w:hAnsi="Calibri" w:cs="Times New Roman"/>
          <w:sz w:val="24"/>
          <w:szCs w:val="24"/>
        </w:rPr>
        <w:t xml:space="preserve"> and </w:t>
      </w:r>
      <w:r w:rsidRPr="00372EFA">
        <w:rPr>
          <w:rFonts w:ascii="Calibri" w:eastAsia="Calibri" w:hAnsi="Calibri" w:cs="Times New Roman"/>
          <w:sz w:val="24"/>
          <w:szCs w:val="24"/>
        </w:rPr>
        <w:t>their workload</w:t>
      </w:r>
      <w:r w:rsidR="00B53915">
        <w:rPr>
          <w:rFonts w:ascii="Calibri" w:eastAsia="Calibri" w:hAnsi="Calibri" w:cs="Times New Roman"/>
          <w:sz w:val="24"/>
          <w:szCs w:val="24"/>
        </w:rPr>
        <w:t xml:space="preserve"> impact</w:t>
      </w:r>
      <w:r w:rsidR="002669F0">
        <w:rPr>
          <w:rFonts w:ascii="Calibri" w:eastAsia="Calibri" w:hAnsi="Calibri" w:cs="Times New Roman"/>
          <w:sz w:val="24"/>
          <w:szCs w:val="24"/>
        </w:rPr>
        <w:t>,</w:t>
      </w:r>
      <w:r>
        <w:rPr>
          <w:rFonts w:ascii="Calibri" w:eastAsia="Calibri" w:hAnsi="Calibri" w:cs="Times New Roman"/>
          <w:sz w:val="24"/>
          <w:szCs w:val="24"/>
        </w:rPr>
        <w:t xml:space="preserve"> and </w:t>
      </w:r>
      <w:r w:rsidR="002669F0">
        <w:rPr>
          <w:rFonts w:ascii="Calibri" w:eastAsia="Calibri" w:hAnsi="Calibri" w:cs="Times New Roman"/>
          <w:sz w:val="24"/>
          <w:szCs w:val="24"/>
        </w:rPr>
        <w:t xml:space="preserve">she felt </w:t>
      </w:r>
      <w:r w:rsidR="001F0FFB">
        <w:rPr>
          <w:rFonts w:ascii="Calibri" w:eastAsia="Calibri" w:hAnsi="Calibri" w:cs="Times New Roman"/>
          <w:sz w:val="24"/>
          <w:szCs w:val="24"/>
        </w:rPr>
        <w:t xml:space="preserve">teachers’ </w:t>
      </w:r>
      <w:r>
        <w:rPr>
          <w:rFonts w:ascii="Calibri" w:eastAsia="Calibri" w:hAnsi="Calibri" w:cs="Times New Roman"/>
          <w:sz w:val="24"/>
          <w:szCs w:val="24"/>
        </w:rPr>
        <w:t xml:space="preserve">pastoral skills </w:t>
      </w:r>
      <w:r w:rsidR="001F0FFB">
        <w:rPr>
          <w:rFonts w:ascii="Calibri" w:eastAsia="Calibri" w:hAnsi="Calibri" w:cs="Times New Roman"/>
          <w:sz w:val="24"/>
          <w:szCs w:val="24"/>
        </w:rPr>
        <w:t xml:space="preserve">were </w:t>
      </w:r>
      <w:r>
        <w:rPr>
          <w:rFonts w:ascii="Calibri" w:eastAsia="Calibri" w:hAnsi="Calibri" w:cs="Times New Roman"/>
          <w:sz w:val="24"/>
          <w:szCs w:val="24"/>
        </w:rPr>
        <w:t>limited (T2)</w:t>
      </w:r>
      <w:r w:rsidRPr="00372EFA">
        <w:rPr>
          <w:rFonts w:ascii="Calibri" w:eastAsia="Calibri" w:hAnsi="Calibri" w:cs="Times New Roman"/>
          <w:sz w:val="24"/>
          <w:szCs w:val="24"/>
        </w:rPr>
        <w:t>. Jenko refers to being a small wheel in a massive machine and without support</w:t>
      </w:r>
      <w:r w:rsidR="00D31BAB">
        <w:rPr>
          <w:rFonts w:ascii="Calibri" w:eastAsia="Calibri" w:hAnsi="Calibri" w:cs="Times New Roman"/>
          <w:sz w:val="24"/>
          <w:szCs w:val="24"/>
        </w:rPr>
        <w:t xml:space="preserve"> “</w:t>
      </w:r>
      <w:r w:rsidRPr="00D31BAB">
        <w:rPr>
          <w:rFonts w:ascii="Calibri" w:eastAsia="Calibri" w:hAnsi="Calibri" w:cs="Times New Roman"/>
          <w:i/>
          <w:iCs/>
          <w:sz w:val="24"/>
          <w:szCs w:val="24"/>
        </w:rPr>
        <w:t>the individual at the centre of the wheel can feel lost</w:t>
      </w:r>
      <w:r w:rsidR="00D31BAB">
        <w:rPr>
          <w:rFonts w:ascii="Calibri" w:eastAsia="Calibri" w:hAnsi="Calibri" w:cs="Times New Roman"/>
          <w:sz w:val="24"/>
          <w:szCs w:val="24"/>
        </w:rPr>
        <w:t>”</w:t>
      </w:r>
      <w:r>
        <w:rPr>
          <w:rFonts w:ascii="Calibri" w:eastAsia="Calibri" w:hAnsi="Calibri" w:cs="Times New Roman"/>
          <w:sz w:val="24"/>
          <w:szCs w:val="24"/>
        </w:rPr>
        <w:t xml:space="preserve"> (</w:t>
      </w:r>
      <w:r w:rsidR="007A3706">
        <w:rPr>
          <w:rFonts w:ascii="Calibri" w:eastAsia="Calibri" w:hAnsi="Calibri" w:cs="Times New Roman"/>
          <w:sz w:val="24"/>
          <w:szCs w:val="24"/>
        </w:rPr>
        <w:t xml:space="preserve">Jenko, </w:t>
      </w:r>
      <w:r>
        <w:rPr>
          <w:rFonts w:ascii="Calibri" w:eastAsia="Calibri" w:hAnsi="Calibri" w:cs="Times New Roman"/>
          <w:sz w:val="24"/>
          <w:szCs w:val="24"/>
        </w:rPr>
        <w:t>T2, p.2, par 5)</w:t>
      </w:r>
      <w:r w:rsidRPr="00372EFA">
        <w:rPr>
          <w:rFonts w:ascii="Calibri" w:eastAsia="Calibri" w:hAnsi="Calibri" w:cs="Times New Roman"/>
          <w:sz w:val="24"/>
          <w:szCs w:val="24"/>
        </w:rPr>
        <w:t>. Sophie</w:t>
      </w:r>
      <w:r>
        <w:rPr>
          <w:rFonts w:ascii="Calibri" w:eastAsia="Calibri" w:hAnsi="Calibri" w:cs="Times New Roman"/>
          <w:sz w:val="24"/>
          <w:szCs w:val="24"/>
        </w:rPr>
        <w:t xml:space="preserve"> </w:t>
      </w:r>
      <w:r w:rsidRPr="00372EFA">
        <w:rPr>
          <w:rFonts w:ascii="Calibri" w:eastAsia="Calibri" w:hAnsi="Calibri" w:cs="Times New Roman"/>
          <w:sz w:val="24"/>
          <w:szCs w:val="24"/>
        </w:rPr>
        <w:t xml:space="preserve">echoes this sentiment </w:t>
      </w:r>
      <w:r>
        <w:rPr>
          <w:rFonts w:ascii="Calibri" w:eastAsia="Calibri" w:hAnsi="Calibri" w:cs="Times New Roman"/>
          <w:sz w:val="24"/>
          <w:szCs w:val="24"/>
        </w:rPr>
        <w:t xml:space="preserve">suggesting that </w:t>
      </w:r>
      <w:r w:rsidRPr="00372EFA">
        <w:rPr>
          <w:rFonts w:ascii="Calibri" w:eastAsia="Calibri" w:hAnsi="Calibri" w:cs="Times New Roman"/>
          <w:sz w:val="24"/>
          <w:szCs w:val="24"/>
        </w:rPr>
        <w:t xml:space="preserve">the bigger the system, the more the individual </w:t>
      </w:r>
      <w:r>
        <w:rPr>
          <w:rFonts w:ascii="Calibri" w:eastAsia="Calibri" w:hAnsi="Calibri" w:cs="Times New Roman"/>
          <w:sz w:val="24"/>
          <w:szCs w:val="24"/>
        </w:rPr>
        <w:t xml:space="preserve">at the core </w:t>
      </w:r>
      <w:r w:rsidRPr="00372EFA">
        <w:rPr>
          <w:rFonts w:ascii="Calibri" w:eastAsia="Calibri" w:hAnsi="Calibri" w:cs="Times New Roman"/>
          <w:sz w:val="24"/>
          <w:szCs w:val="24"/>
        </w:rPr>
        <w:t>is forgotten</w:t>
      </w:r>
      <w:r>
        <w:rPr>
          <w:rFonts w:ascii="Calibri" w:eastAsia="Calibri" w:hAnsi="Calibri" w:cs="Times New Roman"/>
          <w:sz w:val="24"/>
          <w:szCs w:val="24"/>
        </w:rPr>
        <w:t xml:space="preserve"> (T1)</w:t>
      </w:r>
      <w:r w:rsidRPr="00372EFA">
        <w:rPr>
          <w:rFonts w:ascii="Calibri" w:eastAsia="Calibri" w:hAnsi="Calibri" w:cs="Times New Roman"/>
          <w:sz w:val="24"/>
          <w:szCs w:val="24"/>
        </w:rPr>
        <w:t>. Liz reflects upon the lack of support in the system which can leave the teacher feeling devalued</w:t>
      </w:r>
      <w:r w:rsidR="003D7D8D">
        <w:rPr>
          <w:rFonts w:ascii="Calibri" w:eastAsia="Calibri" w:hAnsi="Calibri" w:cs="Times New Roman"/>
          <w:sz w:val="24"/>
          <w:szCs w:val="24"/>
        </w:rPr>
        <w:t xml:space="preserve">, </w:t>
      </w:r>
      <w:r w:rsidRPr="00372EFA">
        <w:rPr>
          <w:rFonts w:ascii="Calibri" w:eastAsia="Calibri" w:hAnsi="Calibri" w:cs="Times New Roman"/>
          <w:sz w:val="24"/>
          <w:szCs w:val="24"/>
        </w:rPr>
        <w:t xml:space="preserve">reduced to </w:t>
      </w:r>
      <w:r>
        <w:rPr>
          <w:rFonts w:ascii="Calibri" w:eastAsia="Calibri" w:hAnsi="Calibri" w:cs="Times New Roman"/>
          <w:sz w:val="24"/>
          <w:szCs w:val="24"/>
        </w:rPr>
        <w:t xml:space="preserve">being </w:t>
      </w:r>
      <w:r w:rsidRPr="00372EFA">
        <w:rPr>
          <w:rFonts w:ascii="Calibri" w:eastAsia="Calibri" w:hAnsi="Calibri" w:cs="Times New Roman"/>
          <w:sz w:val="24"/>
          <w:szCs w:val="24"/>
        </w:rPr>
        <w:t xml:space="preserve">a </w:t>
      </w:r>
      <w:r>
        <w:rPr>
          <w:rFonts w:ascii="Calibri" w:eastAsia="Calibri" w:hAnsi="Calibri" w:cs="Times New Roman"/>
          <w:sz w:val="24"/>
          <w:szCs w:val="24"/>
        </w:rPr>
        <w:t>“</w:t>
      </w:r>
      <w:r w:rsidRPr="008A07D2">
        <w:rPr>
          <w:rFonts w:ascii="Calibri" w:eastAsia="Calibri" w:hAnsi="Calibri" w:cs="Times New Roman"/>
          <w:i/>
          <w:iCs/>
          <w:sz w:val="24"/>
          <w:szCs w:val="24"/>
        </w:rPr>
        <w:t>cog in a wheel</w:t>
      </w:r>
      <w:r>
        <w:rPr>
          <w:rFonts w:ascii="Calibri" w:eastAsia="Calibri" w:hAnsi="Calibri" w:cs="Times New Roman"/>
          <w:sz w:val="24"/>
          <w:szCs w:val="24"/>
        </w:rPr>
        <w:t>” (</w:t>
      </w:r>
      <w:r w:rsidR="00CC1739">
        <w:rPr>
          <w:rFonts w:ascii="Calibri" w:eastAsia="Calibri" w:hAnsi="Calibri" w:cs="Times New Roman"/>
          <w:sz w:val="24"/>
          <w:szCs w:val="24"/>
        </w:rPr>
        <w:t xml:space="preserve">Liz, </w:t>
      </w:r>
      <w:r>
        <w:rPr>
          <w:rFonts w:ascii="Calibri" w:eastAsia="Calibri" w:hAnsi="Calibri" w:cs="Times New Roman"/>
          <w:sz w:val="24"/>
          <w:szCs w:val="24"/>
        </w:rPr>
        <w:t>T2, p. 3, par 1)</w:t>
      </w:r>
      <w:r w:rsidRPr="00372EFA">
        <w:rPr>
          <w:rFonts w:ascii="Calibri" w:eastAsia="Calibri" w:hAnsi="Calibri" w:cs="Times New Roman"/>
          <w:sz w:val="24"/>
          <w:szCs w:val="24"/>
        </w:rPr>
        <w:t xml:space="preserve">. </w:t>
      </w:r>
      <w:r w:rsidRPr="00E65A55">
        <w:rPr>
          <w:rFonts w:ascii="Calibri" w:eastAsia="Calibri" w:hAnsi="Calibri" w:cs="Times New Roman"/>
          <w:sz w:val="24"/>
          <w:szCs w:val="24"/>
        </w:rPr>
        <w:t xml:space="preserve">The findings support the notion that </w:t>
      </w:r>
      <w:r w:rsidR="008D46FF">
        <w:rPr>
          <w:rFonts w:ascii="Calibri" w:eastAsia="Calibri" w:hAnsi="Calibri" w:cs="Times New Roman"/>
          <w:sz w:val="24"/>
          <w:szCs w:val="24"/>
        </w:rPr>
        <w:t>teachers/student teachers</w:t>
      </w:r>
      <w:r>
        <w:rPr>
          <w:rFonts w:ascii="Calibri" w:eastAsia="Calibri" w:hAnsi="Calibri" w:cs="Times New Roman"/>
          <w:sz w:val="24"/>
          <w:szCs w:val="24"/>
        </w:rPr>
        <w:t xml:space="preserve"> </w:t>
      </w:r>
      <w:r w:rsidRPr="00E65A55">
        <w:rPr>
          <w:rFonts w:ascii="Calibri" w:eastAsia="Calibri" w:hAnsi="Calibri" w:cs="Times New Roman"/>
          <w:sz w:val="24"/>
          <w:szCs w:val="24"/>
        </w:rPr>
        <w:t xml:space="preserve">need support </w:t>
      </w:r>
      <w:r>
        <w:rPr>
          <w:rFonts w:ascii="Calibri" w:eastAsia="Calibri" w:hAnsi="Calibri" w:cs="Times New Roman"/>
          <w:sz w:val="24"/>
          <w:szCs w:val="24"/>
        </w:rPr>
        <w:t>for their well-being, and their thriving</w:t>
      </w:r>
      <w:r w:rsidRPr="00E65A55">
        <w:rPr>
          <w:rFonts w:ascii="Calibri" w:eastAsia="Calibri" w:hAnsi="Calibri" w:cs="Times New Roman"/>
          <w:sz w:val="24"/>
          <w:szCs w:val="24"/>
        </w:rPr>
        <w:t xml:space="preserve"> is aligned to and dependent on the </w:t>
      </w:r>
      <w:r w:rsidR="002A042B">
        <w:rPr>
          <w:rFonts w:ascii="Calibri" w:eastAsia="Calibri" w:hAnsi="Calibri" w:cs="Times New Roman"/>
          <w:sz w:val="24"/>
          <w:szCs w:val="24"/>
        </w:rPr>
        <w:t xml:space="preserve">work </w:t>
      </w:r>
      <w:r w:rsidRPr="00E65A55">
        <w:rPr>
          <w:rFonts w:ascii="Calibri" w:eastAsia="Calibri" w:hAnsi="Calibri" w:cs="Times New Roman"/>
          <w:sz w:val="24"/>
          <w:szCs w:val="24"/>
        </w:rPr>
        <w:t>environment (Greenfield, 2016) and the ethos of the context (Ainsworth and Oldfield, 2019).</w:t>
      </w:r>
    </w:p>
    <w:p w14:paraId="634A5E91" w14:textId="33CDE791" w:rsidR="00BF61A6" w:rsidRPr="009A0218" w:rsidRDefault="00BF61A6" w:rsidP="00B34100">
      <w:pPr>
        <w:spacing w:line="360" w:lineRule="auto"/>
        <w:rPr>
          <w:rFonts w:ascii="Calibri" w:eastAsia="Calibri" w:hAnsi="Calibri" w:cs="Times New Roman"/>
          <w:sz w:val="24"/>
          <w:szCs w:val="24"/>
        </w:rPr>
      </w:pPr>
      <w:r w:rsidRPr="00D34DA0">
        <w:rPr>
          <w:rFonts w:ascii="Calibri" w:eastAsia="Calibri" w:hAnsi="Calibri" w:cs="Times New Roman"/>
          <w:sz w:val="24"/>
          <w:szCs w:val="24"/>
        </w:rPr>
        <w:t>Participants did not</w:t>
      </w:r>
      <w:r>
        <w:rPr>
          <w:rFonts w:ascii="Calibri" w:eastAsia="Calibri" w:hAnsi="Calibri" w:cs="Times New Roman"/>
          <w:sz w:val="24"/>
          <w:szCs w:val="24"/>
        </w:rPr>
        <w:t xml:space="preserve"> identify </w:t>
      </w:r>
      <w:r w:rsidRPr="00D34DA0">
        <w:rPr>
          <w:rFonts w:ascii="Calibri" w:eastAsia="Calibri" w:hAnsi="Calibri" w:cs="Times New Roman"/>
          <w:sz w:val="24"/>
          <w:szCs w:val="24"/>
        </w:rPr>
        <w:t xml:space="preserve">the university system as </w:t>
      </w:r>
      <w:r>
        <w:rPr>
          <w:rFonts w:ascii="Calibri" w:eastAsia="Calibri" w:hAnsi="Calibri" w:cs="Times New Roman"/>
          <w:sz w:val="24"/>
          <w:szCs w:val="24"/>
        </w:rPr>
        <w:t xml:space="preserve">being </w:t>
      </w:r>
      <w:r w:rsidRPr="00D34DA0">
        <w:rPr>
          <w:rFonts w:ascii="Calibri" w:eastAsia="Calibri" w:hAnsi="Calibri" w:cs="Times New Roman"/>
          <w:sz w:val="24"/>
          <w:szCs w:val="24"/>
        </w:rPr>
        <w:t>the prime cause of</w:t>
      </w:r>
      <w:r>
        <w:rPr>
          <w:rFonts w:ascii="Calibri" w:eastAsia="Calibri" w:hAnsi="Calibri" w:cs="Times New Roman"/>
          <w:sz w:val="24"/>
          <w:szCs w:val="24"/>
        </w:rPr>
        <w:t xml:space="preserve"> </w:t>
      </w:r>
      <w:r w:rsidRPr="00D34DA0">
        <w:rPr>
          <w:rFonts w:ascii="Calibri" w:eastAsia="Calibri" w:hAnsi="Calibri" w:cs="Times New Roman"/>
          <w:sz w:val="24"/>
          <w:szCs w:val="24"/>
        </w:rPr>
        <w:t>lacks in well-being provision</w:t>
      </w:r>
      <w:r>
        <w:rPr>
          <w:rFonts w:ascii="Calibri" w:eastAsia="Calibri" w:hAnsi="Calibri" w:cs="Times New Roman"/>
          <w:sz w:val="24"/>
          <w:szCs w:val="24"/>
        </w:rPr>
        <w:t>, however current institutional support was viewed by one participant as a passing offering.</w:t>
      </w:r>
      <w:r w:rsidRPr="00D34DA0">
        <w:rPr>
          <w:rFonts w:ascii="Calibri" w:eastAsia="Calibri" w:hAnsi="Calibri" w:cs="Times New Roman"/>
          <w:sz w:val="24"/>
          <w:szCs w:val="24"/>
        </w:rPr>
        <w:t xml:space="preserve"> </w:t>
      </w:r>
      <w:r>
        <w:rPr>
          <w:rFonts w:ascii="Calibri" w:eastAsia="Calibri" w:hAnsi="Calibri" w:cs="Times New Roman"/>
          <w:sz w:val="24"/>
          <w:szCs w:val="24"/>
        </w:rPr>
        <w:t>G</w:t>
      </w:r>
      <w:r w:rsidRPr="00372EFA">
        <w:rPr>
          <w:rFonts w:ascii="Calibri" w:eastAsia="Calibri" w:hAnsi="Calibri" w:cs="Times New Roman"/>
          <w:sz w:val="24"/>
          <w:szCs w:val="24"/>
        </w:rPr>
        <w:t xml:space="preserve">immicky activity-based </w:t>
      </w:r>
      <w:r>
        <w:rPr>
          <w:rFonts w:ascii="Calibri" w:eastAsia="Calibri" w:hAnsi="Calibri" w:cs="Times New Roman"/>
          <w:sz w:val="24"/>
          <w:szCs w:val="24"/>
        </w:rPr>
        <w:t xml:space="preserve">well-being </w:t>
      </w:r>
      <w:r w:rsidRPr="00372EFA">
        <w:rPr>
          <w:rFonts w:ascii="Calibri" w:eastAsia="Calibri" w:hAnsi="Calibri" w:cs="Times New Roman"/>
          <w:sz w:val="24"/>
          <w:szCs w:val="24"/>
        </w:rPr>
        <w:t>support offerings by the university</w:t>
      </w:r>
      <w:r>
        <w:rPr>
          <w:rFonts w:ascii="Calibri" w:eastAsia="Calibri" w:hAnsi="Calibri" w:cs="Times New Roman"/>
          <w:sz w:val="24"/>
          <w:szCs w:val="24"/>
        </w:rPr>
        <w:t xml:space="preserve"> (Fleming, 2021)</w:t>
      </w:r>
      <w:r w:rsidRPr="00372EFA">
        <w:rPr>
          <w:rFonts w:ascii="Calibri" w:eastAsia="Calibri" w:hAnsi="Calibri" w:cs="Times New Roman"/>
          <w:sz w:val="24"/>
          <w:szCs w:val="24"/>
        </w:rPr>
        <w:t xml:space="preserve"> fail to hit the support spot</w:t>
      </w:r>
      <w:r w:rsidR="002A042B">
        <w:rPr>
          <w:rFonts w:ascii="Calibri" w:eastAsia="Calibri" w:hAnsi="Calibri" w:cs="Times New Roman"/>
          <w:sz w:val="24"/>
          <w:szCs w:val="24"/>
        </w:rPr>
        <w:t>,</w:t>
      </w:r>
      <w:r w:rsidRPr="00372EFA">
        <w:rPr>
          <w:rFonts w:ascii="Calibri" w:eastAsia="Calibri" w:hAnsi="Calibri" w:cs="Times New Roman"/>
          <w:sz w:val="24"/>
          <w:szCs w:val="24"/>
        </w:rPr>
        <w:t xml:space="preserve"> </w:t>
      </w:r>
      <w:r>
        <w:rPr>
          <w:rFonts w:ascii="Calibri" w:eastAsia="Calibri" w:hAnsi="Calibri" w:cs="Times New Roman"/>
          <w:sz w:val="24"/>
          <w:szCs w:val="24"/>
        </w:rPr>
        <w:t xml:space="preserve">and Laura views these as </w:t>
      </w:r>
      <w:r w:rsidRPr="00372EFA">
        <w:rPr>
          <w:rFonts w:ascii="Calibri" w:eastAsia="Calibri" w:hAnsi="Calibri" w:cs="Times New Roman"/>
          <w:sz w:val="24"/>
          <w:szCs w:val="24"/>
        </w:rPr>
        <w:t xml:space="preserve">token activities </w:t>
      </w:r>
      <w:r>
        <w:rPr>
          <w:rFonts w:ascii="Calibri" w:eastAsia="Calibri" w:hAnsi="Calibri" w:cs="Times New Roman"/>
          <w:sz w:val="24"/>
          <w:szCs w:val="24"/>
        </w:rPr>
        <w:t xml:space="preserve">that fail to address </w:t>
      </w:r>
      <w:r w:rsidRPr="00372EFA">
        <w:rPr>
          <w:rFonts w:ascii="Calibri" w:eastAsia="Calibri" w:hAnsi="Calibri" w:cs="Times New Roman"/>
          <w:sz w:val="24"/>
          <w:szCs w:val="24"/>
        </w:rPr>
        <w:t xml:space="preserve">the root cause of the impact of workloads and demands </w:t>
      </w:r>
      <w:r w:rsidR="00137957">
        <w:rPr>
          <w:rFonts w:ascii="Calibri" w:eastAsia="Calibri" w:hAnsi="Calibri" w:cs="Times New Roman"/>
          <w:sz w:val="24"/>
          <w:szCs w:val="24"/>
        </w:rPr>
        <w:t>within</w:t>
      </w:r>
      <w:r w:rsidRPr="00372EFA">
        <w:rPr>
          <w:rFonts w:ascii="Calibri" w:eastAsia="Calibri" w:hAnsi="Calibri" w:cs="Times New Roman"/>
          <w:sz w:val="24"/>
          <w:szCs w:val="24"/>
        </w:rPr>
        <w:t xml:space="preserve"> the </w:t>
      </w:r>
      <w:r>
        <w:rPr>
          <w:rFonts w:ascii="Calibri" w:eastAsia="Calibri" w:hAnsi="Calibri" w:cs="Times New Roman"/>
          <w:sz w:val="24"/>
          <w:szCs w:val="24"/>
        </w:rPr>
        <w:t xml:space="preserve">teaching </w:t>
      </w:r>
      <w:r w:rsidRPr="00372EFA">
        <w:rPr>
          <w:rFonts w:ascii="Calibri" w:eastAsia="Calibri" w:hAnsi="Calibri" w:cs="Times New Roman"/>
          <w:sz w:val="24"/>
          <w:szCs w:val="24"/>
        </w:rPr>
        <w:t>role</w:t>
      </w:r>
      <w:r>
        <w:rPr>
          <w:rFonts w:ascii="Calibri" w:eastAsia="Calibri" w:hAnsi="Calibri" w:cs="Times New Roman"/>
          <w:sz w:val="24"/>
          <w:szCs w:val="24"/>
        </w:rPr>
        <w:t xml:space="preserve"> (T2).</w:t>
      </w:r>
      <w:r w:rsidRPr="00372EFA">
        <w:rPr>
          <w:rFonts w:ascii="Calibri" w:hAnsi="Calibri" w:cs="Calibri"/>
          <w:sz w:val="24"/>
          <w:szCs w:val="24"/>
        </w:rPr>
        <w:t xml:space="preserve"> </w:t>
      </w:r>
      <w:r w:rsidRPr="00E94617">
        <w:rPr>
          <w:rFonts w:ascii="Calibri" w:hAnsi="Calibri" w:cs="Calibri"/>
          <w:sz w:val="24"/>
          <w:szCs w:val="24"/>
        </w:rPr>
        <w:t>The context matters, and has an impact (Ainsworth and Oldfield, 2019)</w:t>
      </w:r>
      <w:r w:rsidR="00137957">
        <w:rPr>
          <w:rFonts w:ascii="Calibri" w:hAnsi="Calibri" w:cs="Calibri"/>
          <w:sz w:val="24"/>
          <w:szCs w:val="24"/>
        </w:rPr>
        <w:t>,</w:t>
      </w:r>
      <w:r w:rsidRPr="00E94617">
        <w:rPr>
          <w:rFonts w:ascii="Calibri" w:hAnsi="Calibri" w:cs="Calibri"/>
          <w:sz w:val="24"/>
          <w:szCs w:val="24"/>
        </w:rPr>
        <w:t xml:space="preserve"> and if the systemic causes of a teachers’ stress remain unaddressed (Manning et al, 2020)</w:t>
      </w:r>
      <w:r w:rsidR="00137957">
        <w:rPr>
          <w:rFonts w:ascii="Calibri" w:hAnsi="Calibri" w:cs="Calibri"/>
          <w:sz w:val="24"/>
          <w:szCs w:val="24"/>
        </w:rPr>
        <w:t>,</w:t>
      </w:r>
      <w:r w:rsidRPr="00E94617">
        <w:rPr>
          <w:rFonts w:ascii="Calibri" w:hAnsi="Calibri" w:cs="Calibri"/>
          <w:sz w:val="24"/>
          <w:szCs w:val="24"/>
        </w:rPr>
        <w:t xml:space="preserve"> no amount of add-on well-being sessions will work.</w:t>
      </w:r>
      <w:r>
        <w:rPr>
          <w:rFonts w:ascii="Calibri" w:hAnsi="Calibri" w:cs="Calibri"/>
          <w:sz w:val="24"/>
          <w:szCs w:val="24"/>
        </w:rPr>
        <w:t xml:space="preserve"> The overall findings confirm that there is a</w:t>
      </w:r>
      <w:r w:rsidRPr="00372EFA">
        <w:rPr>
          <w:rFonts w:ascii="Calibri" w:eastAsia="Calibri" w:hAnsi="Calibri" w:cs="Times New Roman"/>
          <w:sz w:val="24"/>
          <w:szCs w:val="24"/>
        </w:rPr>
        <w:t xml:space="preserve"> need </w:t>
      </w:r>
      <w:r>
        <w:rPr>
          <w:rFonts w:ascii="Calibri" w:eastAsia="Calibri" w:hAnsi="Calibri" w:cs="Times New Roman"/>
          <w:sz w:val="24"/>
          <w:szCs w:val="24"/>
        </w:rPr>
        <w:t xml:space="preserve">for </w:t>
      </w:r>
      <w:r w:rsidRPr="00372EFA">
        <w:rPr>
          <w:rFonts w:ascii="Calibri" w:eastAsia="Calibri" w:hAnsi="Calibri" w:cs="Times New Roman"/>
          <w:sz w:val="24"/>
          <w:szCs w:val="24"/>
        </w:rPr>
        <w:t xml:space="preserve">a systemic, organisation-wide commitment to </w:t>
      </w:r>
      <w:r>
        <w:rPr>
          <w:rFonts w:ascii="Calibri" w:eastAsia="Calibri" w:hAnsi="Calibri" w:cs="Times New Roman"/>
          <w:sz w:val="24"/>
          <w:szCs w:val="24"/>
        </w:rPr>
        <w:t xml:space="preserve">providing more nuanced and personal well-being care for staff </w:t>
      </w:r>
      <w:r w:rsidRPr="006E026C">
        <w:rPr>
          <w:rFonts w:ascii="Calibri" w:eastAsia="Calibri" w:hAnsi="Calibri" w:cs="Times New Roman"/>
          <w:sz w:val="24"/>
          <w:szCs w:val="24"/>
        </w:rPr>
        <w:t>(Brady and Wilson, 2020</w:t>
      </w:r>
      <w:r w:rsidR="00405C7F">
        <w:rPr>
          <w:rFonts w:ascii="Calibri" w:eastAsia="Calibri" w:hAnsi="Calibri" w:cs="Times New Roman"/>
          <w:sz w:val="24"/>
          <w:szCs w:val="24"/>
        </w:rPr>
        <w:t>;</w:t>
      </w:r>
      <w:r w:rsidR="00405C7F" w:rsidRPr="00405C7F">
        <w:rPr>
          <w:rFonts w:ascii="Calibri" w:eastAsia="Calibri" w:hAnsi="Calibri" w:cs="Times New Roman"/>
          <w:sz w:val="24"/>
          <w:szCs w:val="24"/>
        </w:rPr>
        <w:t xml:space="preserve"> Howard, 2020</w:t>
      </w:r>
      <w:r>
        <w:rPr>
          <w:rFonts w:ascii="Calibri" w:eastAsia="Calibri" w:hAnsi="Calibri" w:cs="Times New Roman"/>
          <w:sz w:val="24"/>
          <w:szCs w:val="24"/>
        </w:rPr>
        <w:t xml:space="preserve">). </w:t>
      </w:r>
      <w:r w:rsidRPr="009A0218">
        <w:rPr>
          <w:rFonts w:ascii="Calibri" w:eastAsia="Calibri" w:hAnsi="Calibri" w:cs="Times New Roman"/>
          <w:sz w:val="24"/>
          <w:szCs w:val="24"/>
        </w:rPr>
        <w:t xml:space="preserve"> Not explicitly stated by the participants, consultation about their support needs</w:t>
      </w:r>
      <w:r>
        <w:rPr>
          <w:rFonts w:ascii="Calibri" w:eastAsia="Calibri" w:hAnsi="Calibri" w:cs="Times New Roman"/>
          <w:sz w:val="24"/>
          <w:szCs w:val="24"/>
        </w:rPr>
        <w:t xml:space="preserve"> </w:t>
      </w:r>
      <w:r w:rsidRPr="008D34CE">
        <w:rPr>
          <w:rFonts w:ascii="Calibri" w:eastAsia="Calibri" w:hAnsi="Calibri" w:cs="Times New Roman"/>
          <w:sz w:val="24"/>
          <w:szCs w:val="24"/>
        </w:rPr>
        <w:t>(Stevenson and Farmer, 2017)</w:t>
      </w:r>
      <w:r>
        <w:rPr>
          <w:rFonts w:ascii="Calibri" w:eastAsia="Calibri" w:hAnsi="Calibri" w:cs="Times New Roman"/>
          <w:sz w:val="24"/>
          <w:szCs w:val="24"/>
        </w:rPr>
        <w:t xml:space="preserve"> </w:t>
      </w:r>
      <w:r w:rsidRPr="009A0218">
        <w:rPr>
          <w:rFonts w:ascii="Calibri" w:eastAsia="Calibri" w:hAnsi="Calibri" w:cs="Times New Roman"/>
          <w:sz w:val="24"/>
          <w:szCs w:val="24"/>
        </w:rPr>
        <w:t>had clearly been lacking when viewing the entirety of the data set.</w:t>
      </w:r>
    </w:p>
    <w:p w14:paraId="371ACC46" w14:textId="0E6CF42C" w:rsidR="00BF61A6" w:rsidRPr="00FA53BF" w:rsidRDefault="00BF61A6" w:rsidP="00B34100">
      <w:pPr>
        <w:spacing w:line="360" w:lineRule="auto"/>
        <w:rPr>
          <w:rFonts w:ascii="Calibri" w:eastAsia="Calibri" w:hAnsi="Calibri" w:cs="Times New Roman"/>
          <w:sz w:val="24"/>
          <w:szCs w:val="24"/>
        </w:rPr>
      </w:pPr>
      <w:r>
        <w:rPr>
          <w:rFonts w:ascii="Calibri" w:eastAsia="Calibri" w:hAnsi="Calibri" w:cs="Times New Roman"/>
          <w:sz w:val="24"/>
          <w:szCs w:val="24"/>
        </w:rPr>
        <w:t xml:space="preserve">Significantly, </w:t>
      </w:r>
      <w:r w:rsidRPr="00FA53BF">
        <w:rPr>
          <w:rFonts w:ascii="Calibri" w:eastAsia="Calibri" w:hAnsi="Calibri" w:cs="Times New Roman"/>
          <w:sz w:val="24"/>
          <w:szCs w:val="24"/>
        </w:rPr>
        <w:t xml:space="preserve">support offered </w:t>
      </w:r>
      <w:r>
        <w:rPr>
          <w:rFonts w:ascii="Calibri" w:eastAsia="Calibri" w:hAnsi="Calibri" w:cs="Times New Roman"/>
          <w:sz w:val="24"/>
          <w:szCs w:val="24"/>
        </w:rPr>
        <w:t xml:space="preserve">to participants </w:t>
      </w:r>
      <w:r w:rsidRPr="00FA53BF">
        <w:rPr>
          <w:rFonts w:ascii="Calibri" w:eastAsia="Calibri" w:hAnsi="Calibri" w:cs="Times New Roman"/>
          <w:sz w:val="24"/>
          <w:szCs w:val="24"/>
        </w:rPr>
        <w:t>during the</w:t>
      </w:r>
      <w:r>
        <w:rPr>
          <w:rFonts w:ascii="Calibri" w:eastAsia="Calibri" w:hAnsi="Calibri" w:cs="Times New Roman"/>
          <w:sz w:val="24"/>
          <w:szCs w:val="24"/>
        </w:rPr>
        <w:t>ir</w:t>
      </w:r>
      <w:r w:rsidRPr="00FA53BF">
        <w:rPr>
          <w:rFonts w:ascii="Calibri" w:eastAsia="Calibri" w:hAnsi="Calibri" w:cs="Times New Roman"/>
          <w:sz w:val="24"/>
          <w:szCs w:val="24"/>
        </w:rPr>
        <w:t xml:space="preserve"> teacher training</w:t>
      </w:r>
      <w:r>
        <w:rPr>
          <w:rFonts w:ascii="Calibri" w:eastAsia="Calibri" w:hAnsi="Calibri" w:cs="Times New Roman"/>
          <w:sz w:val="24"/>
          <w:szCs w:val="24"/>
        </w:rPr>
        <w:t>s</w:t>
      </w:r>
      <w:r w:rsidRPr="00FA53BF">
        <w:rPr>
          <w:rFonts w:ascii="Calibri" w:eastAsia="Calibri" w:hAnsi="Calibri" w:cs="Times New Roman"/>
          <w:sz w:val="24"/>
          <w:szCs w:val="24"/>
        </w:rPr>
        <w:t xml:space="preserve"> stayed with them as an object constant </w:t>
      </w:r>
      <w:r w:rsidR="006C5277">
        <w:rPr>
          <w:rFonts w:ascii="Calibri" w:eastAsia="Calibri" w:hAnsi="Calibri" w:cs="Times New Roman"/>
          <w:sz w:val="24"/>
          <w:szCs w:val="24"/>
        </w:rPr>
        <w:t>(Mahler et al.,</w:t>
      </w:r>
      <w:r w:rsidR="00C21D14">
        <w:rPr>
          <w:rFonts w:ascii="Calibri" w:eastAsia="Calibri" w:hAnsi="Calibri" w:cs="Times New Roman"/>
          <w:sz w:val="24"/>
          <w:szCs w:val="24"/>
        </w:rPr>
        <w:t xml:space="preserve"> 1975) </w:t>
      </w:r>
      <w:r w:rsidRPr="00FA53BF">
        <w:rPr>
          <w:rFonts w:ascii="Calibri" w:eastAsia="Calibri" w:hAnsi="Calibri" w:cs="Times New Roman"/>
          <w:sz w:val="24"/>
          <w:szCs w:val="24"/>
        </w:rPr>
        <w:t xml:space="preserve">throughout their teaching work. For those who had to </w:t>
      </w:r>
      <w:r>
        <w:rPr>
          <w:rFonts w:ascii="Calibri" w:eastAsia="Calibri" w:hAnsi="Calibri" w:cs="Times New Roman"/>
          <w:sz w:val="24"/>
          <w:szCs w:val="24"/>
        </w:rPr>
        <w:t>be self-reliant</w:t>
      </w:r>
      <w:r w:rsidRPr="00FA53BF">
        <w:rPr>
          <w:rFonts w:ascii="Calibri" w:eastAsia="Calibri" w:hAnsi="Calibri" w:cs="Times New Roman"/>
          <w:sz w:val="24"/>
          <w:szCs w:val="24"/>
        </w:rPr>
        <w:t>,</w:t>
      </w:r>
      <w:r w:rsidRPr="008223B8">
        <w:rPr>
          <w:rFonts w:ascii="Calibri" w:eastAsia="Calibri" w:hAnsi="Calibri" w:cs="Times New Roman"/>
          <w:sz w:val="24"/>
          <w:szCs w:val="24"/>
        </w:rPr>
        <w:t xml:space="preserve"> </w:t>
      </w:r>
      <w:r>
        <w:rPr>
          <w:rFonts w:ascii="Calibri" w:eastAsia="Calibri" w:hAnsi="Calibri" w:cs="Times New Roman"/>
          <w:sz w:val="24"/>
          <w:szCs w:val="24"/>
        </w:rPr>
        <w:t>t</w:t>
      </w:r>
      <w:r w:rsidRPr="008223B8">
        <w:rPr>
          <w:rFonts w:ascii="Calibri" w:eastAsia="Calibri" w:hAnsi="Calibri" w:cs="Times New Roman"/>
          <w:sz w:val="24"/>
          <w:szCs w:val="24"/>
        </w:rPr>
        <w:t>hey found a way of navigating the system they w</w:t>
      </w:r>
      <w:r w:rsidR="00727BAE">
        <w:rPr>
          <w:rFonts w:ascii="Calibri" w:eastAsia="Calibri" w:hAnsi="Calibri" w:cs="Times New Roman"/>
          <w:sz w:val="24"/>
          <w:szCs w:val="24"/>
        </w:rPr>
        <w:t xml:space="preserve">orked </w:t>
      </w:r>
      <w:r w:rsidRPr="008223B8">
        <w:rPr>
          <w:rFonts w:ascii="Calibri" w:eastAsia="Calibri" w:hAnsi="Calibri" w:cs="Times New Roman"/>
          <w:sz w:val="24"/>
          <w:szCs w:val="24"/>
        </w:rPr>
        <w:t xml:space="preserve">within and </w:t>
      </w:r>
      <w:r w:rsidRPr="008223B8">
        <w:rPr>
          <w:rFonts w:ascii="Calibri" w:eastAsia="Calibri" w:hAnsi="Calibri" w:cs="Times New Roman"/>
          <w:sz w:val="24"/>
          <w:szCs w:val="24"/>
        </w:rPr>
        <w:lastRenderedPageBreak/>
        <w:t>sought self-selected support sources</w:t>
      </w:r>
      <w:r>
        <w:rPr>
          <w:rFonts w:ascii="Calibri" w:eastAsia="Calibri" w:hAnsi="Calibri" w:cs="Times New Roman"/>
          <w:sz w:val="24"/>
          <w:szCs w:val="24"/>
        </w:rPr>
        <w:t xml:space="preserve"> which </w:t>
      </w:r>
      <w:r w:rsidRPr="00FA53BF">
        <w:rPr>
          <w:rFonts w:ascii="Calibri" w:eastAsia="Calibri" w:hAnsi="Calibri" w:cs="Times New Roman"/>
          <w:sz w:val="24"/>
          <w:szCs w:val="24"/>
        </w:rPr>
        <w:t>remained an object constant</w:t>
      </w:r>
      <w:r w:rsidR="00BF1322">
        <w:rPr>
          <w:rFonts w:ascii="Calibri" w:eastAsia="Calibri" w:hAnsi="Calibri" w:cs="Times New Roman"/>
          <w:sz w:val="24"/>
          <w:szCs w:val="24"/>
        </w:rPr>
        <w:t xml:space="preserve"> (ibid.)</w:t>
      </w:r>
      <w:r w:rsidRPr="00FA53BF">
        <w:rPr>
          <w:rFonts w:ascii="Calibri" w:eastAsia="Calibri" w:hAnsi="Calibri" w:cs="Times New Roman"/>
          <w:sz w:val="24"/>
          <w:szCs w:val="24"/>
        </w:rPr>
        <w:t xml:space="preserve"> throughout their teaching work.</w:t>
      </w:r>
      <w:r>
        <w:rPr>
          <w:rFonts w:ascii="Calibri" w:eastAsia="Calibri" w:hAnsi="Calibri" w:cs="Times New Roman"/>
          <w:sz w:val="24"/>
          <w:szCs w:val="24"/>
        </w:rPr>
        <w:t xml:space="preserve"> T</w:t>
      </w:r>
      <w:r w:rsidRPr="00FA53BF">
        <w:rPr>
          <w:rFonts w:ascii="Calibri" w:eastAsia="Calibri" w:hAnsi="Calibri" w:cs="Times New Roman"/>
          <w:sz w:val="24"/>
          <w:szCs w:val="24"/>
        </w:rPr>
        <w:t>h</w:t>
      </w:r>
      <w:r>
        <w:rPr>
          <w:rFonts w:ascii="Calibri" w:eastAsia="Calibri" w:hAnsi="Calibri" w:cs="Times New Roman"/>
          <w:sz w:val="24"/>
          <w:szCs w:val="24"/>
        </w:rPr>
        <w:t>is</w:t>
      </w:r>
      <w:r w:rsidRPr="00FA53BF">
        <w:rPr>
          <w:rFonts w:ascii="Calibri" w:eastAsia="Calibri" w:hAnsi="Calibri" w:cs="Times New Roman"/>
          <w:sz w:val="24"/>
          <w:szCs w:val="24"/>
        </w:rPr>
        <w:t xml:space="preserve"> suggests that </w:t>
      </w:r>
      <w:r>
        <w:rPr>
          <w:rFonts w:ascii="Calibri" w:eastAsia="Calibri" w:hAnsi="Calibri" w:cs="Times New Roman"/>
          <w:sz w:val="24"/>
          <w:szCs w:val="24"/>
        </w:rPr>
        <w:t xml:space="preserve">participants </w:t>
      </w:r>
      <w:r w:rsidRPr="00FA53BF">
        <w:rPr>
          <w:rFonts w:ascii="Calibri" w:eastAsia="Calibri" w:hAnsi="Calibri" w:cs="Times New Roman"/>
          <w:sz w:val="24"/>
          <w:szCs w:val="24"/>
        </w:rPr>
        <w:t>were able to take responsibility for their psychological well-being (Maslach, 2017)</w:t>
      </w:r>
      <w:r>
        <w:rPr>
          <w:rFonts w:ascii="Calibri" w:eastAsia="Calibri" w:hAnsi="Calibri" w:cs="Times New Roman"/>
          <w:sz w:val="24"/>
          <w:szCs w:val="24"/>
        </w:rPr>
        <w:t xml:space="preserve"> by drawing upon their object constant figures to guide them in this regard. A recent article (Charles, 2025) captured this concept beautifully: “I’ve learned to listen to my inner ethicist, a guide that speaks from the meeting place of professional responsibility and inner wisdom developed over years of practice” (p.34).</w:t>
      </w:r>
    </w:p>
    <w:p w14:paraId="1A1B6CFA" w14:textId="77777777" w:rsidR="00BF61A6" w:rsidRPr="007803ED" w:rsidRDefault="00BF61A6" w:rsidP="00B34100">
      <w:pPr>
        <w:spacing w:line="360" w:lineRule="auto"/>
        <w:rPr>
          <w:rFonts w:ascii="Calibri" w:hAnsi="Calibri" w:cs="Calibri"/>
          <w:b/>
          <w:bCs/>
          <w:sz w:val="24"/>
          <w:szCs w:val="24"/>
        </w:rPr>
      </w:pPr>
      <w:r w:rsidRPr="007803ED">
        <w:rPr>
          <w:rFonts w:ascii="Calibri" w:hAnsi="Calibri" w:cs="Calibri"/>
          <w:b/>
          <w:bCs/>
          <w:sz w:val="24"/>
          <w:szCs w:val="24"/>
        </w:rPr>
        <w:t>The Shadow Side of Transitions</w:t>
      </w:r>
    </w:p>
    <w:p w14:paraId="29307A9A" w14:textId="456AA1D4" w:rsidR="00BF61A6" w:rsidRDefault="00BF61A6" w:rsidP="00B34100">
      <w:pPr>
        <w:spacing w:line="360" w:lineRule="auto"/>
        <w:rPr>
          <w:rFonts w:ascii="Calibri" w:hAnsi="Calibri" w:cs="Calibri"/>
          <w:sz w:val="24"/>
          <w:szCs w:val="24"/>
        </w:rPr>
      </w:pPr>
      <w:r w:rsidRPr="00057443">
        <w:rPr>
          <w:rFonts w:ascii="Calibri" w:hAnsi="Calibri" w:cs="Calibri"/>
          <w:sz w:val="24"/>
          <w:szCs w:val="24"/>
        </w:rPr>
        <w:t xml:space="preserve">The findings overall affirmed </w:t>
      </w:r>
      <w:r>
        <w:rPr>
          <w:rFonts w:ascii="Calibri" w:hAnsi="Calibri" w:cs="Calibri"/>
          <w:sz w:val="24"/>
          <w:szCs w:val="24"/>
        </w:rPr>
        <w:t>that b</w:t>
      </w:r>
      <w:r w:rsidRPr="00372EFA">
        <w:rPr>
          <w:rFonts w:ascii="Calibri" w:hAnsi="Calibri" w:cs="Calibri"/>
          <w:sz w:val="24"/>
          <w:szCs w:val="24"/>
        </w:rPr>
        <w:t>iographical reflection (Mayes, 1998</w:t>
      </w:r>
      <w:r>
        <w:rPr>
          <w:rFonts w:ascii="Calibri" w:hAnsi="Calibri" w:cs="Calibri"/>
          <w:sz w:val="24"/>
          <w:szCs w:val="24"/>
        </w:rPr>
        <w:t>;</w:t>
      </w:r>
      <w:r w:rsidRPr="00372EFA">
        <w:rPr>
          <w:rFonts w:ascii="Calibri" w:hAnsi="Calibri" w:cs="Calibri"/>
          <w:sz w:val="24"/>
          <w:szCs w:val="24"/>
        </w:rPr>
        <w:t xml:space="preserve"> 2001</w:t>
      </w:r>
      <w:r>
        <w:rPr>
          <w:rFonts w:ascii="Calibri" w:hAnsi="Calibri" w:cs="Calibri"/>
          <w:sz w:val="24"/>
          <w:szCs w:val="24"/>
        </w:rPr>
        <w:t xml:space="preserve">; </w:t>
      </w:r>
      <w:r w:rsidRPr="00372EFA">
        <w:rPr>
          <w:rFonts w:ascii="Calibri" w:hAnsi="Calibri" w:cs="Calibri"/>
          <w:sz w:val="24"/>
          <w:szCs w:val="24"/>
        </w:rPr>
        <w:t xml:space="preserve">2007) </w:t>
      </w:r>
      <w:r>
        <w:rPr>
          <w:rFonts w:ascii="Calibri" w:hAnsi="Calibri" w:cs="Calibri"/>
          <w:sz w:val="24"/>
          <w:szCs w:val="24"/>
        </w:rPr>
        <w:t>enabled deep insights into the</w:t>
      </w:r>
      <w:r w:rsidR="00B55736">
        <w:rPr>
          <w:rFonts w:ascii="Calibri" w:hAnsi="Calibri" w:cs="Calibri"/>
          <w:sz w:val="24"/>
          <w:szCs w:val="24"/>
        </w:rPr>
        <w:t xml:space="preserve"> </w:t>
      </w:r>
      <w:r>
        <w:rPr>
          <w:rFonts w:ascii="Calibri" w:hAnsi="Calibri" w:cs="Calibri"/>
          <w:sz w:val="24"/>
          <w:szCs w:val="24"/>
        </w:rPr>
        <w:t>lived experiences</w:t>
      </w:r>
      <w:r w:rsidR="00A7756C">
        <w:rPr>
          <w:rFonts w:ascii="Calibri" w:hAnsi="Calibri" w:cs="Calibri"/>
          <w:sz w:val="24"/>
          <w:szCs w:val="24"/>
        </w:rPr>
        <w:t xml:space="preserve"> </w:t>
      </w:r>
      <w:r w:rsidR="00B55736">
        <w:rPr>
          <w:rFonts w:ascii="Calibri" w:hAnsi="Calibri" w:cs="Calibri"/>
          <w:sz w:val="24"/>
          <w:szCs w:val="24"/>
        </w:rPr>
        <w:t xml:space="preserve">of participants </w:t>
      </w:r>
      <w:r w:rsidR="00A7756C">
        <w:rPr>
          <w:rFonts w:ascii="Calibri" w:hAnsi="Calibri" w:cs="Calibri"/>
          <w:sz w:val="24"/>
          <w:szCs w:val="24"/>
        </w:rPr>
        <w:t>and</w:t>
      </w:r>
      <w:r>
        <w:rPr>
          <w:rFonts w:ascii="Calibri" w:hAnsi="Calibri" w:cs="Calibri"/>
          <w:sz w:val="24"/>
          <w:szCs w:val="24"/>
        </w:rPr>
        <w:t xml:space="preserve"> </w:t>
      </w:r>
      <w:r w:rsidRPr="00372EFA">
        <w:rPr>
          <w:rFonts w:ascii="Calibri" w:hAnsi="Calibri" w:cs="Calibri"/>
          <w:sz w:val="24"/>
          <w:szCs w:val="24"/>
        </w:rPr>
        <w:t>facilitated the naming of their magical tools</w:t>
      </w:r>
      <w:r w:rsidR="00A7756C">
        <w:rPr>
          <w:rFonts w:ascii="Calibri" w:hAnsi="Calibri" w:cs="Calibri"/>
          <w:sz w:val="24"/>
          <w:szCs w:val="24"/>
        </w:rPr>
        <w:t xml:space="preserve">, </w:t>
      </w:r>
      <w:r w:rsidRPr="00372EFA">
        <w:rPr>
          <w:rFonts w:ascii="Calibri" w:hAnsi="Calibri" w:cs="Calibri"/>
          <w:sz w:val="24"/>
          <w:szCs w:val="24"/>
        </w:rPr>
        <w:t>donors and inner, emotional journeys of their rites of passage (</w:t>
      </w:r>
      <w:r w:rsidR="00943B45">
        <w:rPr>
          <w:rFonts w:ascii="Calibri" w:hAnsi="Calibri" w:cs="Calibri"/>
          <w:sz w:val="24"/>
          <w:szCs w:val="24"/>
        </w:rPr>
        <w:t>v</w:t>
      </w:r>
      <w:r w:rsidRPr="00372EFA">
        <w:rPr>
          <w:rFonts w:ascii="Calibri" w:hAnsi="Calibri" w:cs="Calibri"/>
          <w:sz w:val="24"/>
          <w:szCs w:val="24"/>
        </w:rPr>
        <w:t>an Gennep, 1909) in</w:t>
      </w:r>
      <w:r>
        <w:rPr>
          <w:rFonts w:ascii="Calibri" w:hAnsi="Calibri" w:cs="Calibri"/>
          <w:sz w:val="24"/>
          <w:szCs w:val="24"/>
        </w:rPr>
        <w:t>to teaching</w:t>
      </w:r>
      <w:r w:rsidRPr="00372EFA">
        <w:rPr>
          <w:rFonts w:ascii="Calibri" w:hAnsi="Calibri" w:cs="Calibri"/>
          <w:sz w:val="24"/>
          <w:szCs w:val="24"/>
        </w:rPr>
        <w:t xml:space="preserve">. </w:t>
      </w:r>
      <w:r w:rsidRPr="008F0779">
        <w:rPr>
          <w:rFonts w:ascii="Calibri" w:hAnsi="Calibri" w:cs="Calibri"/>
          <w:sz w:val="24"/>
          <w:szCs w:val="24"/>
        </w:rPr>
        <w:t xml:space="preserve">Predominantly biographical reflection highlighted the hero’s journey undertaken by three adult returners and some of the more shadowy emotions </w:t>
      </w:r>
      <w:r>
        <w:rPr>
          <w:rFonts w:ascii="Calibri" w:hAnsi="Calibri" w:cs="Calibri"/>
          <w:sz w:val="24"/>
          <w:szCs w:val="24"/>
        </w:rPr>
        <w:t xml:space="preserve">they </w:t>
      </w:r>
      <w:r w:rsidRPr="008F0779">
        <w:rPr>
          <w:rFonts w:ascii="Calibri" w:hAnsi="Calibri" w:cs="Calibri"/>
          <w:sz w:val="24"/>
          <w:szCs w:val="24"/>
        </w:rPr>
        <w:t>experience</w:t>
      </w:r>
      <w:r>
        <w:rPr>
          <w:rFonts w:ascii="Calibri" w:hAnsi="Calibri" w:cs="Calibri"/>
          <w:sz w:val="24"/>
          <w:szCs w:val="24"/>
        </w:rPr>
        <w:t>d</w:t>
      </w:r>
      <w:r w:rsidRPr="008F0779">
        <w:rPr>
          <w:rFonts w:ascii="Calibri" w:hAnsi="Calibri" w:cs="Calibri"/>
          <w:sz w:val="24"/>
          <w:szCs w:val="24"/>
        </w:rPr>
        <w:t xml:space="preserve">. </w:t>
      </w:r>
    </w:p>
    <w:p w14:paraId="43DC403C" w14:textId="3A8BC1DC" w:rsidR="00BF61A6" w:rsidRPr="001C2838" w:rsidRDefault="00BF61A6" w:rsidP="00B34100">
      <w:pPr>
        <w:spacing w:line="360" w:lineRule="auto"/>
        <w:rPr>
          <w:rFonts w:ascii="Calibri" w:hAnsi="Calibri" w:cs="Calibri"/>
          <w:color w:val="EE0000"/>
          <w:sz w:val="24"/>
          <w:szCs w:val="24"/>
        </w:rPr>
      </w:pPr>
      <w:r>
        <w:rPr>
          <w:rFonts w:ascii="Calibri" w:hAnsi="Calibri" w:cs="Calibri"/>
          <w:sz w:val="24"/>
          <w:szCs w:val="24"/>
        </w:rPr>
        <w:t>H</w:t>
      </w:r>
      <w:r w:rsidRPr="00C45BAD">
        <w:rPr>
          <w:rFonts w:ascii="Calibri" w:hAnsi="Calibri" w:cs="Calibri"/>
          <w:sz w:val="24"/>
          <w:szCs w:val="24"/>
        </w:rPr>
        <w:t xml:space="preserve">eroic </w:t>
      </w:r>
      <w:r>
        <w:rPr>
          <w:rFonts w:ascii="Calibri" w:hAnsi="Calibri" w:cs="Calibri"/>
          <w:sz w:val="24"/>
          <w:szCs w:val="24"/>
        </w:rPr>
        <w:t>journeys</w:t>
      </w:r>
      <w:r w:rsidRPr="00C45BAD">
        <w:rPr>
          <w:rFonts w:ascii="Calibri" w:hAnsi="Calibri" w:cs="Calibri"/>
          <w:sz w:val="24"/>
          <w:szCs w:val="24"/>
        </w:rPr>
        <w:t xml:space="preserve"> do not always have the happy ending Cashdan (1999) describes as a joyous reconciliation, or a gala wedding ceremon</w:t>
      </w:r>
      <w:r>
        <w:rPr>
          <w:rFonts w:ascii="Calibri" w:hAnsi="Calibri" w:cs="Calibri"/>
          <w:sz w:val="24"/>
          <w:szCs w:val="24"/>
        </w:rPr>
        <w:t xml:space="preserve">y. Indeed, </w:t>
      </w:r>
      <w:r w:rsidRPr="00C45BAD">
        <w:rPr>
          <w:rFonts w:ascii="Calibri" w:hAnsi="Calibri" w:cs="Calibri"/>
          <w:sz w:val="24"/>
          <w:szCs w:val="24"/>
        </w:rPr>
        <w:t>some stories end on a tragic note</w:t>
      </w:r>
      <w:r>
        <w:rPr>
          <w:rFonts w:ascii="Calibri" w:hAnsi="Calibri" w:cs="Calibri"/>
          <w:sz w:val="24"/>
          <w:szCs w:val="24"/>
        </w:rPr>
        <w:t xml:space="preserve"> </w:t>
      </w:r>
      <w:r w:rsidRPr="00C45BAD">
        <w:rPr>
          <w:rFonts w:ascii="Calibri" w:hAnsi="Calibri" w:cs="Calibri"/>
          <w:sz w:val="24"/>
          <w:szCs w:val="24"/>
        </w:rPr>
        <w:t>(Haug</w:t>
      </w:r>
      <w:r>
        <w:rPr>
          <w:rFonts w:ascii="Calibri" w:hAnsi="Calibri" w:cs="Calibri"/>
          <w:sz w:val="24"/>
          <w:szCs w:val="24"/>
        </w:rPr>
        <w:t>a</w:t>
      </w:r>
      <w:r w:rsidRPr="00C45BAD">
        <w:rPr>
          <w:rFonts w:ascii="Calibri" w:hAnsi="Calibri" w:cs="Calibri"/>
          <w:sz w:val="24"/>
          <w:szCs w:val="24"/>
        </w:rPr>
        <w:t xml:space="preserve">ard, 1978). </w:t>
      </w:r>
      <w:r>
        <w:rPr>
          <w:rFonts w:ascii="Calibri" w:hAnsi="Calibri" w:cs="Calibri"/>
          <w:sz w:val="24"/>
          <w:szCs w:val="24"/>
        </w:rPr>
        <w:t xml:space="preserve">By applying </w:t>
      </w:r>
      <w:r w:rsidRPr="00C45BAD">
        <w:rPr>
          <w:rFonts w:ascii="Calibri" w:hAnsi="Calibri" w:cs="Calibri"/>
          <w:sz w:val="24"/>
          <w:szCs w:val="24"/>
        </w:rPr>
        <w:t xml:space="preserve">biographical reflectivity </w:t>
      </w:r>
      <w:r>
        <w:rPr>
          <w:rFonts w:ascii="Calibri" w:hAnsi="Calibri" w:cs="Calibri"/>
          <w:sz w:val="24"/>
          <w:szCs w:val="24"/>
        </w:rPr>
        <w:t xml:space="preserve">to the </w:t>
      </w:r>
      <w:r w:rsidRPr="00C45BAD">
        <w:rPr>
          <w:rFonts w:ascii="Calibri" w:hAnsi="Calibri" w:cs="Calibri"/>
          <w:sz w:val="24"/>
          <w:szCs w:val="24"/>
        </w:rPr>
        <w:t>process o</w:t>
      </w:r>
      <w:r>
        <w:rPr>
          <w:rFonts w:ascii="Calibri" w:hAnsi="Calibri" w:cs="Calibri"/>
          <w:sz w:val="24"/>
          <w:szCs w:val="24"/>
        </w:rPr>
        <w:t xml:space="preserve">f </w:t>
      </w:r>
      <w:r w:rsidRPr="00C45BAD">
        <w:rPr>
          <w:rFonts w:ascii="Calibri" w:hAnsi="Calibri" w:cs="Calibri"/>
          <w:sz w:val="24"/>
          <w:szCs w:val="24"/>
        </w:rPr>
        <w:t xml:space="preserve">the journeys undertaken, </w:t>
      </w:r>
      <w:r>
        <w:rPr>
          <w:rFonts w:ascii="Calibri" w:hAnsi="Calibri" w:cs="Calibri"/>
          <w:sz w:val="24"/>
          <w:szCs w:val="24"/>
        </w:rPr>
        <w:t xml:space="preserve">the three adult returners named </w:t>
      </w:r>
      <w:r w:rsidRPr="00C45BAD">
        <w:rPr>
          <w:rFonts w:ascii="Calibri" w:hAnsi="Calibri" w:cs="Calibri"/>
          <w:sz w:val="24"/>
          <w:szCs w:val="24"/>
        </w:rPr>
        <w:t>the dangers they faced</w:t>
      </w:r>
      <w:r>
        <w:rPr>
          <w:rFonts w:ascii="Calibri" w:hAnsi="Calibri" w:cs="Calibri"/>
          <w:sz w:val="24"/>
          <w:szCs w:val="24"/>
        </w:rPr>
        <w:t xml:space="preserve">, </w:t>
      </w:r>
      <w:r w:rsidRPr="00C45BAD">
        <w:rPr>
          <w:rFonts w:ascii="Calibri" w:hAnsi="Calibri" w:cs="Calibri"/>
          <w:sz w:val="24"/>
          <w:szCs w:val="24"/>
        </w:rPr>
        <w:t>how they overcame them and th</w:t>
      </w:r>
      <w:r>
        <w:rPr>
          <w:rFonts w:ascii="Calibri" w:hAnsi="Calibri" w:cs="Calibri"/>
          <w:sz w:val="24"/>
          <w:szCs w:val="24"/>
        </w:rPr>
        <w:t xml:space="preserve">e fact that they were </w:t>
      </w:r>
      <w:r w:rsidRPr="00C45BAD">
        <w:rPr>
          <w:rFonts w:ascii="Calibri" w:hAnsi="Calibri" w:cs="Calibri"/>
          <w:sz w:val="24"/>
          <w:szCs w:val="24"/>
        </w:rPr>
        <w:t xml:space="preserve">able to bestow </w:t>
      </w:r>
      <w:r>
        <w:rPr>
          <w:rFonts w:ascii="Calibri" w:hAnsi="Calibri" w:cs="Calibri"/>
          <w:sz w:val="24"/>
          <w:szCs w:val="24"/>
        </w:rPr>
        <w:t xml:space="preserve">their </w:t>
      </w:r>
      <w:r w:rsidRPr="00C45BAD">
        <w:rPr>
          <w:rFonts w:ascii="Calibri" w:hAnsi="Calibri" w:cs="Calibri"/>
          <w:sz w:val="24"/>
          <w:szCs w:val="24"/>
        </w:rPr>
        <w:t>boons</w:t>
      </w:r>
      <w:r>
        <w:rPr>
          <w:rFonts w:ascii="Calibri" w:hAnsi="Calibri" w:cs="Calibri"/>
          <w:sz w:val="24"/>
          <w:szCs w:val="24"/>
        </w:rPr>
        <w:t xml:space="preserve"> (Campbell, 1949) </w:t>
      </w:r>
      <w:r w:rsidRPr="00C45BAD">
        <w:rPr>
          <w:rFonts w:ascii="Calibri" w:hAnsi="Calibri" w:cs="Calibri"/>
          <w:sz w:val="24"/>
          <w:szCs w:val="24"/>
        </w:rPr>
        <w:t xml:space="preserve">on the wider community of teaching. </w:t>
      </w:r>
      <w:r>
        <w:rPr>
          <w:rFonts w:ascii="Calibri" w:hAnsi="Calibri" w:cs="Calibri"/>
          <w:sz w:val="24"/>
          <w:szCs w:val="24"/>
        </w:rPr>
        <w:t xml:space="preserve">Acknowledging her teacher training journey was difficult, Mo realised her </w:t>
      </w:r>
      <w:r w:rsidRPr="00C45BAD">
        <w:rPr>
          <w:rFonts w:ascii="Calibri" w:hAnsi="Calibri" w:cs="Calibri"/>
          <w:sz w:val="24"/>
          <w:szCs w:val="24"/>
        </w:rPr>
        <w:t xml:space="preserve">experiences had </w:t>
      </w:r>
      <w:r>
        <w:rPr>
          <w:rFonts w:ascii="Calibri" w:hAnsi="Calibri" w:cs="Calibri"/>
          <w:sz w:val="24"/>
          <w:szCs w:val="24"/>
        </w:rPr>
        <w:t xml:space="preserve">positively </w:t>
      </w:r>
      <w:r w:rsidRPr="00C45BAD">
        <w:rPr>
          <w:rFonts w:ascii="Calibri" w:hAnsi="Calibri" w:cs="Calibri"/>
          <w:sz w:val="24"/>
          <w:szCs w:val="24"/>
        </w:rPr>
        <w:t xml:space="preserve">influenced her current role as </w:t>
      </w:r>
      <w:r w:rsidR="008530DC">
        <w:rPr>
          <w:rFonts w:ascii="Calibri" w:hAnsi="Calibri" w:cs="Calibri"/>
          <w:sz w:val="24"/>
          <w:szCs w:val="24"/>
        </w:rPr>
        <w:t xml:space="preserve">a </w:t>
      </w:r>
      <w:r w:rsidRPr="00C45BAD">
        <w:rPr>
          <w:rFonts w:ascii="Calibri" w:hAnsi="Calibri" w:cs="Calibri"/>
          <w:sz w:val="24"/>
          <w:szCs w:val="24"/>
        </w:rPr>
        <w:t>teacher trainer and enhanced her knowledge and understanding</w:t>
      </w:r>
      <w:r>
        <w:rPr>
          <w:rFonts w:ascii="Calibri" w:hAnsi="Calibri" w:cs="Calibri"/>
          <w:sz w:val="24"/>
          <w:szCs w:val="24"/>
        </w:rPr>
        <w:t xml:space="preserve"> (T1; T2)</w:t>
      </w:r>
      <w:r w:rsidRPr="00C45BAD">
        <w:rPr>
          <w:rFonts w:ascii="Calibri" w:hAnsi="Calibri" w:cs="Calibri"/>
          <w:sz w:val="24"/>
          <w:szCs w:val="24"/>
        </w:rPr>
        <w:t xml:space="preserve">. Liz </w:t>
      </w:r>
      <w:r>
        <w:rPr>
          <w:rFonts w:ascii="Calibri" w:hAnsi="Calibri" w:cs="Calibri"/>
          <w:sz w:val="24"/>
          <w:szCs w:val="24"/>
        </w:rPr>
        <w:t>turned her anger at the hypocrisy of her teacher trainers into</w:t>
      </w:r>
      <w:r w:rsidRPr="00C45BAD">
        <w:rPr>
          <w:rFonts w:ascii="Calibri" w:hAnsi="Calibri" w:cs="Calibri"/>
          <w:sz w:val="24"/>
          <w:szCs w:val="24"/>
        </w:rPr>
        <w:t xml:space="preserve"> a passionate commitment</w:t>
      </w:r>
      <w:r w:rsidR="00CD70C0">
        <w:rPr>
          <w:rFonts w:ascii="Calibri" w:hAnsi="Calibri" w:cs="Calibri"/>
          <w:sz w:val="24"/>
          <w:szCs w:val="24"/>
        </w:rPr>
        <w:t xml:space="preserve"> to her </w:t>
      </w:r>
      <w:r w:rsidR="006776CB">
        <w:rPr>
          <w:rFonts w:ascii="Calibri" w:hAnsi="Calibri" w:cs="Calibri"/>
          <w:sz w:val="24"/>
          <w:szCs w:val="24"/>
        </w:rPr>
        <w:t>students</w:t>
      </w:r>
      <w:r w:rsidR="00CD70C0">
        <w:rPr>
          <w:rFonts w:ascii="Calibri" w:hAnsi="Calibri" w:cs="Calibri"/>
          <w:sz w:val="24"/>
          <w:szCs w:val="24"/>
        </w:rPr>
        <w:t xml:space="preserve"> </w:t>
      </w:r>
      <w:r w:rsidR="006776CB">
        <w:rPr>
          <w:rFonts w:ascii="Calibri" w:hAnsi="Calibri" w:cs="Calibri"/>
          <w:sz w:val="24"/>
          <w:szCs w:val="24"/>
        </w:rPr>
        <w:t xml:space="preserve">by </w:t>
      </w:r>
      <w:r>
        <w:rPr>
          <w:rFonts w:ascii="Calibri" w:hAnsi="Calibri" w:cs="Calibri"/>
          <w:sz w:val="24"/>
          <w:szCs w:val="24"/>
        </w:rPr>
        <w:t>conduct</w:t>
      </w:r>
      <w:r w:rsidR="006776CB">
        <w:rPr>
          <w:rFonts w:ascii="Calibri" w:hAnsi="Calibri" w:cs="Calibri"/>
          <w:sz w:val="24"/>
          <w:szCs w:val="24"/>
        </w:rPr>
        <w:t>ing</w:t>
      </w:r>
      <w:r>
        <w:rPr>
          <w:rFonts w:ascii="Calibri" w:hAnsi="Calibri" w:cs="Calibri"/>
          <w:sz w:val="24"/>
          <w:szCs w:val="24"/>
        </w:rPr>
        <w:t xml:space="preserve"> </w:t>
      </w:r>
      <w:r w:rsidRPr="00C45BAD">
        <w:rPr>
          <w:rFonts w:ascii="Calibri" w:hAnsi="Calibri" w:cs="Calibri"/>
          <w:sz w:val="24"/>
          <w:szCs w:val="24"/>
        </w:rPr>
        <w:t>research</w:t>
      </w:r>
      <w:r>
        <w:rPr>
          <w:rFonts w:ascii="Calibri" w:hAnsi="Calibri" w:cs="Calibri"/>
          <w:sz w:val="24"/>
          <w:szCs w:val="24"/>
        </w:rPr>
        <w:t xml:space="preserve"> into </w:t>
      </w:r>
      <w:r w:rsidRPr="00C45BAD">
        <w:rPr>
          <w:rFonts w:ascii="Calibri" w:hAnsi="Calibri" w:cs="Calibri"/>
          <w:sz w:val="24"/>
          <w:szCs w:val="24"/>
        </w:rPr>
        <w:t xml:space="preserve">compassion </w:t>
      </w:r>
      <w:r>
        <w:rPr>
          <w:rFonts w:ascii="Calibri" w:hAnsi="Calibri" w:cs="Calibri"/>
          <w:sz w:val="24"/>
          <w:szCs w:val="24"/>
        </w:rPr>
        <w:t xml:space="preserve">as </w:t>
      </w:r>
      <w:r w:rsidRPr="00C45BAD">
        <w:rPr>
          <w:rFonts w:ascii="Calibri" w:hAnsi="Calibri" w:cs="Calibri"/>
          <w:sz w:val="24"/>
          <w:szCs w:val="24"/>
        </w:rPr>
        <w:t>an antidote to the well-being crisis in education</w:t>
      </w:r>
      <w:r>
        <w:rPr>
          <w:rFonts w:ascii="Calibri" w:hAnsi="Calibri" w:cs="Calibri"/>
          <w:sz w:val="24"/>
          <w:szCs w:val="24"/>
        </w:rPr>
        <w:t xml:space="preserve"> (T1)</w:t>
      </w:r>
      <w:r w:rsidRPr="00C45BAD">
        <w:rPr>
          <w:rFonts w:ascii="Calibri" w:hAnsi="Calibri" w:cs="Calibri"/>
          <w:sz w:val="24"/>
          <w:szCs w:val="24"/>
        </w:rPr>
        <w:t xml:space="preserve">. Jenko </w:t>
      </w:r>
      <w:r>
        <w:rPr>
          <w:rFonts w:ascii="Calibri" w:hAnsi="Calibri" w:cs="Calibri"/>
          <w:sz w:val="24"/>
          <w:szCs w:val="24"/>
        </w:rPr>
        <w:t xml:space="preserve">reported learning </w:t>
      </w:r>
      <w:r w:rsidRPr="00C45BAD">
        <w:rPr>
          <w:rFonts w:ascii="Calibri" w:hAnsi="Calibri" w:cs="Calibri"/>
          <w:sz w:val="24"/>
          <w:szCs w:val="24"/>
        </w:rPr>
        <w:t>valuable lesson</w:t>
      </w:r>
      <w:r>
        <w:rPr>
          <w:rFonts w:ascii="Calibri" w:hAnsi="Calibri" w:cs="Calibri"/>
          <w:sz w:val="24"/>
          <w:szCs w:val="24"/>
        </w:rPr>
        <w:t>s</w:t>
      </w:r>
      <w:r w:rsidRPr="00C45BAD">
        <w:rPr>
          <w:rFonts w:ascii="Calibri" w:hAnsi="Calibri" w:cs="Calibri"/>
          <w:sz w:val="24"/>
          <w:szCs w:val="24"/>
        </w:rPr>
        <w:t xml:space="preserve"> on his teaching journey</w:t>
      </w:r>
      <w:r>
        <w:rPr>
          <w:rFonts w:ascii="Calibri" w:hAnsi="Calibri" w:cs="Calibri"/>
          <w:sz w:val="24"/>
          <w:szCs w:val="24"/>
        </w:rPr>
        <w:t xml:space="preserve"> such as</w:t>
      </w:r>
      <w:r w:rsidRPr="00C45BAD">
        <w:rPr>
          <w:rFonts w:ascii="Calibri" w:hAnsi="Calibri" w:cs="Calibri"/>
          <w:sz w:val="24"/>
          <w:szCs w:val="24"/>
        </w:rPr>
        <w:t xml:space="preserve"> being honest with his students and the importance of fostering emotional attachment to them and the material taught</w:t>
      </w:r>
      <w:r>
        <w:rPr>
          <w:rFonts w:ascii="Calibri" w:hAnsi="Calibri" w:cs="Calibri"/>
          <w:sz w:val="24"/>
          <w:szCs w:val="24"/>
        </w:rPr>
        <w:t xml:space="preserve"> (T2)</w:t>
      </w:r>
      <w:r w:rsidRPr="00C45BAD">
        <w:rPr>
          <w:rFonts w:ascii="Calibri" w:hAnsi="Calibri" w:cs="Calibri"/>
          <w:sz w:val="24"/>
          <w:szCs w:val="24"/>
        </w:rPr>
        <w:t xml:space="preserve">. </w:t>
      </w:r>
      <w:r>
        <w:rPr>
          <w:rFonts w:ascii="Calibri" w:hAnsi="Calibri" w:cs="Calibri"/>
          <w:sz w:val="24"/>
          <w:szCs w:val="24"/>
        </w:rPr>
        <w:t xml:space="preserve">These heroic journeys are briefly captured </w:t>
      </w:r>
      <w:r w:rsidR="001B12C7">
        <w:rPr>
          <w:rFonts w:ascii="Calibri" w:hAnsi="Calibri" w:cs="Calibri"/>
          <w:sz w:val="24"/>
          <w:szCs w:val="24"/>
        </w:rPr>
        <w:t xml:space="preserve">in </w:t>
      </w:r>
      <w:r>
        <w:rPr>
          <w:rFonts w:ascii="Calibri" w:hAnsi="Calibri" w:cs="Calibri"/>
          <w:sz w:val="24"/>
          <w:szCs w:val="24"/>
        </w:rPr>
        <w:t xml:space="preserve">Figure </w:t>
      </w:r>
      <w:r w:rsidR="00873F94">
        <w:rPr>
          <w:rFonts w:ascii="Calibri" w:hAnsi="Calibri" w:cs="Calibri"/>
          <w:sz w:val="24"/>
          <w:szCs w:val="24"/>
        </w:rPr>
        <w:t>9</w:t>
      </w:r>
      <w:r w:rsidR="001B12C7">
        <w:rPr>
          <w:rFonts w:ascii="Calibri" w:hAnsi="Calibri" w:cs="Calibri"/>
          <w:sz w:val="24"/>
          <w:szCs w:val="24"/>
        </w:rPr>
        <w:t xml:space="preserve"> (p.190</w:t>
      </w:r>
      <w:r>
        <w:rPr>
          <w:rFonts w:ascii="Calibri" w:hAnsi="Calibri" w:cs="Calibri"/>
          <w:sz w:val="24"/>
          <w:szCs w:val="24"/>
        </w:rPr>
        <w:t>)</w:t>
      </w:r>
      <w:r w:rsidR="005C55D3">
        <w:rPr>
          <w:rFonts w:ascii="Calibri" w:hAnsi="Calibri" w:cs="Calibri"/>
          <w:sz w:val="24"/>
          <w:szCs w:val="24"/>
        </w:rPr>
        <w:t xml:space="preserve"> </w:t>
      </w:r>
      <w:r>
        <w:rPr>
          <w:rFonts w:ascii="Calibri" w:hAnsi="Calibri" w:cs="Calibri"/>
          <w:sz w:val="24"/>
          <w:szCs w:val="24"/>
        </w:rPr>
        <w:t xml:space="preserve">: </w:t>
      </w:r>
    </w:p>
    <w:p w14:paraId="739912EA" w14:textId="77777777" w:rsidR="00BF61A6" w:rsidRDefault="00BF61A6" w:rsidP="00CF1B2D">
      <w:pPr>
        <w:rPr>
          <w:rFonts w:ascii="Calibri" w:hAnsi="Calibri" w:cs="Calibri"/>
          <w:color w:val="EE0000"/>
          <w:sz w:val="24"/>
          <w:szCs w:val="24"/>
        </w:rPr>
      </w:pPr>
      <w:r>
        <w:rPr>
          <w:rFonts w:ascii="Calibri" w:hAnsi="Calibri" w:cs="Calibri"/>
          <w:noProof/>
          <w:color w:val="EE0000"/>
          <w:sz w:val="24"/>
          <w:szCs w:val="24"/>
        </w:rPr>
        <w:lastRenderedPageBreak/>
        <w:drawing>
          <wp:inline distT="0" distB="0" distL="0" distR="0" wp14:anchorId="68D7BCB1" wp14:editId="376ED32E">
            <wp:extent cx="5600700" cy="3646170"/>
            <wp:effectExtent l="0" t="0" r="0" b="11430"/>
            <wp:docPr id="97123650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2778209" w14:textId="4BEB37D5" w:rsidR="00BF61A6" w:rsidRPr="00D834B0" w:rsidRDefault="00BF61A6" w:rsidP="00A43F58">
      <w:pPr>
        <w:spacing w:line="360" w:lineRule="auto"/>
        <w:rPr>
          <w:rFonts w:ascii="Calibri" w:hAnsi="Calibri" w:cs="Calibri"/>
          <w:i/>
          <w:iCs/>
          <w:sz w:val="24"/>
          <w:szCs w:val="24"/>
        </w:rPr>
      </w:pPr>
      <w:r w:rsidRPr="00D834B0">
        <w:rPr>
          <w:rFonts w:ascii="Calibri" w:hAnsi="Calibri" w:cs="Calibri"/>
          <w:i/>
          <w:iCs/>
          <w:sz w:val="24"/>
          <w:szCs w:val="24"/>
        </w:rPr>
        <w:t xml:space="preserve">Figure </w:t>
      </w:r>
      <w:r w:rsidR="00873F94">
        <w:rPr>
          <w:rFonts w:ascii="Calibri" w:hAnsi="Calibri" w:cs="Calibri"/>
          <w:i/>
          <w:iCs/>
          <w:sz w:val="24"/>
          <w:szCs w:val="24"/>
        </w:rPr>
        <w:t>9</w:t>
      </w:r>
      <w:r w:rsidRPr="00D834B0">
        <w:rPr>
          <w:rFonts w:ascii="Calibri" w:hAnsi="Calibri" w:cs="Calibri"/>
          <w:i/>
          <w:iCs/>
          <w:sz w:val="24"/>
          <w:szCs w:val="24"/>
        </w:rPr>
        <w:t>: The shadow side of an individuation journey and the positive lessons learnt</w:t>
      </w:r>
    </w:p>
    <w:p w14:paraId="4DC463D1" w14:textId="503A29D1" w:rsidR="00BF61A6" w:rsidRDefault="00BF61A6" w:rsidP="00B34100">
      <w:pPr>
        <w:spacing w:line="360" w:lineRule="auto"/>
        <w:rPr>
          <w:rFonts w:ascii="Calibri" w:hAnsi="Calibri" w:cs="Calibri"/>
          <w:sz w:val="24"/>
          <w:szCs w:val="24"/>
        </w:rPr>
      </w:pPr>
      <w:r w:rsidRPr="00372EFA">
        <w:rPr>
          <w:rFonts w:ascii="Calibri" w:hAnsi="Calibri" w:cs="Calibri"/>
          <w:sz w:val="24"/>
          <w:szCs w:val="24"/>
        </w:rPr>
        <w:t>One of the dangers encountered by these participants was confusion born of uncertainty</w:t>
      </w:r>
      <w:r w:rsidR="00245C5A">
        <w:rPr>
          <w:rFonts w:ascii="Calibri" w:hAnsi="Calibri" w:cs="Calibri"/>
          <w:sz w:val="24"/>
          <w:szCs w:val="24"/>
        </w:rPr>
        <w:t>.</w:t>
      </w:r>
      <w:r>
        <w:rPr>
          <w:rFonts w:ascii="Calibri" w:hAnsi="Calibri" w:cs="Calibri"/>
          <w:sz w:val="24"/>
          <w:szCs w:val="24"/>
        </w:rPr>
        <w:t xml:space="preserve"> </w:t>
      </w:r>
      <w:r w:rsidR="00245C5A">
        <w:rPr>
          <w:rFonts w:ascii="Calibri" w:hAnsi="Calibri" w:cs="Calibri"/>
          <w:sz w:val="24"/>
          <w:szCs w:val="24"/>
        </w:rPr>
        <w:t xml:space="preserve">Uncertainty </w:t>
      </w:r>
      <w:r w:rsidR="00862FB0">
        <w:rPr>
          <w:rFonts w:ascii="Calibri" w:hAnsi="Calibri" w:cs="Calibri"/>
          <w:sz w:val="24"/>
          <w:szCs w:val="24"/>
        </w:rPr>
        <w:t>is</w:t>
      </w:r>
      <w:r>
        <w:rPr>
          <w:rFonts w:ascii="Calibri" w:hAnsi="Calibri" w:cs="Calibri"/>
          <w:sz w:val="24"/>
          <w:szCs w:val="24"/>
        </w:rPr>
        <w:t xml:space="preserve"> thought to be </w:t>
      </w:r>
      <w:r w:rsidRPr="00372EFA">
        <w:rPr>
          <w:rFonts w:ascii="Calibri" w:hAnsi="Calibri" w:cs="Calibri"/>
          <w:sz w:val="24"/>
          <w:szCs w:val="24"/>
        </w:rPr>
        <w:t xml:space="preserve">best supported by another who can tolerate </w:t>
      </w:r>
      <w:r>
        <w:rPr>
          <w:rFonts w:ascii="Calibri" w:hAnsi="Calibri" w:cs="Calibri"/>
          <w:sz w:val="24"/>
          <w:szCs w:val="24"/>
        </w:rPr>
        <w:t xml:space="preserve">and model being in </w:t>
      </w:r>
      <w:r w:rsidRPr="00372EFA">
        <w:rPr>
          <w:rFonts w:ascii="Calibri" w:hAnsi="Calibri" w:cs="Calibri"/>
          <w:sz w:val="24"/>
          <w:szCs w:val="24"/>
        </w:rPr>
        <w:t xml:space="preserve">uncertainty (Keith </w:t>
      </w:r>
      <w:r w:rsidR="00FB3A6E" w:rsidRPr="00FB3A6E">
        <w:rPr>
          <w:rFonts w:ascii="Calibri" w:hAnsi="Calibri" w:cs="Calibri"/>
          <w:i/>
          <w:sz w:val="24"/>
          <w:szCs w:val="24"/>
        </w:rPr>
        <w:t>et al.</w:t>
      </w:r>
      <w:r w:rsidRPr="00372EFA">
        <w:rPr>
          <w:rFonts w:ascii="Calibri" w:hAnsi="Calibri" w:cs="Calibri"/>
          <w:sz w:val="24"/>
          <w:szCs w:val="24"/>
        </w:rPr>
        <w:t>, 1993</w:t>
      </w:r>
      <w:r>
        <w:rPr>
          <w:rFonts w:ascii="Calibri" w:hAnsi="Calibri" w:cs="Calibri"/>
          <w:sz w:val="24"/>
          <w:szCs w:val="24"/>
        </w:rPr>
        <w:t xml:space="preserve">; </w:t>
      </w:r>
      <w:r w:rsidRPr="00372EFA">
        <w:rPr>
          <w:rFonts w:ascii="Calibri" w:hAnsi="Calibri" w:cs="Calibri"/>
          <w:sz w:val="24"/>
          <w:szCs w:val="24"/>
        </w:rPr>
        <w:t xml:space="preserve">Omand, 2010). </w:t>
      </w:r>
      <w:r>
        <w:rPr>
          <w:rFonts w:ascii="Calibri" w:hAnsi="Calibri" w:cs="Calibri"/>
          <w:sz w:val="24"/>
          <w:szCs w:val="24"/>
        </w:rPr>
        <w:t xml:space="preserve">For these participants uncertainty was neither noticed nor held </w:t>
      </w:r>
      <w:r w:rsidR="00104C59">
        <w:rPr>
          <w:rFonts w:ascii="Calibri" w:hAnsi="Calibri" w:cs="Calibri"/>
          <w:sz w:val="24"/>
          <w:szCs w:val="24"/>
        </w:rPr>
        <w:t xml:space="preserve">by their teacher trainers </w:t>
      </w:r>
      <w:r>
        <w:rPr>
          <w:rFonts w:ascii="Calibri" w:hAnsi="Calibri" w:cs="Calibri"/>
          <w:sz w:val="24"/>
          <w:szCs w:val="24"/>
        </w:rPr>
        <w:t>which contributed to the ardour in their teacher training journeys. Mo reported being uncertain due to a lack of her understanding of requirements which left her feeling alone and isolated (T1; T2). A harrowing journey, she speaks of the importance of providing one-to</w:t>
      </w:r>
      <w:r w:rsidR="00377672">
        <w:rPr>
          <w:rFonts w:ascii="Calibri" w:hAnsi="Calibri" w:cs="Calibri"/>
          <w:sz w:val="24"/>
          <w:szCs w:val="24"/>
        </w:rPr>
        <w:t>-</w:t>
      </w:r>
      <w:r>
        <w:rPr>
          <w:rFonts w:ascii="Calibri" w:hAnsi="Calibri" w:cs="Calibri"/>
          <w:sz w:val="24"/>
          <w:szCs w:val="24"/>
        </w:rPr>
        <w:t>one support for students thus holding uncertainty for them (</w:t>
      </w:r>
      <w:r w:rsidR="00AB1ADC">
        <w:rPr>
          <w:rFonts w:ascii="Calibri" w:hAnsi="Calibri" w:cs="Calibri"/>
          <w:sz w:val="24"/>
          <w:szCs w:val="24"/>
        </w:rPr>
        <w:t>ibid.</w:t>
      </w:r>
      <w:r>
        <w:rPr>
          <w:rFonts w:ascii="Calibri" w:hAnsi="Calibri" w:cs="Calibri"/>
          <w:sz w:val="24"/>
          <w:szCs w:val="24"/>
        </w:rPr>
        <w:t xml:space="preserve">).  Jenko experienced a culture shock, and the journey was frightening (T1). Liz had </w:t>
      </w:r>
      <w:r w:rsidR="00A27F63">
        <w:rPr>
          <w:rFonts w:ascii="Calibri" w:hAnsi="Calibri" w:cs="Calibri"/>
          <w:sz w:val="24"/>
          <w:szCs w:val="24"/>
        </w:rPr>
        <w:t>“</w:t>
      </w:r>
      <w:r>
        <w:rPr>
          <w:rFonts w:ascii="Calibri" w:hAnsi="Calibri" w:cs="Calibri"/>
          <w:sz w:val="24"/>
          <w:szCs w:val="24"/>
        </w:rPr>
        <w:t>awful</w:t>
      </w:r>
      <w:r w:rsidR="00A27F63">
        <w:rPr>
          <w:rFonts w:ascii="Calibri" w:hAnsi="Calibri" w:cs="Calibri"/>
          <w:sz w:val="24"/>
          <w:szCs w:val="24"/>
        </w:rPr>
        <w:t xml:space="preserve">” </w:t>
      </w:r>
      <w:r>
        <w:rPr>
          <w:rFonts w:ascii="Calibri" w:hAnsi="Calibri" w:cs="Calibri"/>
          <w:sz w:val="24"/>
          <w:szCs w:val="24"/>
        </w:rPr>
        <w:t xml:space="preserve">experiences mainly due to the hypocrisy of the lack of modelling by her teachers of the teaching practices taught (T1). Later in the interview, she questioned if she was valued as an educator which suggests that her lack of being seen continues </w:t>
      </w:r>
      <w:r w:rsidR="00AC3C82">
        <w:rPr>
          <w:rFonts w:ascii="Calibri" w:hAnsi="Calibri" w:cs="Calibri"/>
          <w:sz w:val="24"/>
          <w:szCs w:val="24"/>
        </w:rPr>
        <w:t>as a qualified teacher</w:t>
      </w:r>
      <w:r w:rsidR="00972FC0">
        <w:rPr>
          <w:rFonts w:ascii="Calibri" w:hAnsi="Calibri" w:cs="Calibri"/>
          <w:sz w:val="24"/>
          <w:szCs w:val="24"/>
        </w:rPr>
        <w:t xml:space="preserve"> </w:t>
      </w:r>
      <w:r>
        <w:rPr>
          <w:rFonts w:ascii="Calibri" w:hAnsi="Calibri" w:cs="Calibri"/>
          <w:sz w:val="24"/>
          <w:szCs w:val="24"/>
        </w:rPr>
        <w:t>(</w:t>
      </w:r>
      <w:r w:rsidR="00AB1ADC">
        <w:rPr>
          <w:rFonts w:ascii="Calibri" w:hAnsi="Calibri" w:cs="Calibri"/>
          <w:sz w:val="24"/>
          <w:szCs w:val="24"/>
        </w:rPr>
        <w:t>ibid.</w:t>
      </w:r>
      <w:r>
        <w:rPr>
          <w:rFonts w:ascii="Calibri" w:hAnsi="Calibri" w:cs="Calibri"/>
          <w:sz w:val="24"/>
          <w:szCs w:val="24"/>
        </w:rPr>
        <w:t>). All three participants were immersed in an individuation journey replete with obstacles.</w:t>
      </w:r>
    </w:p>
    <w:p w14:paraId="4F9FDBB1" w14:textId="5354897E" w:rsidR="006063FA" w:rsidRPr="00963CE5" w:rsidRDefault="008C4D83" w:rsidP="00963CE5">
      <w:pPr>
        <w:spacing w:line="360" w:lineRule="auto"/>
        <w:ind w:firstLine="720"/>
        <w:rPr>
          <w:rFonts w:ascii="Calibri" w:hAnsi="Calibri" w:cs="Calibri"/>
          <w:b/>
          <w:bCs/>
          <w:i/>
          <w:iCs/>
        </w:rPr>
      </w:pPr>
      <w:r w:rsidRPr="00963CE5">
        <w:rPr>
          <w:rFonts w:ascii="Calibri" w:hAnsi="Calibri" w:cs="Calibri"/>
          <w:b/>
          <w:bCs/>
          <w:i/>
          <w:iCs/>
          <w:sz w:val="24"/>
          <w:szCs w:val="24"/>
        </w:rPr>
        <w:t>Biographical re</w:t>
      </w:r>
      <w:r w:rsidR="000968B4" w:rsidRPr="00963CE5">
        <w:rPr>
          <w:rFonts w:ascii="Calibri" w:hAnsi="Calibri" w:cs="Calibri"/>
          <w:b/>
          <w:bCs/>
          <w:i/>
          <w:iCs/>
          <w:sz w:val="24"/>
          <w:szCs w:val="24"/>
        </w:rPr>
        <w:t>f</w:t>
      </w:r>
      <w:r w:rsidRPr="00963CE5">
        <w:rPr>
          <w:rFonts w:ascii="Calibri" w:hAnsi="Calibri" w:cs="Calibri"/>
          <w:b/>
          <w:bCs/>
          <w:i/>
          <w:iCs/>
          <w:sz w:val="24"/>
          <w:szCs w:val="24"/>
        </w:rPr>
        <w:t>lecti</w:t>
      </w:r>
      <w:r w:rsidR="000968B4" w:rsidRPr="00963CE5">
        <w:rPr>
          <w:rFonts w:ascii="Calibri" w:hAnsi="Calibri" w:cs="Calibri"/>
          <w:b/>
          <w:bCs/>
          <w:i/>
          <w:iCs/>
          <w:sz w:val="24"/>
          <w:szCs w:val="24"/>
        </w:rPr>
        <w:t>on</w:t>
      </w:r>
    </w:p>
    <w:p w14:paraId="02362CE2" w14:textId="7CDCEE36" w:rsidR="00BF61A6" w:rsidRDefault="00BF61A6" w:rsidP="00B34100">
      <w:pPr>
        <w:spacing w:line="360" w:lineRule="auto"/>
        <w:rPr>
          <w:rFonts w:ascii="Calibri" w:hAnsi="Calibri" w:cs="Calibri"/>
          <w:sz w:val="24"/>
          <w:szCs w:val="24"/>
        </w:rPr>
      </w:pPr>
      <w:r>
        <w:rPr>
          <w:rFonts w:ascii="Calibri" w:hAnsi="Calibri" w:cs="Calibri"/>
          <w:sz w:val="24"/>
          <w:szCs w:val="24"/>
        </w:rPr>
        <w:t>T</w:t>
      </w:r>
      <w:r w:rsidRPr="00372EFA">
        <w:rPr>
          <w:rFonts w:ascii="Calibri" w:hAnsi="Calibri" w:cs="Calibri"/>
          <w:sz w:val="24"/>
          <w:szCs w:val="24"/>
        </w:rPr>
        <w:t>he purpose of reflecting biographically is to attain greater self-awareness leading to greater emotional fulfilment (Mayes, 2007) and improvements in future praxis</w:t>
      </w:r>
      <w:r>
        <w:rPr>
          <w:rFonts w:ascii="Calibri" w:hAnsi="Calibri" w:cs="Calibri"/>
          <w:sz w:val="24"/>
          <w:szCs w:val="24"/>
        </w:rPr>
        <w:t xml:space="preserve">. This </w:t>
      </w:r>
      <w:r w:rsidRPr="00372EFA">
        <w:rPr>
          <w:rFonts w:ascii="Calibri" w:hAnsi="Calibri" w:cs="Calibri"/>
          <w:sz w:val="24"/>
          <w:szCs w:val="24"/>
        </w:rPr>
        <w:t xml:space="preserve">came </w:t>
      </w:r>
      <w:r>
        <w:rPr>
          <w:rFonts w:ascii="Calibri" w:hAnsi="Calibri" w:cs="Calibri"/>
          <w:sz w:val="24"/>
          <w:szCs w:val="24"/>
        </w:rPr>
        <w:lastRenderedPageBreak/>
        <w:t xml:space="preserve">for these participants </w:t>
      </w:r>
      <w:r w:rsidRPr="00372EFA">
        <w:rPr>
          <w:rFonts w:ascii="Calibri" w:hAnsi="Calibri" w:cs="Calibri"/>
          <w:sz w:val="24"/>
          <w:szCs w:val="24"/>
        </w:rPr>
        <w:t xml:space="preserve">many years </w:t>
      </w:r>
      <w:r>
        <w:rPr>
          <w:rFonts w:ascii="Calibri" w:hAnsi="Calibri" w:cs="Calibri"/>
          <w:sz w:val="24"/>
          <w:szCs w:val="24"/>
        </w:rPr>
        <w:t xml:space="preserve">later </w:t>
      </w:r>
      <w:r w:rsidRPr="00372EFA">
        <w:rPr>
          <w:rFonts w:ascii="Calibri" w:hAnsi="Calibri" w:cs="Calibri"/>
          <w:sz w:val="24"/>
          <w:szCs w:val="24"/>
        </w:rPr>
        <w:t>when the</w:t>
      </w:r>
      <w:r>
        <w:rPr>
          <w:rFonts w:ascii="Calibri" w:hAnsi="Calibri" w:cs="Calibri"/>
          <w:sz w:val="24"/>
          <w:szCs w:val="24"/>
        </w:rPr>
        <w:t xml:space="preserve">y became </w:t>
      </w:r>
      <w:r w:rsidRPr="00372EFA">
        <w:rPr>
          <w:rFonts w:ascii="Calibri" w:hAnsi="Calibri" w:cs="Calibri"/>
          <w:sz w:val="24"/>
          <w:szCs w:val="24"/>
        </w:rPr>
        <w:t xml:space="preserve">seasoned travellers in the pedagogical woods with the help of trustworthy others who </w:t>
      </w:r>
      <w:r>
        <w:rPr>
          <w:rFonts w:ascii="Calibri" w:hAnsi="Calibri" w:cs="Calibri"/>
          <w:sz w:val="24"/>
          <w:szCs w:val="24"/>
        </w:rPr>
        <w:t xml:space="preserve">held </w:t>
      </w:r>
      <w:r w:rsidRPr="00372EFA">
        <w:rPr>
          <w:rFonts w:ascii="Calibri" w:hAnsi="Calibri" w:cs="Calibri"/>
          <w:sz w:val="24"/>
          <w:szCs w:val="24"/>
        </w:rPr>
        <w:t>the space and help</w:t>
      </w:r>
      <w:r>
        <w:rPr>
          <w:rFonts w:ascii="Calibri" w:hAnsi="Calibri" w:cs="Calibri"/>
          <w:sz w:val="24"/>
          <w:szCs w:val="24"/>
        </w:rPr>
        <w:t>ed</w:t>
      </w:r>
      <w:r w:rsidRPr="00372EFA">
        <w:rPr>
          <w:rFonts w:ascii="Calibri" w:hAnsi="Calibri" w:cs="Calibri"/>
          <w:sz w:val="24"/>
          <w:szCs w:val="24"/>
        </w:rPr>
        <w:t xml:space="preserve"> them through uncertainty.</w:t>
      </w:r>
      <w:r w:rsidRPr="00BD5C49">
        <w:rPr>
          <w:rFonts w:ascii="Calibri" w:hAnsi="Calibri" w:cs="Calibri"/>
          <w:sz w:val="24"/>
          <w:szCs w:val="24"/>
        </w:rPr>
        <w:t xml:space="preserve"> </w:t>
      </w:r>
      <w:r>
        <w:rPr>
          <w:rFonts w:ascii="Calibri" w:hAnsi="Calibri" w:cs="Calibri"/>
          <w:sz w:val="24"/>
          <w:szCs w:val="24"/>
        </w:rPr>
        <w:t>A pertinent reminder of learning being a journey of improvement comes from Miriam who highlights the importance of not focussing on the past, the starting point, but “</w:t>
      </w:r>
      <w:r w:rsidRPr="00D834B0">
        <w:rPr>
          <w:rFonts w:ascii="Calibri" w:hAnsi="Calibri" w:cs="Calibri"/>
          <w:i/>
          <w:iCs/>
          <w:sz w:val="24"/>
          <w:szCs w:val="24"/>
        </w:rPr>
        <w:t>the gradient of the learning graph</w:t>
      </w:r>
      <w:r>
        <w:rPr>
          <w:rFonts w:ascii="Calibri" w:hAnsi="Calibri" w:cs="Calibri"/>
          <w:sz w:val="24"/>
          <w:szCs w:val="24"/>
        </w:rPr>
        <w:t>” (</w:t>
      </w:r>
      <w:r w:rsidR="009F6E61">
        <w:rPr>
          <w:rFonts w:ascii="Calibri" w:hAnsi="Calibri" w:cs="Calibri"/>
          <w:sz w:val="24"/>
          <w:szCs w:val="24"/>
        </w:rPr>
        <w:t xml:space="preserve">Miriam, </w:t>
      </w:r>
      <w:r>
        <w:rPr>
          <w:rFonts w:ascii="Calibri" w:hAnsi="Calibri" w:cs="Calibri"/>
          <w:sz w:val="24"/>
          <w:szCs w:val="24"/>
        </w:rPr>
        <w:t>T1, p.11, par 10).</w:t>
      </w:r>
      <w:r w:rsidRPr="00372EFA">
        <w:rPr>
          <w:rFonts w:ascii="Calibri" w:hAnsi="Calibri" w:cs="Calibri"/>
          <w:sz w:val="24"/>
          <w:szCs w:val="24"/>
        </w:rPr>
        <w:t xml:space="preserve"> </w:t>
      </w:r>
      <w:r w:rsidRPr="00A3329D">
        <w:rPr>
          <w:rFonts w:ascii="Calibri" w:hAnsi="Calibri" w:cs="Calibri"/>
          <w:i/>
          <w:iCs/>
          <w:sz w:val="24"/>
          <w:szCs w:val="24"/>
        </w:rPr>
        <w:t>This</w:t>
      </w:r>
      <w:r>
        <w:rPr>
          <w:rFonts w:ascii="Calibri" w:hAnsi="Calibri" w:cs="Calibri"/>
          <w:sz w:val="24"/>
          <w:szCs w:val="24"/>
        </w:rPr>
        <w:t xml:space="preserve"> is what biographical reflection enabled during the interview process. Arguably, it was the safe and trustworthy ethical holding </w:t>
      </w:r>
      <w:r w:rsidR="00AF6303">
        <w:rPr>
          <w:rFonts w:ascii="Calibri" w:hAnsi="Calibri" w:cs="Calibri"/>
          <w:sz w:val="24"/>
          <w:szCs w:val="24"/>
        </w:rPr>
        <w:t xml:space="preserve">(Winnicott, 1965) </w:t>
      </w:r>
      <w:r>
        <w:rPr>
          <w:rFonts w:ascii="Calibri" w:hAnsi="Calibri" w:cs="Calibri"/>
          <w:sz w:val="24"/>
          <w:szCs w:val="24"/>
        </w:rPr>
        <w:t>provided by the researcher, informed by ethical awareness drawn from psychotherapeutic practices, that enabled the depth of biographical reflections. Although potentially a bias, one advantage of being a psychotherapist was respect was afforded for the participants</w:t>
      </w:r>
      <w:r w:rsidR="00645521">
        <w:rPr>
          <w:rFonts w:ascii="Calibri" w:hAnsi="Calibri" w:cs="Calibri"/>
          <w:sz w:val="24"/>
          <w:szCs w:val="24"/>
        </w:rPr>
        <w:t>’</w:t>
      </w:r>
      <w:r>
        <w:rPr>
          <w:rFonts w:ascii="Calibri" w:hAnsi="Calibri" w:cs="Calibri"/>
          <w:sz w:val="24"/>
          <w:szCs w:val="24"/>
        </w:rPr>
        <w:t xml:space="preserve"> biographical reflective journeys including the shadowy, scathing ones.</w:t>
      </w:r>
      <w:r w:rsidRPr="00046AB4">
        <w:rPr>
          <w:rFonts w:ascii="Calibri" w:hAnsi="Calibri" w:cs="Calibri"/>
          <w:color w:val="EE0000"/>
          <w:sz w:val="24"/>
          <w:szCs w:val="24"/>
        </w:rPr>
        <w:t xml:space="preserve"> </w:t>
      </w:r>
      <w:r w:rsidRPr="00046AB4">
        <w:rPr>
          <w:rFonts w:ascii="Calibri" w:hAnsi="Calibri" w:cs="Calibri"/>
          <w:sz w:val="24"/>
          <w:szCs w:val="24"/>
        </w:rPr>
        <w:t>Th</w:t>
      </w:r>
      <w:r>
        <w:rPr>
          <w:rFonts w:ascii="Calibri" w:hAnsi="Calibri" w:cs="Calibri"/>
          <w:sz w:val="24"/>
          <w:szCs w:val="24"/>
        </w:rPr>
        <w:t xml:space="preserve">is awareness has resulted in the following </w:t>
      </w:r>
      <w:r w:rsidRPr="00046AB4">
        <w:rPr>
          <w:rFonts w:ascii="Calibri" w:hAnsi="Calibri" w:cs="Calibri"/>
          <w:sz w:val="24"/>
          <w:szCs w:val="24"/>
        </w:rPr>
        <w:t>add</w:t>
      </w:r>
      <w:r>
        <w:rPr>
          <w:rFonts w:ascii="Calibri" w:hAnsi="Calibri" w:cs="Calibri"/>
          <w:sz w:val="24"/>
          <w:szCs w:val="24"/>
        </w:rPr>
        <w:t>itions</w:t>
      </w:r>
      <w:r w:rsidRPr="00046AB4">
        <w:rPr>
          <w:rFonts w:ascii="Calibri" w:hAnsi="Calibri" w:cs="Calibri"/>
          <w:sz w:val="24"/>
          <w:szCs w:val="24"/>
        </w:rPr>
        <w:t xml:space="preserve"> to the conceptual</w:t>
      </w:r>
      <w:r>
        <w:rPr>
          <w:rFonts w:ascii="Calibri" w:hAnsi="Calibri" w:cs="Calibri"/>
          <w:sz w:val="24"/>
          <w:szCs w:val="24"/>
        </w:rPr>
        <w:t xml:space="preserve"> lens</w:t>
      </w:r>
      <w:r w:rsidR="0009682B">
        <w:rPr>
          <w:rFonts w:ascii="Calibri" w:hAnsi="Calibri" w:cs="Calibri"/>
          <w:sz w:val="24"/>
          <w:szCs w:val="24"/>
        </w:rPr>
        <w:t>/framework</w:t>
      </w:r>
      <w:r>
        <w:rPr>
          <w:rFonts w:ascii="Calibri" w:hAnsi="Calibri" w:cs="Calibri"/>
          <w:sz w:val="24"/>
          <w:szCs w:val="24"/>
        </w:rPr>
        <w:t xml:space="preserve"> (Figur</w:t>
      </w:r>
      <w:r w:rsidR="007B649E">
        <w:rPr>
          <w:rFonts w:ascii="Calibri" w:hAnsi="Calibri" w:cs="Calibri"/>
          <w:sz w:val="24"/>
          <w:szCs w:val="24"/>
        </w:rPr>
        <w:t>e 10</w:t>
      </w:r>
      <w:r>
        <w:rPr>
          <w:rFonts w:ascii="Calibri" w:hAnsi="Calibri" w:cs="Calibri"/>
          <w:sz w:val="24"/>
          <w:szCs w:val="24"/>
        </w:rPr>
        <w:t>)</w:t>
      </w:r>
      <w:r w:rsidRPr="00046AB4">
        <w:rPr>
          <w:rFonts w:ascii="Calibri" w:hAnsi="Calibri" w:cs="Calibri"/>
          <w:sz w:val="24"/>
          <w:szCs w:val="24"/>
        </w:rPr>
        <w:t>:</w:t>
      </w:r>
    </w:p>
    <w:p w14:paraId="7364996A" w14:textId="77777777" w:rsidR="00BF61A6" w:rsidRDefault="00BF61A6" w:rsidP="000C7580">
      <w:pPr>
        <w:rPr>
          <w:rFonts w:ascii="Calibri" w:hAnsi="Calibri" w:cs="Calibri"/>
          <w:sz w:val="24"/>
          <w:szCs w:val="24"/>
        </w:rPr>
      </w:pPr>
      <w:r>
        <w:rPr>
          <w:rFonts w:ascii="Calibri" w:hAnsi="Calibri" w:cs="Calibri"/>
          <w:noProof/>
          <w:sz w:val="24"/>
          <w:szCs w:val="24"/>
        </w:rPr>
        <w:drawing>
          <wp:inline distT="0" distB="0" distL="0" distR="0" wp14:anchorId="31A84F5F" wp14:editId="20F9CA2D">
            <wp:extent cx="5486400" cy="2735580"/>
            <wp:effectExtent l="0" t="0" r="19050" b="0"/>
            <wp:docPr id="10026906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55E6401" w14:textId="0E4B1ECB" w:rsidR="00BF61A6" w:rsidRPr="007B649E" w:rsidRDefault="00BF61A6" w:rsidP="000367A0">
      <w:pPr>
        <w:ind w:left="1440" w:firstLine="720"/>
        <w:rPr>
          <w:rFonts w:ascii="Calibri" w:hAnsi="Calibri" w:cs="Calibri"/>
          <w:i/>
          <w:iCs/>
          <w:sz w:val="24"/>
          <w:szCs w:val="24"/>
        </w:rPr>
      </w:pPr>
      <w:r w:rsidRPr="007B649E">
        <w:rPr>
          <w:rFonts w:ascii="Calibri" w:hAnsi="Calibri" w:cs="Calibri"/>
          <w:i/>
          <w:iCs/>
          <w:sz w:val="24"/>
          <w:szCs w:val="24"/>
        </w:rPr>
        <w:t xml:space="preserve">Figure </w:t>
      </w:r>
      <w:r w:rsidR="000367A0">
        <w:rPr>
          <w:rFonts w:ascii="Calibri" w:hAnsi="Calibri" w:cs="Calibri"/>
          <w:i/>
          <w:iCs/>
          <w:sz w:val="24"/>
          <w:szCs w:val="24"/>
        </w:rPr>
        <w:t>10</w:t>
      </w:r>
      <w:r w:rsidR="000367A0" w:rsidRPr="007B649E">
        <w:rPr>
          <w:rFonts w:ascii="Calibri" w:hAnsi="Calibri" w:cs="Calibri"/>
          <w:i/>
          <w:iCs/>
          <w:sz w:val="24"/>
          <w:szCs w:val="24"/>
        </w:rPr>
        <w:t>:</w:t>
      </w:r>
      <w:r w:rsidRPr="007B649E">
        <w:rPr>
          <w:rFonts w:ascii="Calibri" w:hAnsi="Calibri" w:cs="Calibri"/>
          <w:i/>
          <w:iCs/>
          <w:sz w:val="24"/>
          <w:szCs w:val="24"/>
        </w:rPr>
        <w:t xml:space="preserve"> Importance of being held as a researcher </w:t>
      </w:r>
    </w:p>
    <w:p w14:paraId="412F6BE1" w14:textId="77777777" w:rsidR="00BF61A6" w:rsidRDefault="00BF61A6" w:rsidP="000C7580">
      <w:pPr>
        <w:rPr>
          <w:rFonts w:ascii="Calibri" w:hAnsi="Calibri" w:cs="Calibri"/>
          <w:sz w:val="24"/>
          <w:szCs w:val="24"/>
        </w:rPr>
      </w:pPr>
    </w:p>
    <w:p w14:paraId="534A77C5" w14:textId="77777777" w:rsidR="00BF61A6" w:rsidRPr="00DE6FBB" w:rsidRDefault="00BF61A6" w:rsidP="007803ED">
      <w:pPr>
        <w:ind w:firstLine="720"/>
        <w:rPr>
          <w:rFonts w:ascii="Calibri" w:hAnsi="Calibri" w:cs="Calibri"/>
          <w:sz w:val="24"/>
          <w:szCs w:val="24"/>
        </w:rPr>
      </w:pPr>
      <w:r w:rsidRPr="00372EFA">
        <w:rPr>
          <w:rFonts w:ascii="Calibri" w:hAnsi="Calibri" w:cs="Calibri"/>
          <w:b/>
          <w:bCs/>
          <w:i/>
          <w:iCs/>
          <w:sz w:val="24"/>
          <w:szCs w:val="24"/>
        </w:rPr>
        <w:t>The Magical Tool</w:t>
      </w:r>
    </w:p>
    <w:p w14:paraId="6AE1A305" w14:textId="2B5580A9" w:rsidR="00BF61A6" w:rsidRDefault="00BF61A6" w:rsidP="00B34100">
      <w:pPr>
        <w:spacing w:line="360" w:lineRule="auto"/>
        <w:rPr>
          <w:rFonts w:ascii="Calibri" w:hAnsi="Calibri" w:cs="Calibri"/>
          <w:sz w:val="24"/>
          <w:szCs w:val="24"/>
        </w:rPr>
      </w:pPr>
      <w:r>
        <w:rPr>
          <w:rFonts w:ascii="Calibri" w:eastAsia="Calibri" w:hAnsi="Calibri" w:cs="Times New Roman"/>
          <w:sz w:val="24"/>
          <w:szCs w:val="24"/>
        </w:rPr>
        <w:t xml:space="preserve">One of the novel findings in this study related to the nature and features of those providing support and care for trainee and qualified teachers which allowed them to actualise and flourish. </w:t>
      </w:r>
      <w:r>
        <w:rPr>
          <w:rFonts w:ascii="Calibri" w:hAnsi="Calibri" w:cs="Calibri"/>
          <w:sz w:val="24"/>
          <w:szCs w:val="24"/>
        </w:rPr>
        <w:t>The data identified significant features of the supportive donor such as their capacity for concern</w:t>
      </w:r>
      <w:r w:rsidR="00A3329B">
        <w:rPr>
          <w:rFonts w:ascii="Calibri" w:hAnsi="Calibri" w:cs="Calibri"/>
          <w:sz w:val="24"/>
          <w:szCs w:val="24"/>
        </w:rPr>
        <w:t xml:space="preserve"> (Winnicott, 1963)</w:t>
      </w:r>
      <w:r>
        <w:rPr>
          <w:rFonts w:ascii="Calibri" w:hAnsi="Calibri" w:cs="Calibri"/>
          <w:sz w:val="24"/>
          <w:szCs w:val="24"/>
        </w:rPr>
        <w:t xml:space="preserve">, ethic of care </w:t>
      </w:r>
      <w:r w:rsidR="004B4727">
        <w:rPr>
          <w:rFonts w:ascii="Calibri" w:hAnsi="Calibri" w:cs="Calibri"/>
          <w:sz w:val="24"/>
          <w:szCs w:val="24"/>
        </w:rPr>
        <w:t xml:space="preserve">(Noddings, 2002) </w:t>
      </w:r>
      <w:r>
        <w:rPr>
          <w:rFonts w:ascii="Calibri" w:hAnsi="Calibri" w:cs="Calibri"/>
          <w:sz w:val="24"/>
          <w:szCs w:val="24"/>
        </w:rPr>
        <w:t xml:space="preserve">and prioritising of protective support for their mentee. For Liz, a donor is engaged in emotional sharing and notices their mentee may be engaged in something difficult, offers a pause to debrief the </w:t>
      </w:r>
      <w:r>
        <w:rPr>
          <w:rFonts w:ascii="Calibri" w:hAnsi="Calibri" w:cs="Calibri"/>
          <w:sz w:val="24"/>
          <w:szCs w:val="24"/>
        </w:rPr>
        <w:lastRenderedPageBreak/>
        <w:t>situation and holds a position of “</w:t>
      </w:r>
      <w:r w:rsidRPr="000367A0">
        <w:rPr>
          <w:rFonts w:ascii="Calibri" w:hAnsi="Calibri" w:cs="Calibri"/>
          <w:i/>
          <w:iCs/>
          <w:sz w:val="24"/>
          <w:szCs w:val="24"/>
        </w:rPr>
        <w:t>I’ve got your back</w:t>
      </w:r>
      <w:r>
        <w:rPr>
          <w:rFonts w:ascii="Calibri" w:hAnsi="Calibri" w:cs="Calibri"/>
          <w:sz w:val="24"/>
          <w:szCs w:val="24"/>
        </w:rPr>
        <w:t>”</w:t>
      </w:r>
      <w:r w:rsidRPr="00BD5E3A">
        <w:rPr>
          <w:rFonts w:ascii="Calibri" w:hAnsi="Calibri" w:cs="Calibri"/>
          <w:sz w:val="24"/>
          <w:szCs w:val="24"/>
        </w:rPr>
        <w:t xml:space="preserve"> (Liz</w:t>
      </w:r>
      <w:r>
        <w:rPr>
          <w:rFonts w:ascii="Calibri" w:hAnsi="Calibri" w:cs="Calibri"/>
          <w:sz w:val="24"/>
          <w:szCs w:val="24"/>
        </w:rPr>
        <w:t xml:space="preserve">, 1, </w:t>
      </w:r>
      <w:r w:rsidRPr="00BD5E3A">
        <w:rPr>
          <w:rFonts w:ascii="Calibri" w:hAnsi="Calibri" w:cs="Calibri"/>
          <w:sz w:val="24"/>
          <w:szCs w:val="24"/>
        </w:rPr>
        <w:t>p.</w:t>
      </w:r>
      <w:r>
        <w:rPr>
          <w:rFonts w:ascii="Calibri" w:hAnsi="Calibri" w:cs="Calibri"/>
          <w:sz w:val="24"/>
          <w:szCs w:val="24"/>
        </w:rPr>
        <w:t>8, par 11).</w:t>
      </w:r>
      <w:r w:rsidRPr="00A13F25">
        <w:rPr>
          <w:rFonts w:ascii="Calibri" w:hAnsi="Calibri" w:cs="Calibri"/>
          <w:sz w:val="24"/>
          <w:szCs w:val="24"/>
        </w:rPr>
        <w:t xml:space="preserve"> </w:t>
      </w:r>
      <w:r>
        <w:rPr>
          <w:rFonts w:ascii="Calibri" w:hAnsi="Calibri" w:cs="Calibri"/>
          <w:sz w:val="24"/>
          <w:szCs w:val="24"/>
        </w:rPr>
        <w:t xml:space="preserve">Sophie debriefs with </w:t>
      </w:r>
      <w:r w:rsidRPr="00163F64">
        <w:rPr>
          <w:rFonts w:ascii="Calibri" w:hAnsi="Calibri" w:cs="Calibri"/>
          <w:sz w:val="24"/>
          <w:szCs w:val="24"/>
        </w:rPr>
        <w:t>a trusted frien</w:t>
      </w:r>
      <w:r>
        <w:rPr>
          <w:rFonts w:ascii="Calibri" w:hAnsi="Calibri" w:cs="Calibri"/>
          <w:sz w:val="24"/>
          <w:szCs w:val="24"/>
        </w:rPr>
        <w:t xml:space="preserve">d versed in </w:t>
      </w:r>
      <w:r w:rsidRPr="00163F64">
        <w:rPr>
          <w:rFonts w:ascii="Calibri" w:hAnsi="Calibri" w:cs="Calibri"/>
          <w:sz w:val="24"/>
          <w:szCs w:val="24"/>
        </w:rPr>
        <w:t xml:space="preserve">compassion focused therapy </w:t>
      </w:r>
      <w:r>
        <w:rPr>
          <w:rFonts w:ascii="Calibri" w:hAnsi="Calibri" w:cs="Calibri"/>
          <w:sz w:val="24"/>
          <w:szCs w:val="24"/>
        </w:rPr>
        <w:t>through which she feels</w:t>
      </w:r>
      <w:r w:rsidRPr="00163F64">
        <w:rPr>
          <w:rFonts w:ascii="Calibri" w:hAnsi="Calibri" w:cs="Calibri"/>
          <w:sz w:val="24"/>
          <w:szCs w:val="24"/>
        </w:rPr>
        <w:t xml:space="preserve"> </w:t>
      </w:r>
      <w:r>
        <w:rPr>
          <w:rFonts w:ascii="Calibri" w:hAnsi="Calibri" w:cs="Calibri"/>
          <w:sz w:val="24"/>
          <w:szCs w:val="24"/>
        </w:rPr>
        <w:t>validated</w:t>
      </w:r>
      <w:r w:rsidR="00DA652B">
        <w:rPr>
          <w:rFonts w:ascii="Calibri" w:hAnsi="Calibri" w:cs="Calibri"/>
          <w:sz w:val="24"/>
          <w:szCs w:val="24"/>
        </w:rPr>
        <w:t xml:space="preserve"> and </w:t>
      </w:r>
      <w:r w:rsidR="0009682B">
        <w:rPr>
          <w:rFonts w:ascii="Calibri" w:hAnsi="Calibri" w:cs="Calibri"/>
          <w:sz w:val="24"/>
          <w:szCs w:val="24"/>
        </w:rPr>
        <w:t>regulated and</w:t>
      </w:r>
      <w:r>
        <w:rPr>
          <w:rFonts w:ascii="Calibri" w:hAnsi="Calibri" w:cs="Calibri"/>
          <w:sz w:val="24"/>
          <w:szCs w:val="24"/>
        </w:rPr>
        <w:t xml:space="preserve"> is aided in finding the most appropriate solution</w:t>
      </w:r>
      <w:r w:rsidR="00EA6A64">
        <w:rPr>
          <w:rFonts w:ascii="Calibri" w:hAnsi="Calibri" w:cs="Calibri"/>
          <w:sz w:val="24"/>
          <w:szCs w:val="24"/>
        </w:rPr>
        <w:t xml:space="preserve"> (T1)</w:t>
      </w:r>
      <w:r>
        <w:rPr>
          <w:rFonts w:ascii="Calibri" w:hAnsi="Calibri" w:cs="Calibri"/>
          <w:sz w:val="24"/>
          <w:szCs w:val="24"/>
        </w:rPr>
        <w:t xml:space="preserve">. Her friend has her back. Similarly, Laura has some colleagues she </w:t>
      </w:r>
      <w:r w:rsidRPr="002F148F">
        <w:rPr>
          <w:rFonts w:ascii="Calibri" w:hAnsi="Calibri" w:cs="Calibri"/>
          <w:sz w:val="24"/>
          <w:szCs w:val="24"/>
        </w:rPr>
        <w:t>can openly share with</w:t>
      </w:r>
      <w:r>
        <w:rPr>
          <w:rFonts w:ascii="Calibri" w:hAnsi="Calibri" w:cs="Calibri"/>
          <w:sz w:val="24"/>
          <w:szCs w:val="24"/>
        </w:rPr>
        <w:t xml:space="preserve"> who are </w:t>
      </w:r>
      <w:r w:rsidRPr="002F148F">
        <w:rPr>
          <w:rFonts w:ascii="Calibri" w:hAnsi="Calibri" w:cs="Calibri"/>
          <w:sz w:val="24"/>
          <w:szCs w:val="24"/>
        </w:rPr>
        <w:t xml:space="preserve">genuinely interested and </w:t>
      </w:r>
      <w:r>
        <w:rPr>
          <w:rFonts w:ascii="Calibri" w:hAnsi="Calibri" w:cs="Calibri"/>
          <w:sz w:val="24"/>
          <w:szCs w:val="24"/>
        </w:rPr>
        <w:t>have solely good intentions (T1)</w:t>
      </w:r>
      <w:r w:rsidRPr="002F148F">
        <w:rPr>
          <w:rFonts w:ascii="Calibri" w:hAnsi="Calibri" w:cs="Calibri"/>
          <w:sz w:val="24"/>
          <w:szCs w:val="24"/>
        </w:rPr>
        <w:t>.</w:t>
      </w:r>
      <w:r>
        <w:rPr>
          <w:rFonts w:ascii="Calibri" w:hAnsi="Calibri" w:cs="Calibri"/>
          <w:sz w:val="24"/>
          <w:szCs w:val="24"/>
        </w:rPr>
        <w:t xml:space="preserve"> The data echoes the findings of </w:t>
      </w:r>
      <w:r w:rsidRPr="002F148F">
        <w:rPr>
          <w:rFonts w:ascii="Calibri" w:hAnsi="Calibri" w:cs="Calibri"/>
          <w:sz w:val="24"/>
          <w:szCs w:val="24"/>
        </w:rPr>
        <w:t>Killian</w:t>
      </w:r>
      <w:r w:rsidRPr="00E1300B">
        <w:rPr>
          <w:rFonts w:ascii="Calibri" w:hAnsi="Calibri" w:cs="Calibri"/>
          <w:sz w:val="24"/>
          <w:szCs w:val="24"/>
        </w:rPr>
        <w:t xml:space="preserve"> (2008)</w:t>
      </w:r>
      <w:r>
        <w:rPr>
          <w:rFonts w:ascii="Calibri" w:hAnsi="Calibri" w:cs="Calibri"/>
          <w:sz w:val="24"/>
          <w:szCs w:val="24"/>
        </w:rPr>
        <w:t xml:space="preserve"> who, </w:t>
      </w:r>
      <w:r w:rsidRPr="00E1300B">
        <w:rPr>
          <w:rFonts w:ascii="Calibri" w:hAnsi="Calibri" w:cs="Calibri"/>
          <w:sz w:val="24"/>
          <w:szCs w:val="24"/>
        </w:rPr>
        <w:t>although referring to clinicians, suggests that the most effective way of lessening the impact of difficult experiences is to have</w:t>
      </w:r>
      <w:r w:rsidR="00325067">
        <w:rPr>
          <w:rFonts w:ascii="Calibri" w:hAnsi="Calibri" w:cs="Calibri"/>
          <w:sz w:val="24"/>
          <w:szCs w:val="24"/>
        </w:rPr>
        <w:t xml:space="preserve"> </w:t>
      </w:r>
      <w:r w:rsidRPr="00E1300B">
        <w:rPr>
          <w:rFonts w:ascii="Calibri" w:hAnsi="Calibri" w:cs="Calibri"/>
          <w:sz w:val="24"/>
          <w:szCs w:val="24"/>
        </w:rPr>
        <w:t xml:space="preserve">”people to process with that </w:t>
      </w:r>
      <w:r w:rsidRPr="00E1300B">
        <w:rPr>
          <w:rFonts w:ascii="Calibri" w:hAnsi="Calibri" w:cs="Calibri"/>
          <w:i/>
          <w:iCs/>
          <w:sz w:val="24"/>
          <w:szCs w:val="24"/>
        </w:rPr>
        <w:t>get</w:t>
      </w:r>
      <w:r w:rsidRPr="00E1300B">
        <w:rPr>
          <w:rFonts w:ascii="Calibri" w:hAnsi="Calibri" w:cs="Calibri"/>
          <w:sz w:val="24"/>
          <w:szCs w:val="24"/>
        </w:rPr>
        <w:t xml:space="preserve"> it” (p.36).</w:t>
      </w:r>
    </w:p>
    <w:p w14:paraId="6D37EA94" w14:textId="2F5B9683" w:rsidR="00BF61A6" w:rsidRPr="00AF4F50" w:rsidRDefault="00BF61A6" w:rsidP="00AF4F50">
      <w:pPr>
        <w:spacing w:line="360" w:lineRule="auto"/>
        <w:rPr>
          <w:rFonts w:ascii="Calibri" w:hAnsi="Calibri" w:cs="Calibri"/>
          <w:sz w:val="24"/>
          <w:szCs w:val="24"/>
        </w:rPr>
      </w:pPr>
      <w:r>
        <w:rPr>
          <w:rFonts w:ascii="Calibri" w:hAnsi="Calibri" w:cs="Calibri"/>
          <w:sz w:val="24"/>
          <w:szCs w:val="24"/>
        </w:rPr>
        <w:t>Mo</w:t>
      </w:r>
      <w:r w:rsidRPr="00251FC1">
        <w:rPr>
          <w:rFonts w:ascii="Calibri" w:hAnsi="Calibri" w:cs="Calibri"/>
          <w:sz w:val="24"/>
          <w:szCs w:val="24"/>
        </w:rPr>
        <w:t xml:space="preserve"> </w:t>
      </w:r>
      <w:r>
        <w:rPr>
          <w:rFonts w:ascii="Calibri" w:hAnsi="Calibri" w:cs="Calibri"/>
          <w:sz w:val="24"/>
          <w:szCs w:val="24"/>
        </w:rPr>
        <w:t>takes a pause to share with trusted colleagues which helps develop her understanding (T1).</w:t>
      </w:r>
      <w:r w:rsidRPr="00657D79">
        <w:rPr>
          <w:rFonts w:ascii="Calibri" w:hAnsi="Calibri" w:cs="Calibri"/>
          <w:sz w:val="24"/>
          <w:szCs w:val="24"/>
        </w:rPr>
        <w:t xml:space="preserve"> </w:t>
      </w:r>
      <w:r>
        <w:rPr>
          <w:rFonts w:ascii="Calibri" w:hAnsi="Calibri" w:cs="Calibri"/>
          <w:sz w:val="24"/>
          <w:szCs w:val="24"/>
        </w:rPr>
        <w:t xml:space="preserve">For Fred teaching assistants offered support by </w:t>
      </w:r>
      <w:r w:rsidRPr="00657D79">
        <w:rPr>
          <w:rFonts w:ascii="Calibri" w:hAnsi="Calibri" w:cs="Calibri"/>
          <w:sz w:val="24"/>
          <w:szCs w:val="24"/>
        </w:rPr>
        <w:t>paus</w:t>
      </w:r>
      <w:r>
        <w:rPr>
          <w:rFonts w:ascii="Calibri" w:hAnsi="Calibri" w:cs="Calibri"/>
          <w:sz w:val="24"/>
          <w:szCs w:val="24"/>
        </w:rPr>
        <w:t>ing</w:t>
      </w:r>
      <w:r w:rsidRPr="00657D79">
        <w:rPr>
          <w:rFonts w:ascii="Calibri" w:hAnsi="Calibri" w:cs="Calibri"/>
          <w:sz w:val="24"/>
          <w:szCs w:val="24"/>
        </w:rPr>
        <w:t xml:space="preserve"> </w:t>
      </w:r>
      <w:r>
        <w:rPr>
          <w:rFonts w:ascii="Calibri" w:hAnsi="Calibri" w:cs="Calibri"/>
          <w:sz w:val="24"/>
          <w:szCs w:val="24"/>
        </w:rPr>
        <w:t xml:space="preserve">teaching </w:t>
      </w:r>
      <w:r w:rsidRPr="00657D79">
        <w:rPr>
          <w:rFonts w:ascii="Calibri" w:hAnsi="Calibri" w:cs="Calibri"/>
          <w:sz w:val="24"/>
          <w:szCs w:val="24"/>
        </w:rPr>
        <w:t>sessions</w:t>
      </w:r>
      <w:r>
        <w:rPr>
          <w:rFonts w:ascii="Calibri" w:hAnsi="Calibri" w:cs="Calibri"/>
          <w:sz w:val="24"/>
          <w:szCs w:val="24"/>
        </w:rPr>
        <w:t xml:space="preserve"> to emotionally process by talking about what happened, and why, to help everyone understand (T1). Echoing the importance a secure base (Bowlby, 1988), Fred referred to this pause as a “</w:t>
      </w:r>
      <w:r w:rsidRPr="00657D79">
        <w:rPr>
          <w:rFonts w:ascii="Calibri" w:hAnsi="Calibri" w:cs="Calibri"/>
          <w:sz w:val="24"/>
          <w:szCs w:val="24"/>
        </w:rPr>
        <w:t>safe space</w:t>
      </w:r>
      <w:r>
        <w:rPr>
          <w:rFonts w:ascii="Calibri" w:hAnsi="Calibri" w:cs="Calibri"/>
          <w:sz w:val="24"/>
          <w:szCs w:val="24"/>
        </w:rPr>
        <w:t>” (</w:t>
      </w:r>
      <w:r w:rsidR="00B86016" w:rsidRPr="00B86016">
        <w:rPr>
          <w:rFonts w:ascii="Calibri" w:hAnsi="Calibri" w:cs="Calibri"/>
          <w:i/>
          <w:iCs/>
          <w:sz w:val="24"/>
          <w:szCs w:val="24"/>
        </w:rPr>
        <w:t>Fred, T1, p.6, pars 7-9</w:t>
      </w:r>
      <w:r>
        <w:rPr>
          <w:rFonts w:ascii="Calibri" w:hAnsi="Calibri" w:cs="Calibri"/>
          <w:sz w:val="24"/>
          <w:szCs w:val="24"/>
        </w:rPr>
        <w:t>). His critical friends and the teaching assistants had each other’s backs and “got it” (Killian, 2008, p.36). The loyalty, supportive sharing and trusting attitudes of the support providers created a</w:t>
      </w:r>
      <w:r w:rsidRPr="003D74D7">
        <w:rPr>
          <w:rFonts w:ascii="Calibri" w:hAnsi="Calibri" w:cs="Calibri"/>
          <w:sz w:val="24"/>
          <w:szCs w:val="24"/>
        </w:rPr>
        <w:t xml:space="preserve"> psychological</w:t>
      </w:r>
      <w:r>
        <w:rPr>
          <w:rFonts w:ascii="Calibri" w:hAnsi="Calibri" w:cs="Calibri"/>
          <w:sz w:val="24"/>
          <w:szCs w:val="24"/>
        </w:rPr>
        <w:t xml:space="preserve"> “</w:t>
      </w:r>
      <w:r w:rsidRPr="003D74D7">
        <w:rPr>
          <w:rFonts w:ascii="Calibri" w:hAnsi="Calibri" w:cs="Calibri"/>
          <w:sz w:val="24"/>
          <w:szCs w:val="24"/>
        </w:rPr>
        <w:t xml:space="preserve">safe haven” (Feeney and Collins, 2015, p.113) provided by benevolent others who </w:t>
      </w:r>
      <w:r>
        <w:rPr>
          <w:rFonts w:ascii="Calibri" w:hAnsi="Calibri" w:cs="Calibri"/>
          <w:sz w:val="24"/>
          <w:szCs w:val="24"/>
        </w:rPr>
        <w:t>offered</w:t>
      </w:r>
      <w:r w:rsidRPr="003D74D7">
        <w:rPr>
          <w:rFonts w:ascii="Calibri" w:hAnsi="Calibri" w:cs="Calibri"/>
          <w:sz w:val="24"/>
          <w:szCs w:val="24"/>
        </w:rPr>
        <w:t xml:space="preserve"> ”effectance-promoting feedback” (</w:t>
      </w:r>
      <w:r>
        <w:rPr>
          <w:rFonts w:ascii="Calibri" w:hAnsi="Calibri" w:cs="Calibri"/>
          <w:sz w:val="24"/>
          <w:szCs w:val="24"/>
        </w:rPr>
        <w:t xml:space="preserve">Ryan and Deci, 2000, </w:t>
      </w:r>
      <w:r w:rsidRPr="003D74D7">
        <w:rPr>
          <w:rFonts w:ascii="Calibri" w:hAnsi="Calibri" w:cs="Calibri"/>
          <w:sz w:val="24"/>
          <w:szCs w:val="24"/>
        </w:rPr>
        <w:t>p.7</w:t>
      </w:r>
      <w:r>
        <w:rPr>
          <w:rFonts w:ascii="Calibri" w:hAnsi="Calibri" w:cs="Calibri"/>
          <w:sz w:val="24"/>
          <w:szCs w:val="24"/>
        </w:rPr>
        <w:t>0</w:t>
      </w:r>
      <w:r w:rsidRPr="003D74D7">
        <w:rPr>
          <w:rFonts w:ascii="Calibri" w:hAnsi="Calibri" w:cs="Calibri"/>
          <w:sz w:val="24"/>
          <w:szCs w:val="24"/>
        </w:rPr>
        <w:t>)</w:t>
      </w:r>
      <w:r>
        <w:rPr>
          <w:rFonts w:ascii="Calibri" w:hAnsi="Calibri" w:cs="Calibri"/>
          <w:sz w:val="24"/>
          <w:szCs w:val="24"/>
        </w:rPr>
        <w:t xml:space="preserve">. These findings demonstrate the importance of processing, debriefing and sharing with others who embody features of care and </w:t>
      </w:r>
      <w:r w:rsidR="003C2E8B">
        <w:rPr>
          <w:rFonts w:ascii="Calibri" w:hAnsi="Calibri" w:cs="Calibri"/>
          <w:sz w:val="24"/>
          <w:szCs w:val="24"/>
        </w:rPr>
        <w:t>trust and</w:t>
      </w:r>
      <w:r>
        <w:rPr>
          <w:rFonts w:ascii="Calibri" w:hAnsi="Calibri" w:cs="Calibri"/>
          <w:sz w:val="24"/>
          <w:szCs w:val="24"/>
        </w:rPr>
        <w:t xml:space="preserve"> were supportive. </w:t>
      </w:r>
      <w:r w:rsidRPr="00AF4F50">
        <w:rPr>
          <w:rFonts w:ascii="Calibri" w:hAnsi="Calibri" w:cs="Calibri"/>
          <w:sz w:val="24"/>
          <w:szCs w:val="24"/>
        </w:rPr>
        <w:t>Th</w:t>
      </w:r>
      <w:r>
        <w:rPr>
          <w:rFonts w:ascii="Calibri" w:hAnsi="Calibri" w:cs="Calibri"/>
          <w:sz w:val="24"/>
          <w:szCs w:val="24"/>
        </w:rPr>
        <w:t xml:space="preserve">e data </w:t>
      </w:r>
      <w:r w:rsidRPr="00AF4F50">
        <w:rPr>
          <w:rFonts w:ascii="Calibri" w:hAnsi="Calibri" w:cs="Calibri"/>
          <w:sz w:val="24"/>
          <w:szCs w:val="24"/>
        </w:rPr>
        <w:t>affirms that the reliable provision of trust, continuity and stability in care provision results in affective stability (Jacobi, 1990) which enables flourishing. Although Jacobi (</w:t>
      </w:r>
      <w:r w:rsidR="00AB1ADC">
        <w:rPr>
          <w:rFonts w:ascii="Calibri" w:hAnsi="Calibri" w:cs="Calibri"/>
          <w:sz w:val="24"/>
          <w:szCs w:val="24"/>
        </w:rPr>
        <w:t>ibid.</w:t>
      </w:r>
      <w:r w:rsidRPr="00AF4F50">
        <w:rPr>
          <w:rFonts w:ascii="Calibri" w:hAnsi="Calibri" w:cs="Calibri"/>
          <w:sz w:val="24"/>
          <w:szCs w:val="24"/>
        </w:rPr>
        <w:t>) refers to an affective stability clime for a child, participants affirmed that reliable, and protective holding enabled them to feel safe and grow as adults.</w:t>
      </w:r>
    </w:p>
    <w:p w14:paraId="512D3ECD" w14:textId="31B36EB9" w:rsidR="00BF61A6" w:rsidRDefault="00BF61A6" w:rsidP="00B34100">
      <w:pPr>
        <w:spacing w:line="360" w:lineRule="auto"/>
        <w:rPr>
          <w:rFonts w:ascii="Calibri" w:hAnsi="Calibri" w:cs="Calibri"/>
          <w:sz w:val="24"/>
          <w:szCs w:val="24"/>
        </w:rPr>
      </w:pPr>
      <w:r>
        <w:rPr>
          <w:rFonts w:ascii="Calibri" w:hAnsi="Calibri" w:cs="Calibri"/>
          <w:sz w:val="24"/>
          <w:szCs w:val="24"/>
        </w:rPr>
        <w:t>As a final note, Liz shared the following picture that demonstrated the importance of having people around her who got it, got her and had her back:</w:t>
      </w:r>
    </w:p>
    <w:p w14:paraId="4FCF0F9F" w14:textId="77777777" w:rsidR="00BF61A6" w:rsidRDefault="00BF61A6" w:rsidP="000C7580">
      <w:pPr>
        <w:rPr>
          <w:rFonts w:ascii="Calibri" w:hAnsi="Calibri" w:cs="Calibri"/>
          <w:sz w:val="24"/>
          <w:szCs w:val="24"/>
        </w:rPr>
      </w:pPr>
      <w:r>
        <w:rPr>
          <w:rFonts w:ascii="Calibri" w:hAnsi="Calibri" w:cs="Calibri"/>
          <w:sz w:val="24"/>
          <w:szCs w:val="24"/>
        </w:rPr>
        <w:t xml:space="preserve">                                                 </w:t>
      </w:r>
      <w:r w:rsidRPr="00B64CBC">
        <w:rPr>
          <w:rFonts w:ascii="Calibri" w:hAnsi="Calibri" w:cs="Calibri"/>
          <w:noProof/>
          <w:sz w:val="24"/>
          <w:szCs w:val="24"/>
        </w:rPr>
        <mc:AlternateContent>
          <mc:Choice Requires="wps">
            <w:drawing>
              <wp:inline distT="0" distB="0" distL="0" distR="0" wp14:anchorId="29CDF1F2" wp14:editId="5CC7A355">
                <wp:extent cx="302260" cy="302260"/>
                <wp:effectExtent l="0" t="0" r="0" b="0"/>
                <wp:docPr id="10323948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2705F" id="Rectangl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Calibri" w:hAnsi="Calibri" w:cs="Calibri"/>
          <w:noProof/>
          <w:sz w:val="24"/>
          <w:szCs w:val="24"/>
        </w:rPr>
        <w:drawing>
          <wp:inline distT="0" distB="0" distL="0" distR="0" wp14:anchorId="71D1EC96" wp14:editId="1D6E283C">
            <wp:extent cx="1143000" cy="1123950"/>
            <wp:effectExtent l="0" t="0" r="0" b="0"/>
            <wp:docPr id="631765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pic:spPr>
                </pic:pic>
              </a:graphicData>
            </a:graphic>
          </wp:inline>
        </w:drawing>
      </w:r>
    </w:p>
    <w:p w14:paraId="559715BC" w14:textId="446EAE24" w:rsidR="00BF61A6" w:rsidRPr="00670A46" w:rsidRDefault="00492297" w:rsidP="00670A46">
      <w:pPr>
        <w:spacing w:line="360" w:lineRule="auto"/>
        <w:ind w:left="1440" w:firstLine="720"/>
        <w:rPr>
          <w:rFonts w:ascii="Calibri" w:hAnsi="Calibri" w:cs="Calibri"/>
          <w:i/>
          <w:iCs/>
          <w:sz w:val="24"/>
          <w:szCs w:val="24"/>
        </w:rPr>
      </w:pPr>
      <w:r w:rsidRPr="00670A46">
        <w:rPr>
          <w:rFonts w:ascii="Calibri" w:hAnsi="Calibri" w:cs="Calibri"/>
          <w:i/>
          <w:iCs/>
          <w:sz w:val="24"/>
          <w:szCs w:val="24"/>
        </w:rPr>
        <w:t>Figure 11: “</w:t>
      </w:r>
      <w:r w:rsidR="00670A46" w:rsidRPr="00670A46">
        <w:rPr>
          <w:rFonts w:ascii="Calibri" w:hAnsi="Calibri" w:cs="Calibri"/>
          <w:i/>
          <w:iCs/>
          <w:sz w:val="24"/>
          <w:szCs w:val="24"/>
        </w:rPr>
        <w:t>I’ve</w:t>
      </w:r>
      <w:r w:rsidRPr="00670A46">
        <w:rPr>
          <w:rFonts w:ascii="Calibri" w:hAnsi="Calibri" w:cs="Calibri"/>
          <w:i/>
          <w:iCs/>
          <w:sz w:val="24"/>
          <w:szCs w:val="24"/>
        </w:rPr>
        <w:t xml:space="preserve"> got your back” (Li</w:t>
      </w:r>
      <w:r w:rsidR="00670A46" w:rsidRPr="00670A46">
        <w:rPr>
          <w:rFonts w:ascii="Calibri" w:hAnsi="Calibri" w:cs="Calibri"/>
          <w:i/>
          <w:iCs/>
          <w:sz w:val="24"/>
          <w:szCs w:val="24"/>
        </w:rPr>
        <w:t>z)</w:t>
      </w:r>
    </w:p>
    <w:p w14:paraId="2029B85F" w14:textId="77777777" w:rsidR="00BF61A6" w:rsidRPr="00372EFA" w:rsidRDefault="00BF61A6" w:rsidP="00C42609">
      <w:pPr>
        <w:spacing w:line="360" w:lineRule="auto"/>
        <w:ind w:firstLine="720"/>
        <w:rPr>
          <w:rFonts w:ascii="Calibri" w:hAnsi="Calibri" w:cs="Calibri"/>
          <w:b/>
          <w:bCs/>
          <w:i/>
          <w:iCs/>
          <w:sz w:val="24"/>
          <w:szCs w:val="24"/>
        </w:rPr>
      </w:pPr>
      <w:r w:rsidRPr="00372EFA">
        <w:rPr>
          <w:rFonts w:ascii="Calibri" w:hAnsi="Calibri" w:cs="Calibri"/>
          <w:b/>
          <w:bCs/>
          <w:i/>
          <w:iCs/>
          <w:sz w:val="24"/>
          <w:szCs w:val="24"/>
        </w:rPr>
        <w:lastRenderedPageBreak/>
        <w:t>Teaching as Emotional Practice</w:t>
      </w:r>
    </w:p>
    <w:p w14:paraId="7B92DDA3" w14:textId="6A051B5D" w:rsidR="00BF61A6" w:rsidRPr="00A64FE1" w:rsidRDefault="00BF61A6" w:rsidP="00B34100">
      <w:pPr>
        <w:spacing w:line="360" w:lineRule="auto"/>
        <w:rPr>
          <w:rFonts w:ascii="Calibri" w:hAnsi="Calibri" w:cs="Calibri"/>
          <w:color w:val="EE0000"/>
          <w:sz w:val="24"/>
          <w:szCs w:val="24"/>
        </w:rPr>
      </w:pPr>
      <w:r w:rsidRPr="00E75F06">
        <w:rPr>
          <w:rFonts w:ascii="Calibri" w:hAnsi="Calibri" w:cs="Calibri"/>
          <w:sz w:val="24"/>
          <w:szCs w:val="24"/>
        </w:rPr>
        <w:t>All participants acknowledged their emotions were involved in learning to teach and in teaching</w:t>
      </w:r>
      <w:r>
        <w:rPr>
          <w:rFonts w:ascii="Calibri" w:hAnsi="Calibri" w:cs="Calibri"/>
          <w:sz w:val="24"/>
          <w:szCs w:val="24"/>
        </w:rPr>
        <w:t>,</w:t>
      </w:r>
      <w:r w:rsidRPr="00E75F06">
        <w:rPr>
          <w:rFonts w:ascii="Calibri" w:hAnsi="Calibri" w:cs="Calibri"/>
          <w:sz w:val="24"/>
          <w:szCs w:val="24"/>
        </w:rPr>
        <w:t xml:space="preserve"> and the importance of these being held by another. As Dana stated</w:t>
      </w:r>
      <w:r>
        <w:rPr>
          <w:rFonts w:ascii="Calibri" w:hAnsi="Calibri" w:cs="Calibri"/>
          <w:sz w:val="24"/>
          <w:szCs w:val="24"/>
        </w:rPr>
        <w:t>,</w:t>
      </w:r>
      <w:r w:rsidRPr="00E75F06">
        <w:rPr>
          <w:rFonts w:ascii="Calibri" w:hAnsi="Calibri" w:cs="Calibri"/>
          <w:sz w:val="24"/>
          <w:szCs w:val="24"/>
        </w:rPr>
        <w:t xml:space="preserve"> emotions are a feature of both children and adults, </w:t>
      </w:r>
      <w:r>
        <w:rPr>
          <w:rFonts w:ascii="Calibri" w:hAnsi="Calibri" w:cs="Calibri"/>
          <w:sz w:val="24"/>
          <w:szCs w:val="24"/>
        </w:rPr>
        <w:t xml:space="preserve">and </w:t>
      </w:r>
      <w:r w:rsidRPr="00E75F06">
        <w:rPr>
          <w:rFonts w:ascii="Calibri" w:hAnsi="Calibri" w:cs="Calibri"/>
          <w:sz w:val="24"/>
          <w:szCs w:val="24"/>
        </w:rPr>
        <w:t>they ubiquitously affect decisions and teaching quality</w:t>
      </w:r>
      <w:r>
        <w:rPr>
          <w:rFonts w:ascii="Calibri" w:hAnsi="Calibri" w:cs="Calibri"/>
          <w:sz w:val="24"/>
          <w:szCs w:val="24"/>
        </w:rPr>
        <w:t xml:space="preserve"> (T1</w:t>
      </w:r>
      <w:r w:rsidR="00406508">
        <w:rPr>
          <w:rFonts w:ascii="Calibri" w:hAnsi="Calibri" w:cs="Calibri"/>
          <w:sz w:val="24"/>
          <w:szCs w:val="24"/>
        </w:rPr>
        <w:t>; T2</w:t>
      </w:r>
      <w:r>
        <w:rPr>
          <w:rFonts w:ascii="Calibri" w:hAnsi="Calibri" w:cs="Calibri"/>
          <w:sz w:val="24"/>
          <w:szCs w:val="24"/>
        </w:rPr>
        <w:t>)</w:t>
      </w:r>
      <w:r w:rsidRPr="00E75F06">
        <w:rPr>
          <w:rFonts w:ascii="Calibri" w:hAnsi="Calibri" w:cs="Calibri"/>
          <w:sz w:val="24"/>
          <w:szCs w:val="24"/>
        </w:rPr>
        <w:t xml:space="preserve">. </w:t>
      </w:r>
      <w:r w:rsidRPr="00AE6961">
        <w:rPr>
          <w:rFonts w:ascii="Calibri" w:hAnsi="Calibri" w:cs="Calibri"/>
          <w:sz w:val="24"/>
          <w:szCs w:val="24"/>
        </w:rPr>
        <w:t xml:space="preserve">Nuttall and McEvoy (2022) note that difficulties adults experience </w:t>
      </w:r>
      <w:r>
        <w:rPr>
          <w:rFonts w:ascii="Calibri" w:hAnsi="Calibri" w:cs="Calibri"/>
          <w:sz w:val="24"/>
          <w:szCs w:val="24"/>
        </w:rPr>
        <w:t xml:space="preserve">stem from </w:t>
      </w:r>
      <w:r w:rsidRPr="00AE6961">
        <w:rPr>
          <w:rFonts w:ascii="Calibri" w:hAnsi="Calibri" w:cs="Calibri"/>
          <w:sz w:val="24"/>
          <w:szCs w:val="24"/>
        </w:rPr>
        <w:t xml:space="preserve">insufficient holding environment provision in childhood, </w:t>
      </w:r>
      <w:r>
        <w:rPr>
          <w:rFonts w:ascii="Calibri" w:hAnsi="Calibri" w:cs="Calibri"/>
          <w:sz w:val="24"/>
          <w:szCs w:val="24"/>
        </w:rPr>
        <w:t xml:space="preserve">however </w:t>
      </w:r>
      <w:r w:rsidRPr="00AE6961">
        <w:rPr>
          <w:rFonts w:ascii="Calibri" w:hAnsi="Calibri" w:cs="Calibri"/>
          <w:sz w:val="24"/>
          <w:szCs w:val="24"/>
        </w:rPr>
        <w:t xml:space="preserve">the findings in this study affirm that difficulties can </w:t>
      </w:r>
      <w:r w:rsidR="00965D94" w:rsidRPr="00AE6961">
        <w:rPr>
          <w:rFonts w:ascii="Calibri" w:hAnsi="Calibri" w:cs="Calibri"/>
          <w:sz w:val="24"/>
          <w:szCs w:val="24"/>
        </w:rPr>
        <w:t>be</w:t>
      </w:r>
      <w:r w:rsidR="00965D94">
        <w:rPr>
          <w:rFonts w:ascii="Calibri" w:hAnsi="Calibri" w:cs="Calibri"/>
          <w:sz w:val="24"/>
          <w:szCs w:val="24"/>
        </w:rPr>
        <w:t xml:space="preserve"> and</w:t>
      </w:r>
      <w:r w:rsidRPr="00AE6961">
        <w:rPr>
          <w:rFonts w:ascii="Calibri" w:hAnsi="Calibri" w:cs="Calibri"/>
          <w:sz w:val="24"/>
          <w:szCs w:val="24"/>
        </w:rPr>
        <w:t xml:space="preserve"> are experienced by adults whose </w:t>
      </w:r>
      <w:r w:rsidRPr="00AE6961">
        <w:rPr>
          <w:rFonts w:ascii="Calibri" w:hAnsi="Calibri" w:cs="Calibri"/>
          <w:i/>
          <w:iCs/>
          <w:sz w:val="24"/>
          <w:szCs w:val="24"/>
        </w:rPr>
        <w:t>current</w:t>
      </w:r>
      <w:r w:rsidRPr="00AE6961">
        <w:rPr>
          <w:rFonts w:ascii="Calibri" w:hAnsi="Calibri" w:cs="Calibri"/>
          <w:sz w:val="24"/>
          <w:szCs w:val="24"/>
        </w:rPr>
        <w:t xml:space="preserve"> holding provision is insufficient.</w:t>
      </w:r>
      <w:r>
        <w:rPr>
          <w:rFonts w:ascii="Calibri" w:hAnsi="Calibri" w:cs="Calibri"/>
          <w:sz w:val="24"/>
          <w:szCs w:val="24"/>
        </w:rPr>
        <w:t xml:space="preserve"> The findings go beyond </w:t>
      </w:r>
      <w:r w:rsidRPr="00D464D8">
        <w:rPr>
          <w:rFonts w:ascii="Calibri" w:hAnsi="Calibri" w:cs="Calibri"/>
          <w:sz w:val="24"/>
          <w:szCs w:val="24"/>
        </w:rPr>
        <w:t>attachment theor</w:t>
      </w:r>
      <w:r>
        <w:rPr>
          <w:rFonts w:ascii="Calibri" w:hAnsi="Calibri" w:cs="Calibri"/>
          <w:sz w:val="24"/>
          <w:szCs w:val="24"/>
        </w:rPr>
        <w:t>ies</w:t>
      </w:r>
      <w:r w:rsidRPr="00D464D8">
        <w:rPr>
          <w:rFonts w:ascii="Calibri" w:hAnsi="Calibri" w:cs="Calibri"/>
          <w:sz w:val="24"/>
          <w:szCs w:val="24"/>
        </w:rPr>
        <w:t xml:space="preserve"> </w:t>
      </w:r>
      <w:r>
        <w:rPr>
          <w:rFonts w:ascii="Calibri" w:hAnsi="Calibri" w:cs="Calibri"/>
          <w:sz w:val="24"/>
          <w:szCs w:val="24"/>
        </w:rPr>
        <w:t xml:space="preserve">that </w:t>
      </w:r>
      <w:r w:rsidRPr="00D464D8">
        <w:rPr>
          <w:rFonts w:ascii="Calibri" w:hAnsi="Calibri" w:cs="Calibri"/>
          <w:sz w:val="24"/>
          <w:szCs w:val="24"/>
        </w:rPr>
        <w:t>posit that children seek a caregiver during times of distress or uncertainty (Bowlby, 1979; Harlow, 2019)</w:t>
      </w:r>
      <w:r>
        <w:rPr>
          <w:rFonts w:ascii="Calibri" w:hAnsi="Calibri" w:cs="Calibri"/>
          <w:sz w:val="24"/>
          <w:szCs w:val="24"/>
        </w:rPr>
        <w:t>; adults do, too</w:t>
      </w:r>
      <w:r w:rsidRPr="00D464D8">
        <w:rPr>
          <w:rFonts w:ascii="Calibri" w:hAnsi="Calibri" w:cs="Calibri"/>
          <w:sz w:val="24"/>
          <w:szCs w:val="24"/>
        </w:rPr>
        <w:t xml:space="preserve">. </w:t>
      </w:r>
      <w:r>
        <w:rPr>
          <w:rFonts w:ascii="Calibri" w:hAnsi="Calibri" w:cs="Calibri"/>
          <w:sz w:val="24"/>
          <w:szCs w:val="24"/>
        </w:rPr>
        <w:t xml:space="preserve">Holding as a concept is relational in nature and incorporates </w:t>
      </w:r>
      <w:r w:rsidRPr="00D464D8">
        <w:rPr>
          <w:rFonts w:ascii="Calibri" w:hAnsi="Calibri" w:cs="Calibri"/>
          <w:sz w:val="24"/>
          <w:szCs w:val="24"/>
        </w:rPr>
        <w:t xml:space="preserve">attachment theories, an ethic of care </w:t>
      </w:r>
      <w:r w:rsidR="00766A66">
        <w:rPr>
          <w:rFonts w:ascii="Calibri" w:hAnsi="Calibri" w:cs="Calibri"/>
          <w:sz w:val="24"/>
          <w:szCs w:val="24"/>
        </w:rPr>
        <w:t xml:space="preserve">(Noddings, 2002) </w:t>
      </w:r>
      <w:r w:rsidRPr="00D464D8">
        <w:rPr>
          <w:rFonts w:ascii="Calibri" w:hAnsi="Calibri" w:cs="Calibri"/>
          <w:sz w:val="24"/>
          <w:szCs w:val="24"/>
        </w:rPr>
        <w:t>and emotional welfare</w:t>
      </w:r>
      <w:r w:rsidR="00965D94">
        <w:rPr>
          <w:rFonts w:ascii="Calibri" w:hAnsi="Calibri" w:cs="Calibri"/>
          <w:sz w:val="24"/>
          <w:szCs w:val="24"/>
        </w:rPr>
        <w:t>,</w:t>
      </w:r>
      <w:r w:rsidRPr="00D464D8">
        <w:rPr>
          <w:rFonts w:ascii="Calibri" w:hAnsi="Calibri" w:cs="Calibri"/>
          <w:sz w:val="24"/>
          <w:szCs w:val="24"/>
        </w:rPr>
        <w:t xml:space="preserve"> </w:t>
      </w:r>
      <w:r>
        <w:rPr>
          <w:rFonts w:ascii="Calibri" w:hAnsi="Calibri" w:cs="Calibri"/>
          <w:sz w:val="24"/>
          <w:szCs w:val="24"/>
        </w:rPr>
        <w:t xml:space="preserve">and it is within the relational realm </w:t>
      </w:r>
      <w:r w:rsidRPr="00D464D8">
        <w:rPr>
          <w:rFonts w:ascii="Calibri" w:hAnsi="Calibri" w:cs="Calibri"/>
          <w:sz w:val="24"/>
          <w:szCs w:val="24"/>
        </w:rPr>
        <w:t>that human wisdom and connectivity stay alive</w:t>
      </w:r>
      <w:r>
        <w:rPr>
          <w:rFonts w:ascii="Calibri" w:hAnsi="Calibri" w:cs="Calibri"/>
          <w:sz w:val="24"/>
          <w:szCs w:val="24"/>
        </w:rPr>
        <w:t xml:space="preserve"> (Bowlby, 1969)</w:t>
      </w:r>
      <w:r w:rsidRPr="00D464D8">
        <w:rPr>
          <w:rFonts w:ascii="Calibri" w:hAnsi="Calibri" w:cs="Calibri"/>
          <w:sz w:val="24"/>
          <w:szCs w:val="24"/>
        </w:rPr>
        <w:t xml:space="preserve">. </w:t>
      </w:r>
      <w:r w:rsidRPr="003D552C">
        <w:rPr>
          <w:rFonts w:ascii="Calibri" w:hAnsi="Calibri" w:cs="Calibri"/>
          <w:sz w:val="24"/>
          <w:szCs w:val="24"/>
        </w:rPr>
        <w:t xml:space="preserve">The findings lend support for the imparting of understanding and compassion by a significant support person to the emotional sides of teaching and learning being of vital importance in both learning to teach, and learning </w:t>
      </w:r>
      <w:r w:rsidRPr="003D552C">
        <w:rPr>
          <w:rFonts w:ascii="Calibri" w:hAnsi="Calibri" w:cs="Calibri"/>
          <w:i/>
          <w:iCs/>
          <w:sz w:val="24"/>
          <w:szCs w:val="24"/>
        </w:rPr>
        <w:t>per se</w:t>
      </w:r>
      <w:r w:rsidRPr="003D552C">
        <w:rPr>
          <w:rFonts w:ascii="Calibri" w:hAnsi="Calibri" w:cs="Calibri"/>
          <w:sz w:val="24"/>
          <w:szCs w:val="24"/>
        </w:rPr>
        <w:t xml:space="preserve">. </w:t>
      </w:r>
    </w:p>
    <w:p w14:paraId="4C4DC135" w14:textId="77777777" w:rsidR="00BF61A6" w:rsidRPr="004C221E" w:rsidRDefault="00BF61A6" w:rsidP="00B34100">
      <w:pPr>
        <w:spacing w:line="360" w:lineRule="auto"/>
        <w:rPr>
          <w:rFonts w:ascii="Calibri" w:hAnsi="Calibri" w:cs="Calibri"/>
          <w:b/>
          <w:bCs/>
          <w:sz w:val="24"/>
          <w:szCs w:val="24"/>
        </w:rPr>
      </w:pPr>
      <w:r w:rsidRPr="004C221E">
        <w:rPr>
          <w:rFonts w:ascii="Calibri" w:hAnsi="Calibri" w:cs="Calibri"/>
          <w:b/>
          <w:bCs/>
          <w:sz w:val="24"/>
          <w:szCs w:val="24"/>
        </w:rPr>
        <w:t>Theme 2: Guardian of the threshold</w:t>
      </w:r>
    </w:p>
    <w:p w14:paraId="5DF9E5FE" w14:textId="77777777" w:rsidR="00BF61A6" w:rsidRPr="004C221E" w:rsidRDefault="00BF61A6" w:rsidP="00B34100">
      <w:pPr>
        <w:spacing w:line="360" w:lineRule="auto"/>
        <w:rPr>
          <w:rFonts w:ascii="Calibri" w:hAnsi="Calibri" w:cs="Calibri"/>
          <w:b/>
          <w:bCs/>
          <w:sz w:val="24"/>
          <w:szCs w:val="24"/>
        </w:rPr>
      </w:pPr>
      <w:r w:rsidRPr="004C221E">
        <w:rPr>
          <w:rFonts w:ascii="Calibri" w:hAnsi="Calibri" w:cs="Calibri"/>
          <w:b/>
          <w:bCs/>
          <w:sz w:val="24"/>
          <w:szCs w:val="24"/>
        </w:rPr>
        <w:t>Research Question 3: How can HE teachers make use of Winnicott’s holding?</w:t>
      </w:r>
    </w:p>
    <w:p w14:paraId="56F93603" w14:textId="07E2F1BE" w:rsidR="00BF61A6" w:rsidRPr="00E243D9" w:rsidRDefault="00BF61A6" w:rsidP="00B34100">
      <w:pPr>
        <w:spacing w:line="360" w:lineRule="auto"/>
        <w:rPr>
          <w:rFonts w:ascii="Calibri" w:hAnsi="Calibri" w:cs="Calibri"/>
          <w:sz w:val="24"/>
          <w:szCs w:val="24"/>
        </w:rPr>
      </w:pPr>
      <w:r w:rsidRPr="00E243D9">
        <w:rPr>
          <w:rFonts w:ascii="Calibri" w:hAnsi="Calibri" w:cs="Calibri"/>
          <w:sz w:val="24"/>
          <w:szCs w:val="24"/>
        </w:rPr>
        <w:t xml:space="preserve">The need for holding </w:t>
      </w:r>
      <w:r w:rsidR="002F1C72">
        <w:rPr>
          <w:rFonts w:ascii="Calibri" w:hAnsi="Calibri" w:cs="Calibri"/>
          <w:sz w:val="24"/>
          <w:szCs w:val="24"/>
        </w:rPr>
        <w:t xml:space="preserve"> (Winnicott, 1965) </w:t>
      </w:r>
      <w:r w:rsidRPr="00E243D9">
        <w:rPr>
          <w:rFonts w:ascii="Calibri" w:hAnsi="Calibri" w:cs="Calibri"/>
          <w:sz w:val="24"/>
          <w:szCs w:val="24"/>
        </w:rPr>
        <w:t xml:space="preserve">and support is ubiquitous, a lifelong and human endeavour that Winnicott (2002) saw as key to healthy development from childhood onwards as a continuum and comprises: “The continuation of reliable holding in terms of the ever-widening circle of family, school and social life” (p.238). </w:t>
      </w:r>
      <w:r>
        <w:rPr>
          <w:rFonts w:ascii="Calibri" w:hAnsi="Calibri" w:cs="Calibri"/>
          <w:sz w:val="24"/>
          <w:szCs w:val="24"/>
        </w:rPr>
        <w:t>All p</w:t>
      </w:r>
      <w:r w:rsidRPr="00E243D9">
        <w:rPr>
          <w:rFonts w:ascii="Calibri" w:hAnsi="Calibri" w:cs="Calibri"/>
          <w:sz w:val="24"/>
          <w:szCs w:val="24"/>
        </w:rPr>
        <w:t>articipants affirmed this was the case</w:t>
      </w:r>
      <w:r>
        <w:rPr>
          <w:rFonts w:ascii="Calibri" w:hAnsi="Calibri" w:cs="Calibri"/>
          <w:sz w:val="24"/>
          <w:szCs w:val="24"/>
        </w:rPr>
        <w:t xml:space="preserve">. </w:t>
      </w:r>
      <w:r w:rsidRPr="00E243D9">
        <w:rPr>
          <w:rFonts w:ascii="Calibri" w:hAnsi="Calibri" w:cs="Calibri"/>
          <w:sz w:val="24"/>
          <w:szCs w:val="24"/>
        </w:rPr>
        <w:t>The first participant in this study, Miriam, highlighted teachers in particular need to be held due to challenges such as high workloads, the number of stakeholders</w:t>
      </w:r>
      <w:r>
        <w:rPr>
          <w:rFonts w:ascii="Calibri" w:hAnsi="Calibri" w:cs="Calibri"/>
          <w:sz w:val="24"/>
          <w:szCs w:val="24"/>
        </w:rPr>
        <w:t xml:space="preserve"> </w:t>
      </w:r>
      <w:r w:rsidRPr="00E243D9">
        <w:rPr>
          <w:rFonts w:ascii="Calibri" w:hAnsi="Calibri" w:cs="Calibri"/>
          <w:sz w:val="24"/>
          <w:szCs w:val="24"/>
        </w:rPr>
        <w:t xml:space="preserve">and the dynamic of </w:t>
      </w:r>
      <w:r>
        <w:rPr>
          <w:rFonts w:ascii="Calibri" w:hAnsi="Calibri" w:cs="Calibri"/>
          <w:sz w:val="24"/>
          <w:szCs w:val="24"/>
        </w:rPr>
        <w:t xml:space="preserve">the </w:t>
      </w:r>
      <w:r w:rsidRPr="00E243D9">
        <w:rPr>
          <w:rFonts w:ascii="Calibri" w:hAnsi="Calibri" w:cs="Calibri"/>
          <w:sz w:val="24"/>
          <w:szCs w:val="24"/>
        </w:rPr>
        <w:t>student/teacher relationship (</w:t>
      </w:r>
      <w:r>
        <w:rPr>
          <w:rFonts w:ascii="Calibri" w:hAnsi="Calibri" w:cs="Calibri"/>
          <w:sz w:val="24"/>
          <w:szCs w:val="24"/>
        </w:rPr>
        <w:t>T 1</w:t>
      </w:r>
      <w:r w:rsidRPr="00E243D9">
        <w:rPr>
          <w:rFonts w:ascii="Calibri" w:hAnsi="Calibri" w:cs="Calibri"/>
          <w:sz w:val="24"/>
          <w:szCs w:val="24"/>
        </w:rPr>
        <w:t>).</w:t>
      </w:r>
    </w:p>
    <w:p w14:paraId="3199EAC8" w14:textId="17C51FDB" w:rsidR="00BF61A6" w:rsidRDefault="00BF61A6" w:rsidP="00B34100">
      <w:pPr>
        <w:spacing w:line="360" w:lineRule="auto"/>
        <w:rPr>
          <w:rFonts w:ascii="Calibri" w:hAnsi="Calibri" w:cs="Calibri"/>
          <w:sz w:val="24"/>
          <w:szCs w:val="24"/>
        </w:rPr>
      </w:pPr>
      <w:r>
        <w:rPr>
          <w:rFonts w:ascii="Calibri" w:hAnsi="Calibri" w:cs="Calibri"/>
          <w:sz w:val="24"/>
          <w:szCs w:val="24"/>
        </w:rPr>
        <w:t xml:space="preserve">The concept of holding </w:t>
      </w:r>
      <w:r w:rsidRPr="001B0222">
        <w:rPr>
          <w:rFonts w:ascii="Calibri" w:hAnsi="Calibri" w:cs="Calibri"/>
          <w:sz w:val="24"/>
          <w:szCs w:val="24"/>
        </w:rPr>
        <w:t xml:space="preserve">sits in the spaces-in-between the </w:t>
      </w:r>
      <w:r w:rsidR="002D21A3">
        <w:rPr>
          <w:rFonts w:ascii="Calibri" w:hAnsi="Calibri" w:cs="Calibri"/>
          <w:sz w:val="24"/>
          <w:szCs w:val="24"/>
        </w:rPr>
        <w:t xml:space="preserve">findings </w:t>
      </w:r>
      <w:r w:rsidRPr="001B0222">
        <w:rPr>
          <w:rFonts w:ascii="Calibri" w:hAnsi="Calibri" w:cs="Calibri"/>
          <w:sz w:val="24"/>
          <w:szCs w:val="24"/>
        </w:rPr>
        <w:t>as an aperture story (Pinkola-Estes, 1992) and is indeed a “transcendent function” (Jung, 1953, p.80)</w:t>
      </w:r>
      <w:r>
        <w:rPr>
          <w:rFonts w:ascii="Calibri" w:hAnsi="Calibri" w:cs="Calibri"/>
          <w:sz w:val="24"/>
          <w:szCs w:val="24"/>
        </w:rPr>
        <w:t xml:space="preserve"> that </w:t>
      </w:r>
      <w:r w:rsidRPr="001B0222">
        <w:rPr>
          <w:rFonts w:ascii="Calibri" w:hAnsi="Calibri" w:cs="Calibri"/>
          <w:sz w:val="24"/>
          <w:szCs w:val="24"/>
        </w:rPr>
        <w:t>emerged when considering the individuation of these teachers</w:t>
      </w:r>
      <w:r>
        <w:rPr>
          <w:rFonts w:ascii="Calibri" w:hAnsi="Calibri" w:cs="Calibri"/>
          <w:sz w:val="24"/>
          <w:szCs w:val="24"/>
        </w:rPr>
        <w:t>.</w:t>
      </w:r>
      <w:r w:rsidRPr="001B0222">
        <w:rPr>
          <w:rFonts w:ascii="Calibri" w:hAnsi="Calibri" w:cs="Calibri"/>
          <w:sz w:val="24"/>
          <w:szCs w:val="24"/>
        </w:rPr>
        <w:t xml:space="preserve"> Whether it be a mentor, colleague, method, internalised object constant from previous trainings, a method, an animal, a faith-based system or theoretical framework, common to all of these identified </w:t>
      </w:r>
      <w:r w:rsidRPr="001B0222">
        <w:rPr>
          <w:rFonts w:ascii="Calibri" w:hAnsi="Calibri" w:cs="Calibri"/>
          <w:sz w:val="24"/>
          <w:szCs w:val="24"/>
        </w:rPr>
        <w:lastRenderedPageBreak/>
        <w:t xml:space="preserve">support mechanisms was an ethic of care </w:t>
      </w:r>
      <w:r w:rsidR="0067251E">
        <w:rPr>
          <w:rFonts w:ascii="Calibri" w:hAnsi="Calibri" w:cs="Calibri"/>
          <w:sz w:val="24"/>
          <w:szCs w:val="24"/>
        </w:rPr>
        <w:t>(No</w:t>
      </w:r>
      <w:r w:rsidR="00D306A7">
        <w:rPr>
          <w:rFonts w:ascii="Calibri" w:hAnsi="Calibri" w:cs="Calibri"/>
          <w:sz w:val="24"/>
          <w:szCs w:val="24"/>
        </w:rPr>
        <w:t>ddings, 2002)</w:t>
      </w:r>
      <w:r w:rsidRPr="001B0222">
        <w:rPr>
          <w:rFonts w:ascii="Calibri" w:hAnsi="Calibri" w:cs="Calibri"/>
          <w:sz w:val="24"/>
          <w:szCs w:val="24"/>
        </w:rPr>
        <w:t xml:space="preserve">. </w:t>
      </w:r>
      <w:r>
        <w:rPr>
          <w:rFonts w:ascii="Calibri" w:hAnsi="Calibri" w:cs="Calibri"/>
          <w:sz w:val="24"/>
          <w:szCs w:val="24"/>
        </w:rPr>
        <w:t xml:space="preserve">Through being held, the </w:t>
      </w:r>
      <w:r w:rsidRPr="001B0222">
        <w:rPr>
          <w:rFonts w:ascii="Calibri" w:hAnsi="Calibri" w:cs="Calibri"/>
          <w:sz w:val="24"/>
          <w:szCs w:val="24"/>
        </w:rPr>
        <w:t xml:space="preserve">participants felt </w:t>
      </w:r>
      <w:r>
        <w:rPr>
          <w:rFonts w:ascii="Calibri" w:hAnsi="Calibri" w:cs="Calibri"/>
          <w:sz w:val="24"/>
          <w:szCs w:val="24"/>
        </w:rPr>
        <w:t xml:space="preserve">supported, </w:t>
      </w:r>
      <w:r w:rsidRPr="001B0222">
        <w:rPr>
          <w:rFonts w:ascii="Calibri" w:hAnsi="Calibri" w:cs="Calibri"/>
          <w:sz w:val="24"/>
          <w:szCs w:val="24"/>
        </w:rPr>
        <w:t>soothed and cared for.</w:t>
      </w:r>
    </w:p>
    <w:p w14:paraId="78D0BE63" w14:textId="4FBD8E86" w:rsidR="00BF61A6" w:rsidRPr="002D4D5D" w:rsidRDefault="00BF61A6" w:rsidP="00B34100">
      <w:pPr>
        <w:spacing w:line="360" w:lineRule="auto"/>
        <w:rPr>
          <w:rFonts w:ascii="Calibri" w:hAnsi="Calibri" w:cs="Calibri"/>
          <w:sz w:val="24"/>
          <w:szCs w:val="24"/>
        </w:rPr>
      </w:pPr>
      <w:r w:rsidRPr="002D4D5D">
        <w:rPr>
          <w:rFonts w:ascii="Calibri" w:hAnsi="Calibri" w:cs="Calibri"/>
          <w:sz w:val="24"/>
          <w:szCs w:val="24"/>
        </w:rPr>
        <w:t xml:space="preserve">Although archetypes can be limiting and create rigid perceptions, this is where the archetype is of service and conjures up a notion of the fairy godmother or </w:t>
      </w:r>
      <w:r w:rsidRPr="002D4D5D">
        <w:rPr>
          <w:rFonts w:ascii="Calibri" w:hAnsi="Calibri" w:cs="Calibri"/>
          <w:i/>
          <w:iCs/>
          <w:sz w:val="24"/>
          <w:szCs w:val="24"/>
        </w:rPr>
        <w:t>Wise Elder</w:t>
      </w:r>
      <w:r w:rsidRPr="002D4D5D">
        <w:rPr>
          <w:rFonts w:ascii="Calibri" w:hAnsi="Calibri" w:cs="Calibri"/>
          <w:sz w:val="24"/>
          <w:szCs w:val="24"/>
        </w:rPr>
        <w:t xml:space="preserve">. The </w:t>
      </w:r>
      <w:r w:rsidRPr="002D4D5D">
        <w:rPr>
          <w:rFonts w:ascii="Calibri" w:hAnsi="Calibri" w:cs="Calibri"/>
          <w:i/>
          <w:iCs/>
          <w:sz w:val="24"/>
          <w:szCs w:val="24"/>
        </w:rPr>
        <w:t>Wise Elder</w:t>
      </w:r>
      <w:r w:rsidRPr="002D4D5D">
        <w:rPr>
          <w:rFonts w:ascii="Calibri" w:hAnsi="Calibri" w:cs="Calibri"/>
          <w:sz w:val="24"/>
          <w:szCs w:val="24"/>
        </w:rPr>
        <w:t xml:space="preserve"> (Mayes, 2007) knows the overall territory of the path being traversed and can point the hero in the direction of the means and tools to meet the hero’s goals (Jung, 1959). Overall, the participants affirmed the need for</w:t>
      </w:r>
      <w:r>
        <w:rPr>
          <w:rFonts w:ascii="Calibri" w:hAnsi="Calibri" w:cs="Calibri"/>
          <w:sz w:val="24"/>
          <w:szCs w:val="24"/>
        </w:rPr>
        <w:t xml:space="preserve"> a pedagogic archetype </w:t>
      </w:r>
      <w:r w:rsidRPr="002D4D5D">
        <w:rPr>
          <w:rFonts w:ascii="Calibri" w:hAnsi="Calibri" w:cs="Calibri"/>
          <w:sz w:val="24"/>
          <w:szCs w:val="24"/>
        </w:rPr>
        <w:t xml:space="preserve">who/which assumes the role of the </w:t>
      </w:r>
      <w:r w:rsidRPr="002D4D5D">
        <w:rPr>
          <w:rFonts w:ascii="Calibri" w:hAnsi="Calibri" w:cs="Calibri"/>
          <w:i/>
          <w:iCs/>
          <w:sz w:val="24"/>
          <w:szCs w:val="24"/>
        </w:rPr>
        <w:t>Wise Elder</w:t>
      </w:r>
      <w:r>
        <w:rPr>
          <w:rFonts w:ascii="Calibri" w:hAnsi="Calibri" w:cs="Calibri"/>
          <w:sz w:val="24"/>
          <w:szCs w:val="24"/>
        </w:rPr>
        <w:t>,</w:t>
      </w:r>
      <w:r w:rsidRPr="002D4D5D">
        <w:rPr>
          <w:rFonts w:ascii="Calibri" w:hAnsi="Calibri" w:cs="Calibri"/>
          <w:sz w:val="24"/>
          <w:szCs w:val="24"/>
        </w:rPr>
        <w:t xml:space="preserve"> a “guru, magician, doctor, priest, teacher, professor” (Jung, 1959, pp. 215-21</w:t>
      </w:r>
      <w:r w:rsidR="00C058E8">
        <w:rPr>
          <w:rFonts w:ascii="Calibri" w:hAnsi="Calibri" w:cs="Calibri"/>
          <w:sz w:val="24"/>
          <w:szCs w:val="24"/>
        </w:rPr>
        <w:t>6</w:t>
      </w:r>
      <w:r w:rsidRPr="002D4D5D">
        <w:rPr>
          <w:rFonts w:ascii="Calibri" w:hAnsi="Calibri" w:cs="Calibri"/>
          <w:sz w:val="24"/>
          <w:szCs w:val="24"/>
        </w:rPr>
        <w:t xml:space="preserve">). This study therefore provides a new insight into </w:t>
      </w:r>
      <w:r>
        <w:rPr>
          <w:rFonts w:ascii="Calibri" w:hAnsi="Calibri" w:cs="Calibri"/>
          <w:sz w:val="24"/>
          <w:szCs w:val="24"/>
        </w:rPr>
        <w:t xml:space="preserve">the importance of </w:t>
      </w:r>
      <w:r w:rsidRPr="002D4D5D">
        <w:rPr>
          <w:rFonts w:ascii="Calibri" w:hAnsi="Calibri" w:cs="Calibri"/>
          <w:sz w:val="24"/>
          <w:szCs w:val="24"/>
        </w:rPr>
        <w:t xml:space="preserve">a guardian of the </w:t>
      </w:r>
      <w:r>
        <w:rPr>
          <w:rFonts w:ascii="Calibri" w:hAnsi="Calibri" w:cs="Calibri"/>
          <w:sz w:val="24"/>
          <w:szCs w:val="24"/>
        </w:rPr>
        <w:t xml:space="preserve">learning </w:t>
      </w:r>
      <w:r w:rsidRPr="002D4D5D">
        <w:rPr>
          <w:rFonts w:ascii="Calibri" w:hAnsi="Calibri" w:cs="Calibri"/>
          <w:sz w:val="24"/>
          <w:szCs w:val="24"/>
        </w:rPr>
        <w:t>threshold</w:t>
      </w:r>
      <w:r>
        <w:rPr>
          <w:rFonts w:ascii="Calibri" w:hAnsi="Calibri" w:cs="Calibri"/>
          <w:sz w:val="24"/>
          <w:szCs w:val="24"/>
        </w:rPr>
        <w:t>,</w:t>
      </w:r>
      <w:r w:rsidRPr="002D4D5D">
        <w:rPr>
          <w:rFonts w:ascii="Calibri" w:hAnsi="Calibri" w:cs="Calibri"/>
          <w:sz w:val="24"/>
          <w:szCs w:val="24"/>
        </w:rPr>
        <w:t xml:space="preserve"> in whatever form that takes, </w:t>
      </w:r>
      <w:r>
        <w:rPr>
          <w:rFonts w:ascii="Calibri" w:hAnsi="Calibri" w:cs="Calibri"/>
          <w:sz w:val="24"/>
          <w:szCs w:val="24"/>
        </w:rPr>
        <w:t>being</w:t>
      </w:r>
      <w:r w:rsidRPr="002D4D5D">
        <w:rPr>
          <w:rFonts w:ascii="Calibri" w:hAnsi="Calibri" w:cs="Calibri"/>
          <w:sz w:val="24"/>
          <w:szCs w:val="24"/>
        </w:rPr>
        <w:t xml:space="preserve"> essential to hold the learner, regardless of their age, whilst they are learning. </w:t>
      </w:r>
    </w:p>
    <w:p w14:paraId="7B24E3F5" w14:textId="70ED9140" w:rsidR="00BF61A6" w:rsidRPr="0099400E" w:rsidRDefault="00BF61A6" w:rsidP="00B34100">
      <w:pPr>
        <w:spacing w:line="360" w:lineRule="auto"/>
        <w:rPr>
          <w:rFonts w:ascii="Calibri" w:hAnsi="Calibri" w:cs="Calibri"/>
          <w:sz w:val="24"/>
          <w:szCs w:val="24"/>
        </w:rPr>
      </w:pPr>
      <w:r w:rsidRPr="0099400E">
        <w:rPr>
          <w:rFonts w:ascii="Calibri" w:hAnsi="Calibri" w:cs="Calibri"/>
          <w:sz w:val="24"/>
          <w:szCs w:val="24"/>
        </w:rPr>
        <w:t xml:space="preserve">Without exception all participants believed it was their role to </w:t>
      </w:r>
      <w:r>
        <w:rPr>
          <w:rFonts w:ascii="Calibri" w:hAnsi="Calibri" w:cs="Calibri"/>
          <w:sz w:val="24"/>
          <w:szCs w:val="24"/>
        </w:rPr>
        <w:t xml:space="preserve">be a </w:t>
      </w:r>
      <w:r w:rsidRPr="00C64F2C">
        <w:rPr>
          <w:rFonts w:ascii="Calibri" w:hAnsi="Calibri" w:cs="Calibri"/>
          <w:i/>
          <w:iCs/>
          <w:sz w:val="24"/>
          <w:szCs w:val="24"/>
        </w:rPr>
        <w:t>Guardian of the Threshold</w:t>
      </w:r>
      <w:r w:rsidRPr="000663ED">
        <w:rPr>
          <w:rFonts w:ascii="Calibri" w:hAnsi="Calibri" w:cs="Calibri"/>
          <w:sz w:val="24"/>
          <w:szCs w:val="24"/>
        </w:rPr>
        <w:t xml:space="preserve"> </w:t>
      </w:r>
      <w:r>
        <w:rPr>
          <w:rFonts w:ascii="Calibri" w:hAnsi="Calibri" w:cs="Calibri"/>
          <w:sz w:val="24"/>
          <w:szCs w:val="24"/>
        </w:rPr>
        <w:t>figure for</w:t>
      </w:r>
      <w:r w:rsidRPr="0099400E">
        <w:rPr>
          <w:rFonts w:ascii="Calibri" w:hAnsi="Calibri" w:cs="Calibri"/>
          <w:sz w:val="24"/>
          <w:szCs w:val="24"/>
        </w:rPr>
        <w:t xml:space="preserve"> their students</w:t>
      </w:r>
      <w:r>
        <w:rPr>
          <w:rFonts w:ascii="Calibri" w:hAnsi="Calibri" w:cs="Calibri"/>
          <w:sz w:val="24"/>
          <w:szCs w:val="24"/>
        </w:rPr>
        <w:t>. Taking this role seriously,</w:t>
      </w:r>
      <w:r w:rsidRPr="0099400E">
        <w:rPr>
          <w:rFonts w:ascii="Calibri" w:hAnsi="Calibri" w:cs="Calibri"/>
          <w:sz w:val="24"/>
          <w:szCs w:val="24"/>
        </w:rPr>
        <w:t xml:space="preserve"> </w:t>
      </w:r>
      <w:r w:rsidRPr="00571CCB">
        <w:rPr>
          <w:rFonts w:ascii="Calibri" w:hAnsi="Calibri" w:cs="Calibri"/>
          <w:sz w:val="24"/>
          <w:szCs w:val="24"/>
        </w:rPr>
        <w:t xml:space="preserve">participants embodied an ethic of care </w:t>
      </w:r>
      <w:r w:rsidR="0067251E">
        <w:rPr>
          <w:rFonts w:ascii="Calibri" w:hAnsi="Calibri" w:cs="Calibri"/>
          <w:sz w:val="24"/>
          <w:szCs w:val="24"/>
        </w:rPr>
        <w:t xml:space="preserve">(Noddings, 2002) </w:t>
      </w:r>
      <w:r w:rsidRPr="00571CCB">
        <w:rPr>
          <w:rFonts w:ascii="Calibri" w:hAnsi="Calibri" w:cs="Calibri"/>
          <w:sz w:val="24"/>
          <w:szCs w:val="24"/>
        </w:rPr>
        <w:t>and acted in ways to protect their students from being overwhelmed</w:t>
      </w:r>
      <w:r>
        <w:rPr>
          <w:rFonts w:ascii="Calibri" w:hAnsi="Calibri" w:cs="Calibri"/>
          <w:sz w:val="24"/>
          <w:szCs w:val="24"/>
        </w:rPr>
        <w:t xml:space="preserve">. </w:t>
      </w:r>
      <w:r w:rsidRPr="00DB4563">
        <w:rPr>
          <w:rFonts w:ascii="Calibri" w:hAnsi="Calibri" w:cs="Calibri"/>
          <w:sz w:val="24"/>
          <w:szCs w:val="24"/>
        </w:rPr>
        <w:t>For example, Sophie</w:t>
      </w:r>
      <w:r w:rsidR="00853769">
        <w:rPr>
          <w:rFonts w:ascii="Calibri" w:hAnsi="Calibri" w:cs="Calibri"/>
          <w:sz w:val="24"/>
          <w:szCs w:val="24"/>
        </w:rPr>
        <w:t xml:space="preserve"> (T1)</w:t>
      </w:r>
      <w:r w:rsidRPr="00DB4563">
        <w:rPr>
          <w:rFonts w:ascii="Calibri" w:hAnsi="Calibri" w:cs="Calibri"/>
          <w:sz w:val="24"/>
          <w:szCs w:val="24"/>
        </w:rPr>
        <w:t xml:space="preserve"> and Jenko</w:t>
      </w:r>
      <w:r w:rsidR="004B3D2E">
        <w:rPr>
          <w:rFonts w:ascii="Calibri" w:hAnsi="Calibri" w:cs="Calibri"/>
          <w:sz w:val="24"/>
          <w:szCs w:val="24"/>
        </w:rPr>
        <w:t xml:space="preserve"> (T1) </w:t>
      </w:r>
      <w:r w:rsidRPr="00DB4563">
        <w:rPr>
          <w:rFonts w:ascii="Calibri" w:hAnsi="Calibri" w:cs="Calibri"/>
          <w:sz w:val="24"/>
          <w:szCs w:val="24"/>
        </w:rPr>
        <w:t>provided support to their students by modelling successful navigation of their emotions and their learning experiences thus enabling students to trust their feelings and experiences (McCabe, 2011).</w:t>
      </w:r>
      <w:r w:rsidRPr="00AB05C9">
        <w:rPr>
          <w:rFonts w:ascii="Calibri" w:hAnsi="Calibri" w:cs="Calibri"/>
          <w:sz w:val="24"/>
          <w:szCs w:val="24"/>
        </w:rPr>
        <w:t xml:space="preserve"> By sharing their lived experiences, </w:t>
      </w:r>
      <w:r>
        <w:rPr>
          <w:rFonts w:ascii="Calibri" w:hAnsi="Calibri" w:cs="Calibri"/>
          <w:sz w:val="24"/>
          <w:szCs w:val="24"/>
        </w:rPr>
        <w:t>they</w:t>
      </w:r>
      <w:r w:rsidRPr="00AB05C9">
        <w:rPr>
          <w:rFonts w:ascii="Calibri" w:hAnsi="Calibri" w:cs="Calibri"/>
          <w:sz w:val="24"/>
          <w:szCs w:val="24"/>
        </w:rPr>
        <w:t xml:space="preserve"> recognis</w:t>
      </w:r>
      <w:r>
        <w:rPr>
          <w:rFonts w:ascii="Calibri" w:hAnsi="Calibri" w:cs="Calibri"/>
          <w:sz w:val="24"/>
          <w:szCs w:val="24"/>
        </w:rPr>
        <w:t>e</w:t>
      </w:r>
      <w:r w:rsidRPr="00AB05C9">
        <w:rPr>
          <w:rFonts w:ascii="Calibri" w:hAnsi="Calibri" w:cs="Calibri"/>
          <w:sz w:val="24"/>
          <w:szCs w:val="24"/>
        </w:rPr>
        <w:t xml:space="preserve"> the </w:t>
      </w:r>
      <w:r>
        <w:rPr>
          <w:rFonts w:ascii="Calibri" w:hAnsi="Calibri" w:cs="Calibri"/>
          <w:sz w:val="24"/>
          <w:szCs w:val="24"/>
        </w:rPr>
        <w:t xml:space="preserve">importance of a </w:t>
      </w:r>
      <w:r w:rsidRPr="00AB05C9">
        <w:rPr>
          <w:rFonts w:ascii="Calibri" w:hAnsi="Calibri" w:cs="Calibri"/>
          <w:sz w:val="24"/>
          <w:szCs w:val="24"/>
        </w:rPr>
        <w:t>continuity of self-development that is individuation.</w:t>
      </w:r>
      <w:r w:rsidRPr="0083576D">
        <w:rPr>
          <w:rFonts w:ascii="Calibri" w:hAnsi="Calibri" w:cs="Calibri"/>
          <w:sz w:val="24"/>
          <w:szCs w:val="24"/>
        </w:rPr>
        <w:t xml:space="preserve"> Fred </w:t>
      </w:r>
      <w:r>
        <w:rPr>
          <w:rFonts w:ascii="Calibri" w:hAnsi="Calibri" w:cs="Calibri"/>
          <w:sz w:val="24"/>
          <w:szCs w:val="24"/>
        </w:rPr>
        <w:t xml:space="preserve">(T1) </w:t>
      </w:r>
      <w:r w:rsidRPr="0083576D">
        <w:rPr>
          <w:rFonts w:ascii="Calibri" w:hAnsi="Calibri" w:cs="Calibri"/>
          <w:sz w:val="24"/>
          <w:szCs w:val="24"/>
        </w:rPr>
        <w:t>and Dana</w:t>
      </w:r>
      <w:r>
        <w:rPr>
          <w:rFonts w:ascii="Calibri" w:hAnsi="Calibri" w:cs="Calibri"/>
          <w:sz w:val="24"/>
          <w:szCs w:val="24"/>
        </w:rPr>
        <w:t xml:space="preserve"> (T1)</w:t>
      </w:r>
      <w:r w:rsidRPr="0083576D">
        <w:rPr>
          <w:rFonts w:ascii="Calibri" w:hAnsi="Calibri" w:cs="Calibri"/>
          <w:sz w:val="24"/>
          <w:szCs w:val="24"/>
        </w:rPr>
        <w:t xml:space="preserve"> drew upon their lived experience of relational teacher trainings to</w:t>
      </w:r>
      <w:r>
        <w:rPr>
          <w:rFonts w:ascii="Calibri" w:hAnsi="Calibri" w:cs="Calibri"/>
          <w:sz w:val="24"/>
          <w:szCs w:val="24"/>
        </w:rPr>
        <w:t xml:space="preserve"> individuate </w:t>
      </w:r>
      <w:r w:rsidRPr="0083576D">
        <w:rPr>
          <w:rFonts w:ascii="Calibri" w:hAnsi="Calibri" w:cs="Calibri"/>
          <w:sz w:val="24"/>
          <w:szCs w:val="24"/>
        </w:rPr>
        <w:t>their students’ learning.</w:t>
      </w:r>
      <w:r>
        <w:rPr>
          <w:rFonts w:ascii="Calibri" w:hAnsi="Calibri" w:cs="Calibri"/>
          <w:sz w:val="24"/>
          <w:szCs w:val="24"/>
        </w:rPr>
        <w:t xml:space="preserve"> For participants where </w:t>
      </w:r>
      <w:r w:rsidRPr="0099400E">
        <w:rPr>
          <w:rFonts w:ascii="Calibri" w:hAnsi="Calibri" w:cs="Calibri"/>
          <w:sz w:val="24"/>
          <w:szCs w:val="24"/>
        </w:rPr>
        <w:t xml:space="preserve">support </w:t>
      </w:r>
      <w:r>
        <w:rPr>
          <w:rFonts w:ascii="Calibri" w:hAnsi="Calibri" w:cs="Calibri"/>
          <w:sz w:val="24"/>
          <w:szCs w:val="24"/>
        </w:rPr>
        <w:t xml:space="preserve">was lacking </w:t>
      </w:r>
      <w:r w:rsidRPr="0099400E">
        <w:rPr>
          <w:rFonts w:ascii="Calibri" w:hAnsi="Calibri" w:cs="Calibri"/>
          <w:sz w:val="24"/>
          <w:szCs w:val="24"/>
        </w:rPr>
        <w:t xml:space="preserve">for </w:t>
      </w:r>
      <w:r w:rsidRPr="00473EDE">
        <w:rPr>
          <w:rFonts w:ascii="Calibri" w:hAnsi="Calibri" w:cs="Calibri"/>
          <w:sz w:val="24"/>
          <w:szCs w:val="24"/>
        </w:rPr>
        <w:t>their</w:t>
      </w:r>
      <w:r w:rsidRPr="0099400E">
        <w:rPr>
          <w:rFonts w:ascii="Calibri" w:hAnsi="Calibri" w:cs="Calibri"/>
          <w:sz w:val="24"/>
          <w:szCs w:val="24"/>
        </w:rPr>
        <w:t xml:space="preserve"> learning as students,</w:t>
      </w:r>
      <w:r>
        <w:rPr>
          <w:rFonts w:ascii="Calibri" w:hAnsi="Calibri" w:cs="Calibri"/>
          <w:sz w:val="24"/>
          <w:szCs w:val="24"/>
        </w:rPr>
        <w:t xml:space="preserve"> they</w:t>
      </w:r>
      <w:r w:rsidRPr="0099400E">
        <w:rPr>
          <w:rFonts w:ascii="Calibri" w:hAnsi="Calibri" w:cs="Calibri"/>
          <w:sz w:val="24"/>
          <w:szCs w:val="24"/>
        </w:rPr>
        <w:t xml:space="preserve"> overall demonstrated that their conceptual maps as teachers encompassed a consistent, sturdy and unwavering student centred (Gilmore</w:t>
      </w:r>
      <w:r w:rsidRPr="0099400E">
        <w:rPr>
          <w:rFonts w:ascii="Calibri" w:hAnsi="Calibri" w:cs="Calibri"/>
          <w:i/>
          <w:iCs/>
          <w:sz w:val="24"/>
          <w:szCs w:val="24"/>
        </w:rPr>
        <w:t xml:space="preserve">, </w:t>
      </w:r>
      <w:r w:rsidR="00FB3A6E" w:rsidRPr="00FB3A6E">
        <w:rPr>
          <w:rFonts w:ascii="Calibri" w:hAnsi="Calibri" w:cs="Calibri"/>
          <w:i/>
          <w:sz w:val="24"/>
          <w:szCs w:val="24"/>
        </w:rPr>
        <w:t>et al.</w:t>
      </w:r>
      <w:r w:rsidRPr="0099400E">
        <w:rPr>
          <w:rFonts w:ascii="Calibri" w:hAnsi="Calibri" w:cs="Calibri"/>
          <w:sz w:val="24"/>
          <w:szCs w:val="24"/>
        </w:rPr>
        <w:t>, 2014) focus</w:t>
      </w:r>
      <w:r>
        <w:rPr>
          <w:rFonts w:ascii="Calibri" w:hAnsi="Calibri" w:cs="Calibri"/>
          <w:sz w:val="24"/>
          <w:szCs w:val="24"/>
        </w:rPr>
        <w:t xml:space="preserve">. For example, </w:t>
      </w:r>
      <w:r w:rsidRPr="00E12270">
        <w:rPr>
          <w:rFonts w:ascii="Calibri" w:hAnsi="Calibri" w:cs="Calibri"/>
          <w:sz w:val="24"/>
          <w:szCs w:val="24"/>
        </w:rPr>
        <w:t>Mo</w:t>
      </w:r>
      <w:r>
        <w:rPr>
          <w:rFonts w:ascii="Calibri" w:hAnsi="Calibri" w:cs="Calibri"/>
          <w:sz w:val="24"/>
          <w:szCs w:val="24"/>
        </w:rPr>
        <w:t xml:space="preserve"> </w:t>
      </w:r>
      <w:r w:rsidRPr="00E12270">
        <w:rPr>
          <w:rFonts w:ascii="Calibri" w:hAnsi="Calibri" w:cs="Calibri"/>
          <w:sz w:val="24"/>
          <w:szCs w:val="24"/>
        </w:rPr>
        <w:t xml:space="preserve">ensured wraparound pastoral and academic care </w:t>
      </w:r>
      <w:r>
        <w:rPr>
          <w:rFonts w:ascii="Calibri" w:hAnsi="Calibri" w:cs="Calibri"/>
          <w:sz w:val="24"/>
          <w:szCs w:val="24"/>
        </w:rPr>
        <w:t xml:space="preserve">was embodied </w:t>
      </w:r>
      <w:r w:rsidRPr="00E12270">
        <w:rPr>
          <w:rFonts w:ascii="Calibri" w:hAnsi="Calibri" w:cs="Calibri"/>
          <w:sz w:val="24"/>
          <w:szCs w:val="24"/>
        </w:rPr>
        <w:t>into</w:t>
      </w:r>
      <w:r>
        <w:rPr>
          <w:rFonts w:ascii="Calibri" w:hAnsi="Calibri" w:cs="Calibri"/>
          <w:sz w:val="24"/>
          <w:szCs w:val="24"/>
        </w:rPr>
        <w:t xml:space="preserve"> her teacher trainings</w:t>
      </w:r>
      <w:r w:rsidR="00A90CCE">
        <w:rPr>
          <w:rFonts w:ascii="Calibri" w:hAnsi="Calibri" w:cs="Calibri"/>
          <w:sz w:val="24"/>
          <w:szCs w:val="24"/>
        </w:rPr>
        <w:t xml:space="preserve"> (T1</w:t>
      </w:r>
      <w:r w:rsidR="002F5158">
        <w:rPr>
          <w:rFonts w:ascii="Calibri" w:hAnsi="Calibri" w:cs="Calibri"/>
          <w:sz w:val="24"/>
          <w:szCs w:val="24"/>
        </w:rPr>
        <w:t>,</w:t>
      </w:r>
      <w:r w:rsidR="00A90CCE">
        <w:rPr>
          <w:rFonts w:ascii="Calibri" w:hAnsi="Calibri" w:cs="Calibri"/>
          <w:sz w:val="24"/>
          <w:szCs w:val="24"/>
        </w:rPr>
        <w:t xml:space="preserve"> T</w:t>
      </w:r>
      <w:r w:rsidR="002F5158">
        <w:rPr>
          <w:rFonts w:ascii="Calibri" w:hAnsi="Calibri" w:cs="Calibri"/>
          <w:sz w:val="24"/>
          <w:szCs w:val="24"/>
        </w:rPr>
        <w:t>2)</w:t>
      </w:r>
      <w:r w:rsidRPr="00E12270">
        <w:rPr>
          <w:rFonts w:ascii="Calibri" w:hAnsi="Calibri" w:cs="Calibri"/>
          <w:sz w:val="24"/>
          <w:szCs w:val="24"/>
        </w:rPr>
        <w:t xml:space="preserve">. </w:t>
      </w:r>
      <w:r w:rsidRPr="0099400E">
        <w:rPr>
          <w:rFonts w:ascii="Calibri" w:hAnsi="Calibri" w:cs="Calibri"/>
          <w:sz w:val="24"/>
          <w:szCs w:val="24"/>
        </w:rPr>
        <w:t xml:space="preserve"> </w:t>
      </w:r>
      <w:r>
        <w:rPr>
          <w:rFonts w:ascii="Calibri" w:hAnsi="Calibri" w:cs="Calibri"/>
          <w:sz w:val="24"/>
          <w:szCs w:val="24"/>
        </w:rPr>
        <w:t>Her hero’s journey and individuation process as a teacher resulted in</w:t>
      </w:r>
      <w:r w:rsidRPr="0099400E">
        <w:rPr>
          <w:rFonts w:ascii="Calibri" w:hAnsi="Calibri" w:cs="Calibri"/>
          <w:sz w:val="24"/>
          <w:szCs w:val="24"/>
        </w:rPr>
        <w:t xml:space="preserve"> a determination to ensure the</w:t>
      </w:r>
      <w:r>
        <w:rPr>
          <w:rFonts w:ascii="Calibri" w:hAnsi="Calibri" w:cs="Calibri"/>
          <w:sz w:val="24"/>
          <w:szCs w:val="24"/>
        </w:rPr>
        <w:t xml:space="preserve"> overall </w:t>
      </w:r>
      <w:r w:rsidRPr="0099400E">
        <w:rPr>
          <w:rFonts w:ascii="Calibri" w:hAnsi="Calibri" w:cs="Calibri"/>
          <w:sz w:val="24"/>
          <w:szCs w:val="24"/>
        </w:rPr>
        <w:t xml:space="preserve">wellbeing </w:t>
      </w:r>
      <w:r>
        <w:rPr>
          <w:rFonts w:ascii="Calibri" w:hAnsi="Calibri" w:cs="Calibri"/>
          <w:sz w:val="24"/>
          <w:szCs w:val="24"/>
        </w:rPr>
        <w:t xml:space="preserve">of her students was </w:t>
      </w:r>
      <w:r w:rsidRPr="0099400E">
        <w:rPr>
          <w:rFonts w:ascii="Calibri" w:hAnsi="Calibri" w:cs="Calibri"/>
          <w:sz w:val="24"/>
          <w:szCs w:val="24"/>
        </w:rPr>
        <w:t>catered for.</w:t>
      </w:r>
    </w:p>
    <w:p w14:paraId="514A21EB" w14:textId="77777777" w:rsidR="00BF61A6" w:rsidRPr="00F8035E" w:rsidRDefault="00BF61A6" w:rsidP="00B34100">
      <w:pPr>
        <w:spacing w:line="360" w:lineRule="auto"/>
        <w:rPr>
          <w:rFonts w:ascii="Calibri" w:hAnsi="Calibri" w:cs="Calibri"/>
          <w:b/>
          <w:bCs/>
          <w:i/>
          <w:iCs/>
          <w:sz w:val="24"/>
          <w:szCs w:val="24"/>
        </w:rPr>
      </w:pPr>
      <w:r w:rsidRPr="00F8035E">
        <w:rPr>
          <w:rFonts w:ascii="Calibri" w:hAnsi="Calibri" w:cs="Calibri"/>
          <w:b/>
          <w:bCs/>
          <w:i/>
          <w:iCs/>
          <w:sz w:val="24"/>
          <w:szCs w:val="24"/>
        </w:rPr>
        <w:t>The facilitating environment</w:t>
      </w:r>
    </w:p>
    <w:p w14:paraId="24040E36" w14:textId="0AA62110" w:rsidR="00BF61A6" w:rsidRDefault="00BF61A6" w:rsidP="00B34100">
      <w:pPr>
        <w:spacing w:line="360" w:lineRule="auto"/>
        <w:rPr>
          <w:rFonts w:ascii="Calibri" w:hAnsi="Calibri" w:cs="Calibri"/>
          <w:sz w:val="24"/>
          <w:szCs w:val="24"/>
        </w:rPr>
      </w:pPr>
      <w:r>
        <w:rPr>
          <w:rFonts w:ascii="Calibri" w:hAnsi="Calibri" w:cs="Calibri"/>
          <w:sz w:val="24"/>
          <w:szCs w:val="24"/>
        </w:rPr>
        <w:t>Honig (2017) suggests that e</w:t>
      </w:r>
      <w:r w:rsidRPr="00372EFA">
        <w:rPr>
          <w:rFonts w:ascii="Calibri" w:hAnsi="Calibri" w:cs="Calibri"/>
          <w:sz w:val="24"/>
          <w:szCs w:val="24"/>
        </w:rPr>
        <w:t>ducation establishments are containers that can be compared to that of the maternal holding environment</w:t>
      </w:r>
      <w:r w:rsidR="00D65BEB">
        <w:rPr>
          <w:rFonts w:ascii="Calibri" w:hAnsi="Calibri" w:cs="Calibri"/>
          <w:sz w:val="24"/>
          <w:szCs w:val="24"/>
        </w:rPr>
        <w:t xml:space="preserve"> (Winnicott, 1965)</w:t>
      </w:r>
      <w:r>
        <w:rPr>
          <w:rFonts w:ascii="Calibri" w:hAnsi="Calibri" w:cs="Calibri"/>
          <w:sz w:val="24"/>
          <w:szCs w:val="24"/>
        </w:rPr>
        <w:t xml:space="preserve">, and all participants embodied this maternal holding provision for their students. However, overall participants </w:t>
      </w:r>
      <w:r>
        <w:rPr>
          <w:rFonts w:ascii="Calibri" w:hAnsi="Calibri" w:cs="Calibri"/>
          <w:sz w:val="24"/>
          <w:szCs w:val="24"/>
        </w:rPr>
        <w:lastRenderedPageBreak/>
        <w:t xml:space="preserve">lacked trust </w:t>
      </w:r>
      <w:r w:rsidRPr="00372EFA">
        <w:rPr>
          <w:rFonts w:ascii="Calibri" w:hAnsi="Calibri" w:cs="Calibri"/>
          <w:sz w:val="24"/>
          <w:szCs w:val="24"/>
        </w:rPr>
        <w:t xml:space="preserve">in the </w:t>
      </w:r>
      <w:r>
        <w:rPr>
          <w:rFonts w:ascii="Calibri" w:hAnsi="Calibri" w:cs="Calibri"/>
          <w:sz w:val="24"/>
          <w:szCs w:val="24"/>
        </w:rPr>
        <w:t xml:space="preserve">university container </w:t>
      </w:r>
      <w:r w:rsidRPr="00372EFA">
        <w:rPr>
          <w:rFonts w:ascii="Calibri" w:hAnsi="Calibri" w:cs="Calibri"/>
          <w:sz w:val="24"/>
          <w:szCs w:val="24"/>
        </w:rPr>
        <w:t xml:space="preserve">to support their </w:t>
      </w:r>
      <w:r>
        <w:rPr>
          <w:rFonts w:ascii="Calibri" w:hAnsi="Calibri" w:cs="Calibri"/>
          <w:sz w:val="24"/>
          <w:szCs w:val="24"/>
        </w:rPr>
        <w:t xml:space="preserve">emotional </w:t>
      </w:r>
      <w:r w:rsidRPr="00372EFA">
        <w:rPr>
          <w:rFonts w:ascii="Calibri" w:hAnsi="Calibri" w:cs="Calibri"/>
          <w:sz w:val="24"/>
          <w:szCs w:val="24"/>
        </w:rPr>
        <w:t>well-being</w:t>
      </w:r>
      <w:r>
        <w:rPr>
          <w:rFonts w:ascii="Calibri" w:hAnsi="Calibri" w:cs="Calibri"/>
          <w:sz w:val="24"/>
          <w:szCs w:val="24"/>
        </w:rPr>
        <w:t xml:space="preserve">. </w:t>
      </w:r>
      <w:r w:rsidRPr="00372EFA">
        <w:rPr>
          <w:rFonts w:ascii="Calibri" w:hAnsi="Calibri" w:cs="Calibri"/>
          <w:sz w:val="24"/>
          <w:szCs w:val="24"/>
        </w:rPr>
        <w:t xml:space="preserve">Although only </w:t>
      </w:r>
      <w:r>
        <w:rPr>
          <w:rFonts w:ascii="Calibri" w:hAnsi="Calibri" w:cs="Calibri"/>
          <w:sz w:val="24"/>
          <w:szCs w:val="24"/>
        </w:rPr>
        <w:t xml:space="preserve">definitively </w:t>
      </w:r>
      <w:r w:rsidRPr="00372EFA">
        <w:rPr>
          <w:rFonts w:ascii="Calibri" w:hAnsi="Calibri" w:cs="Calibri"/>
          <w:sz w:val="24"/>
          <w:szCs w:val="24"/>
        </w:rPr>
        <w:t xml:space="preserve">named by one participant, Liz, the university environment was identified as </w:t>
      </w:r>
      <w:r>
        <w:rPr>
          <w:rFonts w:ascii="Calibri" w:hAnsi="Calibri" w:cs="Calibri"/>
          <w:sz w:val="24"/>
          <w:szCs w:val="24"/>
        </w:rPr>
        <w:t>“</w:t>
      </w:r>
      <w:r w:rsidRPr="000D7BAD">
        <w:rPr>
          <w:rFonts w:ascii="Calibri" w:hAnsi="Calibri" w:cs="Calibri"/>
          <w:i/>
          <w:iCs/>
          <w:sz w:val="24"/>
          <w:szCs w:val="24"/>
        </w:rPr>
        <w:t>hostile</w:t>
      </w:r>
      <w:r>
        <w:rPr>
          <w:rFonts w:ascii="Calibri" w:hAnsi="Calibri" w:cs="Calibri"/>
          <w:sz w:val="24"/>
          <w:szCs w:val="24"/>
        </w:rPr>
        <w:t>”</w:t>
      </w:r>
      <w:r w:rsidRPr="00372EFA">
        <w:rPr>
          <w:rFonts w:ascii="Calibri" w:hAnsi="Calibri" w:cs="Calibri"/>
          <w:sz w:val="24"/>
          <w:szCs w:val="24"/>
        </w:rPr>
        <w:t xml:space="preserve"> to emotions and emotional support</w:t>
      </w:r>
      <w:r>
        <w:rPr>
          <w:rFonts w:ascii="Calibri" w:hAnsi="Calibri" w:cs="Calibri"/>
          <w:sz w:val="24"/>
          <w:szCs w:val="24"/>
        </w:rPr>
        <w:t xml:space="preserve"> (</w:t>
      </w:r>
      <w:r w:rsidR="003924EE">
        <w:rPr>
          <w:rFonts w:ascii="Calibri" w:hAnsi="Calibri" w:cs="Calibri"/>
          <w:sz w:val="24"/>
          <w:szCs w:val="24"/>
        </w:rPr>
        <w:t xml:space="preserve">Liz, </w:t>
      </w:r>
      <w:r>
        <w:rPr>
          <w:rFonts w:ascii="Calibri" w:hAnsi="Calibri" w:cs="Calibri"/>
          <w:sz w:val="24"/>
          <w:szCs w:val="24"/>
        </w:rPr>
        <w:t>T1, p. 15, par 3)</w:t>
      </w:r>
      <w:r w:rsidRPr="00372EFA">
        <w:rPr>
          <w:rFonts w:ascii="Calibri" w:hAnsi="Calibri" w:cs="Calibri"/>
          <w:sz w:val="24"/>
          <w:szCs w:val="24"/>
        </w:rPr>
        <w:t>. Fred</w:t>
      </w:r>
      <w:r>
        <w:rPr>
          <w:rFonts w:ascii="Calibri" w:hAnsi="Calibri" w:cs="Calibri"/>
          <w:sz w:val="24"/>
          <w:szCs w:val="24"/>
        </w:rPr>
        <w:t xml:space="preserve"> </w:t>
      </w:r>
      <w:r w:rsidRPr="00372EFA">
        <w:rPr>
          <w:rFonts w:ascii="Calibri" w:hAnsi="Calibri" w:cs="Calibri"/>
          <w:sz w:val="24"/>
          <w:szCs w:val="24"/>
        </w:rPr>
        <w:t>noted that the university</w:t>
      </w:r>
      <w:r>
        <w:rPr>
          <w:rFonts w:ascii="Calibri" w:hAnsi="Calibri" w:cs="Calibri"/>
          <w:sz w:val="24"/>
          <w:szCs w:val="24"/>
        </w:rPr>
        <w:t xml:space="preserve"> thinks it </w:t>
      </w:r>
      <w:r w:rsidRPr="00372EFA">
        <w:rPr>
          <w:rFonts w:ascii="Calibri" w:hAnsi="Calibri" w:cs="Calibri"/>
          <w:sz w:val="24"/>
          <w:szCs w:val="24"/>
        </w:rPr>
        <w:t xml:space="preserve">offers support, but </w:t>
      </w:r>
      <w:r>
        <w:rPr>
          <w:rFonts w:ascii="Calibri" w:hAnsi="Calibri" w:cs="Calibri"/>
          <w:sz w:val="24"/>
          <w:szCs w:val="24"/>
        </w:rPr>
        <w:t xml:space="preserve">he considered </w:t>
      </w:r>
      <w:r w:rsidRPr="00372EFA">
        <w:rPr>
          <w:rFonts w:ascii="Calibri" w:hAnsi="Calibri" w:cs="Calibri"/>
          <w:sz w:val="24"/>
          <w:szCs w:val="24"/>
        </w:rPr>
        <w:t xml:space="preserve">its support as somewhat </w:t>
      </w:r>
      <w:r>
        <w:rPr>
          <w:rFonts w:ascii="Calibri" w:hAnsi="Calibri" w:cs="Calibri"/>
          <w:sz w:val="24"/>
          <w:szCs w:val="24"/>
        </w:rPr>
        <w:t>prescriptive (T2)</w:t>
      </w:r>
      <w:r w:rsidRPr="00372EFA">
        <w:rPr>
          <w:rFonts w:ascii="Calibri" w:hAnsi="Calibri" w:cs="Calibri"/>
          <w:sz w:val="24"/>
          <w:szCs w:val="24"/>
        </w:rPr>
        <w:t>. Laura</w:t>
      </w:r>
      <w:r w:rsidR="00F26B9E">
        <w:rPr>
          <w:rFonts w:ascii="Calibri" w:hAnsi="Calibri" w:cs="Calibri"/>
          <w:sz w:val="24"/>
          <w:szCs w:val="24"/>
        </w:rPr>
        <w:t xml:space="preserve"> (T1)</w:t>
      </w:r>
      <w:r w:rsidRPr="00372EFA">
        <w:rPr>
          <w:rFonts w:ascii="Calibri" w:hAnsi="Calibri" w:cs="Calibri"/>
          <w:sz w:val="24"/>
          <w:szCs w:val="24"/>
        </w:rPr>
        <w:t>, Sophie</w:t>
      </w:r>
      <w:r w:rsidR="00F26B9E">
        <w:rPr>
          <w:rFonts w:ascii="Calibri" w:hAnsi="Calibri" w:cs="Calibri"/>
          <w:sz w:val="24"/>
          <w:szCs w:val="24"/>
        </w:rPr>
        <w:t xml:space="preserve"> (T1)</w:t>
      </w:r>
      <w:r w:rsidRPr="00372EFA">
        <w:rPr>
          <w:rFonts w:ascii="Calibri" w:hAnsi="Calibri" w:cs="Calibri"/>
          <w:sz w:val="24"/>
          <w:szCs w:val="24"/>
        </w:rPr>
        <w:t>, Mo</w:t>
      </w:r>
      <w:r w:rsidR="00F26B9E">
        <w:rPr>
          <w:rFonts w:ascii="Calibri" w:hAnsi="Calibri" w:cs="Calibri"/>
          <w:sz w:val="24"/>
          <w:szCs w:val="24"/>
        </w:rPr>
        <w:t xml:space="preserve"> (T1)</w:t>
      </w:r>
      <w:r w:rsidRPr="00372EFA">
        <w:rPr>
          <w:rFonts w:ascii="Calibri" w:hAnsi="Calibri" w:cs="Calibri"/>
          <w:sz w:val="24"/>
          <w:szCs w:val="24"/>
        </w:rPr>
        <w:t xml:space="preserve"> and Sally</w:t>
      </w:r>
      <w:r w:rsidR="00F26B9E">
        <w:rPr>
          <w:rFonts w:ascii="Calibri" w:hAnsi="Calibri" w:cs="Calibri"/>
          <w:sz w:val="24"/>
          <w:szCs w:val="24"/>
        </w:rPr>
        <w:t xml:space="preserve"> (T1)</w:t>
      </w:r>
      <w:r w:rsidRPr="00372EFA">
        <w:rPr>
          <w:rFonts w:ascii="Calibri" w:hAnsi="Calibri" w:cs="Calibri"/>
          <w:sz w:val="24"/>
          <w:szCs w:val="24"/>
        </w:rPr>
        <w:t xml:space="preserve"> impl</w:t>
      </w:r>
      <w:r>
        <w:rPr>
          <w:rFonts w:ascii="Calibri" w:hAnsi="Calibri" w:cs="Calibri"/>
          <w:sz w:val="24"/>
          <w:szCs w:val="24"/>
        </w:rPr>
        <w:t>ied</w:t>
      </w:r>
      <w:r w:rsidRPr="00372EFA">
        <w:rPr>
          <w:rFonts w:ascii="Calibri" w:hAnsi="Calibri" w:cs="Calibri"/>
          <w:sz w:val="24"/>
          <w:szCs w:val="24"/>
        </w:rPr>
        <w:t xml:space="preserve"> rather than explicitly state the environment was untrustworthy with reference to their well-being and emotion</w:t>
      </w:r>
      <w:r>
        <w:rPr>
          <w:rFonts w:ascii="Calibri" w:hAnsi="Calibri" w:cs="Calibri"/>
          <w:sz w:val="24"/>
          <w:szCs w:val="24"/>
        </w:rPr>
        <w:t xml:space="preserve">s. </w:t>
      </w:r>
      <w:r w:rsidRPr="00F2009D">
        <w:rPr>
          <w:rFonts w:ascii="Calibri" w:hAnsi="Calibri" w:cs="Calibri"/>
          <w:sz w:val="24"/>
          <w:szCs w:val="24"/>
        </w:rPr>
        <w:t xml:space="preserve"> </w:t>
      </w:r>
      <w:r>
        <w:rPr>
          <w:rFonts w:ascii="Calibri" w:hAnsi="Calibri" w:cs="Calibri"/>
          <w:sz w:val="24"/>
          <w:szCs w:val="24"/>
        </w:rPr>
        <w:t>All</w:t>
      </w:r>
      <w:r w:rsidRPr="00DD564D">
        <w:rPr>
          <w:rFonts w:ascii="Calibri" w:hAnsi="Calibri" w:cs="Calibri"/>
          <w:sz w:val="24"/>
          <w:szCs w:val="24"/>
        </w:rPr>
        <w:t xml:space="preserve"> participants identified the importance of trust in the environment and created this independent of the environ, collegially.</w:t>
      </w:r>
    </w:p>
    <w:p w14:paraId="4AA1FF4A" w14:textId="410941E8" w:rsidR="00BF61A6" w:rsidRDefault="00BF61A6" w:rsidP="00B34100">
      <w:pPr>
        <w:spacing w:line="360" w:lineRule="auto"/>
        <w:rPr>
          <w:rFonts w:ascii="Calibri" w:hAnsi="Calibri" w:cs="Calibri"/>
          <w:sz w:val="24"/>
          <w:szCs w:val="24"/>
        </w:rPr>
      </w:pPr>
      <w:r>
        <w:rPr>
          <w:rFonts w:ascii="Calibri" w:hAnsi="Calibri" w:cs="Calibri"/>
          <w:sz w:val="24"/>
          <w:szCs w:val="24"/>
        </w:rPr>
        <w:t>P</w:t>
      </w:r>
      <w:r w:rsidRPr="00DD564D">
        <w:rPr>
          <w:rFonts w:ascii="Calibri" w:hAnsi="Calibri" w:cs="Calibri"/>
          <w:sz w:val="24"/>
          <w:szCs w:val="24"/>
        </w:rPr>
        <w:t xml:space="preserve">articipants in this study recognised the importance of collegial support (Lawrence, 2020) and exercised discernment as to who belonged in their trusted circle. If the “collegial university” (Kok </w:t>
      </w:r>
      <w:r w:rsidR="00FB3A6E" w:rsidRPr="00FB3A6E">
        <w:rPr>
          <w:rFonts w:ascii="Calibri" w:hAnsi="Calibri" w:cs="Calibri"/>
          <w:i/>
          <w:sz w:val="24"/>
          <w:szCs w:val="24"/>
        </w:rPr>
        <w:t>et al.</w:t>
      </w:r>
      <w:r w:rsidRPr="00DD564D">
        <w:rPr>
          <w:rFonts w:ascii="Calibri" w:hAnsi="Calibri" w:cs="Calibri"/>
          <w:sz w:val="24"/>
          <w:szCs w:val="24"/>
        </w:rPr>
        <w:t xml:space="preserve">, 2008, p.228) of old has a moral purpose of being of service to society, collegial support was kept alive and active by these participants in a self-selected and informal manner. Their community of practice was their containment, container and the contained: a caring </w:t>
      </w:r>
      <w:r w:rsidRPr="00DD564D">
        <w:rPr>
          <w:rFonts w:ascii="Calibri" w:hAnsi="Calibri" w:cs="Calibri"/>
          <w:i/>
          <w:iCs/>
          <w:sz w:val="24"/>
          <w:szCs w:val="24"/>
        </w:rPr>
        <w:t>communitas</w:t>
      </w:r>
      <w:r w:rsidRPr="00DD564D">
        <w:rPr>
          <w:rFonts w:ascii="Calibri" w:hAnsi="Calibri" w:cs="Calibri"/>
          <w:sz w:val="24"/>
          <w:szCs w:val="24"/>
        </w:rPr>
        <w:t>, a lived space (Temple, 2009) that respected individual beliefs, feelings, values (</w:t>
      </w:r>
      <w:r w:rsidR="00AB1ADC">
        <w:rPr>
          <w:rFonts w:ascii="Calibri" w:hAnsi="Calibri" w:cs="Calibri"/>
          <w:sz w:val="24"/>
          <w:szCs w:val="24"/>
        </w:rPr>
        <w:t>ibid.</w:t>
      </w:r>
      <w:r w:rsidRPr="00DD564D">
        <w:rPr>
          <w:rFonts w:ascii="Calibri" w:hAnsi="Calibri" w:cs="Calibri"/>
          <w:sz w:val="24"/>
          <w:szCs w:val="24"/>
        </w:rPr>
        <w:t>), and relationship. The data contributed to a clearer understanding of how the well-being of staff</w:t>
      </w:r>
      <w:r w:rsidR="00612BDB">
        <w:rPr>
          <w:rFonts w:ascii="Calibri" w:hAnsi="Calibri" w:cs="Calibri"/>
          <w:sz w:val="24"/>
          <w:szCs w:val="24"/>
        </w:rPr>
        <w:t xml:space="preserve"> </w:t>
      </w:r>
      <w:r w:rsidRPr="00DD564D">
        <w:rPr>
          <w:rFonts w:ascii="Calibri" w:hAnsi="Calibri" w:cs="Calibri"/>
          <w:sz w:val="24"/>
          <w:szCs w:val="24"/>
        </w:rPr>
        <w:t xml:space="preserve">and productivity requires a psychologically safe environ (Carmeli and Dutton, 2009; Frazier </w:t>
      </w:r>
      <w:r w:rsidR="00FB3A6E" w:rsidRPr="00FB3A6E">
        <w:rPr>
          <w:rFonts w:ascii="Calibri" w:hAnsi="Calibri" w:cs="Calibri"/>
          <w:i/>
          <w:sz w:val="24"/>
          <w:szCs w:val="24"/>
        </w:rPr>
        <w:t>et al.</w:t>
      </w:r>
      <w:r w:rsidRPr="00DD564D">
        <w:rPr>
          <w:rFonts w:ascii="Calibri" w:hAnsi="Calibri" w:cs="Calibri"/>
          <w:sz w:val="24"/>
          <w:szCs w:val="24"/>
        </w:rPr>
        <w:t xml:space="preserve">, 2017) </w:t>
      </w:r>
      <w:r>
        <w:rPr>
          <w:rFonts w:ascii="Calibri" w:hAnsi="Calibri" w:cs="Calibri"/>
          <w:sz w:val="24"/>
          <w:szCs w:val="24"/>
        </w:rPr>
        <w:t>which, in the case of this study</w:t>
      </w:r>
      <w:r w:rsidR="001B53D7">
        <w:rPr>
          <w:rFonts w:ascii="Calibri" w:hAnsi="Calibri" w:cs="Calibri"/>
          <w:sz w:val="24"/>
          <w:szCs w:val="24"/>
        </w:rPr>
        <w:t>,</w:t>
      </w:r>
      <w:r>
        <w:rPr>
          <w:rFonts w:ascii="Calibri" w:hAnsi="Calibri" w:cs="Calibri"/>
          <w:sz w:val="24"/>
          <w:szCs w:val="24"/>
        </w:rPr>
        <w:t xml:space="preserve"> took place</w:t>
      </w:r>
      <w:r w:rsidRPr="00DD564D">
        <w:rPr>
          <w:rFonts w:ascii="Calibri" w:hAnsi="Calibri" w:cs="Calibri"/>
          <w:sz w:val="24"/>
          <w:szCs w:val="24"/>
        </w:rPr>
        <w:t xml:space="preserve"> with</w:t>
      </w:r>
      <w:r>
        <w:rPr>
          <w:rFonts w:ascii="Calibri" w:hAnsi="Calibri" w:cs="Calibri"/>
          <w:sz w:val="24"/>
          <w:szCs w:val="24"/>
        </w:rPr>
        <w:t>in</w:t>
      </w:r>
      <w:r w:rsidRPr="00DD564D">
        <w:rPr>
          <w:rFonts w:ascii="Calibri" w:hAnsi="Calibri" w:cs="Calibri"/>
          <w:sz w:val="24"/>
          <w:szCs w:val="24"/>
        </w:rPr>
        <w:t xml:space="preserve"> trustworthy holding circles. </w:t>
      </w:r>
    </w:p>
    <w:p w14:paraId="43CB9346" w14:textId="480374CD" w:rsidR="00BF61A6" w:rsidRPr="00250256" w:rsidRDefault="00BF61A6" w:rsidP="00B34100">
      <w:pPr>
        <w:spacing w:line="360" w:lineRule="auto"/>
        <w:rPr>
          <w:rFonts w:ascii="Calibri" w:hAnsi="Calibri" w:cs="Calibri"/>
          <w:sz w:val="24"/>
          <w:szCs w:val="24"/>
        </w:rPr>
      </w:pPr>
      <w:r>
        <w:rPr>
          <w:rFonts w:ascii="Calibri" w:hAnsi="Calibri" w:cs="Calibri"/>
          <w:sz w:val="24"/>
          <w:szCs w:val="24"/>
        </w:rPr>
        <w:t>Mo referenced a practice encouraged by her university of dialoguing with fellow professionals and, referring to George Orwell, named a problem of its execution: “</w:t>
      </w:r>
      <w:r w:rsidR="00416470">
        <w:rPr>
          <w:rFonts w:ascii="Calibri" w:hAnsi="Calibri" w:cs="Calibri"/>
          <w:i/>
          <w:iCs/>
          <w:sz w:val="24"/>
          <w:szCs w:val="24"/>
        </w:rPr>
        <w:t>S</w:t>
      </w:r>
      <w:r w:rsidRPr="000D7BAD">
        <w:rPr>
          <w:rFonts w:ascii="Calibri" w:hAnsi="Calibri" w:cs="Calibri"/>
          <w:i/>
          <w:iCs/>
          <w:sz w:val="24"/>
          <w:szCs w:val="24"/>
        </w:rPr>
        <w:t>ome colleagues are more trusted than others</w:t>
      </w:r>
      <w:r>
        <w:rPr>
          <w:rFonts w:ascii="Calibri" w:hAnsi="Calibri" w:cs="Calibri"/>
          <w:sz w:val="24"/>
          <w:szCs w:val="24"/>
        </w:rPr>
        <w:t>” (</w:t>
      </w:r>
      <w:r w:rsidR="00C03B45">
        <w:rPr>
          <w:rFonts w:ascii="Calibri" w:hAnsi="Calibri" w:cs="Calibri"/>
          <w:sz w:val="24"/>
          <w:szCs w:val="24"/>
        </w:rPr>
        <w:t xml:space="preserve">Mo, </w:t>
      </w:r>
      <w:r>
        <w:rPr>
          <w:rFonts w:ascii="Calibri" w:hAnsi="Calibri" w:cs="Calibri"/>
          <w:sz w:val="24"/>
          <w:szCs w:val="24"/>
        </w:rPr>
        <w:t>T1, p.11, par 4)</w:t>
      </w:r>
      <w:r w:rsidRPr="00557213">
        <w:rPr>
          <w:rFonts w:ascii="Calibri" w:hAnsi="Calibri" w:cs="Calibri"/>
          <w:sz w:val="24"/>
          <w:szCs w:val="24"/>
        </w:rPr>
        <w:t>.</w:t>
      </w:r>
      <w:r>
        <w:rPr>
          <w:rFonts w:ascii="Calibri" w:hAnsi="Calibri" w:cs="Calibri"/>
          <w:sz w:val="24"/>
          <w:szCs w:val="24"/>
        </w:rPr>
        <w:t xml:space="preserve"> A somewhat thought-provoking comment, I can only speculate that the untrustworthiness was borne of cultural practices and politics that breed individualism. This lends some support for the university mirroring features of </w:t>
      </w:r>
      <w:r w:rsidRPr="00F2009D">
        <w:rPr>
          <w:rFonts w:ascii="Calibri" w:hAnsi="Calibri" w:cs="Calibri"/>
          <w:sz w:val="24"/>
          <w:szCs w:val="24"/>
        </w:rPr>
        <w:t xml:space="preserve">current market individualism </w:t>
      </w:r>
      <w:r>
        <w:rPr>
          <w:rFonts w:ascii="Calibri" w:hAnsi="Calibri" w:cs="Calibri"/>
          <w:sz w:val="24"/>
          <w:szCs w:val="24"/>
        </w:rPr>
        <w:t xml:space="preserve">which </w:t>
      </w:r>
      <w:r w:rsidRPr="00F2009D">
        <w:rPr>
          <w:rFonts w:ascii="Calibri" w:hAnsi="Calibri" w:cs="Calibri"/>
          <w:sz w:val="24"/>
          <w:szCs w:val="24"/>
        </w:rPr>
        <w:t>dismembers community bonds</w:t>
      </w:r>
      <w:r>
        <w:rPr>
          <w:rFonts w:ascii="Calibri" w:hAnsi="Calibri" w:cs="Calibri"/>
          <w:sz w:val="24"/>
          <w:szCs w:val="24"/>
        </w:rPr>
        <w:t xml:space="preserve"> (Fleming, 2021)</w:t>
      </w:r>
      <w:r w:rsidRPr="00F2009D">
        <w:rPr>
          <w:rFonts w:ascii="Calibri" w:hAnsi="Calibri" w:cs="Calibri"/>
          <w:sz w:val="24"/>
          <w:szCs w:val="24"/>
        </w:rPr>
        <w:t>. Both Spence (2019) and Fleming (2021) have argued the university finds itself in an era of academic capitalism which perpetuates a change in culture and practice th</w:t>
      </w:r>
      <w:r>
        <w:rPr>
          <w:rFonts w:ascii="Calibri" w:hAnsi="Calibri" w:cs="Calibri"/>
          <w:sz w:val="24"/>
          <w:szCs w:val="24"/>
        </w:rPr>
        <w:t>at</w:t>
      </w:r>
      <w:r w:rsidRPr="00F2009D">
        <w:rPr>
          <w:rFonts w:ascii="Calibri" w:hAnsi="Calibri" w:cs="Calibri"/>
          <w:sz w:val="24"/>
          <w:szCs w:val="24"/>
        </w:rPr>
        <w:t xml:space="preserve"> threaten</w:t>
      </w:r>
      <w:r>
        <w:rPr>
          <w:rFonts w:ascii="Calibri" w:hAnsi="Calibri" w:cs="Calibri"/>
          <w:sz w:val="24"/>
          <w:szCs w:val="24"/>
        </w:rPr>
        <w:t>s</w:t>
      </w:r>
      <w:r w:rsidRPr="00F2009D">
        <w:rPr>
          <w:rFonts w:ascii="Calibri" w:hAnsi="Calibri" w:cs="Calibri"/>
          <w:sz w:val="24"/>
          <w:szCs w:val="24"/>
        </w:rPr>
        <w:t xml:space="preserve"> collegiality and trust among teachers. </w:t>
      </w:r>
      <w:r>
        <w:rPr>
          <w:rFonts w:ascii="Calibri" w:hAnsi="Calibri" w:cs="Calibri"/>
          <w:sz w:val="24"/>
          <w:szCs w:val="24"/>
        </w:rPr>
        <w:t>The t</w:t>
      </w:r>
      <w:r w:rsidRPr="00F2009D">
        <w:rPr>
          <w:rFonts w:ascii="Calibri" w:hAnsi="Calibri" w:cs="Calibri"/>
          <w:sz w:val="24"/>
          <w:szCs w:val="24"/>
        </w:rPr>
        <w:t>eacher</w:t>
      </w:r>
      <w:r>
        <w:rPr>
          <w:rFonts w:ascii="Calibri" w:hAnsi="Calibri" w:cs="Calibri"/>
          <w:sz w:val="24"/>
          <w:szCs w:val="24"/>
        </w:rPr>
        <w:t xml:space="preserve"> participants in this study</w:t>
      </w:r>
      <w:r w:rsidRPr="00F2009D">
        <w:rPr>
          <w:rFonts w:ascii="Calibri" w:hAnsi="Calibri" w:cs="Calibri"/>
          <w:sz w:val="24"/>
          <w:szCs w:val="24"/>
        </w:rPr>
        <w:t xml:space="preserve"> seemingly have found a way to challenge </w:t>
      </w:r>
      <w:r>
        <w:rPr>
          <w:rFonts w:ascii="Calibri" w:hAnsi="Calibri" w:cs="Calibri"/>
          <w:sz w:val="24"/>
          <w:szCs w:val="24"/>
        </w:rPr>
        <w:t xml:space="preserve">and survive </w:t>
      </w:r>
      <w:r w:rsidRPr="00F2009D">
        <w:rPr>
          <w:rFonts w:ascii="Calibri" w:hAnsi="Calibri" w:cs="Calibri"/>
          <w:sz w:val="24"/>
          <w:szCs w:val="24"/>
        </w:rPr>
        <w:t>the culture: they talk to each other.</w:t>
      </w:r>
    </w:p>
    <w:p w14:paraId="73DDB2A7" w14:textId="77777777" w:rsidR="00BF61A6" w:rsidRPr="00E87B25" w:rsidRDefault="00BF61A6" w:rsidP="00B34100">
      <w:pPr>
        <w:spacing w:line="360" w:lineRule="auto"/>
        <w:rPr>
          <w:rFonts w:ascii="Calibri" w:hAnsi="Calibri" w:cs="Calibri"/>
          <w:color w:val="EE0000"/>
          <w:sz w:val="24"/>
          <w:szCs w:val="24"/>
        </w:rPr>
      </w:pPr>
      <w:r w:rsidRPr="001D1309">
        <w:rPr>
          <w:rFonts w:ascii="Calibri" w:hAnsi="Calibri" w:cs="Calibri"/>
          <w:sz w:val="24"/>
          <w:szCs w:val="24"/>
        </w:rPr>
        <w:t>If an organisational culture imbues a sense of mistrust of the support offered (Wray and Kinman, 2021), and good line management and a supportive team are not embedded</w:t>
      </w:r>
      <w:r>
        <w:rPr>
          <w:rFonts w:ascii="Calibri" w:hAnsi="Calibri" w:cs="Calibri"/>
          <w:sz w:val="24"/>
          <w:szCs w:val="24"/>
        </w:rPr>
        <w:t xml:space="preserve"> </w:t>
      </w:r>
      <w:r w:rsidRPr="009C17FE">
        <w:rPr>
          <w:rFonts w:ascii="Calibri" w:hAnsi="Calibri" w:cs="Calibri"/>
          <w:sz w:val="24"/>
          <w:szCs w:val="24"/>
        </w:rPr>
        <w:lastRenderedPageBreak/>
        <w:t>(Hughes and Spanner, 2019)</w:t>
      </w:r>
      <w:r>
        <w:rPr>
          <w:rFonts w:ascii="Calibri" w:hAnsi="Calibri" w:cs="Calibri"/>
          <w:sz w:val="24"/>
          <w:szCs w:val="24"/>
        </w:rPr>
        <w:t xml:space="preserve">, </w:t>
      </w:r>
      <w:r w:rsidRPr="001D1309">
        <w:rPr>
          <w:rFonts w:ascii="Calibri" w:hAnsi="Calibri" w:cs="Calibri"/>
          <w:sz w:val="24"/>
          <w:szCs w:val="24"/>
        </w:rPr>
        <w:t>a culture of mistrust will remain. The findings seem to bear out</w:t>
      </w:r>
      <w:r w:rsidRPr="00A318C9">
        <w:rPr>
          <w:rFonts w:ascii="Calibri" w:hAnsi="Calibri" w:cs="Calibri"/>
          <w:sz w:val="24"/>
          <w:szCs w:val="24"/>
        </w:rPr>
        <w:t xml:space="preserve"> </w:t>
      </w:r>
      <w:r>
        <w:rPr>
          <w:rFonts w:ascii="Calibri" w:hAnsi="Calibri" w:cs="Calibri"/>
          <w:sz w:val="24"/>
          <w:szCs w:val="24"/>
        </w:rPr>
        <w:t>that t</w:t>
      </w:r>
      <w:r w:rsidRPr="00A318C9">
        <w:rPr>
          <w:rFonts w:ascii="Calibri" w:hAnsi="Calibri" w:cs="Calibri"/>
          <w:sz w:val="24"/>
          <w:szCs w:val="24"/>
        </w:rPr>
        <w:t xml:space="preserve">he environment </w:t>
      </w:r>
      <w:r>
        <w:rPr>
          <w:rFonts w:ascii="Calibri" w:hAnsi="Calibri" w:cs="Calibri"/>
          <w:sz w:val="24"/>
          <w:szCs w:val="24"/>
        </w:rPr>
        <w:t>could neither be relied upon nor trusted to support</w:t>
      </w:r>
      <w:r w:rsidRPr="00A318C9">
        <w:rPr>
          <w:rFonts w:ascii="Calibri" w:hAnsi="Calibri" w:cs="Calibri"/>
          <w:sz w:val="24"/>
          <w:szCs w:val="24"/>
        </w:rPr>
        <w:t xml:space="preserve"> them as teachers</w:t>
      </w:r>
      <w:r>
        <w:rPr>
          <w:rFonts w:ascii="Calibri" w:hAnsi="Calibri" w:cs="Calibri"/>
          <w:sz w:val="24"/>
          <w:szCs w:val="24"/>
        </w:rPr>
        <w:t>,</w:t>
      </w:r>
      <w:r w:rsidRPr="00A318C9">
        <w:rPr>
          <w:rFonts w:ascii="Calibri" w:hAnsi="Calibri" w:cs="Calibri"/>
          <w:sz w:val="24"/>
          <w:szCs w:val="24"/>
        </w:rPr>
        <w:t xml:space="preserve"> and </w:t>
      </w:r>
      <w:r>
        <w:rPr>
          <w:rFonts w:ascii="Calibri" w:hAnsi="Calibri" w:cs="Calibri"/>
          <w:sz w:val="24"/>
          <w:szCs w:val="24"/>
        </w:rPr>
        <w:t xml:space="preserve">as </w:t>
      </w:r>
      <w:r w:rsidRPr="00A318C9">
        <w:rPr>
          <w:rFonts w:ascii="Calibri" w:hAnsi="Calibri" w:cs="Calibri"/>
          <w:sz w:val="24"/>
          <w:szCs w:val="24"/>
        </w:rPr>
        <w:t>students.</w:t>
      </w:r>
      <w:r>
        <w:rPr>
          <w:rFonts w:ascii="Calibri" w:hAnsi="Calibri" w:cs="Calibri"/>
          <w:sz w:val="24"/>
          <w:szCs w:val="24"/>
        </w:rPr>
        <w:t xml:space="preserve"> A </w:t>
      </w:r>
      <w:r w:rsidRPr="001D1309">
        <w:rPr>
          <w:rFonts w:ascii="Calibri" w:hAnsi="Calibri" w:cs="Calibri"/>
          <w:sz w:val="24"/>
          <w:szCs w:val="24"/>
        </w:rPr>
        <w:t>trusted circle of colleagues or friends formed part of participants’ well-being, holding and support provision</w:t>
      </w:r>
      <w:r>
        <w:rPr>
          <w:rFonts w:ascii="Calibri" w:hAnsi="Calibri" w:cs="Calibri"/>
          <w:sz w:val="24"/>
          <w:szCs w:val="24"/>
        </w:rPr>
        <w:t xml:space="preserve"> to address this gap. Although support deficiencies may ubiquitously be features of large organisations, o</w:t>
      </w:r>
      <w:r w:rsidRPr="001D1309">
        <w:rPr>
          <w:rFonts w:ascii="Calibri" w:hAnsi="Calibri" w:cs="Calibri"/>
          <w:sz w:val="24"/>
          <w:szCs w:val="24"/>
        </w:rPr>
        <w:t>verall, it can be concluded that the findings of th</w:t>
      </w:r>
      <w:r>
        <w:rPr>
          <w:rFonts w:ascii="Calibri" w:hAnsi="Calibri" w:cs="Calibri"/>
          <w:sz w:val="24"/>
          <w:szCs w:val="24"/>
        </w:rPr>
        <w:t>is</w:t>
      </w:r>
      <w:r w:rsidRPr="001D1309">
        <w:rPr>
          <w:rFonts w:ascii="Calibri" w:hAnsi="Calibri" w:cs="Calibri"/>
          <w:sz w:val="24"/>
          <w:szCs w:val="24"/>
        </w:rPr>
        <w:t xml:space="preserve"> study extend the need for support by highlighting the presence of a </w:t>
      </w:r>
      <w:r>
        <w:rPr>
          <w:rFonts w:ascii="Calibri" w:hAnsi="Calibri" w:cs="Calibri"/>
          <w:sz w:val="24"/>
          <w:szCs w:val="24"/>
        </w:rPr>
        <w:t xml:space="preserve">support </w:t>
      </w:r>
      <w:r w:rsidRPr="001D1309">
        <w:rPr>
          <w:rFonts w:ascii="Calibri" w:hAnsi="Calibri" w:cs="Calibri"/>
          <w:sz w:val="24"/>
          <w:szCs w:val="24"/>
        </w:rPr>
        <w:t>gap in the university’s</w:t>
      </w:r>
      <w:r>
        <w:rPr>
          <w:rFonts w:ascii="Calibri" w:hAnsi="Calibri" w:cs="Calibri"/>
          <w:sz w:val="24"/>
          <w:szCs w:val="24"/>
        </w:rPr>
        <w:t xml:space="preserve"> </w:t>
      </w:r>
      <w:r w:rsidRPr="001D1309">
        <w:rPr>
          <w:rFonts w:ascii="Calibri" w:hAnsi="Calibri" w:cs="Calibri"/>
          <w:sz w:val="24"/>
          <w:szCs w:val="24"/>
        </w:rPr>
        <w:t>care</w:t>
      </w:r>
      <w:r>
        <w:rPr>
          <w:rFonts w:ascii="Calibri" w:hAnsi="Calibri" w:cs="Calibri"/>
          <w:sz w:val="24"/>
          <w:szCs w:val="24"/>
        </w:rPr>
        <w:t xml:space="preserve"> mechanisms</w:t>
      </w:r>
      <w:r w:rsidRPr="001D1309">
        <w:rPr>
          <w:rFonts w:ascii="Calibri" w:hAnsi="Calibri" w:cs="Calibri"/>
          <w:sz w:val="24"/>
          <w:szCs w:val="24"/>
        </w:rPr>
        <w:t xml:space="preserve">. </w:t>
      </w:r>
    </w:p>
    <w:p w14:paraId="1B1BA2C9" w14:textId="77777777" w:rsidR="00BF61A6" w:rsidRPr="00372EFA" w:rsidRDefault="00BF61A6" w:rsidP="00C42609">
      <w:pPr>
        <w:spacing w:line="360" w:lineRule="auto"/>
        <w:ind w:firstLine="720"/>
        <w:rPr>
          <w:rFonts w:ascii="Calibri" w:hAnsi="Calibri" w:cs="Calibri"/>
          <w:b/>
          <w:bCs/>
          <w:i/>
          <w:iCs/>
          <w:sz w:val="24"/>
          <w:szCs w:val="24"/>
        </w:rPr>
      </w:pPr>
      <w:r w:rsidRPr="00372EFA">
        <w:rPr>
          <w:rFonts w:ascii="Calibri" w:hAnsi="Calibri" w:cs="Calibri"/>
          <w:b/>
          <w:bCs/>
          <w:i/>
          <w:iCs/>
          <w:sz w:val="24"/>
          <w:szCs w:val="24"/>
        </w:rPr>
        <w:t>The Return</w:t>
      </w:r>
    </w:p>
    <w:p w14:paraId="0E40C513" w14:textId="484D48BD" w:rsidR="00BF61A6" w:rsidRPr="00372EFA" w:rsidRDefault="00BF61A6" w:rsidP="00B34100">
      <w:pPr>
        <w:spacing w:line="360" w:lineRule="auto"/>
        <w:rPr>
          <w:rFonts w:ascii="Calibri" w:hAnsi="Calibri" w:cs="Calibri"/>
          <w:sz w:val="24"/>
          <w:szCs w:val="24"/>
        </w:rPr>
      </w:pPr>
      <w:r w:rsidRPr="00984275">
        <w:rPr>
          <w:rFonts w:ascii="Calibri" w:hAnsi="Calibri" w:cs="Calibri"/>
          <w:sz w:val="24"/>
          <w:szCs w:val="24"/>
        </w:rPr>
        <w:t>Difficulties, dilemmas and unknown elements encountered during teaching praxis and learning to teach require holding</w:t>
      </w:r>
      <w:r w:rsidR="008E3144">
        <w:rPr>
          <w:rFonts w:ascii="Calibri" w:hAnsi="Calibri" w:cs="Calibri"/>
          <w:sz w:val="24"/>
          <w:szCs w:val="24"/>
        </w:rPr>
        <w:t xml:space="preserve"> (Winnicott, 1965)</w:t>
      </w:r>
      <w:r w:rsidRPr="00984275">
        <w:rPr>
          <w:rFonts w:ascii="Calibri" w:hAnsi="Calibri" w:cs="Calibri"/>
          <w:sz w:val="24"/>
          <w:szCs w:val="24"/>
        </w:rPr>
        <w:t xml:space="preserve">. </w:t>
      </w:r>
      <w:r>
        <w:rPr>
          <w:rFonts w:ascii="Calibri" w:hAnsi="Calibri" w:cs="Calibri"/>
          <w:sz w:val="24"/>
          <w:szCs w:val="24"/>
        </w:rPr>
        <w:t xml:space="preserve">This study has identified that </w:t>
      </w:r>
      <w:r w:rsidRPr="00372EFA">
        <w:rPr>
          <w:rFonts w:ascii="Calibri" w:hAnsi="Calibri" w:cs="Calibri"/>
          <w:sz w:val="24"/>
          <w:szCs w:val="24"/>
        </w:rPr>
        <w:t>the</w:t>
      </w:r>
      <w:r>
        <w:rPr>
          <w:rFonts w:ascii="Calibri" w:hAnsi="Calibri" w:cs="Calibri"/>
          <w:sz w:val="24"/>
          <w:szCs w:val="24"/>
        </w:rPr>
        <w:t xml:space="preserve">re were </w:t>
      </w:r>
      <w:r w:rsidRPr="00372EFA">
        <w:rPr>
          <w:rFonts w:ascii="Calibri" w:hAnsi="Calibri" w:cs="Calibri"/>
          <w:sz w:val="24"/>
          <w:szCs w:val="24"/>
        </w:rPr>
        <w:t xml:space="preserve">significant gaps in the </w:t>
      </w:r>
      <w:r>
        <w:rPr>
          <w:rFonts w:ascii="Calibri" w:hAnsi="Calibri" w:cs="Calibri"/>
          <w:sz w:val="24"/>
          <w:szCs w:val="24"/>
        </w:rPr>
        <w:t xml:space="preserve">environmental </w:t>
      </w:r>
      <w:r w:rsidRPr="00372EFA">
        <w:rPr>
          <w:rFonts w:ascii="Calibri" w:hAnsi="Calibri" w:cs="Calibri"/>
          <w:sz w:val="24"/>
          <w:szCs w:val="24"/>
        </w:rPr>
        <w:t>holding of these teachers, although they all found their own way of garnering holding, be it dialogue, theory, training in relational approaches</w:t>
      </w:r>
      <w:r>
        <w:rPr>
          <w:rFonts w:ascii="Calibri" w:hAnsi="Calibri" w:cs="Calibri"/>
          <w:sz w:val="24"/>
          <w:szCs w:val="24"/>
        </w:rPr>
        <w:t>,</w:t>
      </w:r>
      <w:r w:rsidRPr="00372EFA">
        <w:rPr>
          <w:rFonts w:ascii="Calibri" w:hAnsi="Calibri" w:cs="Calibri"/>
          <w:sz w:val="24"/>
          <w:szCs w:val="24"/>
        </w:rPr>
        <w:t xml:space="preserve"> pausing </w:t>
      </w:r>
      <w:r w:rsidR="00260769">
        <w:rPr>
          <w:rFonts w:ascii="Calibri" w:hAnsi="Calibri" w:cs="Calibri"/>
          <w:sz w:val="24"/>
          <w:szCs w:val="24"/>
        </w:rPr>
        <w:t xml:space="preserve">or </w:t>
      </w:r>
      <w:r w:rsidRPr="00372EFA">
        <w:rPr>
          <w:rFonts w:ascii="Calibri" w:hAnsi="Calibri" w:cs="Calibri"/>
          <w:sz w:val="24"/>
          <w:szCs w:val="24"/>
        </w:rPr>
        <w:t xml:space="preserve">creating an environment in which they felt psychologically safe. </w:t>
      </w:r>
      <w:r w:rsidRPr="00B66835">
        <w:rPr>
          <w:rFonts w:ascii="Calibri" w:hAnsi="Calibri" w:cs="Calibri"/>
          <w:sz w:val="24"/>
          <w:szCs w:val="24"/>
        </w:rPr>
        <w:t>A</w:t>
      </w:r>
      <w:r>
        <w:rPr>
          <w:rFonts w:ascii="Calibri" w:hAnsi="Calibri" w:cs="Calibri"/>
          <w:sz w:val="24"/>
          <w:szCs w:val="24"/>
        </w:rPr>
        <w:t xml:space="preserve">s Miriam stated, the </w:t>
      </w:r>
      <w:r w:rsidRPr="00B66835">
        <w:rPr>
          <w:rFonts w:ascii="Calibri" w:hAnsi="Calibri" w:cs="Calibri"/>
          <w:sz w:val="24"/>
          <w:szCs w:val="24"/>
        </w:rPr>
        <w:t>safe spa</w:t>
      </w:r>
      <w:r>
        <w:rPr>
          <w:rFonts w:ascii="Calibri" w:hAnsi="Calibri" w:cs="Calibri"/>
          <w:sz w:val="24"/>
          <w:szCs w:val="24"/>
        </w:rPr>
        <w:t>ce is a “</w:t>
      </w:r>
      <w:r w:rsidRPr="003C32CF">
        <w:rPr>
          <w:rFonts w:ascii="Calibri" w:hAnsi="Calibri" w:cs="Calibri"/>
          <w:i/>
          <w:iCs/>
          <w:sz w:val="24"/>
          <w:szCs w:val="24"/>
        </w:rPr>
        <w:t>refuge</w:t>
      </w:r>
      <w:r>
        <w:rPr>
          <w:rFonts w:ascii="Calibri" w:hAnsi="Calibri" w:cs="Calibri"/>
          <w:sz w:val="24"/>
          <w:szCs w:val="24"/>
        </w:rPr>
        <w:t>” and offers protection and can even be the classroom (</w:t>
      </w:r>
      <w:r w:rsidR="00C03B45">
        <w:rPr>
          <w:rFonts w:ascii="Calibri" w:hAnsi="Calibri" w:cs="Calibri"/>
          <w:sz w:val="24"/>
          <w:szCs w:val="24"/>
        </w:rPr>
        <w:t xml:space="preserve">Miriam, </w:t>
      </w:r>
      <w:r>
        <w:rPr>
          <w:rFonts w:ascii="Calibri" w:hAnsi="Calibri" w:cs="Calibri"/>
          <w:sz w:val="24"/>
          <w:szCs w:val="24"/>
        </w:rPr>
        <w:t>T1, p.10, par1), or, according to Fred</w:t>
      </w:r>
      <w:r w:rsidR="002774DF">
        <w:rPr>
          <w:rFonts w:ascii="Calibri" w:hAnsi="Calibri" w:cs="Calibri"/>
          <w:sz w:val="24"/>
          <w:szCs w:val="24"/>
        </w:rPr>
        <w:t>,</w:t>
      </w:r>
      <w:r>
        <w:rPr>
          <w:rFonts w:ascii="Calibri" w:hAnsi="Calibri" w:cs="Calibri"/>
          <w:sz w:val="24"/>
          <w:szCs w:val="24"/>
        </w:rPr>
        <w:t xml:space="preserve"> an experience (T1). Other participants</w:t>
      </w:r>
      <w:r w:rsidRPr="00372EFA">
        <w:rPr>
          <w:rFonts w:ascii="Calibri" w:hAnsi="Calibri" w:cs="Calibri"/>
          <w:sz w:val="24"/>
          <w:szCs w:val="24"/>
        </w:rPr>
        <w:t xml:space="preserve"> </w:t>
      </w:r>
      <w:r>
        <w:rPr>
          <w:rFonts w:ascii="Calibri" w:hAnsi="Calibri" w:cs="Calibri"/>
          <w:sz w:val="24"/>
          <w:szCs w:val="24"/>
        </w:rPr>
        <w:t xml:space="preserve">used </w:t>
      </w:r>
      <w:r w:rsidRPr="00372EFA">
        <w:rPr>
          <w:rFonts w:ascii="Calibri" w:hAnsi="Calibri" w:cs="Calibri"/>
          <w:sz w:val="24"/>
          <w:szCs w:val="24"/>
        </w:rPr>
        <w:t>theories and practice of supervision, trauma informed approaches, and compassionate awareness as mediators of the difficulties experienc</w:t>
      </w:r>
      <w:r>
        <w:rPr>
          <w:rFonts w:ascii="Calibri" w:hAnsi="Calibri" w:cs="Calibri"/>
          <w:sz w:val="24"/>
          <w:szCs w:val="24"/>
        </w:rPr>
        <w:t xml:space="preserve">ed </w:t>
      </w:r>
      <w:r w:rsidRPr="00372EFA">
        <w:rPr>
          <w:rFonts w:ascii="Calibri" w:hAnsi="Calibri" w:cs="Calibri"/>
          <w:sz w:val="24"/>
          <w:szCs w:val="24"/>
        </w:rPr>
        <w:t xml:space="preserve">in their training, and in their teaching practice. </w:t>
      </w:r>
    </w:p>
    <w:p w14:paraId="65D52B63" w14:textId="6ABE49D1" w:rsidR="00BF61A6" w:rsidRDefault="00BF61A6" w:rsidP="00B34100">
      <w:pPr>
        <w:spacing w:line="360" w:lineRule="auto"/>
        <w:rPr>
          <w:rFonts w:ascii="Calibri" w:hAnsi="Calibri" w:cs="Calibri"/>
          <w:b/>
          <w:bCs/>
          <w:sz w:val="24"/>
          <w:szCs w:val="24"/>
        </w:rPr>
      </w:pPr>
      <w:r w:rsidRPr="005957F1">
        <w:rPr>
          <w:rFonts w:ascii="Calibri" w:hAnsi="Calibri" w:cs="Calibri"/>
          <w:b/>
          <w:bCs/>
          <w:sz w:val="24"/>
          <w:szCs w:val="24"/>
        </w:rPr>
        <w:t>Theme 3: Mirror</w:t>
      </w:r>
      <w:r w:rsidR="008462F2">
        <w:rPr>
          <w:rFonts w:ascii="Calibri" w:hAnsi="Calibri" w:cs="Calibri"/>
          <w:b/>
          <w:bCs/>
          <w:sz w:val="24"/>
          <w:szCs w:val="24"/>
        </w:rPr>
        <w:t>,</w:t>
      </w:r>
      <w:r w:rsidRPr="005957F1">
        <w:rPr>
          <w:rFonts w:ascii="Calibri" w:hAnsi="Calibri" w:cs="Calibri"/>
          <w:b/>
          <w:bCs/>
          <w:sz w:val="24"/>
          <w:szCs w:val="24"/>
        </w:rPr>
        <w:t xml:space="preserve"> Mirror on the Wall</w:t>
      </w:r>
    </w:p>
    <w:p w14:paraId="3DEE6BBA" w14:textId="77777777" w:rsidR="00BF61A6" w:rsidRPr="005957F1" w:rsidRDefault="00BF61A6" w:rsidP="00B34100">
      <w:pPr>
        <w:spacing w:line="360" w:lineRule="auto"/>
        <w:rPr>
          <w:rFonts w:ascii="Calibri" w:eastAsia="Calibri" w:hAnsi="Calibri" w:cs="Times New Roman"/>
          <w:b/>
          <w:bCs/>
          <w:sz w:val="24"/>
          <w:szCs w:val="24"/>
          <w:lang w:val="en-US"/>
        </w:rPr>
      </w:pPr>
      <w:r w:rsidRPr="00372EFA">
        <w:rPr>
          <w:rFonts w:ascii="Calibri" w:hAnsi="Calibri" w:cs="Calibri"/>
          <w:b/>
          <w:bCs/>
          <w:sz w:val="24"/>
          <w:szCs w:val="24"/>
        </w:rPr>
        <w:t xml:space="preserve">Research question 2: </w:t>
      </w:r>
      <w:r w:rsidRPr="005957F1">
        <w:rPr>
          <w:rFonts w:ascii="Calibri" w:eastAsia="Calibri" w:hAnsi="Calibri" w:cs="Times New Roman"/>
          <w:b/>
          <w:bCs/>
          <w:sz w:val="24"/>
          <w:szCs w:val="24"/>
          <w:lang w:val="en-US"/>
        </w:rPr>
        <w:t>What role does reflective practice play in the teaching practices of HE teachers?</w:t>
      </w:r>
    </w:p>
    <w:p w14:paraId="7EA79496" w14:textId="7235FEA0" w:rsidR="00BF61A6" w:rsidRDefault="00BF61A6" w:rsidP="00B34100">
      <w:pPr>
        <w:spacing w:line="360" w:lineRule="auto"/>
        <w:rPr>
          <w:rFonts w:ascii="Calibri" w:hAnsi="Calibri" w:cs="Calibri"/>
          <w:sz w:val="24"/>
          <w:szCs w:val="24"/>
        </w:rPr>
      </w:pPr>
      <w:r>
        <w:rPr>
          <w:rFonts w:ascii="Calibri" w:hAnsi="Calibri" w:cs="Calibri"/>
          <w:sz w:val="24"/>
          <w:szCs w:val="24"/>
        </w:rPr>
        <w:t xml:space="preserve">Participants ubiquitously used reflection in their work, to improve their teaching practice, to understand aspects of behaviour and theories, to change something and to go beyond what was known. </w:t>
      </w:r>
      <w:r w:rsidRPr="00881148">
        <w:rPr>
          <w:rFonts w:ascii="Calibri" w:hAnsi="Calibri" w:cs="Calibri"/>
          <w:sz w:val="24"/>
          <w:szCs w:val="24"/>
        </w:rPr>
        <w:t xml:space="preserve">Overall, the findings affirm that the teacher participants were willing researchers of their own practice (Stenhouse, 1975) for improvement purposes. For example, Mo comments that reflection is necessary to aid understanding </w:t>
      </w:r>
      <w:r w:rsidRPr="002549E2">
        <w:rPr>
          <w:rFonts w:ascii="Calibri" w:hAnsi="Calibri" w:cs="Calibri"/>
          <w:sz w:val="24"/>
          <w:szCs w:val="24"/>
        </w:rPr>
        <w:t>which results in improvement and development</w:t>
      </w:r>
      <w:r>
        <w:rPr>
          <w:rFonts w:ascii="Calibri" w:hAnsi="Calibri" w:cs="Calibri"/>
          <w:sz w:val="24"/>
          <w:szCs w:val="24"/>
        </w:rPr>
        <w:t xml:space="preserve"> </w:t>
      </w:r>
      <w:r w:rsidR="002549E2">
        <w:rPr>
          <w:rFonts w:ascii="Calibri" w:hAnsi="Calibri" w:cs="Calibri"/>
          <w:sz w:val="24"/>
          <w:szCs w:val="24"/>
        </w:rPr>
        <w:t>(</w:t>
      </w:r>
      <w:r>
        <w:rPr>
          <w:rFonts w:ascii="Calibri" w:hAnsi="Calibri" w:cs="Calibri"/>
          <w:sz w:val="24"/>
          <w:szCs w:val="24"/>
        </w:rPr>
        <w:t>T1)</w:t>
      </w:r>
      <w:r w:rsidRPr="00881148">
        <w:rPr>
          <w:rFonts w:ascii="Calibri" w:hAnsi="Calibri" w:cs="Calibri"/>
          <w:i/>
          <w:iCs/>
          <w:sz w:val="24"/>
          <w:szCs w:val="24"/>
        </w:rPr>
        <w:t xml:space="preserve">. </w:t>
      </w:r>
      <w:r w:rsidRPr="00881148">
        <w:rPr>
          <w:rFonts w:ascii="Calibri" w:hAnsi="Calibri" w:cs="Calibri"/>
          <w:sz w:val="24"/>
          <w:szCs w:val="24"/>
        </w:rPr>
        <w:t>Liz (</w:t>
      </w:r>
      <w:r>
        <w:rPr>
          <w:rFonts w:ascii="Calibri" w:hAnsi="Calibri" w:cs="Calibri"/>
          <w:sz w:val="24"/>
          <w:szCs w:val="24"/>
        </w:rPr>
        <w:t>T1</w:t>
      </w:r>
      <w:r w:rsidRPr="00881148">
        <w:rPr>
          <w:rFonts w:ascii="Calibri" w:hAnsi="Calibri" w:cs="Calibri"/>
          <w:sz w:val="24"/>
          <w:szCs w:val="24"/>
        </w:rPr>
        <w:t>) regularly creates pauses to reflect and sees improvement as being at the heart of reflective practice</w:t>
      </w:r>
      <w:r w:rsidRPr="00881148">
        <w:rPr>
          <w:rFonts w:ascii="Calibri" w:hAnsi="Calibri" w:cs="Calibri"/>
          <w:i/>
          <w:iCs/>
          <w:sz w:val="24"/>
          <w:szCs w:val="24"/>
        </w:rPr>
        <w:t xml:space="preserve">. </w:t>
      </w:r>
      <w:r w:rsidRPr="00881148">
        <w:rPr>
          <w:rFonts w:ascii="Calibri" w:hAnsi="Calibri" w:cs="Calibri"/>
          <w:sz w:val="24"/>
          <w:szCs w:val="24"/>
        </w:rPr>
        <w:t xml:space="preserve">Some participants (originally practitioners) had experience of the function, value, </w:t>
      </w:r>
      <w:r>
        <w:rPr>
          <w:rFonts w:ascii="Calibri" w:hAnsi="Calibri" w:cs="Calibri"/>
          <w:sz w:val="24"/>
          <w:szCs w:val="24"/>
        </w:rPr>
        <w:t xml:space="preserve">and </w:t>
      </w:r>
      <w:r w:rsidRPr="00881148">
        <w:rPr>
          <w:rFonts w:ascii="Calibri" w:hAnsi="Calibri" w:cs="Calibri"/>
          <w:sz w:val="24"/>
          <w:szCs w:val="24"/>
        </w:rPr>
        <w:t xml:space="preserve">meaning of reflection and, as a </w:t>
      </w:r>
      <w:r w:rsidRPr="00881148">
        <w:rPr>
          <w:rFonts w:ascii="Calibri" w:hAnsi="Calibri" w:cs="Calibri"/>
          <w:sz w:val="24"/>
          <w:szCs w:val="24"/>
        </w:rPr>
        <w:lastRenderedPageBreak/>
        <w:t>consequence continued to draw upon reflective practice for personal development and to improve their teaching practice for their students. They were all willing to engage in introspection (Gross, 2001) and self-examination (Kember, 2000</w:t>
      </w:r>
      <w:r w:rsidR="00246698" w:rsidRPr="00881148">
        <w:rPr>
          <w:rFonts w:ascii="Calibri" w:hAnsi="Calibri" w:cs="Calibri"/>
          <w:sz w:val="24"/>
          <w:szCs w:val="24"/>
        </w:rPr>
        <w:t>)</w:t>
      </w:r>
      <w:r w:rsidR="00246698">
        <w:rPr>
          <w:rFonts w:ascii="Calibri" w:hAnsi="Calibri" w:cs="Calibri"/>
          <w:sz w:val="24"/>
          <w:szCs w:val="24"/>
        </w:rPr>
        <w:t xml:space="preserve"> and</w:t>
      </w:r>
      <w:r>
        <w:rPr>
          <w:rFonts w:ascii="Calibri" w:hAnsi="Calibri" w:cs="Calibri"/>
          <w:sz w:val="24"/>
          <w:szCs w:val="24"/>
        </w:rPr>
        <w:t xml:space="preserve"> </w:t>
      </w:r>
      <w:r w:rsidRPr="00881148">
        <w:rPr>
          <w:rFonts w:ascii="Calibri" w:hAnsi="Calibri" w:cs="Calibri"/>
          <w:sz w:val="24"/>
          <w:szCs w:val="24"/>
        </w:rPr>
        <w:t>used reflective practice and reflective dialogue for personal development</w:t>
      </w:r>
      <w:r w:rsidR="002549E2">
        <w:rPr>
          <w:rFonts w:ascii="Calibri" w:hAnsi="Calibri" w:cs="Calibri"/>
          <w:sz w:val="24"/>
          <w:szCs w:val="24"/>
        </w:rPr>
        <w:t>,</w:t>
      </w:r>
      <w:r w:rsidRPr="00881148">
        <w:rPr>
          <w:rFonts w:ascii="Calibri" w:hAnsi="Calibri" w:cs="Calibri"/>
          <w:sz w:val="24"/>
          <w:szCs w:val="24"/>
        </w:rPr>
        <w:t xml:space="preserve"> and to process their thoughts </w:t>
      </w:r>
      <w:r w:rsidRPr="00881148">
        <w:rPr>
          <w:rFonts w:ascii="Calibri" w:hAnsi="Calibri" w:cs="Calibri"/>
          <w:i/>
          <w:iCs/>
          <w:sz w:val="24"/>
          <w:szCs w:val="24"/>
        </w:rPr>
        <w:t>and</w:t>
      </w:r>
      <w:r w:rsidRPr="00881148">
        <w:rPr>
          <w:rFonts w:ascii="Calibri" w:hAnsi="Calibri" w:cs="Calibri"/>
          <w:sz w:val="24"/>
          <w:szCs w:val="24"/>
        </w:rPr>
        <w:t xml:space="preserve"> emotions. </w:t>
      </w:r>
    </w:p>
    <w:p w14:paraId="7DFC2C69" w14:textId="6A9BE2E1" w:rsidR="00BF61A6" w:rsidRDefault="00BF61A6" w:rsidP="00B34100">
      <w:pPr>
        <w:spacing w:line="360" w:lineRule="auto"/>
        <w:rPr>
          <w:rFonts w:ascii="Calibri" w:hAnsi="Calibri" w:cs="Calibri"/>
          <w:sz w:val="24"/>
          <w:szCs w:val="24"/>
        </w:rPr>
      </w:pPr>
      <w:r w:rsidRPr="00B90B76">
        <w:rPr>
          <w:rFonts w:ascii="Calibri" w:hAnsi="Calibri" w:cs="Calibri"/>
          <w:sz w:val="24"/>
          <w:szCs w:val="24"/>
        </w:rPr>
        <w:t xml:space="preserve">Participants </w:t>
      </w:r>
      <w:r>
        <w:rPr>
          <w:rFonts w:ascii="Calibri" w:hAnsi="Calibri" w:cs="Calibri"/>
          <w:sz w:val="24"/>
          <w:szCs w:val="24"/>
        </w:rPr>
        <w:t xml:space="preserve">recognised that </w:t>
      </w:r>
      <w:r w:rsidRPr="00D316DF">
        <w:rPr>
          <w:rFonts w:ascii="Calibri" w:hAnsi="Calibri" w:cs="Calibri"/>
          <w:sz w:val="24"/>
          <w:szCs w:val="24"/>
        </w:rPr>
        <w:t xml:space="preserve">broader interpersonal and psychosocial </w:t>
      </w:r>
      <w:r w:rsidR="00EC6BB7">
        <w:rPr>
          <w:rFonts w:ascii="Calibri" w:hAnsi="Calibri" w:cs="Calibri"/>
          <w:sz w:val="24"/>
          <w:szCs w:val="24"/>
        </w:rPr>
        <w:t xml:space="preserve">discussions </w:t>
      </w:r>
      <w:r w:rsidRPr="00D316DF">
        <w:rPr>
          <w:rFonts w:ascii="Calibri" w:hAnsi="Calibri" w:cs="Calibri"/>
          <w:sz w:val="24"/>
          <w:szCs w:val="24"/>
        </w:rPr>
        <w:t xml:space="preserve">could only take place when participants </w:t>
      </w:r>
      <w:r w:rsidRPr="002549E2">
        <w:rPr>
          <w:rFonts w:ascii="Calibri" w:hAnsi="Calibri" w:cs="Calibri"/>
          <w:sz w:val="24"/>
          <w:szCs w:val="24"/>
        </w:rPr>
        <w:t>felt</w:t>
      </w:r>
      <w:r w:rsidRPr="00D316DF">
        <w:rPr>
          <w:rFonts w:ascii="Calibri" w:hAnsi="Calibri" w:cs="Calibri"/>
          <w:sz w:val="24"/>
          <w:szCs w:val="24"/>
        </w:rPr>
        <w:t xml:space="preserve"> safe and were able to trust they were being held</w:t>
      </w:r>
      <w:r>
        <w:rPr>
          <w:rFonts w:ascii="Calibri" w:hAnsi="Calibri" w:cs="Calibri"/>
          <w:sz w:val="24"/>
          <w:szCs w:val="24"/>
        </w:rPr>
        <w:t xml:space="preserve">. They </w:t>
      </w:r>
      <w:r w:rsidRPr="00D316DF">
        <w:rPr>
          <w:rFonts w:ascii="Calibri" w:hAnsi="Calibri" w:cs="Calibri"/>
          <w:sz w:val="24"/>
          <w:szCs w:val="24"/>
        </w:rPr>
        <w:t>were judicious in choosing trusted people who provided safe space and a facilitating environment which enabled any ensuing learning from reflection to become an internalised object constant</w:t>
      </w:r>
      <w:r w:rsidR="00A1215F">
        <w:rPr>
          <w:rFonts w:ascii="Calibri" w:hAnsi="Calibri" w:cs="Calibri"/>
          <w:sz w:val="24"/>
          <w:szCs w:val="24"/>
        </w:rPr>
        <w:t xml:space="preserve"> (Mahler</w:t>
      </w:r>
      <w:r w:rsidR="00820BDF">
        <w:rPr>
          <w:rFonts w:ascii="Calibri" w:hAnsi="Calibri" w:cs="Calibri"/>
          <w:sz w:val="24"/>
          <w:szCs w:val="24"/>
        </w:rPr>
        <w:t xml:space="preserve"> </w:t>
      </w:r>
      <w:r w:rsidR="00BE6353" w:rsidRPr="00BE6353">
        <w:rPr>
          <w:rFonts w:ascii="Calibri" w:hAnsi="Calibri" w:cs="Calibri"/>
          <w:i/>
          <w:iCs/>
          <w:sz w:val="24"/>
          <w:szCs w:val="24"/>
        </w:rPr>
        <w:t>et al</w:t>
      </w:r>
      <w:r w:rsidR="00BE6353">
        <w:rPr>
          <w:rFonts w:ascii="Calibri" w:hAnsi="Calibri" w:cs="Calibri"/>
          <w:sz w:val="24"/>
          <w:szCs w:val="24"/>
        </w:rPr>
        <w:t>., 1975)</w:t>
      </w:r>
      <w:r w:rsidRPr="00D316DF">
        <w:rPr>
          <w:rFonts w:ascii="Calibri" w:hAnsi="Calibri" w:cs="Calibri"/>
          <w:sz w:val="24"/>
          <w:szCs w:val="24"/>
        </w:rPr>
        <w:t xml:space="preserve"> </w:t>
      </w:r>
      <w:r>
        <w:rPr>
          <w:rFonts w:ascii="Calibri" w:hAnsi="Calibri" w:cs="Calibri"/>
          <w:sz w:val="24"/>
          <w:szCs w:val="24"/>
        </w:rPr>
        <w:t xml:space="preserve">to </w:t>
      </w:r>
      <w:r w:rsidRPr="00D316DF">
        <w:rPr>
          <w:rFonts w:ascii="Calibri" w:hAnsi="Calibri" w:cs="Calibri"/>
          <w:sz w:val="24"/>
          <w:szCs w:val="24"/>
        </w:rPr>
        <w:t xml:space="preserve">be drawn upon in the future. </w:t>
      </w:r>
      <w:r>
        <w:rPr>
          <w:rFonts w:ascii="Calibri" w:hAnsi="Calibri" w:cs="Calibri"/>
          <w:sz w:val="24"/>
          <w:szCs w:val="24"/>
        </w:rPr>
        <w:t xml:space="preserve"> </w:t>
      </w:r>
      <w:r w:rsidR="00756DFB">
        <w:rPr>
          <w:rFonts w:ascii="Calibri" w:hAnsi="Calibri" w:cs="Calibri"/>
          <w:sz w:val="24"/>
          <w:szCs w:val="24"/>
        </w:rPr>
        <w:t>Drawn from some key</w:t>
      </w:r>
      <w:r w:rsidR="00ED02D8">
        <w:rPr>
          <w:rFonts w:ascii="Calibri" w:hAnsi="Calibri" w:cs="Calibri"/>
          <w:sz w:val="24"/>
          <w:szCs w:val="24"/>
        </w:rPr>
        <w:t xml:space="preserve">words used by </w:t>
      </w:r>
      <w:r w:rsidR="004A5FE2">
        <w:rPr>
          <w:rFonts w:ascii="Calibri" w:hAnsi="Calibri" w:cs="Calibri"/>
          <w:sz w:val="24"/>
          <w:szCs w:val="24"/>
        </w:rPr>
        <w:t xml:space="preserve">participants and </w:t>
      </w:r>
      <w:r w:rsidR="00ED02D8">
        <w:rPr>
          <w:rFonts w:ascii="Calibri" w:hAnsi="Calibri" w:cs="Calibri"/>
          <w:sz w:val="24"/>
          <w:szCs w:val="24"/>
        </w:rPr>
        <w:t xml:space="preserve">the researcher </w:t>
      </w:r>
      <w:r w:rsidR="00952B12">
        <w:rPr>
          <w:rFonts w:ascii="Calibri" w:hAnsi="Calibri" w:cs="Calibri"/>
          <w:sz w:val="24"/>
          <w:szCs w:val="24"/>
        </w:rPr>
        <w:t>when</w:t>
      </w:r>
      <w:r w:rsidR="00ED02D8">
        <w:rPr>
          <w:rFonts w:ascii="Calibri" w:hAnsi="Calibri" w:cs="Calibri"/>
          <w:sz w:val="24"/>
          <w:szCs w:val="24"/>
        </w:rPr>
        <w:t xml:space="preserve"> </w:t>
      </w:r>
      <w:r w:rsidR="004D7320">
        <w:rPr>
          <w:rFonts w:ascii="Calibri" w:hAnsi="Calibri" w:cs="Calibri"/>
          <w:sz w:val="24"/>
          <w:szCs w:val="24"/>
        </w:rPr>
        <w:t xml:space="preserve">interpreting </w:t>
      </w:r>
      <w:r w:rsidR="00ED02D8">
        <w:rPr>
          <w:rFonts w:ascii="Calibri" w:hAnsi="Calibri" w:cs="Calibri"/>
          <w:sz w:val="24"/>
          <w:szCs w:val="24"/>
        </w:rPr>
        <w:t xml:space="preserve">the </w:t>
      </w:r>
      <w:r w:rsidR="00A24C64">
        <w:rPr>
          <w:rFonts w:ascii="Calibri" w:hAnsi="Calibri" w:cs="Calibri"/>
          <w:sz w:val="24"/>
          <w:szCs w:val="24"/>
        </w:rPr>
        <w:t>data</w:t>
      </w:r>
      <w:r w:rsidR="004D7320">
        <w:rPr>
          <w:rFonts w:ascii="Calibri" w:hAnsi="Calibri" w:cs="Calibri"/>
          <w:sz w:val="24"/>
          <w:szCs w:val="24"/>
        </w:rPr>
        <w:t xml:space="preserve">, </w:t>
      </w:r>
      <w:r>
        <w:rPr>
          <w:rFonts w:ascii="Calibri" w:hAnsi="Calibri" w:cs="Calibri"/>
          <w:sz w:val="24"/>
          <w:szCs w:val="24"/>
        </w:rPr>
        <w:t xml:space="preserve">Figure </w:t>
      </w:r>
      <w:r w:rsidR="00C93592">
        <w:rPr>
          <w:rFonts w:ascii="Calibri" w:hAnsi="Calibri" w:cs="Calibri"/>
          <w:sz w:val="24"/>
          <w:szCs w:val="24"/>
        </w:rPr>
        <w:t>12</w:t>
      </w:r>
      <w:r>
        <w:rPr>
          <w:rFonts w:ascii="Calibri" w:hAnsi="Calibri" w:cs="Calibri"/>
          <w:sz w:val="24"/>
          <w:szCs w:val="24"/>
        </w:rPr>
        <w:t xml:space="preserve"> provides a</w:t>
      </w:r>
      <w:r w:rsidR="002E375C">
        <w:rPr>
          <w:rFonts w:ascii="Calibri" w:hAnsi="Calibri" w:cs="Calibri"/>
          <w:sz w:val="24"/>
          <w:szCs w:val="24"/>
        </w:rPr>
        <w:t xml:space="preserve"> pictorial overview</w:t>
      </w:r>
      <w:r>
        <w:rPr>
          <w:rFonts w:ascii="Calibri" w:hAnsi="Calibri" w:cs="Calibri"/>
          <w:sz w:val="24"/>
          <w:szCs w:val="24"/>
        </w:rPr>
        <w:t xml:space="preserve"> o</w:t>
      </w:r>
      <w:r w:rsidR="002E375C">
        <w:rPr>
          <w:rFonts w:ascii="Calibri" w:hAnsi="Calibri" w:cs="Calibri"/>
          <w:sz w:val="24"/>
          <w:szCs w:val="24"/>
        </w:rPr>
        <w:t>f</w:t>
      </w:r>
      <w:r>
        <w:rPr>
          <w:rFonts w:ascii="Calibri" w:hAnsi="Calibri" w:cs="Calibri"/>
          <w:sz w:val="24"/>
          <w:szCs w:val="24"/>
        </w:rPr>
        <w:t xml:space="preserve"> the process of reflection, reflexivity and reflective practice:</w:t>
      </w:r>
    </w:p>
    <w:p w14:paraId="20DF2342" w14:textId="1C9097EB" w:rsidR="00BF61A6" w:rsidRPr="00B515FA" w:rsidRDefault="00BF61A6" w:rsidP="00B515FA">
      <w:pPr>
        <w:spacing w:line="360" w:lineRule="auto"/>
        <w:rPr>
          <w:rFonts w:ascii="Calibri" w:hAnsi="Calibri" w:cs="Calibri"/>
          <w:sz w:val="24"/>
          <w:szCs w:val="24"/>
        </w:rPr>
      </w:pPr>
      <w:r>
        <w:rPr>
          <w:rFonts w:ascii="Calibri" w:hAnsi="Calibri" w:cs="Calibri"/>
          <w:noProof/>
          <w:sz w:val="24"/>
          <w:szCs w:val="24"/>
        </w:rPr>
        <w:drawing>
          <wp:inline distT="0" distB="0" distL="0" distR="0" wp14:anchorId="260A5573" wp14:editId="757CD379">
            <wp:extent cx="5715000" cy="3543300"/>
            <wp:effectExtent l="0" t="0" r="0" b="0"/>
            <wp:docPr id="368008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pic:spPr>
                </pic:pic>
              </a:graphicData>
            </a:graphic>
          </wp:inline>
        </w:drawing>
      </w:r>
      <w:r w:rsidRPr="00820DA1">
        <w:rPr>
          <w:rFonts w:ascii="Calibri" w:hAnsi="Calibri" w:cs="Calibri"/>
          <w:noProof/>
          <w:sz w:val="24"/>
          <w:szCs w:val="24"/>
        </w:rPr>
        <mc:AlternateContent>
          <mc:Choice Requires="wps">
            <w:drawing>
              <wp:inline distT="0" distB="0" distL="0" distR="0" wp14:anchorId="50C9B9B9" wp14:editId="65E6D648">
                <wp:extent cx="304800" cy="304800"/>
                <wp:effectExtent l="0" t="0" r="0" b="0"/>
                <wp:docPr id="1248804646" name="Rectangle 2" descr="Word 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1D24D" id="Rectangle 2" o:spid="_x0000_s1026" alt="Word Clo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93592">
        <w:rPr>
          <w:rFonts w:ascii="Calibri" w:hAnsi="Calibri" w:cs="Calibri"/>
          <w:i/>
          <w:iCs/>
          <w:sz w:val="24"/>
          <w:szCs w:val="24"/>
        </w:rPr>
        <w:t xml:space="preserve">Figure </w:t>
      </w:r>
      <w:r w:rsidR="00C93592" w:rsidRPr="00C93592">
        <w:rPr>
          <w:rFonts w:ascii="Calibri" w:hAnsi="Calibri" w:cs="Calibri"/>
          <w:i/>
          <w:iCs/>
          <w:sz w:val="24"/>
          <w:szCs w:val="24"/>
        </w:rPr>
        <w:t>12</w:t>
      </w:r>
      <w:r w:rsidRPr="00C93592">
        <w:rPr>
          <w:rFonts w:ascii="Calibri" w:hAnsi="Calibri" w:cs="Calibri"/>
          <w:i/>
          <w:iCs/>
          <w:sz w:val="24"/>
          <w:szCs w:val="24"/>
        </w:rPr>
        <w:t xml:space="preserve">: </w:t>
      </w:r>
      <w:r w:rsidR="005A5442">
        <w:rPr>
          <w:rFonts w:ascii="Calibri" w:hAnsi="Calibri" w:cs="Calibri"/>
          <w:i/>
          <w:iCs/>
          <w:sz w:val="24"/>
          <w:szCs w:val="24"/>
        </w:rPr>
        <w:t>F</w:t>
      </w:r>
      <w:r w:rsidRPr="00C93592">
        <w:rPr>
          <w:rFonts w:ascii="Calibri" w:hAnsi="Calibri" w:cs="Calibri"/>
          <w:i/>
          <w:iCs/>
          <w:sz w:val="24"/>
          <w:szCs w:val="24"/>
        </w:rPr>
        <w:t xml:space="preserve">eatures of reflection as identified by participants </w:t>
      </w:r>
      <w:r w:rsidR="00952B12">
        <w:rPr>
          <w:rFonts w:ascii="Calibri" w:hAnsi="Calibri" w:cs="Calibri"/>
          <w:i/>
          <w:iCs/>
          <w:sz w:val="24"/>
          <w:szCs w:val="24"/>
        </w:rPr>
        <w:t>and the researcher</w:t>
      </w:r>
      <w:r w:rsidRPr="00C93592">
        <w:rPr>
          <w:rFonts w:ascii="Calibri" w:hAnsi="Calibri" w:cs="Calibri"/>
          <w:i/>
          <w:iCs/>
          <w:sz w:val="24"/>
          <w:szCs w:val="24"/>
        </w:rPr>
        <w:t xml:space="preserve">   </w:t>
      </w:r>
    </w:p>
    <w:p w14:paraId="2B585D5D" w14:textId="15653693" w:rsidR="00BF61A6" w:rsidRPr="00A55E5C" w:rsidRDefault="00BF61A6" w:rsidP="00B34100">
      <w:pPr>
        <w:spacing w:line="360" w:lineRule="auto"/>
        <w:rPr>
          <w:rFonts w:ascii="Calibri" w:hAnsi="Calibri" w:cs="Calibri"/>
          <w:sz w:val="24"/>
          <w:szCs w:val="24"/>
        </w:rPr>
      </w:pPr>
      <w:r>
        <w:rPr>
          <w:rFonts w:ascii="Calibri" w:hAnsi="Calibri" w:cs="Calibri"/>
          <w:sz w:val="24"/>
          <w:szCs w:val="24"/>
        </w:rPr>
        <w:t>T</w:t>
      </w:r>
      <w:r w:rsidRPr="006B61B6">
        <w:rPr>
          <w:rFonts w:ascii="Calibri" w:hAnsi="Calibri" w:cs="Calibri"/>
          <w:sz w:val="24"/>
          <w:szCs w:val="24"/>
        </w:rPr>
        <w:t xml:space="preserve">he act of reflection means something, and someone, is engaged in a process of change and the findings confirm that </w:t>
      </w:r>
      <w:r>
        <w:rPr>
          <w:rFonts w:ascii="Calibri" w:hAnsi="Calibri" w:cs="Calibri"/>
          <w:sz w:val="24"/>
          <w:szCs w:val="24"/>
        </w:rPr>
        <w:t xml:space="preserve">participants </w:t>
      </w:r>
      <w:r w:rsidRPr="006B61B6">
        <w:rPr>
          <w:rFonts w:ascii="Calibri" w:hAnsi="Calibri" w:cs="Calibri"/>
          <w:sz w:val="24"/>
          <w:szCs w:val="24"/>
        </w:rPr>
        <w:t xml:space="preserve">were willing to explore their responses to their work (Finlay, 2008) </w:t>
      </w:r>
      <w:r w:rsidR="007C331D">
        <w:rPr>
          <w:rFonts w:ascii="Calibri" w:hAnsi="Calibri" w:cs="Calibri"/>
          <w:sz w:val="24"/>
          <w:szCs w:val="24"/>
        </w:rPr>
        <w:t xml:space="preserve">which </w:t>
      </w:r>
      <w:r w:rsidRPr="006B61B6">
        <w:rPr>
          <w:rFonts w:ascii="Calibri" w:hAnsi="Calibri" w:cs="Calibri"/>
          <w:sz w:val="24"/>
          <w:szCs w:val="24"/>
        </w:rPr>
        <w:t>enabl</w:t>
      </w:r>
      <w:r w:rsidR="007C331D">
        <w:rPr>
          <w:rFonts w:ascii="Calibri" w:hAnsi="Calibri" w:cs="Calibri"/>
          <w:sz w:val="24"/>
          <w:szCs w:val="24"/>
        </w:rPr>
        <w:t>ed</w:t>
      </w:r>
      <w:r w:rsidRPr="006B61B6">
        <w:rPr>
          <w:rFonts w:ascii="Calibri" w:hAnsi="Calibri" w:cs="Calibri"/>
          <w:sz w:val="24"/>
          <w:szCs w:val="24"/>
        </w:rPr>
        <w:t xml:space="preserve"> the adoption of different perspectives (Loughran, 1996). </w:t>
      </w:r>
      <w:r w:rsidRPr="00A55E5C">
        <w:rPr>
          <w:rFonts w:ascii="Calibri" w:hAnsi="Calibri" w:cs="Calibri"/>
          <w:sz w:val="24"/>
          <w:szCs w:val="24"/>
        </w:rPr>
        <w:t xml:space="preserve">This use of reflective practice as a means to change is endorsed by not only scholars </w:t>
      </w:r>
      <w:r w:rsidR="0090562D">
        <w:rPr>
          <w:rFonts w:ascii="Calibri" w:hAnsi="Calibri" w:cs="Calibri"/>
          <w:sz w:val="24"/>
          <w:szCs w:val="24"/>
        </w:rPr>
        <w:t>(</w:t>
      </w:r>
      <w:r w:rsidR="005C4512">
        <w:rPr>
          <w:rFonts w:ascii="Calibri" w:hAnsi="Calibri" w:cs="Calibri"/>
          <w:sz w:val="24"/>
          <w:szCs w:val="24"/>
        </w:rPr>
        <w:t xml:space="preserve">Appendix </w:t>
      </w:r>
      <w:r w:rsidR="005C4512">
        <w:rPr>
          <w:rFonts w:ascii="Calibri" w:hAnsi="Calibri" w:cs="Calibri"/>
          <w:sz w:val="24"/>
          <w:szCs w:val="24"/>
        </w:rPr>
        <w:lastRenderedPageBreak/>
        <w:t xml:space="preserve">A) </w:t>
      </w:r>
      <w:r w:rsidRPr="00A55E5C">
        <w:rPr>
          <w:rFonts w:ascii="Calibri" w:hAnsi="Calibri" w:cs="Calibri"/>
          <w:sz w:val="24"/>
          <w:szCs w:val="24"/>
        </w:rPr>
        <w:t>but recommended to be embedded in teacher trainings (Hughes and Spanner, 2019)</w:t>
      </w:r>
      <w:r>
        <w:rPr>
          <w:rFonts w:ascii="Calibri" w:hAnsi="Calibri" w:cs="Calibri"/>
          <w:sz w:val="24"/>
          <w:szCs w:val="24"/>
        </w:rPr>
        <w:t>.</w:t>
      </w:r>
      <w:r>
        <w:t xml:space="preserve"> P</w:t>
      </w:r>
      <w:r w:rsidRPr="008B4D30">
        <w:rPr>
          <w:rFonts w:ascii="Calibri" w:hAnsi="Calibri" w:cs="Calibri"/>
          <w:sz w:val="24"/>
          <w:szCs w:val="24"/>
        </w:rPr>
        <w:t xml:space="preserve">rofessional learning </w:t>
      </w:r>
      <w:r>
        <w:rPr>
          <w:rFonts w:ascii="Calibri" w:hAnsi="Calibri" w:cs="Calibri"/>
          <w:sz w:val="24"/>
          <w:szCs w:val="24"/>
        </w:rPr>
        <w:t xml:space="preserve">can be transformative (Mockler, 2005) </w:t>
      </w:r>
      <w:r w:rsidRPr="00A55E5C">
        <w:rPr>
          <w:rFonts w:ascii="Calibri" w:hAnsi="Calibri" w:cs="Calibri"/>
          <w:sz w:val="24"/>
          <w:szCs w:val="24"/>
        </w:rPr>
        <w:t>however development as an activity is not enough; teachers must embrace change</w:t>
      </w:r>
      <w:r>
        <w:rPr>
          <w:rFonts w:ascii="Calibri" w:hAnsi="Calibri" w:cs="Calibri"/>
          <w:sz w:val="24"/>
          <w:szCs w:val="24"/>
        </w:rPr>
        <w:t xml:space="preserve"> (Easton, 2008) </w:t>
      </w:r>
      <w:r w:rsidRPr="00A55E5C">
        <w:rPr>
          <w:rFonts w:ascii="Calibri" w:hAnsi="Calibri" w:cs="Calibri"/>
          <w:sz w:val="24"/>
          <w:szCs w:val="24"/>
        </w:rPr>
        <w:t>to get different results</w:t>
      </w:r>
      <w:r>
        <w:rPr>
          <w:rFonts w:ascii="Calibri" w:hAnsi="Calibri" w:cs="Calibri"/>
          <w:sz w:val="24"/>
          <w:szCs w:val="24"/>
        </w:rPr>
        <w:t xml:space="preserve"> and therein become learners themselves. </w:t>
      </w:r>
      <w:r w:rsidRPr="00A55E5C">
        <w:rPr>
          <w:rFonts w:ascii="Calibri" w:hAnsi="Calibri" w:cs="Calibri"/>
          <w:sz w:val="24"/>
          <w:szCs w:val="24"/>
        </w:rPr>
        <w:t xml:space="preserve">Results </w:t>
      </w:r>
      <w:r>
        <w:rPr>
          <w:rFonts w:ascii="Calibri" w:hAnsi="Calibri" w:cs="Calibri"/>
          <w:sz w:val="24"/>
          <w:szCs w:val="24"/>
        </w:rPr>
        <w:t xml:space="preserve">overall in this study confirm that willingness to change is </w:t>
      </w:r>
      <w:r w:rsidRPr="00A55E5C">
        <w:rPr>
          <w:rFonts w:ascii="Calibri" w:hAnsi="Calibri" w:cs="Calibri"/>
          <w:sz w:val="24"/>
          <w:szCs w:val="24"/>
        </w:rPr>
        <w:t xml:space="preserve">a feature of </w:t>
      </w:r>
      <w:r>
        <w:rPr>
          <w:rFonts w:ascii="Calibri" w:hAnsi="Calibri" w:cs="Calibri"/>
          <w:sz w:val="24"/>
          <w:szCs w:val="24"/>
        </w:rPr>
        <w:t xml:space="preserve">reflective </w:t>
      </w:r>
      <w:r w:rsidRPr="00A55E5C">
        <w:rPr>
          <w:rFonts w:ascii="Calibri" w:hAnsi="Calibri" w:cs="Calibri"/>
          <w:sz w:val="24"/>
          <w:szCs w:val="24"/>
        </w:rPr>
        <w:t xml:space="preserve">activity but is also a feature </w:t>
      </w:r>
      <w:r>
        <w:rPr>
          <w:rFonts w:ascii="Calibri" w:hAnsi="Calibri" w:cs="Calibri"/>
          <w:sz w:val="24"/>
          <w:szCs w:val="24"/>
        </w:rPr>
        <w:t>of the participants</w:t>
      </w:r>
      <w:r w:rsidR="00151FB8">
        <w:rPr>
          <w:rFonts w:ascii="Calibri" w:hAnsi="Calibri" w:cs="Calibri"/>
          <w:sz w:val="24"/>
          <w:szCs w:val="24"/>
        </w:rPr>
        <w:t>’</w:t>
      </w:r>
      <w:r>
        <w:rPr>
          <w:rFonts w:ascii="Calibri" w:hAnsi="Calibri" w:cs="Calibri"/>
          <w:sz w:val="24"/>
          <w:szCs w:val="24"/>
        </w:rPr>
        <w:t xml:space="preserve"> </w:t>
      </w:r>
      <w:r w:rsidRPr="00A55E5C">
        <w:rPr>
          <w:rFonts w:ascii="Calibri" w:hAnsi="Calibri" w:cs="Calibri"/>
          <w:sz w:val="24"/>
          <w:szCs w:val="24"/>
        </w:rPr>
        <w:t>nature</w:t>
      </w:r>
      <w:r w:rsidR="00BE6353">
        <w:rPr>
          <w:rFonts w:ascii="Calibri" w:hAnsi="Calibri" w:cs="Calibri"/>
          <w:sz w:val="24"/>
          <w:szCs w:val="24"/>
        </w:rPr>
        <w:t>s</w:t>
      </w:r>
      <w:r w:rsidRPr="00A55E5C">
        <w:rPr>
          <w:rFonts w:ascii="Calibri" w:hAnsi="Calibri" w:cs="Calibri"/>
          <w:sz w:val="24"/>
          <w:szCs w:val="24"/>
        </w:rPr>
        <w:t>: they want</w:t>
      </w:r>
      <w:r>
        <w:rPr>
          <w:rFonts w:ascii="Calibri" w:hAnsi="Calibri" w:cs="Calibri"/>
          <w:sz w:val="24"/>
          <w:szCs w:val="24"/>
        </w:rPr>
        <w:t>ed</w:t>
      </w:r>
      <w:r w:rsidRPr="00A55E5C">
        <w:rPr>
          <w:rFonts w:ascii="Calibri" w:hAnsi="Calibri" w:cs="Calibri"/>
          <w:sz w:val="24"/>
          <w:szCs w:val="24"/>
        </w:rPr>
        <w:t xml:space="preserve"> to learn and change. The</w:t>
      </w:r>
      <w:r>
        <w:rPr>
          <w:rFonts w:ascii="Calibri" w:hAnsi="Calibri" w:cs="Calibri"/>
          <w:sz w:val="24"/>
          <w:szCs w:val="24"/>
        </w:rPr>
        <w:t xml:space="preserve"> findings </w:t>
      </w:r>
      <w:r w:rsidRPr="00A55E5C">
        <w:rPr>
          <w:rFonts w:ascii="Calibri" w:hAnsi="Calibri" w:cs="Calibri"/>
          <w:sz w:val="24"/>
          <w:szCs w:val="24"/>
        </w:rPr>
        <w:t>affirm that reflection can go beyond being a concept to becom</w:t>
      </w:r>
      <w:r>
        <w:rPr>
          <w:rFonts w:ascii="Calibri" w:hAnsi="Calibri" w:cs="Calibri"/>
          <w:sz w:val="24"/>
          <w:szCs w:val="24"/>
        </w:rPr>
        <w:t>ing</w:t>
      </w:r>
      <w:r w:rsidRPr="00A55E5C">
        <w:rPr>
          <w:rFonts w:ascii="Calibri" w:hAnsi="Calibri" w:cs="Calibri"/>
          <w:sz w:val="24"/>
          <w:szCs w:val="24"/>
        </w:rPr>
        <w:t xml:space="preserve"> an evaluation tool</w:t>
      </w:r>
      <w:r>
        <w:rPr>
          <w:rFonts w:ascii="Calibri" w:hAnsi="Calibri" w:cs="Calibri"/>
          <w:sz w:val="24"/>
          <w:szCs w:val="24"/>
        </w:rPr>
        <w:t xml:space="preserve"> for practice</w:t>
      </w:r>
      <w:r w:rsidRPr="00A55E5C">
        <w:rPr>
          <w:rFonts w:ascii="Calibri" w:hAnsi="Calibri" w:cs="Calibri"/>
          <w:sz w:val="24"/>
          <w:szCs w:val="24"/>
        </w:rPr>
        <w:t>, but requires effort</w:t>
      </w:r>
      <w:r>
        <w:rPr>
          <w:rFonts w:ascii="Calibri" w:hAnsi="Calibri" w:cs="Calibri"/>
          <w:sz w:val="24"/>
          <w:szCs w:val="24"/>
        </w:rPr>
        <w:t xml:space="preserve">, </w:t>
      </w:r>
      <w:r w:rsidRPr="00A55E5C">
        <w:rPr>
          <w:rFonts w:ascii="Calibri" w:hAnsi="Calibri" w:cs="Calibri"/>
          <w:sz w:val="24"/>
          <w:szCs w:val="24"/>
        </w:rPr>
        <w:t xml:space="preserve">an active process of doing (Boud and Knights, </w:t>
      </w:r>
      <w:r>
        <w:rPr>
          <w:rFonts w:ascii="Calibri" w:hAnsi="Calibri" w:cs="Calibri"/>
          <w:sz w:val="24"/>
          <w:szCs w:val="24"/>
        </w:rPr>
        <w:t>1996</w:t>
      </w:r>
      <w:r w:rsidRPr="00A55E5C">
        <w:rPr>
          <w:rFonts w:ascii="Calibri" w:hAnsi="Calibri" w:cs="Calibri"/>
          <w:sz w:val="24"/>
          <w:szCs w:val="24"/>
        </w:rPr>
        <w:t xml:space="preserve">; Boud and Miller, 1996; </w:t>
      </w:r>
      <w:r>
        <w:rPr>
          <w:rFonts w:ascii="Calibri" w:hAnsi="Calibri" w:cs="Calibri"/>
          <w:sz w:val="24"/>
          <w:szCs w:val="24"/>
        </w:rPr>
        <w:t>Boud</w:t>
      </w:r>
      <w:r w:rsidR="006E662D">
        <w:rPr>
          <w:rFonts w:ascii="Calibri" w:hAnsi="Calibri" w:cs="Calibri"/>
          <w:sz w:val="24"/>
          <w:szCs w:val="24"/>
        </w:rPr>
        <w:t xml:space="preserve"> </w:t>
      </w:r>
      <w:r w:rsidR="00FB3A6E" w:rsidRPr="00FB3A6E">
        <w:rPr>
          <w:rFonts w:ascii="Calibri" w:hAnsi="Calibri" w:cs="Calibri"/>
          <w:i/>
          <w:sz w:val="24"/>
          <w:szCs w:val="24"/>
        </w:rPr>
        <w:t>et al.</w:t>
      </w:r>
      <w:r w:rsidR="006E662D">
        <w:rPr>
          <w:rFonts w:ascii="Calibri" w:hAnsi="Calibri" w:cs="Calibri"/>
          <w:sz w:val="24"/>
          <w:szCs w:val="24"/>
        </w:rPr>
        <w:t>,</w:t>
      </w:r>
      <w:r>
        <w:rPr>
          <w:rFonts w:ascii="Calibri" w:hAnsi="Calibri" w:cs="Calibri"/>
          <w:sz w:val="24"/>
          <w:szCs w:val="24"/>
        </w:rPr>
        <w:t xml:space="preserve"> 2006; </w:t>
      </w:r>
      <w:r w:rsidRPr="00A55E5C">
        <w:rPr>
          <w:rFonts w:ascii="Calibri" w:hAnsi="Calibri" w:cs="Calibri"/>
          <w:sz w:val="24"/>
          <w:szCs w:val="24"/>
        </w:rPr>
        <w:t>Schὂn, 1987)</w:t>
      </w:r>
      <w:r w:rsidR="00EC51CB">
        <w:rPr>
          <w:rFonts w:ascii="Calibri" w:hAnsi="Calibri" w:cs="Calibri"/>
          <w:sz w:val="24"/>
          <w:szCs w:val="24"/>
        </w:rPr>
        <w:t>,</w:t>
      </w:r>
      <w:r>
        <w:rPr>
          <w:rFonts w:ascii="Calibri" w:hAnsi="Calibri" w:cs="Calibri"/>
          <w:sz w:val="24"/>
          <w:szCs w:val="24"/>
        </w:rPr>
        <w:t xml:space="preserve"> and it is through the doing that it is embedded.</w:t>
      </w:r>
    </w:p>
    <w:p w14:paraId="78029013" w14:textId="49CFA99E" w:rsidR="00BF61A6" w:rsidRDefault="00BF61A6" w:rsidP="00B34100">
      <w:pPr>
        <w:spacing w:line="360" w:lineRule="auto"/>
        <w:rPr>
          <w:rFonts w:ascii="Calibri" w:hAnsi="Calibri" w:cs="Calibri"/>
          <w:sz w:val="24"/>
          <w:szCs w:val="24"/>
        </w:rPr>
      </w:pPr>
      <w:r w:rsidRPr="0040529E">
        <w:rPr>
          <w:rFonts w:ascii="Calibri" w:hAnsi="Calibri" w:cs="Calibri"/>
          <w:sz w:val="24"/>
          <w:szCs w:val="24"/>
        </w:rPr>
        <w:t xml:space="preserve">The </w:t>
      </w:r>
      <w:r>
        <w:rPr>
          <w:rFonts w:ascii="Calibri" w:hAnsi="Calibri" w:cs="Calibri"/>
          <w:sz w:val="24"/>
          <w:szCs w:val="24"/>
        </w:rPr>
        <w:t xml:space="preserve">importance of </w:t>
      </w:r>
      <w:r w:rsidRPr="0040529E">
        <w:rPr>
          <w:rFonts w:ascii="Calibri" w:hAnsi="Calibri" w:cs="Calibri"/>
          <w:sz w:val="24"/>
          <w:szCs w:val="24"/>
        </w:rPr>
        <w:t xml:space="preserve">embedding reflective practice </w:t>
      </w:r>
      <w:r>
        <w:rPr>
          <w:rFonts w:ascii="Calibri" w:hAnsi="Calibri" w:cs="Calibri"/>
          <w:sz w:val="24"/>
          <w:szCs w:val="24"/>
        </w:rPr>
        <w:t xml:space="preserve">in teaching </w:t>
      </w:r>
      <w:r w:rsidRPr="0040529E">
        <w:rPr>
          <w:rFonts w:ascii="Calibri" w:hAnsi="Calibri" w:cs="Calibri"/>
          <w:sz w:val="24"/>
          <w:szCs w:val="24"/>
        </w:rPr>
        <w:t xml:space="preserve">rings true from the participants’ perspectives, </w:t>
      </w:r>
      <w:r>
        <w:rPr>
          <w:rFonts w:ascii="Calibri" w:hAnsi="Calibri" w:cs="Calibri"/>
          <w:sz w:val="24"/>
          <w:szCs w:val="24"/>
        </w:rPr>
        <w:t xml:space="preserve">however </w:t>
      </w:r>
      <w:r w:rsidRPr="0040529E">
        <w:rPr>
          <w:rFonts w:ascii="Calibri" w:hAnsi="Calibri" w:cs="Calibri"/>
          <w:sz w:val="24"/>
          <w:szCs w:val="24"/>
        </w:rPr>
        <w:t xml:space="preserve">a significant barrier and concern was identified: reflective practice was not actualised for the majority during their training. </w:t>
      </w:r>
      <w:r w:rsidRPr="000E25B3">
        <w:rPr>
          <w:rFonts w:ascii="Calibri" w:hAnsi="Calibri" w:cs="Calibri"/>
          <w:sz w:val="24"/>
          <w:szCs w:val="24"/>
        </w:rPr>
        <w:t xml:space="preserve">Mo reported that the </w:t>
      </w:r>
      <w:r>
        <w:rPr>
          <w:rFonts w:ascii="Calibri" w:hAnsi="Calibri" w:cs="Calibri"/>
          <w:sz w:val="24"/>
          <w:szCs w:val="24"/>
        </w:rPr>
        <w:t xml:space="preserve">blanket </w:t>
      </w:r>
      <w:r w:rsidRPr="000E25B3">
        <w:rPr>
          <w:rFonts w:ascii="Calibri" w:hAnsi="Calibri" w:cs="Calibri"/>
          <w:sz w:val="24"/>
          <w:szCs w:val="24"/>
        </w:rPr>
        <w:t xml:space="preserve">instruction </w:t>
      </w:r>
      <w:r w:rsidRPr="003127ED">
        <w:rPr>
          <w:rFonts w:ascii="Calibri" w:hAnsi="Calibri" w:cs="Calibri"/>
          <w:sz w:val="24"/>
          <w:szCs w:val="24"/>
        </w:rPr>
        <w:t>to reflect</w:t>
      </w:r>
      <w:r w:rsidRPr="000E25B3">
        <w:rPr>
          <w:rFonts w:ascii="Calibri" w:hAnsi="Calibri" w:cs="Calibri"/>
          <w:sz w:val="24"/>
          <w:szCs w:val="24"/>
        </w:rPr>
        <w:t xml:space="preserve"> was somewhat pointless i</w:t>
      </w:r>
      <w:r>
        <w:rPr>
          <w:rFonts w:ascii="Calibri" w:hAnsi="Calibri" w:cs="Calibri"/>
          <w:sz w:val="24"/>
          <w:szCs w:val="24"/>
        </w:rPr>
        <w:t xml:space="preserve">f </w:t>
      </w:r>
      <w:r w:rsidRPr="000E25B3">
        <w:rPr>
          <w:rFonts w:ascii="Calibri" w:hAnsi="Calibri" w:cs="Calibri"/>
          <w:sz w:val="24"/>
          <w:szCs w:val="24"/>
        </w:rPr>
        <w:t>the meaning of reflection</w:t>
      </w:r>
      <w:r>
        <w:rPr>
          <w:rFonts w:ascii="Calibri" w:hAnsi="Calibri" w:cs="Calibri"/>
          <w:sz w:val="24"/>
          <w:szCs w:val="24"/>
        </w:rPr>
        <w:t xml:space="preserve"> was not explained first (T1)</w:t>
      </w:r>
      <w:r w:rsidRPr="000E25B3">
        <w:rPr>
          <w:rFonts w:ascii="Calibri" w:hAnsi="Calibri" w:cs="Calibri"/>
          <w:sz w:val="24"/>
          <w:szCs w:val="24"/>
        </w:rPr>
        <w:t xml:space="preserve">. </w:t>
      </w:r>
      <w:r w:rsidRPr="0040529E">
        <w:rPr>
          <w:rFonts w:ascii="Calibri" w:hAnsi="Calibri" w:cs="Calibri"/>
          <w:sz w:val="24"/>
          <w:szCs w:val="24"/>
        </w:rPr>
        <w:t xml:space="preserve"> Laura mentioned the application of reflective practice an</w:t>
      </w:r>
      <w:r>
        <w:rPr>
          <w:rFonts w:ascii="Calibri" w:hAnsi="Calibri" w:cs="Calibri"/>
          <w:sz w:val="24"/>
          <w:szCs w:val="24"/>
        </w:rPr>
        <w:t>d its methodology were</w:t>
      </w:r>
      <w:r w:rsidRPr="0040529E">
        <w:rPr>
          <w:rFonts w:ascii="Calibri" w:hAnsi="Calibri" w:cs="Calibri"/>
          <w:sz w:val="24"/>
          <w:szCs w:val="24"/>
        </w:rPr>
        <w:t xml:space="preserve"> missing in her teacher training</w:t>
      </w:r>
      <w:r>
        <w:rPr>
          <w:rFonts w:ascii="Calibri" w:hAnsi="Calibri" w:cs="Calibri"/>
          <w:sz w:val="24"/>
          <w:szCs w:val="24"/>
        </w:rPr>
        <w:t xml:space="preserve"> (T1)</w:t>
      </w:r>
      <w:r w:rsidRPr="0040529E">
        <w:rPr>
          <w:rFonts w:ascii="Calibri" w:hAnsi="Calibri" w:cs="Calibri"/>
          <w:sz w:val="24"/>
          <w:szCs w:val="24"/>
        </w:rPr>
        <w:t>. Similarly, Jenko points out the mismatch of reflection being an academic requirement, but if the reasoning behind it is not explained, reflection will not be embodied</w:t>
      </w:r>
      <w:r>
        <w:rPr>
          <w:rFonts w:ascii="Calibri" w:hAnsi="Calibri" w:cs="Calibri"/>
          <w:sz w:val="24"/>
          <w:szCs w:val="24"/>
        </w:rPr>
        <w:t xml:space="preserve"> (T1)</w:t>
      </w:r>
      <w:r w:rsidRPr="0040529E">
        <w:rPr>
          <w:rFonts w:ascii="Calibri" w:hAnsi="Calibri" w:cs="Calibri"/>
          <w:sz w:val="24"/>
          <w:szCs w:val="24"/>
        </w:rPr>
        <w:t xml:space="preserve">. Fred complained of the </w:t>
      </w:r>
      <w:r>
        <w:rPr>
          <w:rFonts w:ascii="Calibri" w:hAnsi="Calibri" w:cs="Calibri"/>
          <w:sz w:val="24"/>
          <w:szCs w:val="24"/>
        </w:rPr>
        <w:t>“</w:t>
      </w:r>
      <w:r w:rsidRPr="00C93592">
        <w:rPr>
          <w:rFonts w:ascii="Calibri" w:hAnsi="Calibri" w:cs="Calibri"/>
          <w:i/>
          <w:iCs/>
          <w:sz w:val="24"/>
          <w:szCs w:val="24"/>
        </w:rPr>
        <w:t>pop psychology</w:t>
      </w:r>
      <w:r>
        <w:rPr>
          <w:rFonts w:ascii="Calibri" w:hAnsi="Calibri" w:cs="Calibri"/>
          <w:sz w:val="24"/>
          <w:szCs w:val="24"/>
        </w:rPr>
        <w:t>”</w:t>
      </w:r>
      <w:r w:rsidRPr="0040529E">
        <w:rPr>
          <w:rFonts w:ascii="Calibri" w:hAnsi="Calibri" w:cs="Calibri"/>
          <w:sz w:val="24"/>
          <w:szCs w:val="24"/>
        </w:rPr>
        <w:t xml:space="preserve"> nature of the </w:t>
      </w:r>
      <w:r>
        <w:rPr>
          <w:rFonts w:ascii="Calibri" w:hAnsi="Calibri" w:cs="Calibri"/>
          <w:sz w:val="24"/>
          <w:szCs w:val="24"/>
        </w:rPr>
        <w:t>“</w:t>
      </w:r>
      <w:r w:rsidRPr="00C93592">
        <w:rPr>
          <w:rFonts w:ascii="Calibri" w:hAnsi="Calibri" w:cs="Calibri"/>
          <w:i/>
          <w:iCs/>
          <w:sz w:val="24"/>
          <w:szCs w:val="24"/>
        </w:rPr>
        <w:t>shallow</w:t>
      </w:r>
      <w:r>
        <w:rPr>
          <w:rFonts w:ascii="Calibri" w:hAnsi="Calibri" w:cs="Calibri"/>
          <w:sz w:val="24"/>
          <w:szCs w:val="24"/>
        </w:rPr>
        <w:t xml:space="preserve">” </w:t>
      </w:r>
      <w:r w:rsidRPr="0040529E">
        <w:rPr>
          <w:rFonts w:ascii="Calibri" w:hAnsi="Calibri" w:cs="Calibri"/>
          <w:sz w:val="24"/>
          <w:szCs w:val="24"/>
        </w:rPr>
        <w:t xml:space="preserve">reflection taught in the </w:t>
      </w:r>
      <w:r>
        <w:rPr>
          <w:rFonts w:ascii="Calibri" w:hAnsi="Calibri" w:cs="Calibri"/>
          <w:sz w:val="24"/>
          <w:szCs w:val="24"/>
        </w:rPr>
        <w:t xml:space="preserve">UK based </w:t>
      </w:r>
      <w:r w:rsidRPr="0040529E">
        <w:rPr>
          <w:rFonts w:ascii="Calibri" w:hAnsi="Calibri" w:cs="Calibri"/>
          <w:sz w:val="24"/>
          <w:szCs w:val="24"/>
        </w:rPr>
        <w:t>teacher training system that lacked application to the realities of teaching</w:t>
      </w:r>
      <w:r>
        <w:rPr>
          <w:rFonts w:ascii="Calibri" w:hAnsi="Calibri" w:cs="Calibri"/>
          <w:sz w:val="24"/>
          <w:szCs w:val="24"/>
        </w:rPr>
        <w:t xml:space="preserve"> (</w:t>
      </w:r>
      <w:r w:rsidR="000B4B3B">
        <w:rPr>
          <w:rFonts w:ascii="Calibri" w:hAnsi="Calibri" w:cs="Calibri"/>
          <w:sz w:val="24"/>
          <w:szCs w:val="24"/>
        </w:rPr>
        <w:t xml:space="preserve">Fred, </w:t>
      </w:r>
      <w:r>
        <w:rPr>
          <w:rFonts w:ascii="Calibri" w:hAnsi="Calibri" w:cs="Calibri"/>
          <w:sz w:val="24"/>
          <w:szCs w:val="24"/>
        </w:rPr>
        <w:t>T1, p. 11, par 9)</w:t>
      </w:r>
      <w:r w:rsidRPr="0040529E">
        <w:rPr>
          <w:rFonts w:ascii="Calibri" w:hAnsi="Calibri" w:cs="Calibri"/>
          <w:sz w:val="24"/>
          <w:szCs w:val="24"/>
        </w:rPr>
        <w:t xml:space="preserve">. </w:t>
      </w:r>
      <w:r w:rsidRPr="00455C72">
        <w:rPr>
          <w:rFonts w:ascii="Calibri" w:hAnsi="Calibri" w:cs="Calibri"/>
          <w:sz w:val="24"/>
          <w:szCs w:val="24"/>
        </w:rPr>
        <w:t>The</w:t>
      </w:r>
      <w:r>
        <w:rPr>
          <w:rFonts w:ascii="Calibri" w:hAnsi="Calibri" w:cs="Calibri"/>
          <w:sz w:val="24"/>
          <w:szCs w:val="24"/>
        </w:rPr>
        <w:t xml:space="preserve"> findings support the notion that the</w:t>
      </w:r>
      <w:r w:rsidRPr="00455C72">
        <w:rPr>
          <w:rFonts w:ascii="Calibri" w:hAnsi="Calibri" w:cs="Calibri"/>
          <w:sz w:val="24"/>
          <w:szCs w:val="24"/>
        </w:rPr>
        <w:t xml:space="preserve"> point, process, function, benefits, meaning, value and experience of reflective practice need to be understood before they can be applied otherwise reflection remains a </w:t>
      </w:r>
      <w:r>
        <w:rPr>
          <w:rFonts w:ascii="Calibri" w:hAnsi="Calibri" w:cs="Calibri"/>
          <w:sz w:val="24"/>
          <w:szCs w:val="24"/>
        </w:rPr>
        <w:t xml:space="preserve">surface </w:t>
      </w:r>
      <w:r w:rsidRPr="00455C72">
        <w:rPr>
          <w:rFonts w:ascii="Calibri" w:hAnsi="Calibri" w:cs="Calibri"/>
          <w:sz w:val="24"/>
          <w:szCs w:val="24"/>
        </w:rPr>
        <w:t>theoretical model</w:t>
      </w:r>
      <w:r>
        <w:rPr>
          <w:rFonts w:ascii="Calibri" w:hAnsi="Calibri" w:cs="Calibri"/>
          <w:sz w:val="24"/>
          <w:szCs w:val="24"/>
        </w:rPr>
        <w:t xml:space="preserve"> (Reynolds, 1997),</w:t>
      </w:r>
      <w:r w:rsidRPr="00455C72">
        <w:rPr>
          <w:rFonts w:ascii="Calibri" w:hAnsi="Calibri" w:cs="Calibri"/>
          <w:sz w:val="24"/>
          <w:szCs w:val="24"/>
        </w:rPr>
        <w:t xml:space="preserve"> a</w:t>
      </w:r>
      <w:r>
        <w:rPr>
          <w:rFonts w:ascii="Calibri" w:hAnsi="Calibri" w:cs="Calibri"/>
          <w:sz w:val="24"/>
          <w:szCs w:val="24"/>
        </w:rPr>
        <w:t xml:space="preserve">nd </w:t>
      </w:r>
      <w:r w:rsidRPr="00455C72">
        <w:rPr>
          <w:rFonts w:ascii="Calibri" w:hAnsi="Calibri" w:cs="Calibri"/>
          <w:sz w:val="24"/>
          <w:szCs w:val="24"/>
        </w:rPr>
        <w:t>a mysterious, elusive concept.</w:t>
      </w:r>
      <w:r>
        <w:rPr>
          <w:rFonts w:ascii="Calibri" w:hAnsi="Calibri" w:cs="Calibri"/>
          <w:sz w:val="24"/>
          <w:szCs w:val="24"/>
        </w:rPr>
        <w:t xml:space="preserve"> </w:t>
      </w:r>
      <w:r w:rsidRPr="0040529E">
        <w:rPr>
          <w:rFonts w:ascii="Calibri" w:hAnsi="Calibri" w:cs="Calibri"/>
          <w:sz w:val="24"/>
          <w:szCs w:val="24"/>
        </w:rPr>
        <w:t>Th</w:t>
      </w:r>
      <w:r>
        <w:rPr>
          <w:rFonts w:ascii="Calibri" w:hAnsi="Calibri" w:cs="Calibri"/>
          <w:sz w:val="24"/>
          <w:szCs w:val="24"/>
        </w:rPr>
        <w:t>ese findings</w:t>
      </w:r>
      <w:r w:rsidRPr="0040529E">
        <w:rPr>
          <w:rFonts w:ascii="Calibri" w:hAnsi="Calibri" w:cs="Calibri"/>
          <w:sz w:val="24"/>
          <w:szCs w:val="24"/>
        </w:rPr>
        <w:t xml:space="preserve"> support the notion that </w:t>
      </w:r>
      <w:r>
        <w:rPr>
          <w:rFonts w:ascii="Calibri" w:hAnsi="Calibri" w:cs="Calibri"/>
          <w:sz w:val="24"/>
          <w:szCs w:val="24"/>
        </w:rPr>
        <w:t xml:space="preserve">an </w:t>
      </w:r>
      <w:r w:rsidRPr="0040529E">
        <w:rPr>
          <w:rFonts w:ascii="Calibri" w:hAnsi="Calibri" w:cs="Calibri"/>
          <w:sz w:val="24"/>
          <w:szCs w:val="24"/>
        </w:rPr>
        <w:t xml:space="preserve">understanding </w:t>
      </w:r>
      <w:r>
        <w:rPr>
          <w:rFonts w:ascii="Calibri" w:hAnsi="Calibri" w:cs="Calibri"/>
          <w:sz w:val="24"/>
          <w:szCs w:val="24"/>
        </w:rPr>
        <w:t xml:space="preserve">of </w:t>
      </w:r>
      <w:r w:rsidRPr="0040529E">
        <w:rPr>
          <w:rFonts w:ascii="Calibri" w:hAnsi="Calibri" w:cs="Calibri"/>
          <w:sz w:val="24"/>
          <w:szCs w:val="24"/>
        </w:rPr>
        <w:t xml:space="preserve">the essence of what </w:t>
      </w:r>
      <w:r>
        <w:rPr>
          <w:rFonts w:ascii="Calibri" w:hAnsi="Calibri" w:cs="Calibri"/>
          <w:sz w:val="24"/>
          <w:szCs w:val="24"/>
        </w:rPr>
        <w:t xml:space="preserve">reflection </w:t>
      </w:r>
      <w:r w:rsidRPr="0040529E">
        <w:rPr>
          <w:rFonts w:ascii="Calibri" w:hAnsi="Calibri" w:cs="Calibri"/>
          <w:sz w:val="24"/>
          <w:szCs w:val="24"/>
        </w:rPr>
        <w:t>means, and involves</w:t>
      </w:r>
      <w:r>
        <w:rPr>
          <w:rFonts w:ascii="Calibri" w:hAnsi="Calibri" w:cs="Calibri"/>
          <w:sz w:val="24"/>
          <w:szCs w:val="24"/>
        </w:rPr>
        <w:t xml:space="preserve"> is required</w:t>
      </w:r>
      <w:r w:rsidRPr="0040529E">
        <w:rPr>
          <w:rFonts w:ascii="Calibri" w:hAnsi="Calibri" w:cs="Calibri"/>
          <w:sz w:val="24"/>
          <w:szCs w:val="24"/>
        </w:rPr>
        <w:t>: in other words, the process.</w:t>
      </w:r>
      <w:r>
        <w:rPr>
          <w:rFonts w:ascii="Calibri" w:hAnsi="Calibri" w:cs="Calibri"/>
          <w:sz w:val="24"/>
          <w:szCs w:val="24"/>
        </w:rPr>
        <w:t xml:space="preserve"> </w:t>
      </w:r>
    </w:p>
    <w:p w14:paraId="155E1A32" w14:textId="227CED69" w:rsidR="00BF61A6" w:rsidRDefault="00BF61A6" w:rsidP="00B34100">
      <w:pPr>
        <w:spacing w:line="360" w:lineRule="auto"/>
        <w:rPr>
          <w:rFonts w:ascii="Calibri" w:eastAsia="Calibri" w:hAnsi="Calibri" w:cs="Times New Roman"/>
          <w:color w:val="EE0000"/>
          <w:sz w:val="24"/>
          <w:szCs w:val="24"/>
        </w:rPr>
      </w:pPr>
      <w:r>
        <w:rPr>
          <w:rFonts w:ascii="Calibri" w:hAnsi="Calibri" w:cs="Calibri"/>
          <w:sz w:val="24"/>
          <w:szCs w:val="24"/>
        </w:rPr>
        <w:t>I</w:t>
      </w:r>
      <w:r w:rsidRPr="004E000F">
        <w:rPr>
          <w:rFonts w:ascii="Calibri" w:hAnsi="Calibri" w:cs="Calibri"/>
          <w:sz w:val="24"/>
          <w:szCs w:val="24"/>
        </w:rPr>
        <w:t xml:space="preserve">nstrumental reflection </w:t>
      </w:r>
      <w:r>
        <w:rPr>
          <w:rFonts w:ascii="Calibri" w:hAnsi="Calibri" w:cs="Calibri"/>
          <w:sz w:val="24"/>
          <w:szCs w:val="24"/>
        </w:rPr>
        <w:t xml:space="preserve">has value </w:t>
      </w:r>
      <w:r w:rsidRPr="004E000F">
        <w:rPr>
          <w:rFonts w:ascii="Calibri" w:hAnsi="Calibri" w:cs="Calibri"/>
          <w:sz w:val="24"/>
          <w:szCs w:val="24"/>
        </w:rPr>
        <w:t>as a practical approach to achieving goals and solutions to specific teaching and learning difficulties (</w:t>
      </w:r>
      <w:r>
        <w:rPr>
          <w:rFonts w:ascii="Calibri" w:hAnsi="Calibri" w:cs="Calibri"/>
          <w:sz w:val="24"/>
          <w:szCs w:val="24"/>
        </w:rPr>
        <w:t>Reynolds, 1997</w:t>
      </w:r>
      <w:r w:rsidRPr="004E000F">
        <w:rPr>
          <w:rFonts w:ascii="Calibri" w:hAnsi="Calibri" w:cs="Calibri"/>
          <w:sz w:val="24"/>
          <w:szCs w:val="24"/>
        </w:rPr>
        <w:t xml:space="preserve">) and all participants utilised this concept in their work. However, </w:t>
      </w:r>
      <w:r>
        <w:rPr>
          <w:rFonts w:ascii="Calibri" w:hAnsi="Calibri" w:cs="Calibri"/>
          <w:sz w:val="24"/>
          <w:szCs w:val="24"/>
        </w:rPr>
        <w:t xml:space="preserve">participants </w:t>
      </w:r>
      <w:r w:rsidRPr="004E000F">
        <w:rPr>
          <w:rFonts w:ascii="Calibri" w:hAnsi="Calibri" w:cs="Calibri"/>
          <w:sz w:val="24"/>
          <w:szCs w:val="24"/>
        </w:rPr>
        <w:t>were emphatic about the importance of the relational and environmental conditions for deeper and subjective reflection to be successful and actualised.</w:t>
      </w:r>
      <w:r>
        <w:rPr>
          <w:rFonts w:ascii="Calibri" w:hAnsi="Calibri" w:cs="Calibri"/>
          <w:sz w:val="24"/>
          <w:szCs w:val="24"/>
        </w:rPr>
        <w:t xml:space="preserve"> The literature seems to suggest that critical reflection is a clarion call to activism (</w:t>
      </w:r>
      <w:r w:rsidRPr="008D305C">
        <w:rPr>
          <w:rFonts w:ascii="Calibri" w:hAnsi="Calibri" w:cs="Calibri"/>
          <w:sz w:val="24"/>
          <w:szCs w:val="24"/>
        </w:rPr>
        <w:t>Brookfield, 1995; Burns, 2002; Zeichner, 1981)</w:t>
      </w:r>
      <w:r>
        <w:rPr>
          <w:rFonts w:ascii="Calibri" w:hAnsi="Calibri" w:cs="Calibri"/>
          <w:sz w:val="24"/>
          <w:szCs w:val="24"/>
        </w:rPr>
        <w:t xml:space="preserve">, and although it can become politically, socially and psychologically useful (Bolton, 2010), critical reflections employed by </w:t>
      </w:r>
      <w:r>
        <w:rPr>
          <w:rFonts w:ascii="Calibri" w:hAnsi="Calibri" w:cs="Calibri"/>
          <w:sz w:val="24"/>
          <w:szCs w:val="24"/>
        </w:rPr>
        <w:lastRenderedPageBreak/>
        <w:t xml:space="preserve">participants were rooted in the psychosocial, in </w:t>
      </w:r>
      <w:r w:rsidRPr="007F116D">
        <w:rPr>
          <w:rFonts w:ascii="Calibri" w:hAnsi="Calibri" w:cs="Calibri"/>
          <w:sz w:val="24"/>
          <w:szCs w:val="24"/>
        </w:rPr>
        <w:t xml:space="preserve">exercising sensitivity, consideration and ethical fidelity to the needs of students and colleagues (Light </w:t>
      </w:r>
      <w:r w:rsidR="00FB3A6E" w:rsidRPr="00FB3A6E">
        <w:rPr>
          <w:rFonts w:ascii="Calibri" w:hAnsi="Calibri" w:cs="Calibri"/>
          <w:i/>
          <w:sz w:val="24"/>
          <w:szCs w:val="24"/>
        </w:rPr>
        <w:t>et al.</w:t>
      </w:r>
      <w:r w:rsidRPr="007F116D">
        <w:rPr>
          <w:rFonts w:ascii="Calibri" w:hAnsi="Calibri" w:cs="Calibri"/>
          <w:sz w:val="24"/>
          <w:szCs w:val="24"/>
        </w:rPr>
        <w:t>, 2009).</w:t>
      </w:r>
      <w:r>
        <w:rPr>
          <w:rFonts w:ascii="Calibri" w:hAnsi="Calibri" w:cs="Calibri"/>
          <w:sz w:val="24"/>
          <w:szCs w:val="24"/>
        </w:rPr>
        <w:t xml:space="preserve"> They were also rooted in creating safe environmental conditions and safe spaces.</w:t>
      </w:r>
      <w:r w:rsidRPr="001503BF">
        <w:rPr>
          <w:rFonts w:ascii="Calibri" w:eastAsia="Calibri" w:hAnsi="Calibri" w:cs="Times New Roman"/>
          <w:color w:val="EE0000"/>
          <w:sz w:val="24"/>
          <w:szCs w:val="24"/>
        </w:rPr>
        <w:t xml:space="preserve"> </w:t>
      </w:r>
    </w:p>
    <w:p w14:paraId="21FD72B4" w14:textId="03C9D5AA" w:rsidR="004576AD" w:rsidRPr="00715376" w:rsidRDefault="00715376" w:rsidP="00C57312">
      <w:pPr>
        <w:spacing w:line="360" w:lineRule="auto"/>
        <w:ind w:firstLine="720"/>
        <w:rPr>
          <w:rFonts w:ascii="Calibri" w:hAnsi="Calibri" w:cs="Calibri"/>
          <w:b/>
          <w:bCs/>
          <w:i/>
          <w:iCs/>
          <w:sz w:val="24"/>
          <w:szCs w:val="24"/>
        </w:rPr>
      </w:pPr>
      <w:r w:rsidRPr="00715376">
        <w:rPr>
          <w:rFonts w:ascii="Calibri" w:eastAsia="Calibri" w:hAnsi="Calibri" w:cs="Times New Roman"/>
          <w:b/>
          <w:bCs/>
          <w:i/>
          <w:iCs/>
          <w:sz w:val="24"/>
          <w:szCs w:val="24"/>
        </w:rPr>
        <w:t xml:space="preserve">Reflection and </w:t>
      </w:r>
      <w:r w:rsidR="00CB6EF8">
        <w:rPr>
          <w:rFonts w:ascii="Calibri" w:eastAsia="Calibri" w:hAnsi="Calibri" w:cs="Times New Roman"/>
          <w:b/>
          <w:bCs/>
          <w:i/>
          <w:iCs/>
          <w:sz w:val="24"/>
          <w:szCs w:val="24"/>
        </w:rPr>
        <w:t xml:space="preserve">conditions of </w:t>
      </w:r>
      <w:r w:rsidRPr="00715376">
        <w:rPr>
          <w:rFonts w:ascii="Calibri" w:eastAsia="Calibri" w:hAnsi="Calibri" w:cs="Times New Roman"/>
          <w:b/>
          <w:bCs/>
          <w:i/>
          <w:iCs/>
          <w:sz w:val="24"/>
          <w:szCs w:val="24"/>
        </w:rPr>
        <w:t>the facilitating environment</w:t>
      </w:r>
    </w:p>
    <w:p w14:paraId="561FBC37" w14:textId="01584E63" w:rsidR="00BF61A6" w:rsidRDefault="00BF61A6" w:rsidP="00B34100">
      <w:pPr>
        <w:spacing w:line="360" w:lineRule="auto"/>
        <w:rPr>
          <w:rFonts w:ascii="Calibri" w:hAnsi="Calibri" w:cs="Calibri"/>
          <w:sz w:val="24"/>
          <w:szCs w:val="24"/>
        </w:rPr>
      </w:pPr>
      <w:r w:rsidRPr="00ED7BF3">
        <w:rPr>
          <w:rFonts w:ascii="Calibri" w:hAnsi="Calibri" w:cs="Calibri"/>
          <w:sz w:val="24"/>
          <w:szCs w:val="24"/>
        </w:rPr>
        <w:t xml:space="preserve">The findings of this study revealed the nature not only of trusted others who created safe spaces, but </w:t>
      </w:r>
      <w:r>
        <w:rPr>
          <w:rFonts w:ascii="Calibri" w:hAnsi="Calibri" w:cs="Calibri"/>
          <w:sz w:val="24"/>
          <w:szCs w:val="24"/>
        </w:rPr>
        <w:t xml:space="preserve">the nature and features of the </w:t>
      </w:r>
      <w:r w:rsidRPr="00ED7BF3">
        <w:rPr>
          <w:rFonts w:ascii="Calibri" w:hAnsi="Calibri" w:cs="Calibri"/>
          <w:sz w:val="24"/>
          <w:szCs w:val="24"/>
        </w:rPr>
        <w:t>space</w:t>
      </w:r>
      <w:r>
        <w:rPr>
          <w:rFonts w:ascii="Calibri" w:hAnsi="Calibri" w:cs="Calibri"/>
          <w:sz w:val="24"/>
          <w:szCs w:val="24"/>
        </w:rPr>
        <w:t>s</w:t>
      </w:r>
      <w:r w:rsidRPr="00ED7BF3">
        <w:rPr>
          <w:rFonts w:ascii="Calibri" w:hAnsi="Calibri" w:cs="Calibri"/>
          <w:sz w:val="24"/>
          <w:szCs w:val="24"/>
        </w:rPr>
        <w:t xml:space="preserve"> topographic</w:t>
      </w:r>
      <w:r>
        <w:rPr>
          <w:rFonts w:ascii="Calibri" w:hAnsi="Calibri" w:cs="Calibri"/>
          <w:sz w:val="24"/>
          <w:szCs w:val="24"/>
        </w:rPr>
        <w:t>ally and emotionally.</w:t>
      </w:r>
      <w:r w:rsidRPr="00ED7BF3">
        <w:rPr>
          <w:rFonts w:ascii="Calibri" w:hAnsi="Calibri" w:cs="Calibri"/>
          <w:sz w:val="24"/>
          <w:szCs w:val="24"/>
        </w:rPr>
        <w:t xml:space="preserve"> For reflection to be actualised and individuated, safe space was essential, and this was created by holding</w:t>
      </w:r>
      <w:r w:rsidR="00317FBA">
        <w:rPr>
          <w:rFonts w:ascii="Calibri" w:hAnsi="Calibri" w:cs="Calibri"/>
          <w:sz w:val="24"/>
          <w:szCs w:val="24"/>
        </w:rPr>
        <w:t xml:space="preserve"> (Winnicott, 1965)</w:t>
      </w:r>
      <w:r>
        <w:rPr>
          <w:rFonts w:ascii="Calibri" w:hAnsi="Calibri" w:cs="Calibri"/>
          <w:sz w:val="24"/>
          <w:szCs w:val="24"/>
        </w:rPr>
        <w:t>.</w:t>
      </w:r>
      <w:r w:rsidRPr="00ED7BF3">
        <w:rPr>
          <w:rFonts w:ascii="Calibri" w:hAnsi="Calibri" w:cs="Calibri"/>
          <w:sz w:val="24"/>
          <w:szCs w:val="24"/>
        </w:rPr>
        <w:t xml:space="preserve"> </w:t>
      </w:r>
      <w:r>
        <w:rPr>
          <w:rFonts w:ascii="Calibri" w:hAnsi="Calibri" w:cs="Calibri"/>
          <w:sz w:val="24"/>
          <w:szCs w:val="24"/>
        </w:rPr>
        <w:t>R</w:t>
      </w:r>
      <w:r w:rsidRPr="0088300A">
        <w:rPr>
          <w:rFonts w:ascii="Calibri" w:hAnsi="Calibri" w:cs="Calibri"/>
          <w:sz w:val="24"/>
          <w:szCs w:val="24"/>
        </w:rPr>
        <w:t xml:space="preserve">eflective space </w:t>
      </w:r>
      <w:r>
        <w:rPr>
          <w:rFonts w:ascii="Calibri" w:hAnsi="Calibri" w:cs="Calibri"/>
          <w:sz w:val="24"/>
          <w:szCs w:val="24"/>
        </w:rPr>
        <w:t xml:space="preserve">that is held by others </w:t>
      </w:r>
      <w:r w:rsidRPr="0088300A">
        <w:rPr>
          <w:rFonts w:ascii="Calibri" w:hAnsi="Calibri" w:cs="Calibri"/>
          <w:sz w:val="24"/>
          <w:szCs w:val="24"/>
        </w:rPr>
        <w:t xml:space="preserve">enabled curiosity </w:t>
      </w:r>
      <w:r>
        <w:rPr>
          <w:rFonts w:ascii="Calibri" w:hAnsi="Calibri" w:cs="Calibri"/>
          <w:sz w:val="24"/>
          <w:szCs w:val="24"/>
        </w:rPr>
        <w:t>meaning participants were</w:t>
      </w:r>
      <w:r w:rsidRPr="0088300A">
        <w:rPr>
          <w:rFonts w:ascii="Calibri" w:hAnsi="Calibri" w:cs="Calibri"/>
          <w:sz w:val="24"/>
          <w:szCs w:val="24"/>
        </w:rPr>
        <w:t xml:space="preserve"> willing to go beyond the fixed, to go deep and to allow for growth. </w:t>
      </w:r>
      <w:r>
        <w:rPr>
          <w:rFonts w:ascii="Calibri" w:hAnsi="Calibri" w:cs="Calibri"/>
          <w:sz w:val="24"/>
          <w:szCs w:val="24"/>
        </w:rPr>
        <w:t xml:space="preserve">This space </w:t>
      </w:r>
      <w:r w:rsidRPr="00ED7BF3">
        <w:rPr>
          <w:rFonts w:ascii="Calibri" w:hAnsi="Calibri" w:cs="Calibri"/>
          <w:sz w:val="24"/>
          <w:szCs w:val="24"/>
        </w:rPr>
        <w:t>also allows reflection to be restorative,</w:t>
      </w:r>
      <w:r>
        <w:rPr>
          <w:rFonts w:ascii="Calibri" w:hAnsi="Calibri" w:cs="Calibri"/>
          <w:sz w:val="24"/>
          <w:szCs w:val="24"/>
        </w:rPr>
        <w:t xml:space="preserve"> </w:t>
      </w:r>
      <w:r w:rsidR="002742DF">
        <w:rPr>
          <w:rFonts w:ascii="Calibri" w:hAnsi="Calibri" w:cs="Calibri"/>
          <w:sz w:val="24"/>
          <w:szCs w:val="24"/>
        </w:rPr>
        <w:t xml:space="preserve">a pause to </w:t>
      </w:r>
      <w:r w:rsidR="002742DF" w:rsidRPr="002742DF">
        <w:rPr>
          <w:rFonts w:ascii="Calibri" w:hAnsi="Calibri" w:cs="Calibri"/>
          <w:sz w:val="24"/>
          <w:szCs w:val="24"/>
        </w:rPr>
        <w:t xml:space="preserve">return to the self, restored, and changed </w:t>
      </w:r>
      <w:r>
        <w:rPr>
          <w:rFonts w:ascii="Calibri" w:hAnsi="Calibri" w:cs="Calibri"/>
          <w:sz w:val="24"/>
          <w:szCs w:val="24"/>
        </w:rPr>
        <w:t>and participants such as Liz, Fred and Mo i</w:t>
      </w:r>
      <w:r w:rsidR="00D53887">
        <w:rPr>
          <w:rFonts w:ascii="Calibri" w:hAnsi="Calibri" w:cs="Calibri"/>
          <w:sz w:val="24"/>
          <w:szCs w:val="24"/>
        </w:rPr>
        <w:t xml:space="preserve">mply </w:t>
      </w:r>
      <w:r>
        <w:rPr>
          <w:rFonts w:ascii="Calibri" w:hAnsi="Calibri" w:cs="Calibri"/>
          <w:sz w:val="24"/>
          <w:szCs w:val="24"/>
        </w:rPr>
        <w:t>specifically that this is the case.</w:t>
      </w:r>
    </w:p>
    <w:p w14:paraId="1A8471D5" w14:textId="6529E949" w:rsidR="00BF61A6" w:rsidRPr="005B3712" w:rsidRDefault="00BF61A6" w:rsidP="00B34100">
      <w:pPr>
        <w:spacing w:line="360" w:lineRule="auto"/>
        <w:rPr>
          <w:rFonts w:ascii="Calibri" w:hAnsi="Calibri" w:cs="Calibri"/>
          <w:color w:val="C00000"/>
          <w:sz w:val="24"/>
          <w:szCs w:val="24"/>
        </w:rPr>
      </w:pPr>
      <w:r w:rsidRPr="00ED7BF3">
        <w:rPr>
          <w:rFonts w:ascii="Calibri" w:hAnsi="Calibri" w:cs="Calibri"/>
          <w:sz w:val="24"/>
          <w:szCs w:val="24"/>
        </w:rPr>
        <w:t xml:space="preserve">A composite definition of reflective practice was offered in Chapter </w:t>
      </w:r>
      <w:r w:rsidR="008504B2">
        <w:rPr>
          <w:rFonts w:ascii="Calibri" w:hAnsi="Calibri" w:cs="Calibri"/>
          <w:sz w:val="24"/>
          <w:szCs w:val="24"/>
        </w:rPr>
        <w:t>Three</w:t>
      </w:r>
      <w:r w:rsidRPr="00ED7BF3">
        <w:rPr>
          <w:rFonts w:ascii="Calibri" w:hAnsi="Calibri" w:cs="Calibri"/>
          <w:sz w:val="24"/>
          <w:szCs w:val="24"/>
        </w:rPr>
        <w:t xml:space="preserve"> as “research, and a deliberate enquiry into professional practice undertaken by the teacher to gain a deeper understanding of themselves, others, their work and the scholarship” (p.30). </w:t>
      </w:r>
      <w:r w:rsidRPr="001967E3">
        <w:rPr>
          <w:rFonts w:ascii="Calibri" w:hAnsi="Calibri" w:cs="Calibri"/>
          <w:sz w:val="24"/>
          <w:szCs w:val="24"/>
        </w:rPr>
        <w:t xml:space="preserve">Current </w:t>
      </w:r>
      <w:r>
        <w:rPr>
          <w:rFonts w:ascii="Calibri" w:hAnsi="Calibri" w:cs="Calibri"/>
          <w:sz w:val="24"/>
          <w:szCs w:val="24"/>
        </w:rPr>
        <w:t xml:space="preserve">definitions of </w:t>
      </w:r>
      <w:r w:rsidRPr="001967E3">
        <w:rPr>
          <w:rFonts w:ascii="Calibri" w:hAnsi="Calibri" w:cs="Calibri"/>
          <w:sz w:val="24"/>
          <w:szCs w:val="24"/>
        </w:rPr>
        <w:t xml:space="preserve">reflective practice need to be </w:t>
      </w:r>
      <w:r>
        <w:rPr>
          <w:rFonts w:ascii="Calibri" w:hAnsi="Calibri" w:cs="Calibri"/>
          <w:sz w:val="24"/>
          <w:szCs w:val="24"/>
        </w:rPr>
        <w:t xml:space="preserve">revised </w:t>
      </w:r>
      <w:r w:rsidRPr="001967E3">
        <w:rPr>
          <w:rFonts w:ascii="Calibri" w:hAnsi="Calibri" w:cs="Calibri"/>
          <w:sz w:val="24"/>
          <w:szCs w:val="24"/>
        </w:rPr>
        <w:t xml:space="preserve">as a result of the findings to incorporate the function, meaning, purpose and identity of reflective practice. </w:t>
      </w:r>
      <w:r>
        <w:rPr>
          <w:rFonts w:ascii="Calibri" w:hAnsi="Calibri" w:cs="Calibri"/>
          <w:sz w:val="24"/>
          <w:szCs w:val="24"/>
        </w:rPr>
        <w:t xml:space="preserve">A further </w:t>
      </w:r>
      <w:r w:rsidRPr="00ED7BF3">
        <w:rPr>
          <w:rFonts w:ascii="Calibri" w:hAnsi="Calibri" w:cs="Calibri"/>
          <w:sz w:val="24"/>
          <w:szCs w:val="24"/>
        </w:rPr>
        <w:t xml:space="preserve">addendum to this definition </w:t>
      </w:r>
      <w:r>
        <w:rPr>
          <w:rFonts w:ascii="Calibri" w:hAnsi="Calibri" w:cs="Calibri"/>
          <w:sz w:val="24"/>
          <w:szCs w:val="24"/>
        </w:rPr>
        <w:t>concerns the process</w:t>
      </w:r>
      <w:r w:rsidRPr="00ED7BF3">
        <w:rPr>
          <w:rFonts w:ascii="Calibri" w:hAnsi="Calibri" w:cs="Calibri"/>
          <w:sz w:val="24"/>
          <w:szCs w:val="24"/>
        </w:rPr>
        <w:t xml:space="preserve"> </w:t>
      </w:r>
      <w:r>
        <w:rPr>
          <w:rFonts w:ascii="Calibri" w:hAnsi="Calibri" w:cs="Calibri"/>
          <w:sz w:val="24"/>
          <w:szCs w:val="24"/>
        </w:rPr>
        <w:t xml:space="preserve">which </w:t>
      </w:r>
      <w:r w:rsidRPr="00ED7BF3">
        <w:rPr>
          <w:rFonts w:ascii="Calibri" w:hAnsi="Calibri" w:cs="Calibri"/>
          <w:sz w:val="24"/>
          <w:szCs w:val="24"/>
        </w:rPr>
        <w:t xml:space="preserve">requires judicious holding and a safe, facilitating environment. </w:t>
      </w:r>
      <w:r>
        <w:rPr>
          <w:rFonts w:ascii="Calibri" w:hAnsi="Calibri" w:cs="Calibri"/>
          <w:sz w:val="24"/>
          <w:szCs w:val="24"/>
        </w:rPr>
        <w:t>This builds on the scholarship that supports the notion of a supportive environment being crucial for reflective practice to be successful (</w:t>
      </w:r>
      <w:r w:rsidRPr="00B50439">
        <w:rPr>
          <w:rFonts w:ascii="Calibri" w:hAnsi="Calibri" w:cs="Calibri"/>
          <w:sz w:val="24"/>
          <w:szCs w:val="24"/>
        </w:rPr>
        <w:t>Brockbank and McGill, 2007</w:t>
      </w:r>
      <w:r>
        <w:rPr>
          <w:rFonts w:ascii="Calibri" w:hAnsi="Calibri" w:cs="Calibri"/>
          <w:sz w:val="24"/>
          <w:szCs w:val="24"/>
        </w:rPr>
        <w:t>; Crawford, 2010</w:t>
      </w:r>
      <w:r w:rsidRPr="00DE6178">
        <w:rPr>
          <w:rFonts w:ascii="Calibri" w:hAnsi="Calibri" w:cs="Calibri"/>
          <w:sz w:val="24"/>
          <w:szCs w:val="24"/>
        </w:rPr>
        <w:t>)</w:t>
      </w:r>
      <w:r>
        <w:rPr>
          <w:rFonts w:ascii="Calibri" w:hAnsi="Calibri" w:cs="Calibri"/>
          <w:sz w:val="24"/>
          <w:szCs w:val="24"/>
        </w:rPr>
        <w:t>. Its success depends upon psychological safety (</w:t>
      </w:r>
      <w:r w:rsidRPr="0062280C">
        <w:rPr>
          <w:rFonts w:ascii="Calibri" w:hAnsi="Calibri" w:cs="Calibri"/>
          <w:sz w:val="24"/>
          <w:szCs w:val="24"/>
        </w:rPr>
        <w:t>Edmondson, 2019; West, 2021)</w:t>
      </w:r>
      <w:r>
        <w:rPr>
          <w:rFonts w:ascii="Calibri" w:hAnsi="Calibri" w:cs="Calibri"/>
          <w:sz w:val="24"/>
          <w:szCs w:val="24"/>
        </w:rPr>
        <w:t xml:space="preserve"> to optimise trust (Erikson, 1963), enhance professional performance and support individual well-being (Clarke, 2020). </w:t>
      </w:r>
    </w:p>
    <w:p w14:paraId="660FC8C6" w14:textId="02B9B58C" w:rsidR="00BF61A6" w:rsidRPr="00C8487A" w:rsidRDefault="00BF61A6" w:rsidP="00B34100">
      <w:pPr>
        <w:spacing w:line="360" w:lineRule="auto"/>
        <w:rPr>
          <w:rFonts w:ascii="Calibri" w:hAnsi="Calibri" w:cs="Calibri"/>
          <w:sz w:val="24"/>
          <w:szCs w:val="24"/>
        </w:rPr>
      </w:pPr>
      <w:r w:rsidRPr="00C8487A">
        <w:rPr>
          <w:rFonts w:ascii="Calibri" w:hAnsi="Calibri" w:cs="Calibri"/>
          <w:sz w:val="24"/>
          <w:szCs w:val="24"/>
        </w:rPr>
        <w:t xml:space="preserve">Although participants utilised reflection as a lone activity, reflection was </w:t>
      </w:r>
      <w:r>
        <w:rPr>
          <w:rFonts w:ascii="Calibri" w:hAnsi="Calibri" w:cs="Calibri"/>
          <w:sz w:val="24"/>
          <w:szCs w:val="24"/>
        </w:rPr>
        <w:t xml:space="preserve">found to be </w:t>
      </w:r>
      <w:r w:rsidRPr="00C8487A">
        <w:rPr>
          <w:rFonts w:ascii="Calibri" w:hAnsi="Calibri" w:cs="Calibri"/>
          <w:sz w:val="24"/>
          <w:szCs w:val="24"/>
        </w:rPr>
        <w:t>most useful when conducted with a singular person or in a team. A reflective team (McKay, 2008) enable</w:t>
      </w:r>
      <w:r>
        <w:rPr>
          <w:rFonts w:ascii="Calibri" w:hAnsi="Calibri" w:cs="Calibri"/>
          <w:sz w:val="24"/>
          <w:szCs w:val="24"/>
        </w:rPr>
        <w:t>s</w:t>
      </w:r>
      <w:r w:rsidRPr="00C8487A">
        <w:rPr>
          <w:rFonts w:ascii="Calibri" w:hAnsi="Calibri" w:cs="Calibri"/>
          <w:sz w:val="24"/>
          <w:szCs w:val="24"/>
        </w:rPr>
        <w:t xml:space="preserve"> transformation of practice (Freire, 1970)</w:t>
      </w:r>
      <w:r w:rsidR="00560617">
        <w:rPr>
          <w:rFonts w:ascii="Calibri" w:hAnsi="Calibri" w:cs="Calibri"/>
          <w:sz w:val="24"/>
          <w:szCs w:val="24"/>
        </w:rPr>
        <w:t xml:space="preserve"> and</w:t>
      </w:r>
      <w:r w:rsidRPr="00C8487A">
        <w:rPr>
          <w:rFonts w:ascii="Calibri" w:hAnsi="Calibri" w:cs="Calibri"/>
          <w:sz w:val="24"/>
          <w:szCs w:val="24"/>
        </w:rPr>
        <w:t xml:space="preserve"> requires individual and collective, systemic dispositions</w:t>
      </w:r>
      <w:r>
        <w:rPr>
          <w:rFonts w:ascii="Calibri" w:hAnsi="Calibri" w:cs="Calibri"/>
          <w:sz w:val="24"/>
          <w:szCs w:val="24"/>
        </w:rPr>
        <w:t>.</w:t>
      </w:r>
      <w:r w:rsidRPr="00C8487A">
        <w:rPr>
          <w:rFonts w:ascii="Calibri" w:hAnsi="Calibri" w:cs="Calibri"/>
          <w:sz w:val="24"/>
          <w:szCs w:val="24"/>
        </w:rPr>
        <w:t xml:space="preserve"> </w:t>
      </w:r>
      <w:r>
        <w:rPr>
          <w:rFonts w:ascii="Calibri" w:hAnsi="Calibri" w:cs="Calibri"/>
          <w:sz w:val="24"/>
          <w:szCs w:val="24"/>
        </w:rPr>
        <w:t>T</w:t>
      </w:r>
      <w:r w:rsidRPr="00C8487A">
        <w:rPr>
          <w:rFonts w:ascii="Calibri" w:hAnsi="Calibri" w:cs="Calibri"/>
          <w:sz w:val="24"/>
          <w:szCs w:val="24"/>
        </w:rPr>
        <w:t xml:space="preserve">he nature of these </w:t>
      </w:r>
      <w:r>
        <w:rPr>
          <w:rFonts w:ascii="Calibri" w:hAnsi="Calibri" w:cs="Calibri"/>
          <w:sz w:val="24"/>
          <w:szCs w:val="24"/>
        </w:rPr>
        <w:t>“</w:t>
      </w:r>
      <w:r w:rsidRPr="00C8487A">
        <w:rPr>
          <w:rFonts w:ascii="Calibri" w:hAnsi="Calibri" w:cs="Calibri"/>
          <w:sz w:val="24"/>
          <w:szCs w:val="24"/>
        </w:rPr>
        <w:t>dispositions</w:t>
      </w:r>
      <w:r>
        <w:rPr>
          <w:rFonts w:ascii="Calibri" w:hAnsi="Calibri" w:cs="Calibri"/>
          <w:sz w:val="24"/>
          <w:szCs w:val="24"/>
        </w:rPr>
        <w:t>”</w:t>
      </w:r>
      <w:r w:rsidRPr="00C8487A">
        <w:rPr>
          <w:rFonts w:ascii="Calibri" w:hAnsi="Calibri" w:cs="Calibri"/>
          <w:sz w:val="24"/>
          <w:szCs w:val="24"/>
        </w:rPr>
        <w:t xml:space="preserve"> </w:t>
      </w:r>
      <w:r>
        <w:rPr>
          <w:rFonts w:ascii="Calibri" w:hAnsi="Calibri" w:cs="Calibri"/>
          <w:sz w:val="24"/>
          <w:szCs w:val="24"/>
        </w:rPr>
        <w:t>(</w:t>
      </w:r>
      <w:r w:rsidR="00AB1ADC">
        <w:rPr>
          <w:rFonts w:ascii="Calibri" w:hAnsi="Calibri" w:cs="Calibri"/>
          <w:sz w:val="24"/>
          <w:szCs w:val="24"/>
        </w:rPr>
        <w:t>ibid.</w:t>
      </w:r>
      <w:r>
        <w:rPr>
          <w:rFonts w:ascii="Calibri" w:hAnsi="Calibri" w:cs="Calibri"/>
          <w:sz w:val="24"/>
          <w:szCs w:val="24"/>
        </w:rPr>
        <w:t xml:space="preserve">) </w:t>
      </w:r>
      <w:r w:rsidRPr="00C8487A">
        <w:rPr>
          <w:rFonts w:ascii="Calibri" w:hAnsi="Calibri" w:cs="Calibri"/>
          <w:sz w:val="24"/>
          <w:szCs w:val="24"/>
        </w:rPr>
        <w:t>lacks clarity, and this is where participants were able to fill that gap. As Liz</w:t>
      </w:r>
      <w:r>
        <w:rPr>
          <w:rFonts w:ascii="Calibri" w:hAnsi="Calibri" w:cs="Calibri"/>
          <w:sz w:val="24"/>
          <w:szCs w:val="24"/>
        </w:rPr>
        <w:t xml:space="preserve"> </w:t>
      </w:r>
      <w:r w:rsidRPr="00C8487A">
        <w:rPr>
          <w:rFonts w:ascii="Calibri" w:hAnsi="Calibri" w:cs="Calibri"/>
          <w:sz w:val="24"/>
          <w:szCs w:val="24"/>
        </w:rPr>
        <w:t>points out, reflecting in isolation can only advance knowledge to a certain degree, whereas reflection with others advances and expands the process</w:t>
      </w:r>
      <w:r>
        <w:rPr>
          <w:rFonts w:ascii="Calibri" w:hAnsi="Calibri" w:cs="Calibri"/>
          <w:sz w:val="24"/>
          <w:szCs w:val="24"/>
        </w:rPr>
        <w:t xml:space="preserve"> (T1)</w:t>
      </w:r>
      <w:r w:rsidRPr="00C8487A">
        <w:rPr>
          <w:rFonts w:ascii="Calibri" w:hAnsi="Calibri" w:cs="Calibri"/>
          <w:sz w:val="24"/>
          <w:szCs w:val="24"/>
        </w:rPr>
        <w:t xml:space="preserve">. Similarly, Mo </w:t>
      </w:r>
      <w:r>
        <w:rPr>
          <w:rFonts w:ascii="Calibri" w:hAnsi="Calibri" w:cs="Calibri"/>
          <w:sz w:val="24"/>
          <w:szCs w:val="24"/>
        </w:rPr>
        <w:t xml:space="preserve">values </w:t>
      </w:r>
      <w:r w:rsidRPr="00C8487A">
        <w:rPr>
          <w:rFonts w:ascii="Calibri" w:hAnsi="Calibri" w:cs="Calibri"/>
          <w:sz w:val="24"/>
          <w:szCs w:val="24"/>
        </w:rPr>
        <w:t>reflect</w:t>
      </w:r>
      <w:r>
        <w:rPr>
          <w:rFonts w:ascii="Calibri" w:hAnsi="Calibri" w:cs="Calibri"/>
          <w:sz w:val="24"/>
          <w:szCs w:val="24"/>
        </w:rPr>
        <w:t>ing</w:t>
      </w:r>
      <w:r w:rsidRPr="00C8487A">
        <w:rPr>
          <w:rFonts w:ascii="Calibri" w:hAnsi="Calibri" w:cs="Calibri"/>
          <w:sz w:val="24"/>
          <w:szCs w:val="24"/>
        </w:rPr>
        <w:t xml:space="preserve"> </w:t>
      </w:r>
      <w:r>
        <w:rPr>
          <w:rFonts w:ascii="Calibri" w:hAnsi="Calibri" w:cs="Calibri"/>
          <w:sz w:val="24"/>
          <w:szCs w:val="24"/>
        </w:rPr>
        <w:t xml:space="preserve">dialogically </w:t>
      </w:r>
      <w:r w:rsidRPr="00C8487A">
        <w:rPr>
          <w:rFonts w:ascii="Calibri" w:hAnsi="Calibri" w:cs="Calibri"/>
          <w:sz w:val="24"/>
          <w:szCs w:val="24"/>
        </w:rPr>
        <w:t xml:space="preserve">with her colleagues as a </w:t>
      </w:r>
      <w:r w:rsidRPr="00C8487A">
        <w:rPr>
          <w:rFonts w:ascii="Calibri" w:hAnsi="Calibri" w:cs="Calibri"/>
          <w:sz w:val="24"/>
          <w:szCs w:val="24"/>
        </w:rPr>
        <w:lastRenderedPageBreak/>
        <w:t>te</w:t>
      </w:r>
      <w:r>
        <w:rPr>
          <w:rFonts w:ascii="Calibri" w:hAnsi="Calibri" w:cs="Calibri"/>
          <w:sz w:val="24"/>
          <w:szCs w:val="24"/>
        </w:rPr>
        <w:t>am and therein values the human experience to expand the self (T1)</w:t>
      </w:r>
      <w:r w:rsidRPr="00C8487A">
        <w:rPr>
          <w:rFonts w:ascii="Calibri" w:hAnsi="Calibri" w:cs="Calibri"/>
          <w:sz w:val="24"/>
          <w:szCs w:val="24"/>
        </w:rPr>
        <w:t xml:space="preserve">. Common to both Liz and Mo’s positionality regarding the relational in reflection </w:t>
      </w:r>
      <w:r>
        <w:rPr>
          <w:rFonts w:ascii="Calibri" w:hAnsi="Calibri" w:cs="Calibri"/>
          <w:sz w:val="24"/>
          <w:szCs w:val="24"/>
        </w:rPr>
        <w:t xml:space="preserve">is </w:t>
      </w:r>
      <w:r w:rsidRPr="00C8487A">
        <w:rPr>
          <w:rFonts w:ascii="Calibri" w:hAnsi="Calibri" w:cs="Calibri"/>
          <w:sz w:val="24"/>
          <w:szCs w:val="24"/>
        </w:rPr>
        <w:t xml:space="preserve">an ethic of care </w:t>
      </w:r>
      <w:r w:rsidR="00E93CB1">
        <w:rPr>
          <w:rFonts w:ascii="Calibri" w:hAnsi="Calibri" w:cs="Calibri"/>
          <w:sz w:val="24"/>
          <w:szCs w:val="24"/>
        </w:rPr>
        <w:t xml:space="preserve">(Noddings, 2002) </w:t>
      </w:r>
      <w:r w:rsidRPr="00C8487A">
        <w:rPr>
          <w:rFonts w:ascii="Calibri" w:hAnsi="Calibri" w:cs="Calibri"/>
          <w:sz w:val="24"/>
          <w:szCs w:val="24"/>
        </w:rPr>
        <w:t>within the collaborative reflection process. These findings affirm that collaborative reflection with others engenders a sense of empowerment (Ryan and Deci, 2019) and communal growth</w:t>
      </w:r>
      <w:r>
        <w:rPr>
          <w:rFonts w:ascii="Calibri" w:hAnsi="Calibri" w:cs="Calibri"/>
          <w:sz w:val="24"/>
          <w:szCs w:val="24"/>
        </w:rPr>
        <w:t xml:space="preserve"> (Freire, 1970)</w:t>
      </w:r>
      <w:r w:rsidRPr="00C8487A">
        <w:rPr>
          <w:rFonts w:ascii="Calibri" w:hAnsi="Calibri" w:cs="Calibri"/>
          <w:sz w:val="24"/>
          <w:szCs w:val="24"/>
        </w:rPr>
        <w:t xml:space="preserve"> both of which are strong predictors of well-being (Bauer </w:t>
      </w:r>
      <w:r w:rsidR="00FB3A6E" w:rsidRPr="00FB3A6E">
        <w:rPr>
          <w:rFonts w:ascii="Calibri" w:hAnsi="Calibri" w:cs="Calibri"/>
          <w:i/>
          <w:sz w:val="24"/>
          <w:szCs w:val="24"/>
        </w:rPr>
        <w:t>et al.</w:t>
      </w:r>
      <w:r w:rsidRPr="00C8487A">
        <w:rPr>
          <w:rFonts w:ascii="Calibri" w:hAnsi="Calibri" w:cs="Calibri"/>
          <w:sz w:val="24"/>
          <w:szCs w:val="24"/>
        </w:rPr>
        <w:t xml:space="preserve">, 2008). </w:t>
      </w:r>
    </w:p>
    <w:p w14:paraId="06965051" w14:textId="43231F30" w:rsidR="00BF61A6" w:rsidRPr="008278A6" w:rsidRDefault="00BF61A6" w:rsidP="00B34100">
      <w:pPr>
        <w:spacing w:line="360" w:lineRule="auto"/>
        <w:rPr>
          <w:rFonts w:ascii="Calibri" w:hAnsi="Calibri" w:cs="Calibri"/>
          <w:sz w:val="24"/>
          <w:szCs w:val="24"/>
        </w:rPr>
      </w:pPr>
      <w:r w:rsidRPr="00C8487A">
        <w:rPr>
          <w:rFonts w:ascii="Calibri" w:hAnsi="Calibri" w:cs="Calibri"/>
          <w:sz w:val="24"/>
          <w:szCs w:val="24"/>
        </w:rPr>
        <w:t xml:space="preserve">From the individual findings there were certain attributes and features that all participants embodied when engaging in reflective practice: they cared. According to Noddings (2002) seeing care through a relational lens “pushes us to look not only at moral agents but also at the recipients of their acts and the conditions under which the parties interact” (p.14). Although </w:t>
      </w:r>
      <w:r>
        <w:rPr>
          <w:rFonts w:ascii="Calibri" w:hAnsi="Calibri" w:cs="Calibri"/>
          <w:sz w:val="24"/>
          <w:szCs w:val="24"/>
        </w:rPr>
        <w:t xml:space="preserve">only </w:t>
      </w:r>
      <w:r w:rsidRPr="00C8487A">
        <w:rPr>
          <w:rFonts w:ascii="Calibri" w:hAnsi="Calibri" w:cs="Calibri"/>
          <w:sz w:val="24"/>
          <w:szCs w:val="24"/>
        </w:rPr>
        <w:t xml:space="preserve">explicitly stated </w:t>
      </w:r>
      <w:r w:rsidR="00DA7CB2">
        <w:rPr>
          <w:rFonts w:ascii="Calibri" w:hAnsi="Calibri" w:cs="Calibri"/>
          <w:sz w:val="24"/>
          <w:szCs w:val="24"/>
        </w:rPr>
        <w:t xml:space="preserve">by </w:t>
      </w:r>
      <w:r>
        <w:rPr>
          <w:rFonts w:ascii="Calibri" w:hAnsi="Calibri" w:cs="Calibri"/>
          <w:sz w:val="24"/>
          <w:szCs w:val="24"/>
        </w:rPr>
        <w:t>one participant who highlighted the importance of the “</w:t>
      </w:r>
      <w:r w:rsidRPr="00C93592">
        <w:rPr>
          <w:rFonts w:ascii="Calibri" w:hAnsi="Calibri" w:cs="Calibri"/>
          <w:i/>
          <w:iCs/>
          <w:sz w:val="24"/>
          <w:szCs w:val="24"/>
        </w:rPr>
        <w:t>moral side</w:t>
      </w:r>
      <w:r>
        <w:rPr>
          <w:rFonts w:ascii="Calibri" w:hAnsi="Calibri" w:cs="Calibri"/>
          <w:sz w:val="24"/>
          <w:szCs w:val="24"/>
        </w:rPr>
        <w:t>” of the teaching role (Mo, T1, p.2)</w:t>
      </w:r>
      <w:r w:rsidRPr="00C8487A">
        <w:rPr>
          <w:rFonts w:ascii="Calibri" w:hAnsi="Calibri" w:cs="Calibri"/>
          <w:sz w:val="24"/>
          <w:szCs w:val="24"/>
        </w:rPr>
        <w:t xml:space="preserve">, implicitly all of the participants viewed themselves as moral agents of their students, and utilised reflection to practice fidelity to the profession. Reflection </w:t>
      </w:r>
      <w:r>
        <w:rPr>
          <w:rFonts w:ascii="Calibri" w:hAnsi="Calibri" w:cs="Calibri"/>
          <w:sz w:val="24"/>
          <w:szCs w:val="24"/>
        </w:rPr>
        <w:t xml:space="preserve">was seen by all to foster </w:t>
      </w:r>
      <w:r w:rsidRPr="00C8487A">
        <w:rPr>
          <w:rFonts w:ascii="Calibri" w:hAnsi="Calibri" w:cs="Calibri"/>
          <w:sz w:val="24"/>
          <w:szCs w:val="24"/>
        </w:rPr>
        <w:t>relationships between teachers, their colleagues, their students and the learning experience</w:t>
      </w:r>
      <w:r>
        <w:rPr>
          <w:rFonts w:ascii="Calibri" w:hAnsi="Calibri" w:cs="Calibri"/>
          <w:sz w:val="24"/>
          <w:szCs w:val="24"/>
        </w:rPr>
        <w:t>. T</w:t>
      </w:r>
      <w:r w:rsidRPr="00C8487A">
        <w:rPr>
          <w:rFonts w:ascii="Calibri" w:hAnsi="Calibri" w:cs="Calibri"/>
          <w:sz w:val="24"/>
          <w:szCs w:val="24"/>
        </w:rPr>
        <w:t>he</w:t>
      </w:r>
      <w:r>
        <w:rPr>
          <w:rFonts w:ascii="Calibri" w:hAnsi="Calibri" w:cs="Calibri"/>
          <w:sz w:val="24"/>
          <w:szCs w:val="24"/>
        </w:rPr>
        <w:t xml:space="preserve"> findings highlight that</w:t>
      </w:r>
      <w:r w:rsidRPr="00C8487A">
        <w:rPr>
          <w:rFonts w:ascii="Calibri" w:hAnsi="Calibri" w:cs="Calibri"/>
          <w:sz w:val="24"/>
          <w:szCs w:val="24"/>
        </w:rPr>
        <w:t xml:space="preserve"> conditions and features of the environment are important to consider.</w:t>
      </w:r>
    </w:p>
    <w:p w14:paraId="4F93D49E" w14:textId="1C9CF3F5" w:rsidR="00BF61A6" w:rsidRDefault="00BF61A6" w:rsidP="00B34100">
      <w:pPr>
        <w:spacing w:line="360" w:lineRule="auto"/>
        <w:rPr>
          <w:rFonts w:ascii="Calibri" w:hAnsi="Calibri" w:cs="Calibri"/>
          <w:sz w:val="24"/>
          <w:szCs w:val="24"/>
        </w:rPr>
      </w:pPr>
      <w:r w:rsidRPr="00B25E78">
        <w:rPr>
          <w:rFonts w:ascii="Calibri" w:hAnsi="Calibri" w:cs="Calibri"/>
          <w:sz w:val="24"/>
          <w:szCs w:val="24"/>
        </w:rPr>
        <w:t>There was a mixture of time scales and continuity of reflection</w:t>
      </w:r>
      <w:r>
        <w:rPr>
          <w:rFonts w:ascii="Calibri" w:hAnsi="Calibri" w:cs="Calibri"/>
          <w:sz w:val="24"/>
          <w:szCs w:val="24"/>
        </w:rPr>
        <w:t>.</w:t>
      </w:r>
      <w:r w:rsidRPr="00B25E78">
        <w:rPr>
          <w:rFonts w:ascii="Calibri" w:hAnsi="Calibri" w:cs="Calibri"/>
          <w:sz w:val="24"/>
          <w:szCs w:val="24"/>
        </w:rPr>
        <w:t xml:space="preserve"> </w:t>
      </w:r>
      <w:r>
        <w:rPr>
          <w:rFonts w:ascii="Calibri" w:hAnsi="Calibri" w:cs="Calibri"/>
          <w:sz w:val="24"/>
          <w:szCs w:val="24"/>
        </w:rPr>
        <w:t>P</w:t>
      </w:r>
      <w:r w:rsidRPr="00B25E78">
        <w:rPr>
          <w:rFonts w:ascii="Calibri" w:hAnsi="Calibri" w:cs="Calibri"/>
          <w:sz w:val="24"/>
          <w:szCs w:val="24"/>
        </w:rPr>
        <w:t>articipants sometimes reflect</w:t>
      </w:r>
      <w:r>
        <w:rPr>
          <w:rFonts w:ascii="Calibri" w:hAnsi="Calibri" w:cs="Calibri"/>
          <w:sz w:val="24"/>
          <w:szCs w:val="24"/>
        </w:rPr>
        <w:t>ed in “</w:t>
      </w:r>
      <w:r w:rsidRPr="00C93592">
        <w:rPr>
          <w:rFonts w:ascii="Calibri" w:hAnsi="Calibri" w:cs="Calibri"/>
          <w:i/>
          <w:iCs/>
          <w:sz w:val="24"/>
          <w:szCs w:val="24"/>
        </w:rPr>
        <w:t>watercooler conversations</w:t>
      </w:r>
      <w:r>
        <w:rPr>
          <w:rFonts w:ascii="Calibri" w:hAnsi="Calibri" w:cs="Calibri"/>
          <w:sz w:val="24"/>
          <w:szCs w:val="24"/>
        </w:rPr>
        <w:t>”</w:t>
      </w:r>
      <w:r w:rsidRPr="00B25E78">
        <w:rPr>
          <w:rFonts w:ascii="Calibri" w:hAnsi="Calibri" w:cs="Calibri"/>
          <w:sz w:val="24"/>
          <w:szCs w:val="24"/>
        </w:rPr>
        <w:t xml:space="preserve"> (Liz</w:t>
      </w:r>
      <w:r>
        <w:rPr>
          <w:rFonts w:ascii="Calibri" w:hAnsi="Calibri" w:cs="Calibri"/>
          <w:sz w:val="24"/>
          <w:szCs w:val="24"/>
        </w:rPr>
        <w:t xml:space="preserve">, T1, p. 9, par 16), moments that </w:t>
      </w:r>
      <w:r w:rsidRPr="00B25E78">
        <w:rPr>
          <w:rFonts w:ascii="Calibri" w:hAnsi="Calibri" w:cs="Calibri"/>
          <w:sz w:val="24"/>
          <w:szCs w:val="24"/>
        </w:rPr>
        <w:t xml:space="preserve">were reactive as opposed to proactive. Reflection is key to well-being (Ryan </w:t>
      </w:r>
      <w:r w:rsidRPr="00AD2B7D">
        <w:rPr>
          <w:rFonts w:ascii="Calibri" w:hAnsi="Calibri" w:cs="Calibri"/>
          <w:i/>
          <w:iCs/>
          <w:sz w:val="24"/>
          <w:szCs w:val="24"/>
        </w:rPr>
        <w:t>et al</w:t>
      </w:r>
      <w:r w:rsidR="00AD2B7D">
        <w:rPr>
          <w:rFonts w:ascii="Calibri" w:hAnsi="Calibri" w:cs="Calibri"/>
          <w:i/>
          <w:iCs/>
          <w:sz w:val="24"/>
          <w:szCs w:val="24"/>
        </w:rPr>
        <w:t>.</w:t>
      </w:r>
      <w:r w:rsidRPr="00AD2B7D">
        <w:rPr>
          <w:rFonts w:ascii="Calibri" w:hAnsi="Calibri" w:cs="Calibri"/>
          <w:i/>
          <w:iCs/>
          <w:sz w:val="24"/>
          <w:szCs w:val="24"/>
        </w:rPr>
        <w:t>,</w:t>
      </w:r>
      <w:r w:rsidRPr="00B25E78">
        <w:rPr>
          <w:rFonts w:ascii="Calibri" w:hAnsi="Calibri" w:cs="Calibri"/>
          <w:sz w:val="24"/>
          <w:szCs w:val="24"/>
        </w:rPr>
        <w:t xml:space="preserve"> 2008) and the immediacy of these </w:t>
      </w:r>
      <w:r>
        <w:rPr>
          <w:rFonts w:ascii="Calibri" w:hAnsi="Calibri" w:cs="Calibri"/>
          <w:sz w:val="24"/>
          <w:szCs w:val="24"/>
        </w:rPr>
        <w:t xml:space="preserve">snatched </w:t>
      </w:r>
      <w:r w:rsidRPr="00B25E78">
        <w:rPr>
          <w:rFonts w:ascii="Calibri" w:hAnsi="Calibri" w:cs="Calibri"/>
          <w:sz w:val="24"/>
          <w:szCs w:val="24"/>
        </w:rPr>
        <w:t xml:space="preserve">conversations did not detract from their efficacy in attending to well-being in the moment. </w:t>
      </w:r>
      <w:r w:rsidRPr="00202307">
        <w:rPr>
          <w:rFonts w:ascii="Calibri" w:hAnsi="Calibri" w:cs="Calibri"/>
          <w:sz w:val="24"/>
          <w:szCs w:val="24"/>
        </w:rPr>
        <w:t xml:space="preserve">Laura, Sophie, Mo and Sally </w:t>
      </w:r>
      <w:r>
        <w:rPr>
          <w:rFonts w:ascii="Calibri" w:hAnsi="Calibri" w:cs="Calibri"/>
          <w:sz w:val="24"/>
          <w:szCs w:val="24"/>
        </w:rPr>
        <w:t xml:space="preserve">(T1) </w:t>
      </w:r>
      <w:r w:rsidRPr="00202307">
        <w:rPr>
          <w:rFonts w:ascii="Calibri" w:hAnsi="Calibri" w:cs="Calibri"/>
          <w:sz w:val="24"/>
          <w:szCs w:val="24"/>
        </w:rPr>
        <w:t xml:space="preserve">engaged in reflective practice as a continuum, and it is worthy of note that </w:t>
      </w:r>
      <w:r>
        <w:rPr>
          <w:rFonts w:ascii="Calibri" w:hAnsi="Calibri" w:cs="Calibri"/>
          <w:sz w:val="24"/>
          <w:szCs w:val="24"/>
        </w:rPr>
        <w:t xml:space="preserve">they all </w:t>
      </w:r>
      <w:r w:rsidRPr="00202307">
        <w:rPr>
          <w:rFonts w:ascii="Calibri" w:hAnsi="Calibri" w:cs="Calibri"/>
          <w:sz w:val="24"/>
          <w:szCs w:val="24"/>
        </w:rPr>
        <w:t>came from professional health and social care background</w:t>
      </w:r>
      <w:r>
        <w:rPr>
          <w:rFonts w:ascii="Calibri" w:hAnsi="Calibri" w:cs="Calibri"/>
          <w:sz w:val="24"/>
          <w:szCs w:val="24"/>
        </w:rPr>
        <w:t>s</w:t>
      </w:r>
      <w:r w:rsidRPr="00202307">
        <w:rPr>
          <w:rFonts w:ascii="Calibri" w:hAnsi="Calibri" w:cs="Calibri"/>
          <w:sz w:val="24"/>
          <w:szCs w:val="24"/>
        </w:rPr>
        <w:t xml:space="preserve"> where reflection was embedded as a professional requirement. All participants had a network of support, and they knew who they could trust to hold them which can be described as </w:t>
      </w:r>
      <w:r>
        <w:rPr>
          <w:rFonts w:ascii="Calibri" w:hAnsi="Calibri" w:cs="Calibri"/>
          <w:sz w:val="24"/>
          <w:szCs w:val="24"/>
        </w:rPr>
        <w:t>“</w:t>
      </w:r>
      <w:r w:rsidRPr="00202307">
        <w:rPr>
          <w:rFonts w:ascii="Calibri" w:hAnsi="Calibri" w:cs="Calibri"/>
          <w:sz w:val="24"/>
          <w:szCs w:val="24"/>
        </w:rPr>
        <w:t>knowing</w:t>
      </w:r>
      <w:r>
        <w:rPr>
          <w:rFonts w:ascii="Calibri" w:hAnsi="Calibri" w:cs="Calibri"/>
          <w:sz w:val="24"/>
          <w:szCs w:val="24"/>
        </w:rPr>
        <w:t xml:space="preserve"> </w:t>
      </w:r>
      <w:r w:rsidRPr="00202307">
        <w:rPr>
          <w:rFonts w:ascii="Calibri" w:hAnsi="Calibri" w:cs="Calibri"/>
          <w:sz w:val="24"/>
          <w:szCs w:val="24"/>
        </w:rPr>
        <w:t>the code” (Lofthouse, 2021).</w:t>
      </w:r>
    </w:p>
    <w:p w14:paraId="75509D24" w14:textId="3B0BE3DD" w:rsidR="00BF61A6" w:rsidRDefault="00BF61A6" w:rsidP="00B34100">
      <w:pPr>
        <w:spacing w:line="360" w:lineRule="auto"/>
        <w:rPr>
          <w:rFonts w:ascii="Calibri" w:hAnsi="Calibri" w:cs="Calibri"/>
          <w:sz w:val="24"/>
          <w:szCs w:val="24"/>
        </w:rPr>
      </w:pPr>
      <w:r>
        <w:rPr>
          <w:rFonts w:ascii="Calibri" w:hAnsi="Calibri" w:cs="Calibri"/>
          <w:sz w:val="24"/>
          <w:szCs w:val="24"/>
        </w:rPr>
        <w:t>Although not named by participants directly, the conditions within their trusted circles created p</w:t>
      </w:r>
      <w:r w:rsidRPr="00DF0165">
        <w:rPr>
          <w:rFonts w:ascii="Calibri" w:hAnsi="Calibri" w:cs="Calibri"/>
          <w:sz w:val="24"/>
          <w:szCs w:val="24"/>
        </w:rPr>
        <w:t>sychological safety</w:t>
      </w:r>
      <w:r>
        <w:rPr>
          <w:rFonts w:ascii="Calibri" w:hAnsi="Calibri" w:cs="Calibri"/>
          <w:sz w:val="24"/>
          <w:szCs w:val="24"/>
        </w:rPr>
        <w:t xml:space="preserve"> </w:t>
      </w:r>
      <w:r w:rsidRPr="00EF62DD">
        <w:rPr>
          <w:rFonts w:ascii="Calibri" w:hAnsi="Calibri" w:cs="Calibri"/>
          <w:sz w:val="24"/>
          <w:szCs w:val="24"/>
        </w:rPr>
        <w:t xml:space="preserve">(Edmondson, 2019; West, 2021) </w:t>
      </w:r>
      <w:r>
        <w:rPr>
          <w:rFonts w:ascii="Calibri" w:hAnsi="Calibri" w:cs="Calibri"/>
          <w:sz w:val="24"/>
          <w:szCs w:val="24"/>
        </w:rPr>
        <w:t>for its members.</w:t>
      </w:r>
      <w:r w:rsidRPr="00DF0165">
        <w:rPr>
          <w:rFonts w:ascii="Calibri" w:hAnsi="Calibri" w:cs="Calibri"/>
          <w:sz w:val="24"/>
          <w:szCs w:val="24"/>
        </w:rPr>
        <w:t xml:space="preserve"> </w:t>
      </w:r>
      <w:r>
        <w:rPr>
          <w:rFonts w:ascii="Calibri" w:hAnsi="Calibri" w:cs="Calibri"/>
          <w:sz w:val="24"/>
          <w:szCs w:val="24"/>
        </w:rPr>
        <w:t xml:space="preserve">Psychologically safe conditions allow </w:t>
      </w:r>
      <w:r w:rsidRPr="00DF0165">
        <w:rPr>
          <w:rFonts w:ascii="Calibri" w:hAnsi="Calibri" w:cs="Calibri"/>
          <w:sz w:val="24"/>
          <w:szCs w:val="24"/>
        </w:rPr>
        <w:t xml:space="preserve">people </w:t>
      </w:r>
      <w:r>
        <w:rPr>
          <w:rFonts w:ascii="Calibri" w:hAnsi="Calibri" w:cs="Calibri"/>
          <w:sz w:val="24"/>
          <w:szCs w:val="24"/>
        </w:rPr>
        <w:t xml:space="preserve">to </w:t>
      </w:r>
      <w:r w:rsidRPr="00DF0165">
        <w:rPr>
          <w:rFonts w:ascii="Calibri" w:hAnsi="Calibri" w:cs="Calibri"/>
          <w:sz w:val="24"/>
          <w:szCs w:val="24"/>
        </w:rPr>
        <w:t>feel included, to voice concerns, and to challenge habitual practice</w:t>
      </w:r>
      <w:r>
        <w:rPr>
          <w:rFonts w:ascii="Calibri" w:hAnsi="Calibri" w:cs="Calibri"/>
          <w:sz w:val="24"/>
          <w:szCs w:val="24"/>
        </w:rPr>
        <w:t xml:space="preserve"> </w:t>
      </w:r>
      <w:r w:rsidRPr="00DF0165">
        <w:rPr>
          <w:rFonts w:ascii="Calibri" w:hAnsi="Calibri" w:cs="Calibri"/>
          <w:sz w:val="24"/>
          <w:szCs w:val="24"/>
        </w:rPr>
        <w:t xml:space="preserve">(Clarke, 2020). </w:t>
      </w:r>
      <w:r w:rsidRPr="00604B74">
        <w:rPr>
          <w:rFonts w:ascii="Calibri" w:hAnsi="Calibri" w:cs="Calibri"/>
          <w:sz w:val="24"/>
          <w:szCs w:val="24"/>
        </w:rPr>
        <w:t>Sharing in a trusted circle</w:t>
      </w:r>
      <w:r>
        <w:rPr>
          <w:rFonts w:ascii="Calibri" w:hAnsi="Calibri" w:cs="Calibri"/>
          <w:sz w:val="24"/>
          <w:szCs w:val="24"/>
        </w:rPr>
        <w:t xml:space="preserve"> was an intuitive choice for participants and was</w:t>
      </w:r>
      <w:r w:rsidRPr="00604B74">
        <w:rPr>
          <w:rFonts w:ascii="Calibri" w:hAnsi="Calibri" w:cs="Calibri"/>
          <w:i/>
          <w:iCs/>
          <w:sz w:val="24"/>
          <w:szCs w:val="24"/>
        </w:rPr>
        <w:t xml:space="preserve"> </w:t>
      </w:r>
      <w:r w:rsidRPr="00604B74">
        <w:rPr>
          <w:rFonts w:ascii="Calibri" w:hAnsi="Calibri" w:cs="Calibri"/>
          <w:sz w:val="24"/>
          <w:szCs w:val="24"/>
        </w:rPr>
        <w:t>their form of informal holding</w:t>
      </w:r>
      <w:r>
        <w:rPr>
          <w:rFonts w:ascii="Calibri" w:hAnsi="Calibri" w:cs="Calibri"/>
          <w:sz w:val="24"/>
          <w:szCs w:val="24"/>
        </w:rPr>
        <w:t>.</w:t>
      </w:r>
      <w:r w:rsidRPr="00CD7AC0">
        <w:rPr>
          <w:rFonts w:ascii="Calibri" w:hAnsi="Calibri" w:cs="Calibri"/>
          <w:sz w:val="24"/>
          <w:szCs w:val="24"/>
        </w:rPr>
        <w:t xml:space="preserve"> Participants were therein engaging </w:t>
      </w:r>
      <w:r w:rsidRPr="00CD7AC0">
        <w:rPr>
          <w:rFonts w:ascii="Calibri" w:hAnsi="Calibri" w:cs="Calibri"/>
          <w:sz w:val="24"/>
          <w:szCs w:val="24"/>
        </w:rPr>
        <w:lastRenderedPageBreak/>
        <w:t xml:space="preserve">in peer supervision </w:t>
      </w:r>
      <w:r w:rsidRPr="00CD7AC0">
        <w:rPr>
          <w:rFonts w:ascii="Calibri" w:hAnsi="Calibri" w:cs="Calibri"/>
          <w:i/>
          <w:iCs/>
          <w:sz w:val="24"/>
          <w:szCs w:val="24"/>
        </w:rPr>
        <w:t>without knowing it</w:t>
      </w:r>
      <w:r w:rsidRPr="00CD7AC0">
        <w:rPr>
          <w:rFonts w:ascii="Calibri" w:hAnsi="Calibri" w:cs="Calibri"/>
          <w:sz w:val="24"/>
          <w:szCs w:val="24"/>
        </w:rPr>
        <w:t>.</w:t>
      </w:r>
      <w:r w:rsidRPr="00955F35">
        <w:rPr>
          <w:rFonts w:ascii="Calibri" w:hAnsi="Calibri" w:cs="Calibri"/>
          <w:sz w:val="24"/>
          <w:szCs w:val="24"/>
        </w:rPr>
        <w:t xml:space="preserve"> In summary, the trusted circle was emulating the work and holding of supervision without a formalised supervision arrangement being named. </w:t>
      </w:r>
      <w:r>
        <w:rPr>
          <w:rFonts w:ascii="Calibri" w:hAnsi="Calibri" w:cs="Calibri"/>
          <w:sz w:val="24"/>
          <w:szCs w:val="24"/>
        </w:rPr>
        <w:t>To</w:t>
      </w:r>
      <w:r w:rsidRPr="00202307">
        <w:rPr>
          <w:rFonts w:ascii="Calibri" w:hAnsi="Calibri" w:cs="Calibri"/>
          <w:sz w:val="24"/>
          <w:szCs w:val="24"/>
        </w:rPr>
        <w:t xml:space="preserve"> my knowledge </w:t>
      </w:r>
      <w:r>
        <w:rPr>
          <w:rFonts w:ascii="Calibri" w:hAnsi="Calibri" w:cs="Calibri"/>
          <w:sz w:val="24"/>
          <w:szCs w:val="24"/>
        </w:rPr>
        <w:t xml:space="preserve">a supervisory </w:t>
      </w:r>
      <w:r w:rsidRPr="00202307">
        <w:rPr>
          <w:rFonts w:ascii="Calibri" w:hAnsi="Calibri" w:cs="Calibri"/>
          <w:sz w:val="24"/>
          <w:szCs w:val="24"/>
        </w:rPr>
        <w:t>offering is n</w:t>
      </w:r>
      <w:r>
        <w:rPr>
          <w:rFonts w:ascii="Calibri" w:hAnsi="Calibri" w:cs="Calibri"/>
          <w:sz w:val="24"/>
          <w:szCs w:val="24"/>
        </w:rPr>
        <w:t>either</w:t>
      </w:r>
      <w:r w:rsidRPr="00202307">
        <w:rPr>
          <w:rFonts w:ascii="Calibri" w:hAnsi="Calibri" w:cs="Calibri"/>
          <w:sz w:val="24"/>
          <w:szCs w:val="24"/>
        </w:rPr>
        <w:t xml:space="preserve"> promoted, nor offered </w:t>
      </w:r>
      <w:r w:rsidR="00D91F50">
        <w:rPr>
          <w:rFonts w:ascii="Calibri" w:hAnsi="Calibri" w:cs="Calibri"/>
          <w:sz w:val="24"/>
          <w:szCs w:val="24"/>
        </w:rPr>
        <w:t>to</w:t>
      </w:r>
      <w:r w:rsidRPr="00202307">
        <w:rPr>
          <w:rFonts w:ascii="Calibri" w:hAnsi="Calibri" w:cs="Calibri"/>
          <w:sz w:val="24"/>
          <w:szCs w:val="24"/>
        </w:rPr>
        <w:t xml:space="preserve"> HE teachers</w:t>
      </w:r>
      <w:r>
        <w:rPr>
          <w:rFonts w:ascii="Calibri" w:hAnsi="Calibri" w:cs="Calibri"/>
          <w:sz w:val="24"/>
          <w:szCs w:val="24"/>
        </w:rPr>
        <w:t xml:space="preserve"> and the findings prompt the consideration of supervision, or peer supervision as a holding mechanism.</w:t>
      </w:r>
    </w:p>
    <w:p w14:paraId="092F9BF3" w14:textId="0F649481" w:rsidR="00EF62C1" w:rsidRPr="00EF62C1" w:rsidRDefault="00EF62C1" w:rsidP="00B34100">
      <w:pPr>
        <w:spacing w:line="360" w:lineRule="auto"/>
        <w:rPr>
          <w:rFonts w:ascii="Calibri" w:hAnsi="Calibri" w:cs="Calibri"/>
          <w:b/>
          <w:bCs/>
          <w:sz w:val="24"/>
          <w:szCs w:val="24"/>
        </w:rPr>
      </w:pPr>
      <w:r w:rsidRPr="00EF62C1">
        <w:rPr>
          <w:rFonts w:ascii="Calibri" w:hAnsi="Calibri" w:cs="Calibri"/>
          <w:b/>
          <w:bCs/>
          <w:sz w:val="24"/>
          <w:szCs w:val="24"/>
        </w:rPr>
        <w:t>Gathering</w:t>
      </w:r>
    </w:p>
    <w:p w14:paraId="30A975ED" w14:textId="26D49D9C" w:rsidR="00BF61A6" w:rsidRDefault="00BF61A6" w:rsidP="00B34100">
      <w:pPr>
        <w:spacing w:line="360" w:lineRule="auto"/>
        <w:rPr>
          <w:rFonts w:ascii="Calibri" w:hAnsi="Calibri" w:cs="Calibri"/>
          <w:sz w:val="24"/>
          <w:szCs w:val="24"/>
        </w:rPr>
      </w:pPr>
      <w:r w:rsidRPr="00A80CD7">
        <w:rPr>
          <w:rFonts w:ascii="Calibri" w:hAnsi="Calibri" w:cs="Calibri"/>
          <w:sz w:val="24"/>
          <w:szCs w:val="24"/>
        </w:rPr>
        <w:t>The part Winnicott could play in the scaffolding of emotional awareness, well-being and resilience is very simple, but as most of the participants affirmed, effective as part of the anchoring</w:t>
      </w:r>
      <w:r w:rsidR="001D65CF">
        <w:rPr>
          <w:rFonts w:ascii="Calibri" w:hAnsi="Calibri" w:cs="Calibri"/>
          <w:sz w:val="24"/>
          <w:szCs w:val="24"/>
        </w:rPr>
        <w:t xml:space="preserve"> of support</w:t>
      </w:r>
      <w:r w:rsidRPr="00A80CD7">
        <w:rPr>
          <w:rFonts w:ascii="Calibri" w:hAnsi="Calibri" w:cs="Calibri"/>
          <w:sz w:val="24"/>
          <w:szCs w:val="24"/>
        </w:rPr>
        <w:t>.</w:t>
      </w:r>
      <w:r w:rsidRPr="00B039D1">
        <w:rPr>
          <w:rFonts w:ascii="Calibri" w:hAnsi="Calibri" w:cs="Calibri"/>
          <w:sz w:val="24"/>
          <w:szCs w:val="24"/>
        </w:rPr>
        <w:t xml:space="preserve"> The pause between the first and second interviews allowed for the </w:t>
      </w:r>
      <w:r>
        <w:rPr>
          <w:rFonts w:ascii="Calibri" w:hAnsi="Calibri" w:cs="Calibri"/>
          <w:sz w:val="24"/>
          <w:szCs w:val="24"/>
        </w:rPr>
        <w:t xml:space="preserve">Winnicottian </w:t>
      </w:r>
      <w:r w:rsidRPr="00B039D1">
        <w:rPr>
          <w:rFonts w:ascii="Calibri" w:hAnsi="Calibri" w:cs="Calibri"/>
          <w:sz w:val="24"/>
          <w:szCs w:val="24"/>
        </w:rPr>
        <w:t>models</w:t>
      </w:r>
      <w:r>
        <w:rPr>
          <w:rFonts w:ascii="Calibri" w:hAnsi="Calibri" w:cs="Calibri"/>
          <w:sz w:val="24"/>
          <w:szCs w:val="24"/>
        </w:rPr>
        <w:t xml:space="preserve"> (Appendix </w:t>
      </w:r>
      <w:r w:rsidR="002D069E">
        <w:rPr>
          <w:rFonts w:ascii="Calibri" w:hAnsi="Calibri" w:cs="Calibri"/>
          <w:sz w:val="24"/>
          <w:szCs w:val="24"/>
        </w:rPr>
        <w:t>H</w:t>
      </w:r>
      <w:r>
        <w:rPr>
          <w:rFonts w:ascii="Calibri" w:hAnsi="Calibri" w:cs="Calibri"/>
          <w:sz w:val="24"/>
          <w:szCs w:val="24"/>
        </w:rPr>
        <w:t>)</w:t>
      </w:r>
      <w:r w:rsidRPr="00B039D1">
        <w:rPr>
          <w:rFonts w:ascii="Calibri" w:hAnsi="Calibri" w:cs="Calibri"/>
          <w:sz w:val="24"/>
          <w:szCs w:val="24"/>
        </w:rPr>
        <w:t xml:space="preserve"> to become a canvas</w:t>
      </w:r>
      <w:r>
        <w:rPr>
          <w:rFonts w:ascii="Calibri" w:hAnsi="Calibri" w:cs="Calibri"/>
          <w:sz w:val="24"/>
          <w:szCs w:val="24"/>
        </w:rPr>
        <w:t xml:space="preserve"> and </w:t>
      </w:r>
      <w:r w:rsidRPr="00B039D1">
        <w:rPr>
          <w:rFonts w:ascii="Calibri" w:hAnsi="Calibri" w:cs="Calibri"/>
          <w:sz w:val="24"/>
          <w:szCs w:val="24"/>
        </w:rPr>
        <w:t>prompted discussion about the addition of new colours, thoughts, ideas and suggestions about who</w:t>
      </w:r>
      <w:r w:rsidR="00CB61AA">
        <w:rPr>
          <w:rFonts w:ascii="Calibri" w:hAnsi="Calibri" w:cs="Calibri"/>
          <w:sz w:val="24"/>
          <w:szCs w:val="24"/>
        </w:rPr>
        <w:t>,</w:t>
      </w:r>
      <w:r w:rsidRPr="00B039D1">
        <w:rPr>
          <w:rFonts w:ascii="Calibri" w:hAnsi="Calibri" w:cs="Calibri"/>
          <w:sz w:val="24"/>
          <w:szCs w:val="24"/>
        </w:rPr>
        <w:t xml:space="preserve"> and what supports HE </w:t>
      </w:r>
      <w:r>
        <w:rPr>
          <w:rFonts w:ascii="Calibri" w:hAnsi="Calibri" w:cs="Calibri"/>
          <w:sz w:val="24"/>
          <w:szCs w:val="24"/>
        </w:rPr>
        <w:t>teachers</w:t>
      </w:r>
      <w:r w:rsidRPr="00B039D1">
        <w:rPr>
          <w:rFonts w:ascii="Calibri" w:hAnsi="Calibri" w:cs="Calibri"/>
          <w:sz w:val="24"/>
          <w:szCs w:val="24"/>
        </w:rPr>
        <w:t xml:space="preserve"> </w:t>
      </w:r>
      <w:r>
        <w:rPr>
          <w:rFonts w:ascii="Calibri" w:hAnsi="Calibri" w:cs="Calibri"/>
          <w:sz w:val="24"/>
          <w:szCs w:val="24"/>
        </w:rPr>
        <w:t>during their development</w:t>
      </w:r>
      <w:r w:rsidRPr="002F1C2C">
        <w:rPr>
          <w:rFonts w:ascii="Calibri" w:hAnsi="Calibri" w:cs="Calibri"/>
          <w:sz w:val="24"/>
          <w:szCs w:val="24"/>
        </w:rPr>
        <w:t xml:space="preserve">.  Informally this temporal pause encouraged reflections in the second interview on how to develop their own personal code of ethics, and therein personally or systemically challenge the resilience narrative that permeates universities, and systems (Ecclestone and Hayes, 2009). </w:t>
      </w:r>
    </w:p>
    <w:p w14:paraId="701DC4B6" w14:textId="77777777" w:rsidR="00BF61A6" w:rsidRPr="00542381" w:rsidRDefault="00BF61A6" w:rsidP="00B34100">
      <w:pPr>
        <w:spacing w:line="360" w:lineRule="auto"/>
        <w:rPr>
          <w:rFonts w:ascii="Calibri" w:hAnsi="Calibri" w:cs="Calibri"/>
          <w:b/>
          <w:bCs/>
          <w:sz w:val="24"/>
          <w:szCs w:val="24"/>
        </w:rPr>
      </w:pPr>
      <w:r w:rsidRPr="00542381">
        <w:rPr>
          <w:rFonts w:ascii="Calibri" w:hAnsi="Calibri" w:cs="Calibri"/>
          <w:b/>
          <w:bCs/>
          <w:sz w:val="24"/>
          <w:szCs w:val="24"/>
        </w:rPr>
        <w:t>Proposing a new framework</w:t>
      </w:r>
      <w:r>
        <w:rPr>
          <w:rFonts w:ascii="Calibri" w:hAnsi="Calibri" w:cs="Calibri"/>
          <w:b/>
          <w:bCs/>
          <w:sz w:val="24"/>
          <w:szCs w:val="24"/>
        </w:rPr>
        <w:t>: Now what?</w:t>
      </w:r>
    </w:p>
    <w:p w14:paraId="41105C20" w14:textId="0DF7928E" w:rsidR="00BF61A6" w:rsidRDefault="00BF61A6" w:rsidP="00B34100">
      <w:pPr>
        <w:spacing w:line="360" w:lineRule="auto"/>
        <w:rPr>
          <w:rFonts w:ascii="Calibri" w:hAnsi="Calibri" w:cs="Calibri"/>
          <w:sz w:val="24"/>
          <w:szCs w:val="24"/>
        </w:rPr>
      </w:pPr>
      <w:r>
        <w:rPr>
          <w:rFonts w:ascii="Calibri" w:hAnsi="Calibri" w:cs="Calibri"/>
          <w:sz w:val="24"/>
          <w:szCs w:val="24"/>
        </w:rPr>
        <w:t>During the writing of this chapter</w:t>
      </w:r>
      <w:r w:rsidRPr="00F818C9">
        <w:rPr>
          <w:rFonts w:ascii="Calibri" w:hAnsi="Calibri" w:cs="Calibri"/>
          <w:sz w:val="24"/>
          <w:szCs w:val="24"/>
        </w:rPr>
        <w:t xml:space="preserve"> </w:t>
      </w:r>
      <w:r>
        <w:rPr>
          <w:rFonts w:ascii="Calibri" w:hAnsi="Calibri" w:cs="Calibri"/>
          <w:sz w:val="24"/>
          <w:szCs w:val="24"/>
        </w:rPr>
        <w:t>a</w:t>
      </w:r>
      <w:r w:rsidRPr="00F818C9">
        <w:rPr>
          <w:rFonts w:ascii="Calibri" w:hAnsi="Calibri" w:cs="Calibri"/>
          <w:sz w:val="24"/>
          <w:szCs w:val="24"/>
        </w:rPr>
        <w:t xml:space="preserve"> trusted fellow EdD student asked a pertinent question</w:t>
      </w:r>
      <w:r>
        <w:rPr>
          <w:rFonts w:ascii="Calibri" w:hAnsi="Calibri" w:cs="Calibri"/>
          <w:sz w:val="24"/>
          <w:szCs w:val="24"/>
        </w:rPr>
        <w:t>: “</w:t>
      </w:r>
      <w:r w:rsidRPr="00C93592">
        <w:rPr>
          <w:rFonts w:ascii="Calibri" w:hAnsi="Calibri" w:cs="Calibri"/>
          <w:i/>
          <w:iCs/>
          <w:sz w:val="24"/>
          <w:szCs w:val="24"/>
        </w:rPr>
        <w:t>So where is your truffle?”</w:t>
      </w:r>
      <w:r>
        <w:rPr>
          <w:rFonts w:ascii="Calibri" w:hAnsi="Calibri" w:cs="Calibri"/>
          <w:sz w:val="24"/>
          <w:szCs w:val="24"/>
        </w:rPr>
        <w:t xml:space="preserve"> (Schultz, 2025b). The “truffle” is the holding function a supervision-type offering can offer, and features of the same. Scholars suggest that h</w:t>
      </w:r>
      <w:r w:rsidRPr="00B02AD5">
        <w:rPr>
          <w:rFonts w:ascii="Calibri" w:hAnsi="Calibri" w:cs="Calibri"/>
          <w:sz w:val="24"/>
          <w:szCs w:val="24"/>
        </w:rPr>
        <w:t>olding provided by supervision provides a personalistic approac</w:t>
      </w:r>
      <w:r w:rsidR="00CC7C50">
        <w:rPr>
          <w:rFonts w:ascii="Calibri" w:hAnsi="Calibri" w:cs="Calibri"/>
          <w:sz w:val="24"/>
          <w:szCs w:val="24"/>
        </w:rPr>
        <w:t>h</w:t>
      </w:r>
      <w:r w:rsidRPr="00B02AD5">
        <w:rPr>
          <w:rFonts w:ascii="Calibri" w:hAnsi="Calibri" w:cs="Calibri"/>
          <w:sz w:val="24"/>
          <w:szCs w:val="24"/>
        </w:rPr>
        <w:t xml:space="preserve"> </w:t>
      </w:r>
      <w:r>
        <w:rPr>
          <w:rFonts w:ascii="Calibri" w:hAnsi="Calibri" w:cs="Calibri"/>
          <w:sz w:val="24"/>
          <w:szCs w:val="24"/>
        </w:rPr>
        <w:t xml:space="preserve">that is </w:t>
      </w:r>
      <w:r w:rsidRPr="00B02AD5">
        <w:rPr>
          <w:rFonts w:ascii="Calibri" w:hAnsi="Calibri" w:cs="Calibri"/>
          <w:sz w:val="24"/>
          <w:szCs w:val="24"/>
        </w:rPr>
        <w:t>particularly relevant to teaching</w:t>
      </w:r>
      <w:r w:rsidR="00D0582A">
        <w:rPr>
          <w:rFonts w:ascii="Calibri" w:hAnsi="Calibri" w:cs="Calibri"/>
          <w:sz w:val="24"/>
          <w:szCs w:val="24"/>
        </w:rPr>
        <w:t xml:space="preserve"> </w:t>
      </w:r>
      <w:r w:rsidR="00D0582A" w:rsidRPr="00D0582A">
        <w:rPr>
          <w:rFonts w:ascii="Calibri" w:hAnsi="Calibri" w:cs="Calibri"/>
          <w:sz w:val="24"/>
          <w:szCs w:val="24"/>
        </w:rPr>
        <w:t>(Coombs, 1972; Zeichner, 1983)</w:t>
      </w:r>
      <w:r w:rsidRPr="00B02AD5">
        <w:rPr>
          <w:rFonts w:ascii="Calibri" w:hAnsi="Calibri" w:cs="Calibri"/>
          <w:sz w:val="24"/>
          <w:szCs w:val="24"/>
        </w:rPr>
        <w:t xml:space="preserve">. </w:t>
      </w:r>
      <w:r w:rsidRPr="00FA75AA">
        <w:rPr>
          <w:rFonts w:ascii="Calibri" w:hAnsi="Calibri" w:cs="Calibri"/>
          <w:sz w:val="24"/>
          <w:szCs w:val="24"/>
        </w:rPr>
        <w:t xml:space="preserve">Through the process of regular pedagogic supervision, the teacher would be held sufficiently to navigate the complexity of their own and their students’ emotions, learning and </w:t>
      </w:r>
      <w:r>
        <w:rPr>
          <w:rFonts w:ascii="Calibri" w:hAnsi="Calibri" w:cs="Calibri"/>
          <w:sz w:val="24"/>
          <w:szCs w:val="24"/>
        </w:rPr>
        <w:t xml:space="preserve">any </w:t>
      </w:r>
      <w:r w:rsidRPr="00FA75AA">
        <w:rPr>
          <w:rFonts w:ascii="Calibri" w:hAnsi="Calibri" w:cs="Calibri"/>
          <w:sz w:val="24"/>
          <w:szCs w:val="24"/>
        </w:rPr>
        <w:t>difficulties encountered.</w:t>
      </w:r>
      <w:r>
        <w:rPr>
          <w:rFonts w:ascii="Calibri" w:hAnsi="Calibri" w:cs="Calibri"/>
          <w:sz w:val="24"/>
          <w:szCs w:val="24"/>
        </w:rPr>
        <w:t xml:space="preserve"> The provision of supervision in HE education could therefore address gaps identified in reflective practice, emotional holding and professional development.</w:t>
      </w:r>
    </w:p>
    <w:p w14:paraId="00F58D8D" w14:textId="3D66618B" w:rsidR="00521C80" w:rsidRDefault="00BF61A6" w:rsidP="00CC7C50">
      <w:pPr>
        <w:spacing w:line="360" w:lineRule="auto"/>
        <w:rPr>
          <w:rFonts w:ascii="Calibri" w:hAnsi="Calibri" w:cs="Calibri"/>
          <w:sz w:val="24"/>
          <w:szCs w:val="24"/>
        </w:rPr>
      </w:pPr>
      <w:r>
        <w:rPr>
          <w:rFonts w:ascii="Calibri" w:hAnsi="Calibri" w:cs="Calibri"/>
          <w:sz w:val="24"/>
          <w:szCs w:val="24"/>
        </w:rPr>
        <w:t xml:space="preserve">Participants in this study clearly utilised their own holding frameworks that helped them navigate their teaching work successfully. From the data, some of these were formal, and some more informal as delineated in Table </w:t>
      </w:r>
      <w:r w:rsidR="002E6140">
        <w:rPr>
          <w:rFonts w:ascii="Calibri" w:hAnsi="Calibri" w:cs="Calibri"/>
          <w:sz w:val="24"/>
          <w:szCs w:val="24"/>
        </w:rPr>
        <w:t>15</w:t>
      </w:r>
      <w:r>
        <w:rPr>
          <w:rFonts w:ascii="Calibri" w:hAnsi="Calibri" w:cs="Calibri"/>
          <w:sz w:val="24"/>
          <w:szCs w:val="24"/>
        </w:rPr>
        <w:t>:</w:t>
      </w:r>
    </w:p>
    <w:p w14:paraId="4A433760" w14:textId="77777777" w:rsidR="00626618" w:rsidRPr="00626618" w:rsidRDefault="00626618" w:rsidP="00CC7C50">
      <w:pPr>
        <w:spacing w:line="360" w:lineRule="auto"/>
        <w:rPr>
          <w:rFonts w:ascii="Calibri" w:hAnsi="Calibri" w:cs="Calibri"/>
          <w:sz w:val="24"/>
          <w:szCs w:val="24"/>
        </w:rPr>
      </w:pPr>
    </w:p>
    <w:p w14:paraId="5A686F51" w14:textId="74DDAA17" w:rsidR="00BF61A6" w:rsidRPr="002E6140" w:rsidRDefault="00BF61A6" w:rsidP="00B70EF4">
      <w:pPr>
        <w:spacing w:line="360" w:lineRule="auto"/>
        <w:ind w:left="720" w:firstLine="720"/>
        <w:rPr>
          <w:rFonts w:ascii="Calibri" w:hAnsi="Calibri" w:cs="Calibri"/>
          <w:i/>
          <w:iCs/>
          <w:sz w:val="24"/>
          <w:szCs w:val="24"/>
        </w:rPr>
      </w:pPr>
      <w:r w:rsidRPr="002E6140">
        <w:rPr>
          <w:rFonts w:ascii="Calibri" w:hAnsi="Calibri" w:cs="Calibri"/>
          <w:i/>
          <w:iCs/>
          <w:sz w:val="24"/>
          <w:szCs w:val="24"/>
        </w:rPr>
        <w:lastRenderedPageBreak/>
        <w:t xml:space="preserve">Table </w:t>
      </w:r>
      <w:r w:rsidR="002E6140" w:rsidRPr="002E6140">
        <w:rPr>
          <w:rFonts w:ascii="Calibri" w:hAnsi="Calibri" w:cs="Calibri"/>
          <w:i/>
          <w:iCs/>
          <w:sz w:val="24"/>
          <w:szCs w:val="24"/>
        </w:rPr>
        <w:t>15</w:t>
      </w:r>
      <w:r w:rsidRPr="002E6140">
        <w:rPr>
          <w:rFonts w:ascii="Calibri" w:hAnsi="Calibri" w:cs="Calibri"/>
          <w:i/>
          <w:iCs/>
          <w:sz w:val="24"/>
          <w:szCs w:val="24"/>
        </w:rPr>
        <w:t xml:space="preserve">: </w:t>
      </w:r>
      <w:r w:rsidR="00626618" w:rsidRPr="002E6140">
        <w:rPr>
          <w:rFonts w:ascii="Calibri" w:hAnsi="Calibri" w:cs="Calibri"/>
          <w:i/>
          <w:iCs/>
          <w:sz w:val="24"/>
          <w:szCs w:val="24"/>
        </w:rPr>
        <w:t>Participants</w:t>
      </w:r>
      <w:r w:rsidRPr="002E6140">
        <w:rPr>
          <w:rFonts w:ascii="Calibri" w:hAnsi="Calibri" w:cs="Calibri"/>
          <w:i/>
          <w:iCs/>
          <w:sz w:val="24"/>
          <w:szCs w:val="24"/>
        </w:rPr>
        <w:t xml:space="preserve"> specified holding frameworks</w:t>
      </w:r>
    </w:p>
    <w:tbl>
      <w:tblPr>
        <w:tblStyle w:val="TableGrid"/>
        <w:tblW w:w="0" w:type="auto"/>
        <w:tblLook w:val="04A0" w:firstRow="1" w:lastRow="0" w:firstColumn="1" w:lastColumn="0" w:noHBand="0" w:noVBand="1"/>
      </w:tblPr>
      <w:tblGrid>
        <w:gridCol w:w="2263"/>
        <w:gridCol w:w="2729"/>
        <w:gridCol w:w="1807"/>
        <w:gridCol w:w="2217"/>
      </w:tblGrid>
      <w:tr w:rsidR="00BF61A6" w14:paraId="675C4C1F" w14:textId="77777777" w:rsidTr="009F3133">
        <w:tc>
          <w:tcPr>
            <w:tcW w:w="2263" w:type="dxa"/>
          </w:tcPr>
          <w:p w14:paraId="73836D7C" w14:textId="77777777" w:rsidR="00BF61A6" w:rsidRPr="00E76080" w:rsidRDefault="00BF61A6" w:rsidP="00B34100">
            <w:pPr>
              <w:spacing w:line="360" w:lineRule="auto"/>
              <w:rPr>
                <w:rFonts w:ascii="Calibri" w:hAnsi="Calibri" w:cs="Calibri"/>
                <w:b/>
                <w:bCs/>
              </w:rPr>
            </w:pPr>
            <w:r w:rsidRPr="00E76080">
              <w:rPr>
                <w:rFonts w:ascii="Calibri" w:hAnsi="Calibri" w:cs="Calibri"/>
                <w:b/>
                <w:bCs/>
              </w:rPr>
              <w:t>Name of participant</w:t>
            </w:r>
          </w:p>
        </w:tc>
        <w:tc>
          <w:tcPr>
            <w:tcW w:w="2729" w:type="dxa"/>
          </w:tcPr>
          <w:p w14:paraId="140C1FF1" w14:textId="77777777" w:rsidR="00BF61A6" w:rsidRPr="00E76080" w:rsidRDefault="00BF61A6" w:rsidP="00B34100">
            <w:pPr>
              <w:spacing w:line="360" w:lineRule="auto"/>
              <w:rPr>
                <w:rFonts w:ascii="Calibri" w:hAnsi="Calibri" w:cs="Calibri"/>
                <w:b/>
                <w:bCs/>
              </w:rPr>
            </w:pPr>
            <w:r w:rsidRPr="00E76080">
              <w:rPr>
                <w:rFonts w:ascii="Calibri" w:hAnsi="Calibri" w:cs="Calibri"/>
                <w:b/>
                <w:bCs/>
              </w:rPr>
              <w:t>Identified framework</w:t>
            </w:r>
          </w:p>
        </w:tc>
        <w:tc>
          <w:tcPr>
            <w:tcW w:w="1807" w:type="dxa"/>
          </w:tcPr>
          <w:p w14:paraId="303217A0" w14:textId="5ED37B93" w:rsidR="00BF61A6" w:rsidRPr="00E76080" w:rsidRDefault="00BF61A6" w:rsidP="00C00BB7">
            <w:pPr>
              <w:rPr>
                <w:rFonts w:ascii="Calibri" w:hAnsi="Calibri" w:cs="Calibri"/>
                <w:b/>
                <w:bCs/>
              </w:rPr>
            </w:pPr>
            <w:r w:rsidRPr="00E76080">
              <w:rPr>
                <w:rFonts w:ascii="Calibri" w:hAnsi="Calibri" w:cs="Calibri"/>
                <w:b/>
                <w:bCs/>
              </w:rPr>
              <w:t>Nature (informal</w:t>
            </w:r>
            <w:r w:rsidR="00C00BB7">
              <w:rPr>
                <w:rFonts w:ascii="Calibri" w:hAnsi="Calibri" w:cs="Calibri"/>
                <w:b/>
                <w:bCs/>
              </w:rPr>
              <w:t xml:space="preserve"> or</w:t>
            </w:r>
            <w:r w:rsidRPr="00E76080">
              <w:rPr>
                <w:rFonts w:ascii="Calibri" w:hAnsi="Calibri" w:cs="Calibri"/>
                <w:b/>
                <w:bCs/>
              </w:rPr>
              <w:t xml:space="preserve"> formal)</w:t>
            </w:r>
          </w:p>
        </w:tc>
        <w:tc>
          <w:tcPr>
            <w:tcW w:w="2217" w:type="dxa"/>
          </w:tcPr>
          <w:p w14:paraId="0CC11C03" w14:textId="77777777" w:rsidR="00BF61A6" w:rsidRPr="00E76080" w:rsidRDefault="00BF61A6" w:rsidP="00B34100">
            <w:pPr>
              <w:spacing w:line="360" w:lineRule="auto"/>
              <w:rPr>
                <w:rFonts w:ascii="Calibri" w:hAnsi="Calibri" w:cs="Calibri"/>
                <w:b/>
                <w:bCs/>
              </w:rPr>
            </w:pPr>
            <w:r w:rsidRPr="00E76080">
              <w:rPr>
                <w:rFonts w:ascii="Calibri" w:hAnsi="Calibri" w:cs="Calibri"/>
                <w:b/>
                <w:bCs/>
              </w:rPr>
              <w:t>Transcript reference</w:t>
            </w:r>
          </w:p>
        </w:tc>
      </w:tr>
      <w:tr w:rsidR="00BF61A6" w14:paraId="68FBB6DF" w14:textId="77777777" w:rsidTr="009F3133">
        <w:tc>
          <w:tcPr>
            <w:tcW w:w="2263" w:type="dxa"/>
          </w:tcPr>
          <w:p w14:paraId="5AE12178"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 xml:space="preserve">Miriam </w:t>
            </w:r>
          </w:p>
        </w:tc>
        <w:tc>
          <w:tcPr>
            <w:tcW w:w="2729" w:type="dxa"/>
          </w:tcPr>
          <w:p w14:paraId="09CDDB21" w14:textId="61EAA749" w:rsidR="00BF61A6" w:rsidRPr="00E864E0" w:rsidRDefault="00E864E0" w:rsidP="00B34100">
            <w:pPr>
              <w:spacing w:line="360" w:lineRule="auto"/>
              <w:rPr>
                <w:rFonts w:ascii="Calibri" w:hAnsi="Calibri" w:cs="Calibri"/>
                <w:i/>
                <w:iCs/>
                <w:sz w:val="20"/>
                <w:szCs w:val="20"/>
              </w:rPr>
            </w:pPr>
            <w:r>
              <w:rPr>
                <w:rFonts w:ascii="Calibri" w:hAnsi="Calibri" w:cs="Calibri"/>
                <w:i/>
                <w:iCs/>
                <w:sz w:val="20"/>
                <w:szCs w:val="20"/>
              </w:rPr>
              <w:t>“</w:t>
            </w:r>
            <w:r w:rsidR="00BF61A6" w:rsidRPr="00E864E0">
              <w:rPr>
                <w:rFonts w:ascii="Calibri" w:hAnsi="Calibri" w:cs="Calibri"/>
                <w:i/>
                <w:iCs/>
                <w:sz w:val="20"/>
                <w:szCs w:val="20"/>
              </w:rPr>
              <w:t>Quality team</w:t>
            </w:r>
            <w:r>
              <w:rPr>
                <w:rFonts w:ascii="Calibri" w:hAnsi="Calibri" w:cs="Calibri"/>
                <w:i/>
                <w:iCs/>
                <w:sz w:val="20"/>
                <w:szCs w:val="20"/>
              </w:rPr>
              <w:t>”</w:t>
            </w:r>
            <w:r w:rsidR="00BF61A6" w:rsidRPr="00E864E0">
              <w:rPr>
                <w:rFonts w:ascii="Calibri" w:hAnsi="Calibri" w:cs="Calibri"/>
                <w:i/>
                <w:iCs/>
                <w:sz w:val="20"/>
                <w:szCs w:val="20"/>
              </w:rPr>
              <w:t xml:space="preserve"> </w:t>
            </w:r>
          </w:p>
          <w:p w14:paraId="395C2EFF" w14:textId="77777777" w:rsidR="00BF61A6" w:rsidRPr="00521C80" w:rsidRDefault="00BF61A6" w:rsidP="00B34100">
            <w:pPr>
              <w:spacing w:line="360" w:lineRule="auto"/>
              <w:rPr>
                <w:rFonts w:ascii="Calibri" w:hAnsi="Calibri" w:cs="Calibri"/>
                <w:sz w:val="20"/>
                <w:szCs w:val="20"/>
              </w:rPr>
            </w:pPr>
          </w:p>
          <w:p w14:paraId="2083B458"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 xml:space="preserve">Line manager, colleagues and faith </w:t>
            </w:r>
          </w:p>
        </w:tc>
        <w:tc>
          <w:tcPr>
            <w:tcW w:w="1807" w:type="dxa"/>
          </w:tcPr>
          <w:p w14:paraId="77AA6749"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Formal (as a newly qualified teacher)</w:t>
            </w:r>
          </w:p>
          <w:p w14:paraId="5F495B1F"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08404B3A" w14:textId="77777777" w:rsidR="00BF61A6" w:rsidRDefault="00BF61A6" w:rsidP="00B34100">
            <w:pPr>
              <w:spacing w:line="360" w:lineRule="auto"/>
              <w:rPr>
                <w:rFonts w:ascii="Calibri" w:hAnsi="Calibri" w:cs="Calibri"/>
                <w:sz w:val="20"/>
                <w:szCs w:val="20"/>
              </w:rPr>
            </w:pPr>
            <w:r w:rsidRPr="00521C80">
              <w:rPr>
                <w:rFonts w:ascii="Calibri" w:hAnsi="Calibri" w:cs="Calibri"/>
                <w:sz w:val="20"/>
                <w:szCs w:val="20"/>
              </w:rPr>
              <w:t>T1, p.9</w:t>
            </w:r>
            <w:r w:rsidR="001D318C">
              <w:rPr>
                <w:rFonts w:ascii="Calibri" w:hAnsi="Calibri" w:cs="Calibri"/>
                <w:sz w:val="20"/>
                <w:szCs w:val="20"/>
              </w:rPr>
              <w:t>, par 5</w:t>
            </w:r>
          </w:p>
          <w:p w14:paraId="0853841C" w14:textId="77777777" w:rsidR="001D318C" w:rsidRDefault="001D318C" w:rsidP="00B34100">
            <w:pPr>
              <w:spacing w:line="360" w:lineRule="auto"/>
              <w:rPr>
                <w:rFonts w:ascii="Calibri" w:hAnsi="Calibri" w:cs="Calibri"/>
                <w:sz w:val="20"/>
                <w:szCs w:val="20"/>
              </w:rPr>
            </w:pPr>
          </w:p>
          <w:p w14:paraId="1C399AFE" w14:textId="7F4B6FD5" w:rsidR="001D318C" w:rsidRPr="00521C80" w:rsidRDefault="006B460B" w:rsidP="00B34100">
            <w:pPr>
              <w:spacing w:line="360" w:lineRule="auto"/>
              <w:rPr>
                <w:rFonts w:ascii="Calibri" w:hAnsi="Calibri" w:cs="Calibri"/>
                <w:sz w:val="20"/>
                <w:szCs w:val="20"/>
              </w:rPr>
            </w:pPr>
            <w:r>
              <w:rPr>
                <w:rFonts w:ascii="Calibri" w:hAnsi="Calibri" w:cs="Calibri"/>
                <w:sz w:val="20"/>
                <w:szCs w:val="20"/>
              </w:rPr>
              <w:t xml:space="preserve">T1, </w:t>
            </w:r>
            <w:r w:rsidR="005210C9">
              <w:rPr>
                <w:rFonts w:ascii="Calibri" w:hAnsi="Calibri" w:cs="Calibri"/>
                <w:sz w:val="20"/>
                <w:szCs w:val="20"/>
              </w:rPr>
              <w:t xml:space="preserve">p.9, par 8; ibid, </w:t>
            </w:r>
            <w:r w:rsidR="00CF76A9">
              <w:rPr>
                <w:rFonts w:ascii="Calibri" w:hAnsi="Calibri" w:cs="Calibri"/>
                <w:sz w:val="20"/>
                <w:szCs w:val="20"/>
              </w:rPr>
              <w:t>p.10, par 5; ibid, p.13, par 15</w:t>
            </w:r>
          </w:p>
        </w:tc>
      </w:tr>
      <w:tr w:rsidR="00BF61A6" w14:paraId="6F78DBDB" w14:textId="77777777" w:rsidTr="009F3133">
        <w:tc>
          <w:tcPr>
            <w:tcW w:w="2263" w:type="dxa"/>
          </w:tcPr>
          <w:p w14:paraId="1BA3767C"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Jenko</w:t>
            </w:r>
          </w:p>
        </w:tc>
        <w:tc>
          <w:tcPr>
            <w:tcW w:w="2729" w:type="dxa"/>
          </w:tcPr>
          <w:p w14:paraId="07CE7B65" w14:textId="53A77F88"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Wife</w:t>
            </w:r>
          </w:p>
          <w:p w14:paraId="17608EFC" w14:textId="4AD1DFE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Mentor</w:t>
            </w:r>
            <w:r w:rsidR="00FD5DE9">
              <w:rPr>
                <w:rFonts w:ascii="Calibri" w:hAnsi="Calibri" w:cs="Calibri"/>
                <w:sz w:val="20"/>
                <w:szCs w:val="20"/>
              </w:rPr>
              <w:t>/colleague</w:t>
            </w:r>
            <w:r w:rsidRPr="00521C80">
              <w:rPr>
                <w:rFonts w:ascii="Calibri" w:hAnsi="Calibri" w:cs="Calibri"/>
                <w:sz w:val="20"/>
                <w:szCs w:val="20"/>
              </w:rPr>
              <w:t xml:space="preserve"> </w:t>
            </w:r>
          </w:p>
        </w:tc>
        <w:tc>
          <w:tcPr>
            <w:tcW w:w="1807" w:type="dxa"/>
          </w:tcPr>
          <w:p w14:paraId="130B0A51" w14:textId="368CABBB"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29977801"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Formal and informal</w:t>
            </w:r>
          </w:p>
        </w:tc>
        <w:tc>
          <w:tcPr>
            <w:tcW w:w="2217" w:type="dxa"/>
          </w:tcPr>
          <w:p w14:paraId="5E110E8E" w14:textId="533EC448"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p.9</w:t>
            </w:r>
            <w:r w:rsidR="00DC6219">
              <w:rPr>
                <w:rFonts w:ascii="Calibri" w:hAnsi="Calibri" w:cs="Calibri"/>
                <w:sz w:val="20"/>
                <w:szCs w:val="20"/>
              </w:rPr>
              <w:t>, par 2</w:t>
            </w:r>
          </w:p>
          <w:p w14:paraId="4F684DAE" w14:textId="5D286CF1"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 xml:space="preserve">T1, p.9, par </w:t>
            </w:r>
            <w:r w:rsidR="00D7413C">
              <w:rPr>
                <w:rFonts w:ascii="Calibri" w:hAnsi="Calibri" w:cs="Calibri"/>
                <w:sz w:val="20"/>
                <w:szCs w:val="20"/>
              </w:rPr>
              <w:t>2</w:t>
            </w:r>
            <w:r w:rsidR="00FD5DE9">
              <w:rPr>
                <w:rFonts w:ascii="Calibri" w:hAnsi="Calibri" w:cs="Calibri"/>
                <w:sz w:val="20"/>
                <w:szCs w:val="20"/>
              </w:rPr>
              <w:t xml:space="preserve">; ibid, par </w:t>
            </w:r>
            <w:r w:rsidR="00D7413C">
              <w:rPr>
                <w:rFonts w:ascii="Calibri" w:hAnsi="Calibri" w:cs="Calibri"/>
                <w:sz w:val="20"/>
                <w:szCs w:val="20"/>
              </w:rPr>
              <w:t>6</w:t>
            </w:r>
          </w:p>
        </w:tc>
      </w:tr>
      <w:tr w:rsidR="00BF61A6" w14:paraId="2E10D559" w14:textId="77777777" w:rsidTr="009F3133">
        <w:tc>
          <w:tcPr>
            <w:tcW w:w="2263" w:type="dxa"/>
          </w:tcPr>
          <w:p w14:paraId="0A9763FD"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Mo</w:t>
            </w:r>
          </w:p>
        </w:tc>
        <w:tc>
          <w:tcPr>
            <w:tcW w:w="2729" w:type="dxa"/>
          </w:tcPr>
          <w:p w14:paraId="6CE38519" w14:textId="77777777" w:rsidR="00BF61A6" w:rsidRPr="00E864E0" w:rsidRDefault="00BF61A6" w:rsidP="00B34100">
            <w:pPr>
              <w:spacing w:line="360" w:lineRule="auto"/>
              <w:rPr>
                <w:rFonts w:ascii="Calibri" w:hAnsi="Calibri" w:cs="Calibri"/>
                <w:i/>
                <w:iCs/>
                <w:sz w:val="20"/>
                <w:szCs w:val="20"/>
              </w:rPr>
            </w:pPr>
            <w:r w:rsidRPr="00E864E0">
              <w:rPr>
                <w:rFonts w:ascii="Calibri" w:hAnsi="Calibri" w:cs="Calibri"/>
                <w:i/>
                <w:iCs/>
                <w:sz w:val="20"/>
                <w:szCs w:val="20"/>
              </w:rPr>
              <w:t>“Good colleagues”</w:t>
            </w:r>
          </w:p>
          <w:p w14:paraId="6F760604" w14:textId="77777777" w:rsidR="00BF61A6" w:rsidRPr="00521C80" w:rsidRDefault="00BF61A6" w:rsidP="00B34100">
            <w:pPr>
              <w:spacing w:line="360" w:lineRule="auto"/>
              <w:rPr>
                <w:rFonts w:ascii="Calibri" w:hAnsi="Calibri" w:cs="Calibri"/>
                <w:sz w:val="20"/>
                <w:szCs w:val="20"/>
              </w:rPr>
            </w:pPr>
            <w:r w:rsidRPr="00E864E0">
              <w:rPr>
                <w:rFonts w:ascii="Calibri" w:hAnsi="Calibri" w:cs="Calibri"/>
                <w:i/>
                <w:iCs/>
                <w:sz w:val="20"/>
                <w:szCs w:val="20"/>
              </w:rPr>
              <w:t>“Trusted colleagues”</w:t>
            </w:r>
          </w:p>
        </w:tc>
        <w:tc>
          <w:tcPr>
            <w:tcW w:w="1807" w:type="dxa"/>
          </w:tcPr>
          <w:p w14:paraId="1DD1C410"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135B4FFD"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31185CE6"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p.10, par 7</w:t>
            </w:r>
          </w:p>
          <w:p w14:paraId="0EB0C20B"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p.11, par 3</w:t>
            </w:r>
          </w:p>
        </w:tc>
      </w:tr>
      <w:tr w:rsidR="00BF61A6" w14:paraId="452CCC38" w14:textId="77777777" w:rsidTr="009F3133">
        <w:tc>
          <w:tcPr>
            <w:tcW w:w="2263" w:type="dxa"/>
          </w:tcPr>
          <w:p w14:paraId="56D57765"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Sophie</w:t>
            </w:r>
          </w:p>
        </w:tc>
        <w:tc>
          <w:tcPr>
            <w:tcW w:w="2729" w:type="dxa"/>
          </w:tcPr>
          <w:p w14:paraId="56524325"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Line manager</w:t>
            </w:r>
          </w:p>
          <w:p w14:paraId="2CE6BA09"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Peers</w:t>
            </w:r>
          </w:p>
          <w:p w14:paraId="2A7BABB6"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Husband and friends</w:t>
            </w:r>
          </w:p>
          <w:p w14:paraId="657720AF" w14:textId="42B578FB" w:rsidR="00BF61A6" w:rsidRPr="00521C80" w:rsidRDefault="00CF5AAC" w:rsidP="00B34100">
            <w:pPr>
              <w:spacing w:line="360" w:lineRule="auto"/>
              <w:rPr>
                <w:rFonts w:ascii="Calibri" w:hAnsi="Calibri" w:cs="Calibri"/>
                <w:sz w:val="20"/>
                <w:szCs w:val="20"/>
              </w:rPr>
            </w:pPr>
            <w:r>
              <w:rPr>
                <w:rFonts w:ascii="Calibri" w:hAnsi="Calibri" w:cs="Calibri"/>
                <w:sz w:val="20"/>
                <w:szCs w:val="20"/>
              </w:rPr>
              <w:t>S</w:t>
            </w:r>
            <w:r w:rsidR="00BF61A6" w:rsidRPr="00521C80">
              <w:rPr>
                <w:rFonts w:ascii="Calibri" w:hAnsi="Calibri" w:cs="Calibri"/>
                <w:sz w:val="20"/>
                <w:szCs w:val="20"/>
              </w:rPr>
              <w:t>upervisor/mentor</w:t>
            </w:r>
          </w:p>
          <w:p w14:paraId="262DC2ED"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Occupational therapist as a friend</w:t>
            </w:r>
          </w:p>
        </w:tc>
        <w:tc>
          <w:tcPr>
            <w:tcW w:w="1807" w:type="dxa"/>
          </w:tcPr>
          <w:p w14:paraId="449BC069"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Formal</w:t>
            </w:r>
          </w:p>
          <w:p w14:paraId="26314C78"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4C4F66A5"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2C28FFC6" w14:textId="1E4B588E"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Formal</w:t>
            </w:r>
          </w:p>
          <w:p w14:paraId="3BE90D92"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76BA6E2E" w14:textId="77777777" w:rsidR="00BF61A6" w:rsidRDefault="00BF61A6" w:rsidP="00B34100">
            <w:pPr>
              <w:spacing w:line="360" w:lineRule="auto"/>
              <w:rPr>
                <w:rFonts w:ascii="Calibri" w:hAnsi="Calibri" w:cs="Calibri"/>
                <w:sz w:val="20"/>
                <w:szCs w:val="20"/>
              </w:rPr>
            </w:pPr>
            <w:r w:rsidRPr="00521C80">
              <w:rPr>
                <w:rFonts w:ascii="Calibri" w:hAnsi="Calibri" w:cs="Calibri"/>
                <w:sz w:val="20"/>
                <w:szCs w:val="20"/>
              </w:rPr>
              <w:t>T1, p. 8, par 5</w:t>
            </w:r>
          </w:p>
          <w:p w14:paraId="5D7367C6" w14:textId="1E4C9204" w:rsidR="00946A02" w:rsidRPr="00521C80" w:rsidRDefault="00946A02" w:rsidP="00B34100">
            <w:pPr>
              <w:spacing w:line="360" w:lineRule="auto"/>
              <w:rPr>
                <w:rFonts w:ascii="Calibri" w:hAnsi="Calibri" w:cs="Calibri"/>
                <w:sz w:val="20"/>
                <w:szCs w:val="20"/>
              </w:rPr>
            </w:pPr>
            <w:r>
              <w:rPr>
                <w:rFonts w:ascii="Calibri" w:hAnsi="Calibri" w:cs="Calibri"/>
                <w:sz w:val="20"/>
                <w:szCs w:val="20"/>
              </w:rPr>
              <w:t>T1, p.8, par 5</w:t>
            </w:r>
          </w:p>
          <w:p w14:paraId="52BE35FE" w14:textId="10C699DA" w:rsidR="00BF61A6" w:rsidRPr="00521C80" w:rsidRDefault="00353A8D" w:rsidP="00B34100">
            <w:pPr>
              <w:spacing w:line="360" w:lineRule="auto"/>
              <w:rPr>
                <w:rFonts w:ascii="Calibri" w:hAnsi="Calibri" w:cs="Calibri"/>
                <w:sz w:val="20"/>
                <w:szCs w:val="20"/>
              </w:rPr>
            </w:pPr>
            <w:r>
              <w:rPr>
                <w:rFonts w:ascii="Calibri" w:hAnsi="Calibri" w:cs="Calibri"/>
                <w:sz w:val="20"/>
                <w:szCs w:val="20"/>
              </w:rPr>
              <w:t>T1, p.8, par 5</w:t>
            </w:r>
          </w:p>
          <w:p w14:paraId="7C995420" w14:textId="5C9BC385"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 11, par 12</w:t>
            </w:r>
          </w:p>
          <w:p w14:paraId="213D3BD3"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 9, par 18</w:t>
            </w:r>
          </w:p>
        </w:tc>
      </w:tr>
      <w:tr w:rsidR="00BF61A6" w14:paraId="281B4E4F" w14:textId="77777777" w:rsidTr="009F3133">
        <w:tc>
          <w:tcPr>
            <w:tcW w:w="2263" w:type="dxa"/>
          </w:tcPr>
          <w:p w14:paraId="62A34D85"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Liz</w:t>
            </w:r>
          </w:p>
        </w:tc>
        <w:tc>
          <w:tcPr>
            <w:tcW w:w="2729" w:type="dxa"/>
          </w:tcPr>
          <w:p w14:paraId="2DE1C49B" w14:textId="77777777" w:rsidR="00BF61A6" w:rsidRPr="00E864E0" w:rsidRDefault="00BF61A6" w:rsidP="00B34100">
            <w:pPr>
              <w:spacing w:line="360" w:lineRule="auto"/>
              <w:rPr>
                <w:rFonts w:ascii="Calibri" w:hAnsi="Calibri" w:cs="Calibri"/>
                <w:i/>
                <w:iCs/>
                <w:sz w:val="20"/>
                <w:szCs w:val="20"/>
              </w:rPr>
            </w:pPr>
            <w:r w:rsidRPr="00521C80">
              <w:rPr>
                <w:rFonts w:ascii="Calibri" w:hAnsi="Calibri" w:cs="Calibri"/>
                <w:sz w:val="20"/>
                <w:szCs w:val="20"/>
              </w:rPr>
              <w:t xml:space="preserve">Her self-selected and self-created team </w:t>
            </w:r>
            <w:r w:rsidRPr="00E864E0">
              <w:rPr>
                <w:rFonts w:ascii="Calibri" w:hAnsi="Calibri" w:cs="Calibri"/>
                <w:i/>
                <w:iCs/>
                <w:sz w:val="20"/>
                <w:szCs w:val="20"/>
              </w:rPr>
              <w:t>“the right people on the bus”</w:t>
            </w:r>
          </w:p>
          <w:p w14:paraId="49402741"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Husband</w:t>
            </w:r>
          </w:p>
        </w:tc>
        <w:tc>
          <w:tcPr>
            <w:tcW w:w="1807" w:type="dxa"/>
          </w:tcPr>
          <w:p w14:paraId="3D2EC440"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462BAAB5" w14:textId="77777777" w:rsidR="00BF61A6" w:rsidRPr="00521C80" w:rsidRDefault="00BF61A6" w:rsidP="00B34100">
            <w:pPr>
              <w:spacing w:line="360" w:lineRule="auto"/>
              <w:rPr>
                <w:rFonts w:ascii="Calibri" w:hAnsi="Calibri" w:cs="Calibri"/>
                <w:sz w:val="20"/>
                <w:szCs w:val="20"/>
              </w:rPr>
            </w:pPr>
          </w:p>
          <w:p w14:paraId="1440CB55" w14:textId="77777777" w:rsidR="00BF61A6" w:rsidRPr="00521C80" w:rsidRDefault="00BF61A6" w:rsidP="00B34100">
            <w:pPr>
              <w:spacing w:line="360" w:lineRule="auto"/>
              <w:rPr>
                <w:rFonts w:ascii="Calibri" w:hAnsi="Calibri" w:cs="Calibri"/>
                <w:sz w:val="20"/>
                <w:szCs w:val="20"/>
              </w:rPr>
            </w:pPr>
          </w:p>
          <w:p w14:paraId="14C52CBC"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6B51EC41"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 14, par 1</w:t>
            </w:r>
          </w:p>
          <w:p w14:paraId="40E17026" w14:textId="77777777" w:rsidR="00BF61A6" w:rsidRPr="00521C80" w:rsidRDefault="00BF61A6" w:rsidP="00B34100">
            <w:pPr>
              <w:spacing w:line="360" w:lineRule="auto"/>
              <w:rPr>
                <w:rFonts w:ascii="Calibri" w:hAnsi="Calibri" w:cs="Calibri"/>
                <w:sz w:val="20"/>
                <w:szCs w:val="20"/>
              </w:rPr>
            </w:pPr>
          </w:p>
          <w:p w14:paraId="2398496F" w14:textId="77777777" w:rsidR="00BF61A6" w:rsidRPr="00521C80" w:rsidRDefault="00BF61A6" w:rsidP="00B34100">
            <w:pPr>
              <w:spacing w:line="360" w:lineRule="auto"/>
              <w:rPr>
                <w:rFonts w:ascii="Calibri" w:hAnsi="Calibri" w:cs="Calibri"/>
                <w:sz w:val="20"/>
                <w:szCs w:val="20"/>
              </w:rPr>
            </w:pPr>
          </w:p>
          <w:p w14:paraId="2445E2D2"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p.14, par 1</w:t>
            </w:r>
          </w:p>
        </w:tc>
      </w:tr>
      <w:tr w:rsidR="00BF61A6" w14:paraId="2EF01C10" w14:textId="77777777" w:rsidTr="009F3133">
        <w:tc>
          <w:tcPr>
            <w:tcW w:w="2263" w:type="dxa"/>
          </w:tcPr>
          <w:p w14:paraId="3A97F322"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Laura</w:t>
            </w:r>
          </w:p>
        </w:tc>
        <w:tc>
          <w:tcPr>
            <w:tcW w:w="2729" w:type="dxa"/>
          </w:tcPr>
          <w:p w14:paraId="72572F4C"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Trusted colleagues</w:t>
            </w:r>
          </w:p>
          <w:p w14:paraId="15BE6F8C"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Partner</w:t>
            </w:r>
          </w:p>
          <w:p w14:paraId="45CA07EE"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Personal therapy</w:t>
            </w:r>
          </w:p>
        </w:tc>
        <w:tc>
          <w:tcPr>
            <w:tcW w:w="1807" w:type="dxa"/>
          </w:tcPr>
          <w:p w14:paraId="729F0688"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59CA7DC6"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48480433"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Formal</w:t>
            </w:r>
          </w:p>
        </w:tc>
        <w:tc>
          <w:tcPr>
            <w:tcW w:w="2217" w:type="dxa"/>
          </w:tcPr>
          <w:p w14:paraId="0DD5E841"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 12, par 12</w:t>
            </w:r>
          </w:p>
          <w:p w14:paraId="623BC347"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p.12, par 13</w:t>
            </w:r>
          </w:p>
          <w:p w14:paraId="29BF6771"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p.12, par 13</w:t>
            </w:r>
          </w:p>
        </w:tc>
      </w:tr>
      <w:tr w:rsidR="00BF61A6" w14:paraId="71C852D5" w14:textId="77777777" w:rsidTr="009F3133">
        <w:tc>
          <w:tcPr>
            <w:tcW w:w="2263" w:type="dxa"/>
          </w:tcPr>
          <w:p w14:paraId="4C716CA0"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Sally</w:t>
            </w:r>
          </w:p>
        </w:tc>
        <w:tc>
          <w:tcPr>
            <w:tcW w:w="2729" w:type="dxa"/>
          </w:tcPr>
          <w:p w14:paraId="366115A9"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Family, friends, work colleagues, personal boundaries</w:t>
            </w:r>
          </w:p>
        </w:tc>
        <w:tc>
          <w:tcPr>
            <w:tcW w:w="1807" w:type="dxa"/>
          </w:tcPr>
          <w:p w14:paraId="4588BE93"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2A03E080" w14:textId="6CD2FAFD"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p.9</w:t>
            </w:r>
            <w:r w:rsidR="00134A1F">
              <w:rPr>
                <w:rFonts w:ascii="Calibri" w:hAnsi="Calibri" w:cs="Calibri"/>
                <w:sz w:val="20"/>
                <w:szCs w:val="20"/>
              </w:rPr>
              <w:t>, par 1</w:t>
            </w:r>
          </w:p>
        </w:tc>
      </w:tr>
      <w:tr w:rsidR="00BF61A6" w14:paraId="3B4DBF9B" w14:textId="77777777" w:rsidTr="009F3133">
        <w:tc>
          <w:tcPr>
            <w:tcW w:w="2263" w:type="dxa"/>
          </w:tcPr>
          <w:p w14:paraId="2D1EA865"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Fred</w:t>
            </w:r>
          </w:p>
        </w:tc>
        <w:tc>
          <w:tcPr>
            <w:tcW w:w="2729" w:type="dxa"/>
          </w:tcPr>
          <w:p w14:paraId="0C2EFDA4"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w:t>
            </w:r>
            <w:r w:rsidRPr="00E864E0">
              <w:rPr>
                <w:rFonts w:ascii="Calibri" w:hAnsi="Calibri" w:cs="Calibri"/>
                <w:i/>
                <w:iCs/>
                <w:sz w:val="20"/>
                <w:szCs w:val="20"/>
              </w:rPr>
              <w:t>Emotional cat</w:t>
            </w:r>
            <w:r w:rsidRPr="00521C80">
              <w:rPr>
                <w:rFonts w:ascii="Calibri" w:hAnsi="Calibri" w:cs="Calibri"/>
                <w:sz w:val="20"/>
                <w:szCs w:val="20"/>
              </w:rPr>
              <w:t>”, wife and venting with colleagues</w:t>
            </w:r>
          </w:p>
        </w:tc>
        <w:tc>
          <w:tcPr>
            <w:tcW w:w="1807" w:type="dxa"/>
          </w:tcPr>
          <w:p w14:paraId="01C532FB"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tc>
        <w:tc>
          <w:tcPr>
            <w:tcW w:w="2217" w:type="dxa"/>
          </w:tcPr>
          <w:p w14:paraId="054175B8" w14:textId="616F4A9A"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T1, p.15</w:t>
            </w:r>
            <w:r w:rsidR="00134A1F">
              <w:rPr>
                <w:rFonts w:ascii="Calibri" w:hAnsi="Calibri" w:cs="Calibri"/>
                <w:sz w:val="20"/>
                <w:szCs w:val="20"/>
              </w:rPr>
              <w:t>, pars 7-8</w:t>
            </w:r>
          </w:p>
        </w:tc>
      </w:tr>
      <w:tr w:rsidR="00BF61A6" w14:paraId="1EDEC05D" w14:textId="77777777" w:rsidTr="009F3133">
        <w:tc>
          <w:tcPr>
            <w:tcW w:w="2263" w:type="dxa"/>
          </w:tcPr>
          <w:p w14:paraId="30BC6AC7"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Dana</w:t>
            </w:r>
          </w:p>
        </w:tc>
        <w:tc>
          <w:tcPr>
            <w:tcW w:w="2729" w:type="dxa"/>
          </w:tcPr>
          <w:p w14:paraId="475917CE"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Drawing on longstanding experience as a teacher</w:t>
            </w:r>
          </w:p>
          <w:p w14:paraId="3FF30690"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Colleagues</w:t>
            </w:r>
          </w:p>
          <w:p w14:paraId="694F9C26" w14:textId="77777777" w:rsidR="00BF61A6" w:rsidRPr="00521C80" w:rsidRDefault="00BF61A6" w:rsidP="00B34100">
            <w:pPr>
              <w:spacing w:line="360" w:lineRule="auto"/>
              <w:rPr>
                <w:rFonts w:ascii="Calibri" w:hAnsi="Calibri" w:cs="Calibri"/>
                <w:sz w:val="20"/>
                <w:szCs w:val="20"/>
              </w:rPr>
            </w:pPr>
            <w:r w:rsidRPr="00521C80">
              <w:rPr>
                <w:rFonts w:ascii="Calibri" w:hAnsi="Calibri" w:cs="Calibri"/>
                <w:sz w:val="20"/>
                <w:szCs w:val="20"/>
              </w:rPr>
              <w:t>Husband</w:t>
            </w:r>
          </w:p>
        </w:tc>
        <w:tc>
          <w:tcPr>
            <w:tcW w:w="1807" w:type="dxa"/>
          </w:tcPr>
          <w:p w14:paraId="0AA0E3B5" w14:textId="77777777" w:rsidR="00BF61A6" w:rsidRDefault="00BF61A6" w:rsidP="00B34100">
            <w:pPr>
              <w:spacing w:line="360" w:lineRule="auto"/>
              <w:rPr>
                <w:rFonts w:ascii="Calibri" w:hAnsi="Calibri" w:cs="Calibri"/>
                <w:sz w:val="20"/>
                <w:szCs w:val="20"/>
              </w:rPr>
            </w:pPr>
            <w:r w:rsidRPr="00521C80">
              <w:rPr>
                <w:rFonts w:ascii="Calibri" w:hAnsi="Calibri" w:cs="Calibri"/>
                <w:sz w:val="20"/>
                <w:szCs w:val="20"/>
              </w:rPr>
              <w:t>Informal</w:t>
            </w:r>
          </w:p>
          <w:p w14:paraId="6149A542" w14:textId="77777777" w:rsidR="00D749DA" w:rsidRDefault="00D749DA" w:rsidP="00B34100">
            <w:pPr>
              <w:spacing w:line="360" w:lineRule="auto"/>
              <w:rPr>
                <w:rFonts w:ascii="Calibri" w:hAnsi="Calibri" w:cs="Calibri"/>
                <w:sz w:val="20"/>
                <w:szCs w:val="20"/>
              </w:rPr>
            </w:pPr>
          </w:p>
          <w:p w14:paraId="255D5139" w14:textId="77777777" w:rsidR="00D749DA" w:rsidRDefault="00D749DA" w:rsidP="00B34100">
            <w:pPr>
              <w:spacing w:line="360" w:lineRule="auto"/>
              <w:rPr>
                <w:rFonts w:ascii="Calibri" w:hAnsi="Calibri" w:cs="Calibri"/>
                <w:sz w:val="20"/>
                <w:szCs w:val="20"/>
              </w:rPr>
            </w:pPr>
            <w:r>
              <w:rPr>
                <w:rFonts w:ascii="Calibri" w:hAnsi="Calibri" w:cs="Calibri"/>
                <w:sz w:val="20"/>
                <w:szCs w:val="20"/>
              </w:rPr>
              <w:t>Informal</w:t>
            </w:r>
          </w:p>
          <w:p w14:paraId="2E2655D7" w14:textId="7813732F" w:rsidR="00AF574D" w:rsidRPr="00521C80" w:rsidRDefault="00AF574D" w:rsidP="00B34100">
            <w:pPr>
              <w:spacing w:line="360" w:lineRule="auto"/>
              <w:rPr>
                <w:rFonts w:ascii="Calibri" w:hAnsi="Calibri" w:cs="Calibri"/>
                <w:sz w:val="20"/>
                <w:szCs w:val="20"/>
              </w:rPr>
            </w:pPr>
            <w:r>
              <w:rPr>
                <w:rFonts w:ascii="Calibri" w:hAnsi="Calibri" w:cs="Calibri"/>
                <w:sz w:val="20"/>
                <w:szCs w:val="20"/>
              </w:rPr>
              <w:t>Informal</w:t>
            </w:r>
          </w:p>
        </w:tc>
        <w:tc>
          <w:tcPr>
            <w:tcW w:w="2217" w:type="dxa"/>
          </w:tcPr>
          <w:p w14:paraId="3EE9239A" w14:textId="77777777" w:rsidR="00BF61A6" w:rsidRDefault="00BF61A6" w:rsidP="00B34100">
            <w:pPr>
              <w:spacing w:line="360" w:lineRule="auto"/>
              <w:rPr>
                <w:rFonts w:ascii="Calibri" w:hAnsi="Calibri" w:cs="Calibri"/>
                <w:sz w:val="20"/>
                <w:szCs w:val="20"/>
              </w:rPr>
            </w:pPr>
            <w:r w:rsidRPr="00521C80">
              <w:rPr>
                <w:rFonts w:ascii="Calibri" w:hAnsi="Calibri" w:cs="Calibri"/>
                <w:sz w:val="20"/>
                <w:szCs w:val="20"/>
              </w:rPr>
              <w:t>T1, p.</w:t>
            </w:r>
            <w:r w:rsidR="005F6890">
              <w:rPr>
                <w:rFonts w:ascii="Calibri" w:hAnsi="Calibri" w:cs="Calibri"/>
                <w:sz w:val="20"/>
                <w:szCs w:val="20"/>
              </w:rPr>
              <w:t>9, para 6</w:t>
            </w:r>
          </w:p>
          <w:p w14:paraId="6C6F0E85" w14:textId="77777777" w:rsidR="00D749DA" w:rsidRDefault="00D749DA" w:rsidP="00B34100">
            <w:pPr>
              <w:spacing w:line="360" w:lineRule="auto"/>
              <w:rPr>
                <w:rFonts w:ascii="Calibri" w:hAnsi="Calibri" w:cs="Calibri"/>
                <w:sz w:val="20"/>
                <w:szCs w:val="20"/>
              </w:rPr>
            </w:pPr>
          </w:p>
          <w:p w14:paraId="59C66FC7" w14:textId="77777777" w:rsidR="00D749DA" w:rsidRDefault="00D749DA" w:rsidP="00B34100">
            <w:pPr>
              <w:spacing w:line="360" w:lineRule="auto"/>
              <w:rPr>
                <w:rFonts w:ascii="Calibri" w:hAnsi="Calibri" w:cs="Calibri"/>
                <w:sz w:val="20"/>
                <w:szCs w:val="20"/>
              </w:rPr>
            </w:pPr>
            <w:r>
              <w:rPr>
                <w:rFonts w:ascii="Calibri" w:hAnsi="Calibri" w:cs="Calibri"/>
                <w:sz w:val="20"/>
                <w:szCs w:val="20"/>
              </w:rPr>
              <w:t>T1, p.10, par 11</w:t>
            </w:r>
          </w:p>
          <w:p w14:paraId="0FB7F280" w14:textId="28968606" w:rsidR="00AF574D" w:rsidRPr="00521C80" w:rsidRDefault="00AF574D" w:rsidP="00B34100">
            <w:pPr>
              <w:spacing w:line="360" w:lineRule="auto"/>
              <w:rPr>
                <w:rFonts w:ascii="Calibri" w:hAnsi="Calibri" w:cs="Calibri"/>
                <w:sz w:val="20"/>
                <w:szCs w:val="20"/>
              </w:rPr>
            </w:pPr>
            <w:r>
              <w:rPr>
                <w:rFonts w:ascii="Calibri" w:hAnsi="Calibri" w:cs="Calibri"/>
                <w:sz w:val="20"/>
                <w:szCs w:val="20"/>
              </w:rPr>
              <w:t>T1, p.10, par 11</w:t>
            </w:r>
          </w:p>
        </w:tc>
      </w:tr>
    </w:tbl>
    <w:p w14:paraId="62867B89" w14:textId="77777777" w:rsidR="00BF61A6" w:rsidRDefault="00BF61A6" w:rsidP="00B34100">
      <w:pPr>
        <w:spacing w:line="360" w:lineRule="auto"/>
        <w:rPr>
          <w:rFonts w:ascii="Calibri" w:hAnsi="Calibri" w:cs="Calibri"/>
          <w:sz w:val="24"/>
          <w:szCs w:val="24"/>
        </w:rPr>
      </w:pPr>
    </w:p>
    <w:p w14:paraId="5C3E291C" w14:textId="20CA888C" w:rsidR="00BF61A6" w:rsidRDefault="00BF61A6" w:rsidP="00B34100">
      <w:pPr>
        <w:spacing w:line="360" w:lineRule="auto"/>
        <w:rPr>
          <w:rFonts w:ascii="Calibri" w:hAnsi="Calibri" w:cs="Calibri"/>
          <w:sz w:val="24"/>
          <w:szCs w:val="24"/>
        </w:rPr>
      </w:pPr>
      <w:r>
        <w:rPr>
          <w:rFonts w:ascii="Calibri" w:hAnsi="Calibri" w:cs="Calibri"/>
          <w:sz w:val="24"/>
          <w:szCs w:val="24"/>
        </w:rPr>
        <w:lastRenderedPageBreak/>
        <w:t>Clearly participants made good use of informal holding mechanisms that provided much needed support. Interestingly</w:t>
      </w:r>
      <w:r w:rsidR="00E175E8">
        <w:rPr>
          <w:rFonts w:ascii="Calibri" w:hAnsi="Calibri" w:cs="Calibri"/>
          <w:sz w:val="24"/>
          <w:szCs w:val="24"/>
        </w:rPr>
        <w:t xml:space="preserve">, </w:t>
      </w:r>
      <w:r>
        <w:rPr>
          <w:rFonts w:ascii="Calibri" w:hAnsi="Calibri" w:cs="Calibri"/>
          <w:sz w:val="24"/>
          <w:szCs w:val="24"/>
        </w:rPr>
        <w:t>beyond family and colleagues Jenko reported additional debriefing with a colleague at work in the same department who held a similar role equal to his grade (</w:t>
      </w:r>
      <w:r w:rsidR="007B2976">
        <w:rPr>
          <w:rFonts w:ascii="Calibri" w:hAnsi="Calibri" w:cs="Calibri"/>
          <w:sz w:val="24"/>
          <w:szCs w:val="24"/>
        </w:rPr>
        <w:t xml:space="preserve">Jenko, </w:t>
      </w:r>
      <w:r>
        <w:rPr>
          <w:rFonts w:ascii="Calibri" w:hAnsi="Calibri" w:cs="Calibri"/>
          <w:sz w:val="24"/>
          <w:szCs w:val="24"/>
        </w:rPr>
        <w:t>T1, p.9)</w:t>
      </w:r>
      <w:r w:rsidR="00CC7C50">
        <w:rPr>
          <w:rFonts w:ascii="Calibri" w:hAnsi="Calibri" w:cs="Calibri"/>
          <w:sz w:val="24"/>
          <w:szCs w:val="24"/>
        </w:rPr>
        <w:t>. T</w:t>
      </w:r>
      <w:r>
        <w:rPr>
          <w:rFonts w:ascii="Calibri" w:hAnsi="Calibri" w:cs="Calibri"/>
          <w:sz w:val="24"/>
          <w:szCs w:val="24"/>
        </w:rPr>
        <w:t>his has echoes of recommendations made by Offiah (Women’s Professional Network, 2021) of a tour guide who has familiarity with the field. Sophie made a strong recommendation that a support system be offered for staff dealing with student pastoral matters for them to process, to deal with challenges and to debrief. She emphatically recommends the offering be optional and that an external person provide this service</w:t>
      </w:r>
      <w:r w:rsidR="00211A14">
        <w:rPr>
          <w:rFonts w:ascii="Calibri" w:hAnsi="Calibri" w:cs="Calibri"/>
          <w:sz w:val="24"/>
          <w:szCs w:val="24"/>
        </w:rPr>
        <w:t>,</w:t>
      </w:r>
      <w:r>
        <w:rPr>
          <w:rFonts w:ascii="Calibri" w:hAnsi="Calibri" w:cs="Calibri"/>
          <w:sz w:val="24"/>
          <w:szCs w:val="24"/>
        </w:rPr>
        <w:t xml:space="preserve"> or at least someone who works on the periphery (</w:t>
      </w:r>
      <w:r w:rsidR="007B2976">
        <w:rPr>
          <w:rFonts w:ascii="Calibri" w:hAnsi="Calibri" w:cs="Calibri"/>
          <w:sz w:val="24"/>
          <w:szCs w:val="24"/>
        </w:rPr>
        <w:t xml:space="preserve">Sophie, </w:t>
      </w:r>
      <w:r>
        <w:rPr>
          <w:rFonts w:ascii="Calibri" w:hAnsi="Calibri" w:cs="Calibri"/>
          <w:sz w:val="24"/>
          <w:szCs w:val="24"/>
        </w:rPr>
        <w:t>T1, p.12). Citing fear of exposing vulnerabilities to known colleagues as carrying the risk of vulnerabilities being used against her, as an interviewer I prompted her to think about creating these safe spaces based on her recommendations (</w:t>
      </w:r>
      <w:r w:rsidR="00AB1ADC">
        <w:rPr>
          <w:rFonts w:ascii="Calibri" w:hAnsi="Calibri" w:cs="Calibri"/>
          <w:sz w:val="24"/>
          <w:szCs w:val="24"/>
        </w:rPr>
        <w:t>ibid.</w:t>
      </w:r>
      <w:r>
        <w:rPr>
          <w:rFonts w:ascii="Calibri" w:hAnsi="Calibri" w:cs="Calibri"/>
          <w:sz w:val="24"/>
          <w:szCs w:val="24"/>
        </w:rPr>
        <w:t>, p.13). Comments from these two participants prompted reflections on the current effectiveness of debriefing with colleagues, and how much more effective the concept of holding could be if reframed as pedagogic supervision which weaves together the notion of safe space and concepts of depth pedagogy drawn from supervisory practice</w:t>
      </w:r>
      <w:r w:rsidR="00F64501">
        <w:rPr>
          <w:rFonts w:ascii="Calibri" w:hAnsi="Calibri" w:cs="Calibri"/>
          <w:sz w:val="24"/>
          <w:szCs w:val="24"/>
        </w:rPr>
        <w:t xml:space="preserve"> (Figure 13):</w:t>
      </w:r>
    </w:p>
    <w:p w14:paraId="57BBF80E" w14:textId="77777777" w:rsidR="00BF61A6" w:rsidRDefault="00BF61A6" w:rsidP="00B34100">
      <w:pPr>
        <w:spacing w:line="360" w:lineRule="auto"/>
        <w:rPr>
          <w:rFonts w:ascii="Calibri" w:hAnsi="Calibri" w:cs="Calibri"/>
          <w:sz w:val="24"/>
          <w:szCs w:val="24"/>
        </w:rPr>
      </w:pPr>
      <w:r>
        <w:rPr>
          <w:rFonts w:ascii="Calibri" w:hAnsi="Calibri" w:cs="Calibri"/>
          <w:noProof/>
          <w:sz w:val="24"/>
          <w:szCs w:val="24"/>
        </w:rPr>
        <w:drawing>
          <wp:inline distT="0" distB="0" distL="0" distR="0" wp14:anchorId="63B76D75" wp14:editId="4EDACA7C">
            <wp:extent cx="6161405" cy="3726180"/>
            <wp:effectExtent l="0" t="0" r="10795" b="26670"/>
            <wp:docPr id="39783507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22F6364F" w14:textId="6C9D67F9" w:rsidR="00F13CA8" w:rsidRPr="000C7AAE" w:rsidRDefault="00BF61A6" w:rsidP="000C7AAE">
      <w:pPr>
        <w:spacing w:line="360" w:lineRule="auto"/>
        <w:ind w:left="1440" w:firstLine="720"/>
        <w:rPr>
          <w:rFonts w:ascii="Calibri" w:hAnsi="Calibri" w:cs="Calibri"/>
          <w:i/>
          <w:iCs/>
          <w:sz w:val="24"/>
          <w:szCs w:val="24"/>
        </w:rPr>
      </w:pPr>
      <w:r w:rsidRPr="00D03A7C">
        <w:rPr>
          <w:rFonts w:ascii="Calibri" w:hAnsi="Calibri" w:cs="Calibri"/>
          <w:i/>
          <w:iCs/>
          <w:sz w:val="24"/>
          <w:szCs w:val="24"/>
        </w:rPr>
        <w:t xml:space="preserve">Figure </w:t>
      </w:r>
      <w:r w:rsidR="00D61148">
        <w:rPr>
          <w:rFonts w:ascii="Calibri" w:hAnsi="Calibri" w:cs="Calibri"/>
          <w:i/>
          <w:iCs/>
          <w:sz w:val="24"/>
          <w:szCs w:val="24"/>
        </w:rPr>
        <w:t>13:</w:t>
      </w:r>
      <w:r w:rsidRPr="00D03A7C">
        <w:rPr>
          <w:rFonts w:ascii="Calibri" w:hAnsi="Calibri" w:cs="Calibri"/>
          <w:i/>
          <w:iCs/>
          <w:sz w:val="24"/>
          <w:szCs w:val="24"/>
        </w:rPr>
        <w:t xml:space="preserve"> A pedagogic supervision model</w:t>
      </w:r>
    </w:p>
    <w:p w14:paraId="38A982CB" w14:textId="719AD48A" w:rsidR="00C8379D" w:rsidRPr="00C8379D" w:rsidRDefault="00C8379D" w:rsidP="00B34100">
      <w:pPr>
        <w:spacing w:line="360" w:lineRule="auto"/>
        <w:rPr>
          <w:rFonts w:ascii="Calibri" w:hAnsi="Calibri" w:cs="Calibri"/>
          <w:b/>
          <w:bCs/>
          <w:sz w:val="24"/>
          <w:szCs w:val="24"/>
        </w:rPr>
      </w:pPr>
      <w:r w:rsidRPr="00C8379D">
        <w:rPr>
          <w:rFonts w:ascii="Calibri" w:hAnsi="Calibri" w:cs="Calibri"/>
          <w:b/>
          <w:bCs/>
          <w:sz w:val="24"/>
          <w:szCs w:val="24"/>
        </w:rPr>
        <w:lastRenderedPageBreak/>
        <w:t xml:space="preserve">Supervision as </w:t>
      </w:r>
      <w:r w:rsidR="00934DF0">
        <w:rPr>
          <w:rFonts w:ascii="Calibri" w:hAnsi="Calibri" w:cs="Calibri"/>
          <w:b/>
          <w:bCs/>
          <w:sz w:val="24"/>
          <w:szCs w:val="24"/>
        </w:rPr>
        <w:t xml:space="preserve">a </w:t>
      </w:r>
      <w:r w:rsidRPr="00C8379D">
        <w:rPr>
          <w:rFonts w:ascii="Calibri" w:hAnsi="Calibri" w:cs="Calibri"/>
          <w:b/>
          <w:bCs/>
          <w:sz w:val="24"/>
          <w:szCs w:val="24"/>
        </w:rPr>
        <w:t>holding</w:t>
      </w:r>
      <w:r w:rsidR="00934DF0">
        <w:rPr>
          <w:rFonts w:ascii="Calibri" w:hAnsi="Calibri" w:cs="Calibri"/>
          <w:b/>
          <w:bCs/>
          <w:sz w:val="24"/>
          <w:szCs w:val="24"/>
        </w:rPr>
        <w:t xml:space="preserve"> framework</w:t>
      </w:r>
    </w:p>
    <w:p w14:paraId="45A869C5" w14:textId="416772BD" w:rsidR="00247988" w:rsidRDefault="00BF61A6" w:rsidP="00B34100">
      <w:pPr>
        <w:spacing w:line="360" w:lineRule="auto"/>
        <w:rPr>
          <w:rFonts w:ascii="Calibri" w:hAnsi="Calibri" w:cs="Calibri"/>
          <w:sz w:val="24"/>
          <w:szCs w:val="24"/>
        </w:rPr>
      </w:pPr>
      <w:r w:rsidRPr="00234A79">
        <w:rPr>
          <w:rFonts w:ascii="Calibri" w:hAnsi="Calibri" w:cs="Calibri"/>
          <w:sz w:val="24"/>
          <w:szCs w:val="24"/>
        </w:rPr>
        <w:t xml:space="preserve">In a supervisory relationship seasoned others provide support in reflection, and in this study although some seasoned others </w:t>
      </w:r>
      <w:r>
        <w:rPr>
          <w:rFonts w:ascii="Calibri" w:hAnsi="Calibri" w:cs="Calibri"/>
          <w:sz w:val="24"/>
          <w:szCs w:val="24"/>
        </w:rPr>
        <w:t xml:space="preserve">provided reflective </w:t>
      </w:r>
      <w:r w:rsidRPr="00234A79">
        <w:rPr>
          <w:rFonts w:ascii="Calibri" w:hAnsi="Calibri" w:cs="Calibri"/>
          <w:sz w:val="24"/>
          <w:szCs w:val="24"/>
        </w:rPr>
        <w:t xml:space="preserve">space, reflection mostly happened </w:t>
      </w:r>
      <w:r>
        <w:rPr>
          <w:rFonts w:ascii="Calibri" w:hAnsi="Calibri" w:cs="Calibri"/>
          <w:sz w:val="24"/>
          <w:szCs w:val="24"/>
        </w:rPr>
        <w:t xml:space="preserve">informally </w:t>
      </w:r>
      <w:r w:rsidRPr="00234A79">
        <w:rPr>
          <w:rFonts w:ascii="Calibri" w:hAnsi="Calibri" w:cs="Calibri"/>
          <w:sz w:val="24"/>
          <w:szCs w:val="24"/>
        </w:rPr>
        <w:t xml:space="preserve">with peers, colleagues and known others.  </w:t>
      </w:r>
      <w:r w:rsidRPr="007A3540">
        <w:rPr>
          <w:rFonts w:ascii="Calibri" w:hAnsi="Calibri" w:cs="Calibri"/>
          <w:sz w:val="24"/>
          <w:szCs w:val="24"/>
        </w:rPr>
        <w:t xml:space="preserve">Supervision is not solely the process of holding the work of the professional, but also a </w:t>
      </w:r>
      <w:r w:rsidRPr="00431779">
        <w:rPr>
          <w:rFonts w:ascii="Calibri" w:hAnsi="Calibri" w:cs="Calibri"/>
          <w:sz w:val="24"/>
          <w:szCs w:val="24"/>
        </w:rPr>
        <w:t xml:space="preserve">holding of them </w:t>
      </w:r>
      <w:r w:rsidRPr="00431779">
        <w:rPr>
          <w:rFonts w:ascii="Calibri" w:hAnsi="Calibri" w:cs="Calibri"/>
          <w:i/>
          <w:iCs/>
          <w:sz w:val="24"/>
          <w:szCs w:val="24"/>
        </w:rPr>
        <w:t>as</w:t>
      </w:r>
      <w:r w:rsidRPr="00431779">
        <w:rPr>
          <w:rFonts w:ascii="Calibri" w:hAnsi="Calibri" w:cs="Calibri"/>
          <w:sz w:val="24"/>
          <w:szCs w:val="24"/>
        </w:rPr>
        <w:t xml:space="preserve"> professionals</w:t>
      </w:r>
      <w:r w:rsidRPr="007A3540">
        <w:rPr>
          <w:rFonts w:ascii="Calibri" w:hAnsi="Calibri" w:cs="Calibri"/>
          <w:sz w:val="24"/>
          <w:szCs w:val="24"/>
        </w:rPr>
        <w:t>.</w:t>
      </w:r>
      <w:r>
        <w:rPr>
          <w:rFonts w:ascii="Calibri" w:hAnsi="Calibri" w:cs="Calibri"/>
          <w:sz w:val="24"/>
          <w:szCs w:val="24"/>
        </w:rPr>
        <w:t xml:space="preserve"> N</w:t>
      </w:r>
      <w:r w:rsidRPr="007A3540">
        <w:rPr>
          <w:rFonts w:ascii="Calibri" w:hAnsi="Calibri" w:cs="Calibri"/>
          <w:sz w:val="24"/>
          <w:szCs w:val="24"/>
        </w:rPr>
        <w:t>ot only didactic in nature</w:t>
      </w:r>
      <w:r>
        <w:rPr>
          <w:rFonts w:ascii="Calibri" w:hAnsi="Calibri" w:cs="Calibri"/>
          <w:sz w:val="24"/>
          <w:szCs w:val="24"/>
        </w:rPr>
        <w:t xml:space="preserve">, </w:t>
      </w:r>
      <w:r w:rsidR="00910B05">
        <w:rPr>
          <w:rFonts w:ascii="Calibri" w:hAnsi="Calibri" w:cs="Calibri"/>
          <w:sz w:val="24"/>
          <w:szCs w:val="24"/>
        </w:rPr>
        <w:t>but supervision</w:t>
      </w:r>
      <w:r w:rsidR="009669BB">
        <w:rPr>
          <w:rFonts w:ascii="Calibri" w:hAnsi="Calibri" w:cs="Calibri"/>
          <w:sz w:val="24"/>
          <w:szCs w:val="24"/>
        </w:rPr>
        <w:t xml:space="preserve"> </w:t>
      </w:r>
      <w:r>
        <w:rPr>
          <w:rFonts w:ascii="Calibri" w:hAnsi="Calibri" w:cs="Calibri"/>
          <w:sz w:val="24"/>
          <w:szCs w:val="24"/>
        </w:rPr>
        <w:t xml:space="preserve">also </w:t>
      </w:r>
      <w:r w:rsidRPr="007A3540">
        <w:rPr>
          <w:rFonts w:ascii="Calibri" w:hAnsi="Calibri" w:cs="Calibri"/>
          <w:sz w:val="24"/>
          <w:szCs w:val="24"/>
        </w:rPr>
        <w:t>involves a personal process</w:t>
      </w:r>
      <w:r>
        <w:rPr>
          <w:rFonts w:ascii="Calibri" w:hAnsi="Calibri" w:cs="Calibri"/>
          <w:sz w:val="24"/>
          <w:szCs w:val="24"/>
        </w:rPr>
        <w:t xml:space="preserve"> </w:t>
      </w:r>
      <w:r w:rsidRPr="007A3540">
        <w:rPr>
          <w:rFonts w:ascii="Calibri" w:hAnsi="Calibri" w:cs="Calibri"/>
          <w:sz w:val="24"/>
          <w:szCs w:val="24"/>
        </w:rPr>
        <w:t>(Alonso, 1985)</w:t>
      </w:r>
      <w:r w:rsidR="00910B05">
        <w:rPr>
          <w:rFonts w:ascii="Calibri" w:hAnsi="Calibri" w:cs="Calibri"/>
          <w:sz w:val="24"/>
          <w:szCs w:val="24"/>
        </w:rPr>
        <w:t>. It</w:t>
      </w:r>
      <w:r>
        <w:rPr>
          <w:rFonts w:ascii="Calibri" w:hAnsi="Calibri" w:cs="Calibri"/>
          <w:sz w:val="24"/>
          <w:szCs w:val="24"/>
        </w:rPr>
        <w:t xml:space="preserve"> is facilitated by a supervisor who </w:t>
      </w:r>
      <w:r w:rsidRPr="007A3540">
        <w:rPr>
          <w:rFonts w:ascii="Calibri" w:hAnsi="Calibri" w:cs="Calibri"/>
          <w:sz w:val="24"/>
          <w:szCs w:val="24"/>
        </w:rPr>
        <w:t>expands the affective capacity of the</w:t>
      </w:r>
      <w:r w:rsidR="00EC127F">
        <w:rPr>
          <w:rFonts w:ascii="Calibri" w:hAnsi="Calibri" w:cs="Calibri"/>
          <w:sz w:val="24"/>
          <w:szCs w:val="24"/>
        </w:rPr>
        <w:t xml:space="preserve"> </w:t>
      </w:r>
      <w:r w:rsidRPr="007A3540">
        <w:rPr>
          <w:rFonts w:ascii="Calibri" w:hAnsi="Calibri" w:cs="Calibri"/>
          <w:sz w:val="24"/>
          <w:szCs w:val="24"/>
        </w:rPr>
        <w:t xml:space="preserve">supervisee </w:t>
      </w:r>
      <w:r w:rsidRPr="007A3540">
        <w:rPr>
          <w:rFonts w:ascii="Calibri" w:hAnsi="Calibri" w:cs="Calibri"/>
          <w:i/>
          <w:iCs/>
          <w:sz w:val="24"/>
          <w:szCs w:val="24"/>
        </w:rPr>
        <w:t xml:space="preserve">and </w:t>
      </w:r>
      <w:r w:rsidRPr="007A3540">
        <w:rPr>
          <w:rFonts w:ascii="Calibri" w:hAnsi="Calibri" w:cs="Calibri"/>
          <w:sz w:val="24"/>
          <w:szCs w:val="24"/>
        </w:rPr>
        <w:t xml:space="preserve">supports them in their work endeavour. Functioning as a restorative device, supervision could act as a safeguarding mechanism and help teachers in </w:t>
      </w:r>
      <w:r w:rsidRPr="00AE3D23">
        <w:rPr>
          <w:rFonts w:ascii="Calibri" w:hAnsi="Calibri" w:cs="Calibri"/>
          <w:sz w:val="24"/>
          <w:szCs w:val="24"/>
        </w:rPr>
        <w:t>all</w:t>
      </w:r>
      <w:r w:rsidRPr="007A3540">
        <w:rPr>
          <w:rFonts w:ascii="Calibri" w:hAnsi="Calibri" w:cs="Calibri"/>
          <w:i/>
          <w:iCs/>
          <w:sz w:val="24"/>
          <w:szCs w:val="24"/>
        </w:rPr>
        <w:t xml:space="preserve"> </w:t>
      </w:r>
      <w:r w:rsidRPr="007A3540">
        <w:rPr>
          <w:rFonts w:ascii="Calibri" w:hAnsi="Calibri" w:cs="Calibri"/>
          <w:sz w:val="24"/>
          <w:szCs w:val="24"/>
        </w:rPr>
        <w:t>aspects of</w:t>
      </w:r>
      <w:r w:rsidRPr="007A3540">
        <w:rPr>
          <w:rFonts w:ascii="Calibri" w:hAnsi="Calibri" w:cs="Calibri"/>
          <w:i/>
          <w:iCs/>
          <w:sz w:val="24"/>
          <w:szCs w:val="24"/>
        </w:rPr>
        <w:t xml:space="preserve"> </w:t>
      </w:r>
      <w:r w:rsidRPr="007A3540">
        <w:rPr>
          <w:rFonts w:ascii="Calibri" w:hAnsi="Calibri" w:cs="Calibri"/>
          <w:sz w:val="24"/>
          <w:szCs w:val="24"/>
        </w:rPr>
        <w:t>their work</w:t>
      </w:r>
      <w:r>
        <w:rPr>
          <w:rFonts w:ascii="Calibri" w:hAnsi="Calibri" w:cs="Calibri"/>
          <w:sz w:val="24"/>
          <w:szCs w:val="24"/>
        </w:rPr>
        <w:t xml:space="preserve"> and development</w:t>
      </w:r>
      <w:r w:rsidRPr="007A3540">
        <w:rPr>
          <w:rFonts w:ascii="Calibri" w:hAnsi="Calibri" w:cs="Calibri"/>
          <w:sz w:val="24"/>
          <w:szCs w:val="24"/>
        </w:rPr>
        <w:t xml:space="preserve">. </w:t>
      </w:r>
    </w:p>
    <w:p w14:paraId="576BE0F3" w14:textId="0A5CF14E" w:rsidR="00BF61A6" w:rsidRPr="00945FF8" w:rsidRDefault="00BF61A6" w:rsidP="00B34100">
      <w:pPr>
        <w:spacing w:line="360" w:lineRule="auto"/>
        <w:rPr>
          <w:rFonts w:ascii="Calibri" w:hAnsi="Calibri" w:cs="Calibri"/>
          <w:sz w:val="24"/>
          <w:szCs w:val="24"/>
        </w:rPr>
      </w:pPr>
      <w:r>
        <w:rPr>
          <w:rFonts w:ascii="Calibri" w:hAnsi="Calibri" w:cs="Calibri"/>
          <w:sz w:val="24"/>
          <w:szCs w:val="24"/>
        </w:rPr>
        <w:t>Supervision</w:t>
      </w:r>
      <w:r w:rsidRPr="007A3540">
        <w:rPr>
          <w:rFonts w:ascii="Calibri" w:hAnsi="Calibri" w:cs="Calibri"/>
          <w:sz w:val="24"/>
          <w:szCs w:val="24"/>
        </w:rPr>
        <w:t xml:space="preserve"> is only recently being regarded as an important safeguarding mechanism for tertiary teachers (</w:t>
      </w:r>
      <w:r w:rsidRPr="006A2AEE">
        <w:rPr>
          <w:rFonts w:ascii="Calibri" w:hAnsi="Calibri" w:cs="Calibri"/>
          <w:sz w:val="24"/>
          <w:szCs w:val="24"/>
        </w:rPr>
        <w:t>Briggs, 2021</w:t>
      </w:r>
      <w:r>
        <w:rPr>
          <w:rFonts w:ascii="Calibri" w:hAnsi="Calibri" w:cs="Calibri"/>
          <w:sz w:val="24"/>
          <w:szCs w:val="24"/>
        </w:rPr>
        <w:t xml:space="preserve">; Carroll </w:t>
      </w:r>
      <w:r w:rsidRPr="009C14D6">
        <w:rPr>
          <w:rFonts w:ascii="Calibri" w:hAnsi="Calibri" w:cs="Calibri"/>
          <w:i/>
          <w:iCs/>
          <w:sz w:val="24"/>
          <w:szCs w:val="24"/>
        </w:rPr>
        <w:t>et al</w:t>
      </w:r>
      <w:r w:rsidR="009C14D6">
        <w:rPr>
          <w:rFonts w:ascii="Calibri" w:hAnsi="Calibri" w:cs="Calibri"/>
          <w:i/>
          <w:iCs/>
          <w:sz w:val="24"/>
          <w:szCs w:val="24"/>
        </w:rPr>
        <w:t>.</w:t>
      </w:r>
      <w:r>
        <w:rPr>
          <w:rFonts w:ascii="Calibri" w:hAnsi="Calibri" w:cs="Calibri"/>
          <w:sz w:val="24"/>
          <w:szCs w:val="24"/>
        </w:rPr>
        <w:t xml:space="preserve">, 2020; </w:t>
      </w:r>
      <w:r w:rsidRPr="007A3540">
        <w:rPr>
          <w:rFonts w:ascii="Calibri" w:hAnsi="Calibri" w:cs="Calibri"/>
          <w:sz w:val="24"/>
          <w:szCs w:val="24"/>
        </w:rPr>
        <w:t>Lawrence, 2019</w:t>
      </w:r>
      <w:r>
        <w:rPr>
          <w:rFonts w:ascii="Calibri" w:hAnsi="Calibri" w:cs="Calibri"/>
          <w:sz w:val="24"/>
          <w:szCs w:val="24"/>
        </w:rPr>
        <w:t>; Supervision in Education Network, 2025</w:t>
      </w:r>
      <w:r w:rsidR="005C55D3" w:rsidRPr="007A3540">
        <w:rPr>
          <w:rFonts w:ascii="Calibri" w:hAnsi="Calibri" w:cs="Calibri"/>
          <w:sz w:val="24"/>
          <w:szCs w:val="24"/>
        </w:rPr>
        <w:t>)</w:t>
      </w:r>
      <w:r w:rsidR="005C55D3">
        <w:rPr>
          <w:rFonts w:ascii="Calibri" w:hAnsi="Calibri" w:cs="Calibri"/>
          <w:sz w:val="24"/>
          <w:szCs w:val="24"/>
        </w:rPr>
        <w:t xml:space="preserve"> and</w:t>
      </w:r>
      <w:r>
        <w:rPr>
          <w:rFonts w:ascii="Calibri" w:hAnsi="Calibri" w:cs="Calibri"/>
          <w:sz w:val="24"/>
          <w:szCs w:val="24"/>
        </w:rPr>
        <w:t xml:space="preserve"> is proposed in this study as serving both a safeguarding function and that of well-being restoration for HE teachers</w:t>
      </w:r>
      <w:r w:rsidRPr="007A3540">
        <w:rPr>
          <w:rFonts w:ascii="Calibri" w:hAnsi="Calibri" w:cs="Calibri"/>
          <w:sz w:val="24"/>
          <w:szCs w:val="24"/>
        </w:rPr>
        <w:t xml:space="preserve">. </w:t>
      </w:r>
      <w:r w:rsidRPr="000A7A2F">
        <w:rPr>
          <w:rFonts w:ascii="Calibri" w:hAnsi="Calibri" w:cs="Calibri"/>
          <w:sz w:val="24"/>
          <w:szCs w:val="24"/>
        </w:rPr>
        <w:t>A key finding in this st</w:t>
      </w:r>
      <w:r>
        <w:rPr>
          <w:rFonts w:ascii="Calibri" w:hAnsi="Calibri" w:cs="Calibri"/>
          <w:sz w:val="24"/>
          <w:szCs w:val="24"/>
        </w:rPr>
        <w:t>udy</w:t>
      </w:r>
      <w:r w:rsidRPr="000A7A2F">
        <w:rPr>
          <w:rFonts w:ascii="Calibri" w:hAnsi="Calibri" w:cs="Calibri"/>
          <w:sz w:val="24"/>
          <w:szCs w:val="24"/>
        </w:rPr>
        <w:t xml:space="preserve"> indicates that there is the potential that </w:t>
      </w:r>
      <w:r>
        <w:rPr>
          <w:rFonts w:ascii="Calibri" w:hAnsi="Calibri" w:cs="Calibri"/>
          <w:sz w:val="24"/>
          <w:szCs w:val="24"/>
        </w:rPr>
        <w:t xml:space="preserve">the suggestion of </w:t>
      </w:r>
      <w:r w:rsidRPr="000A7A2F">
        <w:rPr>
          <w:rFonts w:ascii="Calibri" w:hAnsi="Calibri" w:cs="Calibri"/>
          <w:sz w:val="24"/>
          <w:szCs w:val="24"/>
        </w:rPr>
        <w:t>support provision</w:t>
      </w:r>
      <w:r>
        <w:rPr>
          <w:rFonts w:ascii="Calibri" w:hAnsi="Calibri" w:cs="Calibri"/>
          <w:sz w:val="24"/>
          <w:szCs w:val="24"/>
        </w:rPr>
        <w:t xml:space="preserve"> </w:t>
      </w:r>
      <w:r w:rsidRPr="000A7A2F">
        <w:rPr>
          <w:rFonts w:ascii="Calibri" w:hAnsi="Calibri" w:cs="Calibri"/>
          <w:sz w:val="24"/>
          <w:szCs w:val="24"/>
        </w:rPr>
        <w:t>might infantalis</w:t>
      </w:r>
      <w:r>
        <w:rPr>
          <w:rFonts w:ascii="Calibri" w:hAnsi="Calibri" w:cs="Calibri"/>
          <w:sz w:val="24"/>
          <w:szCs w:val="24"/>
        </w:rPr>
        <w:t xml:space="preserve">e </w:t>
      </w:r>
      <w:r w:rsidRPr="000A7A2F">
        <w:rPr>
          <w:rFonts w:ascii="Calibri" w:hAnsi="Calibri" w:cs="Calibri"/>
          <w:sz w:val="24"/>
          <w:szCs w:val="24"/>
        </w:rPr>
        <w:t xml:space="preserve">the adult. </w:t>
      </w:r>
      <w:r w:rsidRPr="00945FF8">
        <w:rPr>
          <w:rFonts w:ascii="Calibri" w:hAnsi="Calibri" w:cs="Calibri"/>
          <w:sz w:val="24"/>
          <w:szCs w:val="24"/>
        </w:rPr>
        <w:t>As an alternative suggestion, the term “pedagogic debriefing”, “pedagogic holding” or “considering together” might remove the potential for suspicion and an imbalance of power.</w:t>
      </w:r>
      <w:r w:rsidRPr="00F664AA">
        <w:rPr>
          <w:rFonts w:ascii="Calibri" w:hAnsi="Calibri" w:cs="Calibri"/>
          <w:color w:val="EE0000"/>
          <w:sz w:val="24"/>
          <w:szCs w:val="24"/>
        </w:rPr>
        <w:t xml:space="preserve"> </w:t>
      </w:r>
      <w:r w:rsidRPr="00F664AA">
        <w:rPr>
          <w:rFonts w:ascii="Calibri" w:hAnsi="Calibri" w:cs="Calibri"/>
          <w:sz w:val="24"/>
          <w:szCs w:val="24"/>
        </w:rPr>
        <w:t>Despite the potential for infantilisation, the findings affirm that</w:t>
      </w:r>
      <w:r>
        <w:rPr>
          <w:rFonts w:ascii="Calibri" w:hAnsi="Calibri" w:cs="Calibri"/>
          <w:sz w:val="24"/>
          <w:szCs w:val="24"/>
        </w:rPr>
        <w:t xml:space="preserve"> supervision might </w:t>
      </w:r>
      <w:r w:rsidRPr="00F664AA">
        <w:rPr>
          <w:rFonts w:ascii="Calibri" w:hAnsi="Calibri" w:cs="Calibri"/>
          <w:sz w:val="24"/>
          <w:szCs w:val="24"/>
        </w:rPr>
        <w:t xml:space="preserve">indeed </w:t>
      </w:r>
      <w:r>
        <w:rPr>
          <w:rFonts w:ascii="Calibri" w:hAnsi="Calibri" w:cs="Calibri"/>
          <w:sz w:val="24"/>
          <w:szCs w:val="24"/>
        </w:rPr>
        <w:t>serve the function of holding the process of reflective practice</w:t>
      </w:r>
      <w:r w:rsidRPr="00F664AA">
        <w:rPr>
          <w:rFonts w:ascii="Calibri" w:hAnsi="Calibri" w:cs="Calibri"/>
          <w:sz w:val="24"/>
          <w:szCs w:val="24"/>
        </w:rPr>
        <w:t xml:space="preserve">.  </w:t>
      </w:r>
    </w:p>
    <w:p w14:paraId="722CE2BE" w14:textId="77777777" w:rsidR="0011221E" w:rsidRDefault="00BF61A6" w:rsidP="00B34100">
      <w:pPr>
        <w:spacing w:line="360" w:lineRule="auto"/>
        <w:rPr>
          <w:rFonts w:ascii="Calibri" w:hAnsi="Calibri" w:cs="Calibri"/>
          <w:sz w:val="24"/>
          <w:szCs w:val="24"/>
        </w:rPr>
      </w:pPr>
      <w:r>
        <w:rPr>
          <w:rFonts w:ascii="Calibri" w:hAnsi="Calibri" w:cs="Calibri"/>
          <w:sz w:val="24"/>
          <w:szCs w:val="24"/>
        </w:rPr>
        <w:t xml:space="preserve">A benign and judicious approach to supervision is required. The </w:t>
      </w:r>
      <w:r w:rsidRPr="007A3540">
        <w:rPr>
          <w:rFonts w:ascii="Calibri" w:hAnsi="Calibri" w:cs="Calibri"/>
          <w:sz w:val="24"/>
          <w:szCs w:val="24"/>
        </w:rPr>
        <w:t>concept</w:t>
      </w:r>
      <w:r>
        <w:rPr>
          <w:rFonts w:ascii="Calibri" w:hAnsi="Calibri" w:cs="Calibri"/>
          <w:sz w:val="24"/>
          <w:szCs w:val="24"/>
        </w:rPr>
        <w:t xml:space="preserve"> of supervision could be scaffolded </w:t>
      </w:r>
      <w:r w:rsidRPr="006D63E2">
        <w:rPr>
          <w:rFonts w:ascii="Calibri" w:hAnsi="Calibri" w:cs="Calibri"/>
          <w:sz w:val="24"/>
          <w:szCs w:val="24"/>
        </w:rPr>
        <w:t xml:space="preserve">(Vygotsky, 1978) </w:t>
      </w:r>
      <w:r>
        <w:rPr>
          <w:rFonts w:ascii="Calibri" w:hAnsi="Calibri" w:cs="Calibri"/>
          <w:sz w:val="24"/>
          <w:szCs w:val="24"/>
        </w:rPr>
        <w:t>during</w:t>
      </w:r>
      <w:r w:rsidRPr="007A3540">
        <w:rPr>
          <w:rFonts w:ascii="Calibri" w:hAnsi="Calibri" w:cs="Calibri"/>
          <w:sz w:val="24"/>
          <w:szCs w:val="24"/>
        </w:rPr>
        <w:t xml:space="preserve"> initial teacher training</w:t>
      </w:r>
      <w:r>
        <w:rPr>
          <w:rFonts w:ascii="Calibri" w:hAnsi="Calibri" w:cs="Calibri"/>
          <w:sz w:val="24"/>
          <w:szCs w:val="24"/>
        </w:rPr>
        <w:t>s</w:t>
      </w:r>
      <w:r w:rsidRPr="007A3540">
        <w:rPr>
          <w:rFonts w:ascii="Calibri" w:hAnsi="Calibri" w:cs="Calibri"/>
          <w:sz w:val="24"/>
          <w:szCs w:val="24"/>
        </w:rPr>
        <w:t xml:space="preserve"> and demonstrated </w:t>
      </w:r>
      <w:r w:rsidRPr="007A3540">
        <w:rPr>
          <w:rFonts w:ascii="Calibri" w:hAnsi="Calibri" w:cs="Calibri"/>
          <w:i/>
          <w:iCs/>
          <w:sz w:val="24"/>
          <w:szCs w:val="24"/>
        </w:rPr>
        <w:t xml:space="preserve">in situ </w:t>
      </w:r>
      <w:r w:rsidRPr="007A3540">
        <w:rPr>
          <w:rFonts w:ascii="Calibri" w:hAnsi="Calibri" w:cs="Calibri"/>
          <w:sz w:val="24"/>
          <w:szCs w:val="24"/>
        </w:rPr>
        <w:t xml:space="preserve">so that students can experience it and understand the value of its application. </w:t>
      </w:r>
      <w:r>
        <w:rPr>
          <w:rFonts w:ascii="Calibri" w:hAnsi="Calibri" w:cs="Calibri"/>
          <w:sz w:val="24"/>
          <w:szCs w:val="24"/>
        </w:rPr>
        <w:t>U</w:t>
      </w:r>
      <w:r w:rsidRPr="0073120C">
        <w:rPr>
          <w:rFonts w:ascii="Calibri" w:hAnsi="Calibri" w:cs="Calibri"/>
          <w:sz w:val="24"/>
          <w:szCs w:val="24"/>
        </w:rPr>
        <w:t>nless experienced, understood and valued, supervision may remain an unknown</w:t>
      </w:r>
      <w:r w:rsidR="005F4822">
        <w:rPr>
          <w:rFonts w:ascii="Calibri" w:hAnsi="Calibri" w:cs="Calibri"/>
          <w:sz w:val="24"/>
          <w:szCs w:val="24"/>
        </w:rPr>
        <w:t>,</w:t>
      </w:r>
      <w:r w:rsidRPr="0073120C">
        <w:rPr>
          <w:rFonts w:ascii="Calibri" w:hAnsi="Calibri" w:cs="Calibri"/>
          <w:sz w:val="24"/>
          <w:szCs w:val="24"/>
        </w:rPr>
        <w:t xml:space="preserve"> and be regarded with suspicion. </w:t>
      </w:r>
      <w:r>
        <w:rPr>
          <w:rFonts w:ascii="Calibri" w:hAnsi="Calibri" w:cs="Calibri"/>
          <w:sz w:val="24"/>
          <w:szCs w:val="24"/>
        </w:rPr>
        <w:t xml:space="preserve">It </w:t>
      </w:r>
      <w:r w:rsidRPr="00352D33">
        <w:rPr>
          <w:rFonts w:ascii="Calibri" w:hAnsi="Calibri" w:cs="Calibri"/>
          <w:sz w:val="24"/>
          <w:szCs w:val="24"/>
        </w:rPr>
        <w:t xml:space="preserve">would be difficult to operationalise in an equitable manner in a clime of ubiquitous mistrust, and boundaries and clarity of this offering would need to be transparent, </w:t>
      </w:r>
      <w:r>
        <w:rPr>
          <w:rFonts w:ascii="Calibri" w:hAnsi="Calibri" w:cs="Calibri"/>
          <w:sz w:val="24"/>
          <w:szCs w:val="24"/>
        </w:rPr>
        <w:t xml:space="preserve">carefully </w:t>
      </w:r>
      <w:r w:rsidRPr="00352D33">
        <w:rPr>
          <w:rFonts w:ascii="Calibri" w:hAnsi="Calibri" w:cs="Calibri"/>
          <w:sz w:val="24"/>
          <w:szCs w:val="24"/>
        </w:rPr>
        <w:t>considered and be held within a contract.</w:t>
      </w:r>
      <w:r w:rsidRPr="009B3E43">
        <w:rPr>
          <w:rFonts w:ascii="Calibri" w:hAnsi="Calibri" w:cs="Calibri"/>
          <w:sz w:val="24"/>
          <w:szCs w:val="24"/>
        </w:rPr>
        <w:t xml:space="preserve"> Any mandatory implementation </w:t>
      </w:r>
      <w:r>
        <w:rPr>
          <w:rFonts w:ascii="Calibri" w:hAnsi="Calibri" w:cs="Calibri"/>
          <w:sz w:val="24"/>
          <w:szCs w:val="24"/>
        </w:rPr>
        <w:t xml:space="preserve">of supervision </w:t>
      </w:r>
      <w:r w:rsidRPr="009B3E43">
        <w:rPr>
          <w:rFonts w:ascii="Calibri" w:hAnsi="Calibri" w:cs="Calibri"/>
          <w:sz w:val="24"/>
          <w:szCs w:val="24"/>
        </w:rPr>
        <w:t>would, in my view, feed mistrust</w:t>
      </w:r>
      <w:r>
        <w:rPr>
          <w:rFonts w:ascii="Calibri" w:hAnsi="Calibri" w:cs="Calibri"/>
          <w:sz w:val="24"/>
          <w:szCs w:val="24"/>
        </w:rPr>
        <w:t xml:space="preserve"> and its </w:t>
      </w:r>
      <w:r w:rsidRPr="00352D33">
        <w:rPr>
          <w:rFonts w:ascii="Calibri" w:hAnsi="Calibri" w:cs="Calibri"/>
          <w:sz w:val="24"/>
          <w:szCs w:val="24"/>
        </w:rPr>
        <w:t xml:space="preserve">uptake </w:t>
      </w:r>
      <w:r>
        <w:rPr>
          <w:rFonts w:ascii="Calibri" w:hAnsi="Calibri" w:cs="Calibri"/>
          <w:sz w:val="24"/>
          <w:szCs w:val="24"/>
        </w:rPr>
        <w:t xml:space="preserve">could </w:t>
      </w:r>
      <w:r w:rsidRPr="00352D33">
        <w:rPr>
          <w:rFonts w:ascii="Calibri" w:hAnsi="Calibri" w:cs="Calibri"/>
          <w:sz w:val="24"/>
          <w:szCs w:val="24"/>
        </w:rPr>
        <w:t>be voluntary</w:t>
      </w:r>
      <w:r>
        <w:rPr>
          <w:rFonts w:ascii="Calibri" w:hAnsi="Calibri" w:cs="Calibri"/>
          <w:sz w:val="24"/>
          <w:szCs w:val="24"/>
        </w:rPr>
        <w:t>.</w:t>
      </w:r>
      <w:r w:rsidRPr="00352D33">
        <w:rPr>
          <w:rFonts w:ascii="Calibri" w:hAnsi="Calibri" w:cs="Calibri"/>
          <w:sz w:val="24"/>
          <w:szCs w:val="24"/>
        </w:rPr>
        <w:t xml:space="preserve"> </w:t>
      </w:r>
    </w:p>
    <w:p w14:paraId="60A1BBB8" w14:textId="16E1DECB" w:rsidR="00BF61A6" w:rsidRPr="00C93CB8" w:rsidRDefault="00BF61A6" w:rsidP="00B34100">
      <w:pPr>
        <w:spacing w:line="360" w:lineRule="auto"/>
        <w:rPr>
          <w:rFonts w:ascii="Calibri" w:hAnsi="Calibri" w:cs="Calibri"/>
          <w:sz w:val="24"/>
          <w:szCs w:val="24"/>
        </w:rPr>
      </w:pPr>
      <w:r w:rsidRPr="00C93CB8">
        <w:rPr>
          <w:rFonts w:ascii="Calibri" w:hAnsi="Calibri" w:cs="Calibri"/>
          <w:sz w:val="24"/>
          <w:szCs w:val="24"/>
        </w:rPr>
        <w:t>To counteract mistrust</w:t>
      </w:r>
      <w:r w:rsidR="0064484C">
        <w:rPr>
          <w:rFonts w:ascii="Calibri" w:hAnsi="Calibri" w:cs="Calibri"/>
          <w:sz w:val="24"/>
          <w:szCs w:val="24"/>
        </w:rPr>
        <w:t>,</w:t>
      </w:r>
      <w:r w:rsidRPr="00C93CB8">
        <w:rPr>
          <w:rFonts w:ascii="Calibri" w:hAnsi="Calibri" w:cs="Calibri"/>
          <w:sz w:val="24"/>
          <w:szCs w:val="24"/>
        </w:rPr>
        <w:t xml:space="preserve"> teacher training might clarify the potential benefits of reflective dialogue with trusted and self-selected others. The self-selected element of learning support </w:t>
      </w:r>
      <w:r w:rsidRPr="00C93CB8">
        <w:rPr>
          <w:rFonts w:ascii="Calibri" w:hAnsi="Calibri" w:cs="Calibri"/>
          <w:sz w:val="24"/>
          <w:szCs w:val="24"/>
        </w:rPr>
        <w:lastRenderedPageBreak/>
        <w:t>mirrors Winnicott’s notion that a transitional object must be chosen by the child, or in this case by the teacher themselves.</w:t>
      </w:r>
      <w:r>
        <w:rPr>
          <w:rFonts w:ascii="Calibri" w:hAnsi="Calibri" w:cs="Calibri"/>
          <w:sz w:val="24"/>
          <w:szCs w:val="24"/>
        </w:rPr>
        <w:t xml:space="preserve"> Furthermore, teacher trainers could be advised by the recently created quality standards framework for supervision in education (Supervision in Education Network, 2025a), and training in supervision, samples of which are to be found in Appendix </w:t>
      </w:r>
      <w:r w:rsidR="00413DB2">
        <w:rPr>
          <w:rFonts w:ascii="Calibri" w:hAnsi="Calibri" w:cs="Calibri"/>
          <w:sz w:val="24"/>
          <w:szCs w:val="24"/>
        </w:rPr>
        <w:t>M</w:t>
      </w:r>
      <w:r>
        <w:rPr>
          <w:rFonts w:ascii="Calibri" w:hAnsi="Calibri" w:cs="Calibri"/>
          <w:sz w:val="24"/>
          <w:szCs w:val="24"/>
        </w:rPr>
        <w:t xml:space="preserve">. </w:t>
      </w:r>
    </w:p>
    <w:p w14:paraId="37AB5BD5" w14:textId="719427E5" w:rsidR="00BF61A6" w:rsidRDefault="00BF61A6" w:rsidP="00B34100">
      <w:pPr>
        <w:spacing w:line="360" w:lineRule="auto"/>
        <w:rPr>
          <w:rFonts w:ascii="Calibri" w:hAnsi="Calibri" w:cs="Calibri"/>
          <w:sz w:val="24"/>
          <w:szCs w:val="24"/>
        </w:rPr>
      </w:pPr>
      <w:r w:rsidRPr="007A3540">
        <w:rPr>
          <w:rFonts w:ascii="Calibri" w:hAnsi="Calibri" w:cs="Calibri"/>
          <w:sz w:val="24"/>
          <w:szCs w:val="24"/>
        </w:rPr>
        <w:t xml:space="preserve">Participants repeatedly </w:t>
      </w:r>
      <w:r w:rsidR="002C2AB6">
        <w:rPr>
          <w:rFonts w:ascii="Calibri" w:hAnsi="Calibri" w:cs="Calibri"/>
          <w:sz w:val="24"/>
          <w:szCs w:val="24"/>
        </w:rPr>
        <w:t xml:space="preserve">highlighted </w:t>
      </w:r>
      <w:r w:rsidRPr="007A3540">
        <w:rPr>
          <w:rFonts w:ascii="Calibri" w:hAnsi="Calibri" w:cs="Calibri"/>
          <w:sz w:val="24"/>
          <w:szCs w:val="24"/>
        </w:rPr>
        <w:t>that their reflective dialogue/support took place away from the gaze of their manager or employer</w:t>
      </w:r>
      <w:r>
        <w:rPr>
          <w:rFonts w:ascii="Calibri" w:hAnsi="Calibri" w:cs="Calibri"/>
          <w:sz w:val="24"/>
          <w:szCs w:val="24"/>
        </w:rPr>
        <w:t>.</w:t>
      </w:r>
      <w:r w:rsidRPr="007A3540">
        <w:rPr>
          <w:rFonts w:ascii="Calibri" w:hAnsi="Calibri" w:cs="Calibri"/>
          <w:sz w:val="24"/>
          <w:szCs w:val="24"/>
        </w:rPr>
        <w:t xml:space="preserve"> </w:t>
      </w:r>
      <w:r>
        <w:rPr>
          <w:rFonts w:ascii="Calibri" w:hAnsi="Calibri" w:cs="Calibri"/>
          <w:sz w:val="24"/>
          <w:szCs w:val="24"/>
        </w:rPr>
        <w:t>Non-judgemental</w:t>
      </w:r>
      <w:r w:rsidRPr="00B63103">
        <w:rPr>
          <w:rFonts w:ascii="Calibri" w:hAnsi="Calibri" w:cs="Calibri"/>
          <w:sz w:val="24"/>
          <w:szCs w:val="24"/>
        </w:rPr>
        <w:t xml:space="preserve"> support for processing and learning from stressful situations </w:t>
      </w:r>
      <w:r>
        <w:rPr>
          <w:rFonts w:ascii="Calibri" w:hAnsi="Calibri" w:cs="Calibri"/>
          <w:sz w:val="24"/>
          <w:szCs w:val="24"/>
        </w:rPr>
        <w:t>was identified by students (</w:t>
      </w:r>
      <w:r w:rsidRPr="00B63103">
        <w:rPr>
          <w:rFonts w:ascii="Calibri" w:hAnsi="Calibri" w:cs="Calibri"/>
          <w:sz w:val="24"/>
          <w:szCs w:val="24"/>
        </w:rPr>
        <w:t>Moeller and Chung-Yan</w:t>
      </w:r>
      <w:r>
        <w:rPr>
          <w:rFonts w:ascii="Calibri" w:hAnsi="Calibri" w:cs="Calibri"/>
          <w:sz w:val="24"/>
          <w:szCs w:val="24"/>
        </w:rPr>
        <w:t xml:space="preserve">, </w:t>
      </w:r>
      <w:r w:rsidRPr="00B63103">
        <w:rPr>
          <w:rFonts w:ascii="Calibri" w:hAnsi="Calibri" w:cs="Calibri"/>
          <w:sz w:val="24"/>
          <w:szCs w:val="24"/>
        </w:rPr>
        <w:t>2013)</w:t>
      </w:r>
      <w:r w:rsidR="0011221E">
        <w:rPr>
          <w:rFonts w:ascii="Calibri" w:hAnsi="Calibri" w:cs="Calibri"/>
          <w:sz w:val="24"/>
          <w:szCs w:val="24"/>
        </w:rPr>
        <w:t>,</w:t>
      </w:r>
      <w:r w:rsidRPr="00B63103">
        <w:rPr>
          <w:rFonts w:ascii="Calibri" w:hAnsi="Calibri" w:cs="Calibri"/>
          <w:sz w:val="24"/>
          <w:szCs w:val="24"/>
        </w:rPr>
        <w:t xml:space="preserve"> </w:t>
      </w:r>
      <w:r>
        <w:rPr>
          <w:rFonts w:ascii="Calibri" w:hAnsi="Calibri" w:cs="Calibri"/>
          <w:sz w:val="24"/>
          <w:szCs w:val="24"/>
        </w:rPr>
        <w:t xml:space="preserve">and the findings from the data extend to teachers </w:t>
      </w:r>
      <w:r w:rsidRPr="00AE6535">
        <w:rPr>
          <w:rFonts w:ascii="Calibri" w:hAnsi="Calibri" w:cs="Calibri"/>
          <w:sz w:val="24"/>
          <w:szCs w:val="24"/>
        </w:rPr>
        <w:t>by proposing that</w:t>
      </w:r>
      <w:r>
        <w:rPr>
          <w:rFonts w:ascii="Calibri" w:hAnsi="Calibri" w:cs="Calibri"/>
          <w:sz w:val="24"/>
          <w:szCs w:val="24"/>
        </w:rPr>
        <w:t xml:space="preserve"> a </w:t>
      </w:r>
      <w:r w:rsidRPr="0065292C">
        <w:rPr>
          <w:rFonts w:ascii="Calibri" w:hAnsi="Calibri" w:cs="Calibri"/>
          <w:sz w:val="24"/>
          <w:szCs w:val="24"/>
        </w:rPr>
        <w:t xml:space="preserve">Pedagogical Teacher Advocate (PTA) or Restorative Teaching Advocate (RTA) with a psycho-emotional focus </w:t>
      </w:r>
      <w:r w:rsidRPr="00AE6535">
        <w:rPr>
          <w:rFonts w:ascii="Calibri" w:hAnsi="Calibri" w:cs="Calibri"/>
          <w:sz w:val="24"/>
          <w:szCs w:val="24"/>
        </w:rPr>
        <w:t xml:space="preserve">could provide a psychological “safe haven” (Feeney and Collins, 2015, p.113) for the teacher to process their stories, feelings and the dynamics of the teaching work whilst </w:t>
      </w:r>
      <w:r w:rsidR="00100B83">
        <w:rPr>
          <w:rFonts w:ascii="Calibri" w:hAnsi="Calibri" w:cs="Calibri"/>
          <w:sz w:val="24"/>
          <w:szCs w:val="24"/>
        </w:rPr>
        <w:t>“</w:t>
      </w:r>
      <w:r w:rsidRPr="00AE6535">
        <w:rPr>
          <w:rFonts w:ascii="Calibri" w:hAnsi="Calibri" w:cs="Calibri"/>
          <w:sz w:val="24"/>
          <w:szCs w:val="24"/>
        </w:rPr>
        <w:t>having their back</w:t>
      </w:r>
      <w:r w:rsidR="00100B83">
        <w:rPr>
          <w:rFonts w:ascii="Calibri" w:hAnsi="Calibri" w:cs="Calibri"/>
          <w:sz w:val="24"/>
          <w:szCs w:val="24"/>
        </w:rPr>
        <w:t>”</w:t>
      </w:r>
      <w:r w:rsidR="00723AFB">
        <w:rPr>
          <w:rFonts w:ascii="Calibri" w:hAnsi="Calibri" w:cs="Calibri"/>
          <w:sz w:val="24"/>
          <w:szCs w:val="24"/>
        </w:rPr>
        <w:t xml:space="preserve"> (Killian, 2008)</w:t>
      </w:r>
      <w:r w:rsidRPr="00AE6535">
        <w:rPr>
          <w:rFonts w:ascii="Calibri" w:hAnsi="Calibri" w:cs="Calibri"/>
          <w:sz w:val="24"/>
          <w:szCs w:val="24"/>
        </w:rPr>
        <w:t xml:space="preserve">. </w:t>
      </w:r>
      <w:r w:rsidRPr="007A3540">
        <w:rPr>
          <w:rFonts w:ascii="Calibri" w:hAnsi="Calibri" w:cs="Calibri"/>
          <w:sz w:val="24"/>
          <w:szCs w:val="24"/>
        </w:rPr>
        <w:t>I see th</w:t>
      </w:r>
      <w:r>
        <w:rPr>
          <w:rFonts w:ascii="Calibri" w:hAnsi="Calibri" w:cs="Calibri"/>
          <w:sz w:val="24"/>
          <w:szCs w:val="24"/>
        </w:rPr>
        <w:t>is</w:t>
      </w:r>
      <w:r w:rsidRPr="007A3540">
        <w:rPr>
          <w:rFonts w:ascii="Calibri" w:hAnsi="Calibri" w:cs="Calibri"/>
          <w:sz w:val="24"/>
          <w:szCs w:val="24"/>
        </w:rPr>
        <w:t xml:space="preserve"> offering as a moral duty to support the welfare and well-being of HE teachers</w:t>
      </w:r>
      <w:r>
        <w:rPr>
          <w:rFonts w:ascii="Calibri" w:hAnsi="Calibri" w:cs="Calibri"/>
          <w:sz w:val="24"/>
          <w:szCs w:val="24"/>
        </w:rPr>
        <w:t>, and as a cautionary note, any advocate would need to be independent of the university employ.</w:t>
      </w:r>
      <w:r w:rsidRPr="00F62367">
        <w:rPr>
          <w:rFonts w:ascii="Calibri" w:hAnsi="Calibri" w:cs="Calibri"/>
          <w:sz w:val="24"/>
          <w:szCs w:val="24"/>
        </w:rPr>
        <w:t xml:space="preserve"> Briggs (2021) has highlighted the importance of the supervisor being independent of institution-imposed support, and I fully concur as </w:t>
      </w:r>
      <w:r w:rsidR="00D766A7">
        <w:rPr>
          <w:rFonts w:ascii="Calibri" w:hAnsi="Calibri" w:cs="Calibri"/>
          <w:sz w:val="24"/>
          <w:szCs w:val="24"/>
        </w:rPr>
        <w:t xml:space="preserve">employing </w:t>
      </w:r>
      <w:r w:rsidRPr="00F62367">
        <w:rPr>
          <w:rFonts w:ascii="Calibri" w:hAnsi="Calibri" w:cs="Calibri"/>
          <w:sz w:val="24"/>
          <w:szCs w:val="24"/>
        </w:rPr>
        <w:t xml:space="preserve">a colleague or manager </w:t>
      </w:r>
      <w:r w:rsidR="00D766A7">
        <w:rPr>
          <w:rFonts w:ascii="Calibri" w:hAnsi="Calibri" w:cs="Calibri"/>
          <w:sz w:val="24"/>
          <w:szCs w:val="24"/>
        </w:rPr>
        <w:t>in this role</w:t>
      </w:r>
      <w:r w:rsidRPr="00F62367">
        <w:rPr>
          <w:rFonts w:ascii="Calibri" w:hAnsi="Calibri" w:cs="Calibri"/>
          <w:sz w:val="24"/>
          <w:szCs w:val="24"/>
        </w:rPr>
        <w:t xml:space="preserve"> could prove problematic</w:t>
      </w:r>
      <w:r w:rsidR="003920E4">
        <w:rPr>
          <w:rFonts w:ascii="Calibri" w:hAnsi="Calibri" w:cs="Calibri"/>
          <w:sz w:val="24"/>
          <w:szCs w:val="24"/>
        </w:rPr>
        <w:t xml:space="preserve"> due to internal politics</w:t>
      </w:r>
      <w:r>
        <w:rPr>
          <w:rFonts w:ascii="Calibri" w:hAnsi="Calibri" w:cs="Calibri"/>
          <w:sz w:val="24"/>
          <w:szCs w:val="24"/>
        </w:rPr>
        <w:t>.</w:t>
      </w:r>
      <w:r w:rsidRPr="00427D93">
        <w:rPr>
          <w:rFonts w:ascii="Calibri" w:hAnsi="Calibri" w:cs="Calibri"/>
          <w:sz w:val="24"/>
          <w:szCs w:val="24"/>
        </w:rPr>
        <w:t xml:space="preserve"> </w:t>
      </w:r>
    </w:p>
    <w:p w14:paraId="09448502" w14:textId="28058D46" w:rsidR="006F71F5" w:rsidRPr="000B1C04" w:rsidRDefault="000B1C04" w:rsidP="00B34100">
      <w:pPr>
        <w:spacing w:line="360" w:lineRule="auto"/>
        <w:rPr>
          <w:rFonts w:ascii="Calibri" w:hAnsi="Calibri" w:cs="Calibri"/>
          <w:b/>
          <w:bCs/>
          <w:color w:val="C00000"/>
          <w:sz w:val="24"/>
          <w:szCs w:val="24"/>
        </w:rPr>
      </w:pPr>
      <w:r w:rsidRPr="000B1C04">
        <w:rPr>
          <w:rFonts w:ascii="Calibri" w:hAnsi="Calibri" w:cs="Calibri"/>
          <w:b/>
          <w:bCs/>
          <w:sz w:val="24"/>
          <w:szCs w:val="24"/>
        </w:rPr>
        <w:t>Gathering</w:t>
      </w:r>
    </w:p>
    <w:p w14:paraId="43EED9FD" w14:textId="4206C354" w:rsidR="00BF61A6" w:rsidRPr="007C5468" w:rsidRDefault="00BF61A6" w:rsidP="00B34100">
      <w:pPr>
        <w:spacing w:line="360" w:lineRule="auto"/>
        <w:rPr>
          <w:rFonts w:ascii="Calibri" w:hAnsi="Calibri" w:cs="Calibri"/>
          <w:sz w:val="24"/>
          <w:szCs w:val="24"/>
        </w:rPr>
      </w:pPr>
      <w:r w:rsidRPr="00A73DC0">
        <w:rPr>
          <w:rFonts w:ascii="Calibri" w:hAnsi="Calibri" w:cs="Calibri"/>
          <w:sz w:val="24"/>
          <w:szCs w:val="24"/>
        </w:rPr>
        <w:t xml:space="preserve">Reflective practice as a method to improve teaching work was identified as not being its sole function, reflection can be restorative, developmental and act as a support, self-care and self-protection mechanism. </w:t>
      </w:r>
      <w:r w:rsidRPr="00372EFA">
        <w:rPr>
          <w:rFonts w:ascii="Calibri" w:hAnsi="Calibri" w:cs="Calibri"/>
          <w:sz w:val="24"/>
          <w:szCs w:val="24"/>
        </w:rPr>
        <w:t>A key finding in this study indicates tha</w:t>
      </w:r>
      <w:r>
        <w:rPr>
          <w:rFonts w:ascii="Calibri" w:hAnsi="Calibri" w:cs="Calibri"/>
          <w:sz w:val="24"/>
          <w:szCs w:val="24"/>
        </w:rPr>
        <w:t>t</w:t>
      </w:r>
      <w:r w:rsidRPr="00372EFA">
        <w:rPr>
          <w:rFonts w:ascii="Calibri" w:hAnsi="Calibri" w:cs="Calibri"/>
          <w:sz w:val="24"/>
          <w:szCs w:val="24"/>
        </w:rPr>
        <w:t xml:space="preserve"> informal and/or structured reflective practice can be an effective supplement to teaching methods a</w:t>
      </w:r>
      <w:r w:rsidR="005F5111">
        <w:rPr>
          <w:rFonts w:ascii="Calibri" w:hAnsi="Calibri" w:cs="Calibri"/>
          <w:sz w:val="24"/>
          <w:szCs w:val="24"/>
        </w:rPr>
        <w:t xml:space="preserve">nd </w:t>
      </w:r>
      <w:r w:rsidRPr="00372EFA">
        <w:rPr>
          <w:rFonts w:ascii="Calibri" w:hAnsi="Calibri" w:cs="Calibri"/>
          <w:sz w:val="24"/>
          <w:szCs w:val="24"/>
        </w:rPr>
        <w:t>self-care</w:t>
      </w:r>
      <w:r>
        <w:rPr>
          <w:rFonts w:ascii="Calibri" w:hAnsi="Calibri" w:cs="Calibri"/>
          <w:sz w:val="24"/>
          <w:szCs w:val="24"/>
        </w:rPr>
        <w:t xml:space="preserve">. Reflective practice that is held within a structural offering of supervision </w:t>
      </w:r>
      <w:r w:rsidRPr="00372EFA">
        <w:rPr>
          <w:rFonts w:ascii="Calibri" w:hAnsi="Calibri" w:cs="Calibri"/>
          <w:sz w:val="24"/>
          <w:szCs w:val="24"/>
        </w:rPr>
        <w:t xml:space="preserve">could bridge the </w:t>
      </w:r>
      <w:r>
        <w:rPr>
          <w:rFonts w:ascii="Calibri" w:hAnsi="Calibri" w:cs="Calibri"/>
          <w:sz w:val="24"/>
          <w:szCs w:val="24"/>
        </w:rPr>
        <w:t xml:space="preserve">current </w:t>
      </w:r>
      <w:r w:rsidRPr="00372EFA">
        <w:rPr>
          <w:rFonts w:ascii="Calibri" w:hAnsi="Calibri" w:cs="Calibri"/>
          <w:sz w:val="24"/>
          <w:szCs w:val="24"/>
        </w:rPr>
        <w:t xml:space="preserve">gap in welfare provision and </w:t>
      </w:r>
      <w:r>
        <w:rPr>
          <w:rFonts w:ascii="Calibri" w:hAnsi="Calibri" w:cs="Calibri"/>
          <w:sz w:val="24"/>
          <w:szCs w:val="24"/>
        </w:rPr>
        <w:t xml:space="preserve">provide </w:t>
      </w:r>
      <w:r w:rsidRPr="00372EFA">
        <w:rPr>
          <w:rFonts w:ascii="Calibri" w:hAnsi="Calibri" w:cs="Calibri"/>
          <w:sz w:val="24"/>
          <w:szCs w:val="24"/>
        </w:rPr>
        <w:t xml:space="preserve">support </w:t>
      </w:r>
      <w:r>
        <w:rPr>
          <w:rFonts w:ascii="Calibri" w:hAnsi="Calibri" w:cs="Calibri"/>
          <w:sz w:val="24"/>
          <w:szCs w:val="24"/>
        </w:rPr>
        <w:t xml:space="preserve">for </w:t>
      </w:r>
      <w:r w:rsidRPr="00372EFA">
        <w:rPr>
          <w:rFonts w:ascii="Calibri" w:hAnsi="Calibri" w:cs="Calibri"/>
          <w:sz w:val="24"/>
          <w:szCs w:val="24"/>
        </w:rPr>
        <w:t xml:space="preserve">trainee and seasoned teachers. </w:t>
      </w:r>
    </w:p>
    <w:p w14:paraId="3D2D900F" w14:textId="77777777" w:rsidR="00BF61A6" w:rsidRPr="00C55827" w:rsidRDefault="00BF61A6" w:rsidP="00B34100">
      <w:pPr>
        <w:spacing w:line="360" w:lineRule="auto"/>
        <w:rPr>
          <w:rFonts w:ascii="Calibri" w:hAnsi="Calibri" w:cs="Calibri"/>
          <w:b/>
          <w:bCs/>
          <w:sz w:val="24"/>
          <w:szCs w:val="24"/>
        </w:rPr>
      </w:pPr>
      <w:r w:rsidRPr="00C55827">
        <w:rPr>
          <w:rFonts w:ascii="Calibri" w:hAnsi="Calibri" w:cs="Calibri"/>
          <w:b/>
          <w:bCs/>
          <w:sz w:val="24"/>
          <w:szCs w:val="24"/>
        </w:rPr>
        <w:t>Individuation and The Return</w:t>
      </w:r>
    </w:p>
    <w:p w14:paraId="17FC5E6D" w14:textId="77777777" w:rsidR="00BF61A6" w:rsidRDefault="00BF61A6" w:rsidP="00B34100">
      <w:pPr>
        <w:spacing w:line="360" w:lineRule="auto"/>
        <w:rPr>
          <w:rFonts w:ascii="Calibri" w:hAnsi="Calibri" w:cs="Calibri"/>
          <w:sz w:val="24"/>
          <w:szCs w:val="24"/>
        </w:rPr>
      </w:pPr>
      <w:r w:rsidRPr="00372EFA">
        <w:rPr>
          <w:rFonts w:ascii="Calibri" w:hAnsi="Calibri" w:cs="Calibri"/>
          <w:sz w:val="24"/>
          <w:szCs w:val="24"/>
        </w:rPr>
        <w:t xml:space="preserve">The overall </w:t>
      </w:r>
      <w:r>
        <w:rPr>
          <w:rFonts w:ascii="Calibri" w:hAnsi="Calibri" w:cs="Calibri"/>
          <w:sz w:val="24"/>
          <w:szCs w:val="24"/>
        </w:rPr>
        <w:t>findings have relevance</w:t>
      </w:r>
      <w:r w:rsidRPr="00372EFA">
        <w:rPr>
          <w:rFonts w:ascii="Calibri" w:hAnsi="Calibri" w:cs="Calibri"/>
          <w:sz w:val="24"/>
          <w:szCs w:val="24"/>
        </w:rPr>
        <w:t xml:space="preserve"> for the individuation of the wider pedagogic landscape and</w:t>
      </w:r>
      <w:r>
        <w:rPr>
          <w:rFonts w:ascii="Calibri" w:hAnsi="Calibri" w:cs="Calibri"/>
          <w:sz w:val="24"/>
          <w:szCs w:val="24"/>
        </w:rPr>
        <w:t xml:space="preserve"> suggest </w:t>
      </w:r>
      <w:r w:rsidRPr="00372EFA">
        <w:rPr>
          <w:rFonts w:ascii="Calibri" w:hAnsi="Calibri" w:cs="Calibri"/>
          <w:sz w:val="24"/>
          <w:szCs w:val="24"/>
        </w:rPr>
        <w:t>the university might undertake</w:t>
      </w:r>
      <w:r>
        <w:rPr>
          <w:rFonts w:ascii="Calibri" w:hAnsi="Calibri" w:cs="Calibri"/>
          <w:sz w:val="24"/>
          <w:szCs w:val="24"/>
        </w:rPr>
        <w:t xml:space="preserve"> some modifications to their approach to teacher well-being</w:t>
      </w:r>
      <w:r w:rsidRPr="00372EFA">
        <w:rPr>
          <w:rFonts w:ascii="Calibri" w:hAnsi="Calibri" w:cs="Calibri"/>
          <w:sz w:val="24"/>
          <w:szCs w:val="24"/>
        </w:rPr>
        <w:t>.</w:t>
      </w:r>
      <w:r w:rsidRPr="00CA2E41">
        <w:rPr>
          <w:rFonts w:ascii="Calibri" w:hAnsi="Calibri" w:cs="Calibri"/>
          <w:sz w:val="24"/>
          <w:szCs w:val="24"/>
        </w:rPr>
        <w:t xml:space="preserve"> </w:t>
      </w:r>
      <w:r w:rsidRPr="00875319">
        <w:rPr>
          <w:rFonts w:ascii="Calibri" w:hAnsi="Calibri" w:cs="Calibri"/>
          <w:sz w:val="24"/>
          <w:szCs w:val="24"/>
        </w:rPr>
        <w:t xml:space="preserve">In answering the research questions and capturing and exploring what was known previously about teachers, their emotions, and reflective practice, the findings </w:t>
      </w:r>
      <w:r w:rsidRPr="00875319">
        <w:rPr>
          <w:rFonts w:ascii="Calibri" w:hAnsi="Calibri" w:cs="Calibri"/>
          <w:sz w:val="24"/>
          <w:szCs w:val="24"/>
        </w:rPr>
        <w:lastRenderedPageBreak/>
        <w:t xml:space="preserve">identified that a holding/support space for HE teachers’ emotions and processes is not embedded as standard. </w:t>
      </w:r>
    </w:p>
    <w:p w14:paraId="023BDFE5" w14:textId="4190A189" w:rsidR="00BF61A6" w:rsidRDefault="00BF61A6" w:rsidP="00B34100">
      <w:pPr>
        <w:spacing w:line="360" w:lineRule="auto"/>
        <w:rPr>
          <w:rFonts w:ascii="Calibri" w:hAnsi="Calibri" w:cs="Calibri"/>
          <w:sz w:val="24"/>
          <w:szCs w:val="24"/>
        </w:rPr>
      </w:pPr>
      <w:r w:rsidRPr="00EE68D8">
        <w:rPr>
          <w:rFonts w:ascii="Calibri" w:hAnsi="Calibri" w:cs="Calibri"/>
          <w:sz w:val="24"/>
          <w:szCs w:val="24"/>
        </w:rPr>
        <w:t xml:space="preserve">What has emerged from the discussion is that </w:t>
      </w:r>
      <w:r>
        <w:rPr>
          <w:rFonts w:ascii="Calibri" w:hAnsi="Calibri" w:cs="Calibri"/>
          <w:sz w:val="24"/>
          <w:szCs w:val="24"/>
        </w:rPr>
        <w:t>t</w:t>
      </w:r>
      <w:r w:rsidRPr="00EE68D8">
        <w:rPr>
          <w:rFonts w:ascii="Calibri" w:hAnsi="Calibri" w:cs="Calibri"/>
          <w:sz w:val="24"/>
          <w:szCs w:val="24"/>
        </w:rPr>
        <w:t>o fulfil their pastoral, holding duties, teachers need to be held,</w:t>
      </w:r>
      <w:r>
        <w:rPr>
          <w:rFonts w:ascii="Calibri" w:hAnsi="Calibri" w:cs="Calibri"/>
          <w:sz w:val="24"/>
          <w:szCs w:val="24"/>
        </w:rPr>
        <w:t xml:space="preserve"> and</w:t>
      </w:r>
      <w:r w:rsidR="00835960">
        <w:rPr>
          <w:rFonts w:ascii="Calibri" w:hAnsi="Calibri" w:cs="Calibri"/>
          <w:sz w:val="24"/>
          <w:szCs w:val="24"/>
        </w:rPr>
        <w:t xml:space="preserve"> </w:t>
      </w:r>
      <w:r w:rsidRPr="00EE68D8">
        <w:rPr>
          <w:rFonts w:ascii="Calibri" w:hAnsi="Calibri" w:cs="Calibri"/>
          <w:sz w:val="24"/>
          <w:szCs w:val="24"/>
        </w:rPr>
        <w:t xml:space="preserve">the features, characteristics and nature of </w:t>
      </w:r>
      <w:r>
        <w:rPr>
          <w:rFonts w:ascii="Calibri" w:hAnsi="Calibri" w:cs="Calibri"/>
          <w:sz w:val="24"/>
          <w:szCs w:val="24"/>
        </w:rPr>
        <w:t>support provision</w:t>
      </w:r>
      <w:r w:rsidR="00E07CD2">
        <w:rPr>
          <w:rFonts w:ascii="Calibri" w:hAnsi="Calibri" w:cs="Calibri"/>
          <w:sz w:val="24"/>
          <w:szCs w:val="24"/>
        </w:rPr>
        <w:t xml:space="preserve"> must </w:t>
      </w:r>
      <w:r w:rsidR="00376C6A">
        <w:rPr>
          <w:rFonts w:ascii="Calibri" w:hAnsi="Calibri" w:cs="Calibri"/>
          <w:sz w:val="24"/>
          <w:szCs w:val="24"/>
        </w:rPr>
        <w:t>contain an ethic of care (Noddings, 2002)</w:t>
      </w:r>
      <w:r>
        <w:rPr>
          <w:rFonts w:ascii="Calibri" w:hAnsi="Calibri" w:cs="Calibri"/>
          <w:sz w:val="24"/>
          <w:szCs w:val="24"/>
        </w:rPr>
        <w:t xml:space="preserve">. </w:t>
      </w:r>
      <w:r w:rsidRPr="00EE68D8">
        <w:rPr>
          <w:rFonts w:ascii="Calibri" w:hAnsi="Calibri" w:cs="Calibri"/>
          <w:sz w:val="24"/>
          <w:szCs w:val="24"/>
        </w:rPr>
        <w:t xml:space="preserve">Holding is not simply a </w:t>
      </w:r>
      <w:r>
        <w:rPr>
          <w:rFonts w:ascii="Calibri" w:hAnsi="Calibri" w:cs="Calibri"/>
          <w:sz w:val="24"/>
          <w:szCs w:val="24"/>
        </w:rPr>
        <w:t xml:space="preserve">support </w:t>
      </w:r>
      <w:r w:rsidRPr="00EE68D8">
        <w:rPr>
          <w:rFonts w:ascii="Calibri" w:hAnsi="Calibri" w:cs="Calibri"/>
          <w:sz w:val="24"/>
          <w:szCs w:val="24"/>
        </w:rPr>
        <w:t>concept; it is an ontology and philosophy that aids in the individuation of learning. Regardless of the aetiology</w:t>
      </w:r>
      <w:r>
        <w:rPr>
          <w:rFonts w:ascii="Calibri" w:hAnsi="Calibri" w:cs="Calibri"/>
          <w:sz w:val="24"/>
          <w:szCs w:val="24"/>
        </w:rPr>
        <w:t xml:space="preserve"> </w:t>
      </w:r>
      <w:r w:rsidRPr="00EE68D8">
        <w:rPr>
          <w:rFonts w:ascii="Calibri" w:hAnsi="Calibri" w:cs="Calibri"/>
          <w:sz w:val="24"/>
          <w:szCs w:val="24"/>
        </w:rPr>
        <w:t>of a well-being crisis in education, as this study has made apparent, students need support to learn, and teachers need support to teach.</w:t>
      </w:r>
      <w:r>
        <w:rPr>
          <w:rFonts w:ascii="Calibri" w:hAnsi="Calibri" w:cs="Calibri"/>
          <w:sz w:val="24"/>
          <w:szCs w:val="24"/>
        </w:rPr>
        <w:t xml:space="preserve"> </w:t>
      </w:r>
    </w:p>
    <w:p w14:paraId="64CC769C" w14:textId="77777777" w:rsidR="000834AE" w:rsidRDefault="00BF61A6" w:rsidP="00657DF9">
      <w:pPr>
        <w:spacing w:line="360" w:lineRule="auto"/>
        <w:rPr>
          <w:rFonts w:ascii="Calibri" w:hAnsi="Calibri" w:cs="Calibri"/>
          <w:sz w:val="24"/>
          <w:szCs w:val="24"/>
        </w:rPr>
      </w:pPr>
      <w:r w:rsidRPr="009C706D">
        <w:rPr>
          <w:rFonts w:ascii="Calibri" w:hAnsi="Calibri" w:cs="Calibri"/>
          <w:sz w:val="24"/>
          <w:szCs w:val="24"/>
        </w:rPr>
        <w:t xml:space="preserve">By inviting the psychosocial and psychopedagogy into the light, this study suggests that a return to traditional wisdom (Bowlby, 1988) of valuing support and emotions is important.  </w:t>
      </w:r>
      <w:r>
        <w:rPr>
          <w:rFonts w:ascii="Calibri" w:hAnsi="Calibri" w:cs="Calibri"/>
          <w:sz w:val="24"/>
          <w:szCs w:val="24"/>
        </w:rPr>
        <w:t xml:space="preserve">As a </w:t>
      </w:r>
      <w:r w:rsidRPr="003C0025">
        <w:rPr>
          <w:rFonts w:ascii="Calibri" w:hAnsi="Calibri" w:cs="Calibri"/>
          <w:sz w:val="24"/>
          <w:szCs w:val="24"/>
        </w:rPr>
        <w:t>contribution to practice</w:t>
      </w:r>
      <w:r>
        <w:rPr>
          <w:rFonts w:ascii="Calibri" w:hAnsi="Calibri" w:cs="Calibri"/>
          <w:sz w:val="24"/>
          <w:szCs w:val="24"/>
        </w:rPr>
        <w:t>, t</w:t>
      </w:r>
      <w:r w:rsidRPr="00484250">
        <w:rPr>
          <w:rFonts w:ascii="Calibri" w:hAnsi="Calibri" w:cs="Calibri"/>
          <w:sz w:val="24"/>
          <w:szCs w:val="24"/>
        </w:rPr>
        <w:t xml:space="preserve">he findings are </w:t>
      </w:r>
      <w:r>
        <w:rPr>
          <w:rFonts w:ascii="Calibri" w:hAnsi="Calibri" w:cs="Calibri"/>
          <w:sz w:val="24"/>
          <w:szCs w:val="24"/>
        </w:rPr>
        <w:t xml:space="preserve">a </w:t>
      </w:r>
      <w:r w:rsidRPr="00484250">
        <w:rPr>
          <w:rFonts w:ascii="Calibri" w:hAnsi="Calibri" w:cs="Calibri"/>
          <w:sz w:val="24"/>
          <w:szCs w:val="24"/>
        </w:rPr>
        <w:t>significant</w:t>
      </w:r>
      <w:r>
        <w:rPr>
          <w:rFonts w:ascii="Calibri" w:hAnsi="Calibri" w:cs="Calibri"/>
          <w:sz w:val="24"/>
          <w:szCs w:val="24"/>
        </w:rPr>
        <w:t xml:space="preserve"> challenge</w:t>
      </w:r>
      <w:r w:rsidRPr="00484250">
        <w:rPr>
          <w:rFonts w:ascii="Calibri" w:hAnsi="Calibri" w:cs="Calibri"/>
          <w:sz w:val="24"/>
          <w:szCs w:val="24"/>
        </w:rPr>
        <w:t xml:space="preserve"> to the wider cultural, political and social milieu of the university</w:t>
      </w:r>
      <w:r>
        <w:rPr>
          <w:rFonts w:ascii="Calibri" w:hAnsi="Calibri" w:cs="Calibri"/>
          <w:sz w:val="24"/>
          <w:szCs w:val="24"/>
        </w:rPr>
        <w:t xml:space="preserve"> as this </w:t>
      </w:r>
      <w:r w:rsidRPr="00484250">
        <w:rPr>
          <w:rFonts w:ascii="Calibri" w:hAnsi="Calibri" w:cs="Calibri"/>
          <w:sz w:val="24"/>
          <w:szCs w:val="24"/>
        </w:rPr>
        <w:t>stud</w:t>
      </w:r>
      <w:r>
        <w:rPr>
          <w:rFonts w:ascii="Calibri" w:hAnsi="Calibri" w:cs="Calibri"/>
          <w:sz w:val="24"/>
          <w:szCs w:val="24"/>
        </w:rPr>
        <w:t xml:space="preserve">y is dispelling </w:t>
      </w:r>
      <w:r w:rsidRPr="00AB5F8D">
        <w:rPr>
          <w:rFonts w:ascii="Calibri" w:hAnsi="Calibri" w:cs="Calibri"/>
          <w:sz w:val="24"/>
          <w:szCs w:val="24"/>
        </w:rPr>
        <w:t xml:space="preserve">an implicit cultural norm of denigrating vulnerability and </w:t>
      </w:r>
      <w:r>
        <w:rPr>
          <w:rFonts w:ascii="Calibri" w:hAnsi="Calibri" w:cs="Calibri"/>
          <w:sz w:val="24"/>
          <w:szCs w:val="24"/>
        </w:rPr>
        <w:t xml:space="preserve">a myth </w:t>
      </w:r>
      <w:r w:rsidRPr="00AB5F8D">
        <w:rPr>
          <w:rFonts w:ascii="Calibri" w:hAnsi="Calibri" w:cs="Calibri"/>
          <w:sz w:val="24"/>
          <w:szCs w:val="24"/>
        </w:rPr>
        <w:t>of resilience in adults</w:t>
      </w:r>
      <w:r>
        <w:rPr>
          <w:rFonts w:ascii="Calibri" w:hAnsi="Calibri" w:cs="Calibri"/>
          <w:sz w:val="24"/>
          <w:szCs w:val="24"/>
        </w:rPr>
        <w:t xml:space="preserve">. </w:t>
      </w:r>
      <w:r w:rsidRPr="00484250">
        <w:rPr>
          <w:rFonts w:ascii="Calibri" w:hAnsi="Calibri" w:cs="Calibri"/>
          <w:sz w:val="24"/>
          <w:szCs w:val="24"/>
        </w:rPr>
        <w:t xml:space="preserve">Harpur (2002) sees myths as ubiquitously applied cultural templates: “We cannot think without them, because they provide the structures which determine the way we think in the first instance” (p.75). </w:t>
      </w:r>
    </w:p>
    <w:p w14:paraId="4364377E" w14:textId="694B5292" w:rsidR="00B336FC" w:rsidRPr="00B336FC" w:rsidRDefault="00BF61A6" w:rsidP="00B336FC">
      <w:pPr>
        <w:spacing w:line="360" w:lineRule="auto"/>
        <w:rPr>
          <w:rFonts w:ascii="Calibri" w:hAnsi="Calibri" w:cs="Calibri"/>
          <w:sz w:val="24"/>
          <w:szCs w:val="24"/>
        </w:rPr>
      </w:pPr>
      <w:r w:rsidRPr="00484250">
        <w:rPr>
          <w:rFonts w:ascii="Calibri" w:hAnsi="Calibri" w:cs="Calibri"/>
          <w:sz w:val="24"/>
          <w:szCs w:val="24"/>
        </w:rPr>
        <w:t>This research has sought a new story that can live and breathe (Frank, 2010)</w:t>
      </w:r>
      <w:r>
        <w:rPr>
          <w:rFonts w:ascii="Calibri" w:hAnsi="Calibri" w:cs="Calibri"/>
          <w:sz w:val="24"/>
          <w:szCs w:val="24"/>
        </w:rPr>
        <w:t xml:space="preserve"> and</w:t>
      </w:r>
      <w:r w:rsidRPr="00484250">
        <w:rPr>
          <w:rFonts w:ascii="Calibri" w:hAnsi="Calibri" w:cs="Calibri"/>
          <w:sz w:val="24"/>
          <w:szCs w:val="24"/>
        </w:rPr>
        <w:t xml:space="preserve"> challenge </w:t>
      </w:r>
      <w:r>
        <w:rPr>
          <w:rFonts w:ascii="Calibri" w:hAnsi="Calibri" w:cs="Calibri"/>
          <w:sz w:val="24"/>
          <w:szCs w:val="24"/>
        </w:rPr>
        <w:t xml:space="preserve">systemic </w:t>
      </w:r>
      <w:r w:rsidRPr="00484250">
        <w:rPr>
          <w:rFonts w:ascii="Calibri" w:hAnsi="Calibri" w:cs="Calibri"/>
          <w:sz w:val="24"/>
          <w:szCs w:val="24"/>
        </w:rPr>
        <w:t>myths</w:t>
      </w:r>
      <w:r>
        <w:rPr>
          <w:rFonts w:ascii="Calibri" w:hAnsi="Calibri" w:cs="Calibri"/>
          <w:sz w:val="24"/>
          <w:szCs w:val="24"/>
        </w:rPr>
        <w:t xml:space="preserve"> that perpetuate fixed perceptions and archetypes.</w:t>
      </w:r>
      <w:r w:rsidRPr="00D13817">
        <w:rPr>
          <w:rFonts w:ascii="Calibri" w:hAnsi="Calibri" w:cs="Calibri"/>
          <w:sz w:val="24"/>
          <w:szCs w:val="24"/>
        </w:rPr>
        <w:t xml:space="preserve"> If we remain wedded to ideologies, theories and political drivers in teaching that extol a resilience narrative and view teachers as archetypes, the relational, an ethic of care </w:t>
      </w:r>
      <w:r w:rsidR="002D2956">
        <w:rPr>
          <w:rFonts w:ascii="Calibri" w:hAnsi="Calibri" w:cs="Calibri"/>
          <w:sz w:val="24"/>
          <w:szCs w:val="24"/>
        </w:rPr>
        <w:t xml:space="preserve">(Noddings, 2002) </w:t>
      </w:r>
      <w:r w:rsidRPr="00D13817">
        <w:rPr>
          <w:rFonts w:ascii="Calibri" w:hAnsi="Calibri" w:cs="Calibri"/>
          <w:sz w:val="24"/>
          <w:szCs w:val="24"/>
        </w:rPr>
        <w:t xml:space="preserve">and the psychosocial realms of pedagogy will stay in the shadows, and ruins. </w:t>
      </w:r>
      <w:r w:rsidRPr="00657DF9">
        <w:rPr>
          <w:rFonts w:ascii="Calibri" w:hAnsi="Calibri" w:cs="Calibri"/>
          <w:sz w:val="24"/>
          <w:szCs w:val="24"/>
        </w:rPr>
        <w:t xml:space="preserve">THIS is the dragon this study sought to slay or at least present as being another perspective. </w:t>
      </w:r>
      <w:r w:rsidR="00B336FC" w:rsidRPr="00B336FC">
        <w:rPr>
          <w:rFonts w:ascii="Calibri" w:hAnsi="Calibri" w:cs="Calibri"/>
          <w:sz w:val="24"/>
          <w:szCs w:val="24"/>
        </w:rPr>
        <w:t xml:space="preserve">In the tale of Cinderella (Grimm and Grimm, 1869) the protagonist’s stepsisters and stepmother tasked her with separating the dried lentils from the peas, and this study has highlighted there are other grains to be found which may make for an interesting soup in the future. There follows a short reflective piece after which the concluding chapter (Chapter </w:t>
      </w:r>
      <w:r w:rsidR="00863FC4">
        <w:rPr>
          <w:rFonts w:ascii="Calibri" w:hAnsi="Calibri" w:cs="Calibri"/>
          <w:sz w:val="24"/>
          <w:szCs w:val="24"/>
        </w:rPr>
        <w:t>Nine</w:t>
      </w:r>
      <w:r w:rsidR="00B336FC" w:rsidRPr="00B336FC">
        <w:rPr>
          <w:rFonts w:ascii="Calibri" w:hAnsi="Calibri" w:cs="Calibri"/>
          <w:sz w:val="24"/>
          <w:szCs w:val="24"/>
        </w:rPr>
        <w:t xml:space="preserve">) takes a look at future ingredients in this interesting soup.  </w:t>
      </w:r>
    </w:p>
    <w:p w14:paraId="69623D6D" w14:textId="77777777" w:rsidR="00B336FC" w:rsidRDefault="00B336FC" w:rsidP="0070651F">
      <w:pPr>
        <w:rPr>
          <w:rFonts w:ascii="Calibri" w:hAnsi="Calibri" w:cs="Calibri"/>
          <w:sz w:val="24"/>
          <w:szCs w:val="24"/>
        </w:rPr>
      </w:pPr>
    </w:p>
    <w:p w14:paraId="233651C2" w14:textId="77777777" w:rsidR="000B1C04" w:rsidRDefault="000B1C04" w:rsidP="0070651F">
      <w:pPr>
        <w:rPr>
          <w:rFonts w:ascii="Source Sans Pro" w:hAnsi="Source Sans Pro" w:cstheme="majorBidi"/>
          <w:sz w:val="24"/>
          <w:szCs w:val="24"/>
        </w:rPr>
      </w:pPr>
    </w:p>
    <w:p w14:paraId="70EFE822" w14:textId="77777777" w:rsidR="00BE5765" w:rsidRDefault="00BE5765" w:rsidP="0070651F">
      <w:pPr>
        <w:rPr>
          <w:rFonts w:ascii="Source Sans Pro" w:hAnsi="Source Sans Pro" w:cstheme="majorBidi"/>
          <w:sz w:val="24"/>
          <w:szCs w:val="24"/>
        </w:rPr>
      </w:pPr>
    </w:p>
    <w:p w14:paraId="4D155D85" w14:textId="6A9D63DC" w:rsidR="00BE5765" w:rsidRPr="00844C05" w:rsidRDefault="00BE5765" w:rsidP="00780EA6">
      <w:pPr>
        <w:spacing w:after="0"/>
        <w:ind w:left="2880" w:firstLine="720"/>
        <w:rPr>
          <w:rFonts w:ascii="Calibri" w:eastAsia="Calibri" w:hAnsi="Calibri" w:cs="Times New Roman"/>
          <w:b/>
          <w:bCs/>
          <w:color w:val="000000"/>
          <w:sz w:val="28"/>
          <w:szCs w:val="28"/>
        </w:rPr>
      </w:pPr>
      <w:r w:rsidRPr="00844C05">
        <w:rPr>
          <w:rFonts w:ascii="Calibri" w:eastAsia="Calibri" w:hAnsi="Calibri" w:cs="Times New Roman"/>
          <w:b/>
          <w:bCs/>
          <w:color w:val="000000"/>
          <w:sz w:val="28"/>
          <w:szCs w:val="28"/>
        </w:rPr>
        <w:lastRenderedPageBreak/>
        <w:t>Reflections</w:t>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r w:rsidRPr="00844C05">
        <w:rPr>
          <w:rFonts w:ascii="Calibri" w:eastAsia="Calibri" w:hAnsi="Calibri" w:cs="Times New Roman"/>
          <w:b/>
          <w:bCs/>
          <w:color w:val="000000"/>
          <w:sz w:val="28"/>
          <w:szCs w:val="28"/>
        </w:rPr>
        <w:tab/>
      </w:r>
    </w:p>
    <w:p w14:paraId="47B186D1" w14:textId="77777777" w:rsidR="00BE5765" w:rsidRDefault="00BE5765" w:rsidP="00985856">
      <w:pPr>
        <w:spacing w:after="0"/>
        <w:rPr>
          <w:rFonts w:ascii="Calibri" w:eastAsia="Calibri" w:hAnsi="Calibri" w:cs="Times New Roman"/>
          <w:color w:val="000000"/>
          <w:sz w:val="24"/>
          <w:szCs w:val="24"/>
        </w:rPr>
      </w:pPr>
    </w:p>
    <w:p w14:paraId="008DCF0E" w14:textId="2135D465" w:rsidR="00BE5765" w:rsidRDefault="00BE5765" w:rsidP="008927BB">
      <w:pPr>
        <w:spacing w:after="0" w:line="360" w:lineRule="auto"/>
        <w:rPr>
          <w:rFonts w:ascii="Calibri" w:eastAsia="Calibri" w:hAnsi="Calibri" w:cs="Times New Roman"/>
          <w:color w:val="000000"/>
          <w:sz w:val="24"/>
          <w:szCs w:val="24"/>
        </w:rPr>
      </w:pPr>
      <w:r>
        <w:rPr>
          <w:rFonts w:ascii="Calibri" w:eastAsia="Calibri" w:hAnsi="Calibri" w:cs="Times New Roman"/>
          <w:color w:val="000000"/>
          <w:sz w:val="24"/>
          <w:szCs w:val="24"/>
        </w:rPr>
        <w:t xml:space="preserve">Writing the analysis and discussion stories demanded features of me that are not in keeping with my natural </w:t>
      </w:r>
      <w:r w:rsidRPr="00985856">
        <w:rPr>
          <w:rFonts w:ascii="Calibri" w:eastAsia="Calibri" w:hAnsi="Calibri" w:cs="Times New Roman"/>
          <w:color w:val="000000"/>
          <w:sz w:val="24"/>
          <w:szCs w:val="24"/>
        </w:rPr>
        <w:t>“metaphoric sensibility” (Romanyshyn, 2021, p.13)</w:t>
      </w:r>
      <w:r>
        <w:rPr>
          <w:rFonts w:ascii="Calibri" w:eastAsia="Calibri" w:hAnsi="Calibri" w:cs="Times New Roman"/>
          <w:color w:val="000000"/>
          <w:sz w:val="24"/>
          <w:szCs w:val="24"/>
        </w:rPr>
        <w:t xml:space="preserve">, a poetic disposition. Qualitative in nature, </w:t>
      </w:r>
      <w:r w:rsidR="0085516C">
        <w:rPr>
          <w:rFonts w:ascii="Calibri" w:eastAsia="Calibri" w:hAnsi="Calibri" w:cs="Times New Roman"/>
          <w:color w:val="000000"/>
          <w:sz w:val="24"/>
          <w:szCs w:val="24"/>
        </w:rPr>
        <w:t>my disposition</w:t>
      </w:r>
      <w:r>
        <w:rPr>
          <w:rFonts w:ascii="Calibri" w:eastAsia="Calibri" w:hAnsi="Calibri" w:cs="Times New Roman"/>
          <w:color w:val="000000"/>
          <w:sz w:val="24"/>
          <w:szCs w:val="24"/>
        </w:rPr>
        <w:t xml:space="preserve"> is replete with </w:t>
      </w:r>
      <w:r w:rsidRPr="009948F1">
        <w:rPr>
          <w:rFonts w:ascii="Calibri" w:eastAsia="Calibri" w:hAnsi="Calibri" w:cs="Times New Roman"/>
          <w:i/>
          <w:iCs/>
          <w:color w:val="000000"/>
          <w:sz w:val="24"/>
          <w:szCs w:val="24"/>
        </w:rPr>
        <w:t>anima</w:t>
      </w:r>
      <w:r>
        <w:rPr>
          <w:rFonts w:ascii="Calibri" w:eastAsia="Calibri" w:hAnsi="Calibri" w:cs="Times New Roman"/>
          <w:color w:val="000000"/>
          <w:sz w:val="24"/>
          <w:szCs w:val="24"/>
        </w:rPr>
        <w:t xml:space="preserve"> (Jung, 1959), the feminine principle. It is also my home. During the analysis process the researcher is charged with being a critic to the multiple meanings of the data (Romanyshyn, 2021)</w:t>
      </w:r>
      <w:r w:rsidR="0085516C">
        <w:rPr>
          <w:rFonts w:ascii="Calibri" w:eastAsia="Calibri" w:hAnsi="Calibri" w:cs="Times New Roman"/>
          <w:color w:val="000000"/>
          <w:sz w:val="24"/>
          <w:szCs w:val="24"/>
        </w:rPr>
        <w:t xml:space="preserve">, </w:t>
      </w:r>
      <w:r w:rsidR="002661E9">
        <w:rPr>
          <w:rFonts w:ascii="Calibri" w:eastAsia="Calibri" w:hAnsi="Calibri" w:cs="Times New Roman"/>
          <w:color w:val="000000"/>
          <w:sz w:val="24"/>
          <w:szCs w:val="24"/>
        </w:rPr>
        <w:t xml:space="preserve">and </w:t>
      </w:r>
      <w:r>
        <w:rPr>
          <w:rFonts w:ascii="Calibri" w:eastAsia="Calibri" w:hAnsi="Calibri" w:cs="Times New Roman"/>
          <w:color w:val="000000"/>
          <w:sz w:val="24"/>
          <w:szCs w:val="24"/>
        </w:rPr>
        <w:t xml:space="preserve">I needed to call forth </w:t>
      </w:r>
      <w:r w:rsidRPr="00797F8D">
        <w:rPr>
          <w:rFonts w:ascii="Calibri" w:eastAsia="Calibri" w:hAnsi="Calibri" w:cs="Times New Roman"/>
          <w:i/>
          <w:iCs/>
          <w:color w:val="000000"/>
          <w:sz w:val="24"/>
          <w:szCs w:val="24"/>
        </w:rPr>
        <w:t xml:space="preserve">animus </w:t>
      </w:r>
      <w:r>
        <w:rPr>
          <w:rFonts w:ascii="Calibri" w:eastAsia="Calibri" w:hAnsi="Calibri" w:cs="Times New Roman"/>
          <w:color w:val="000000"/>
          <w:sz w:val="24"/>
          <w:szCs w:val="24"/>
        </w:rPr>
        <w:t xml:space="preserve">(1959), the masculine principle to aid me in this task. Unable to locate an analytical </w:t>
      </w:r>
      <w:r w:rsidRPr="00436066">
        <w:rPr>
          <w:rFonts w:ascii="Calibri" w:eastAsia="Calibri" w:hAnsi="Calibri" w:cs="Times New Roman"/>
          <w:i/>
          <w:iCs/>
          <w:color w:val="000000"/>
          <w:sz w:val="24"/>
          <w:szCs w:val="24"/>
        </w:rPr>
        <w:t>animus</w:t>
      </w:r>
      <w:r>
        <w:rPr>
          <w:rFonts w:ascii="Calibri" w:eastAsia="Calibri" w:hAnsi="Calibri" w:cs="Times New Roman"/>
          <w:color w:val="000000"/>
          <w:sz w:val="24"/>
          <w:szCs w:val="24"/>
        </w:rPr>
        <w:t xml:space="preserve"> in myself, the analysis became a perilous, overwhelming task. Poet John of the Cross </w:t>
      </w:r>
      <w:bookmarkStart w:id="90" w:name="_Hlk213293794"/>
      <w:r>
        <w:rPr>
          <w:rFonts w:ascii="Calibri" w:eastAsia="Calibri" w:hAnsi="Calibri" w:cs="Times New Roman"/>
          <w:color w:val="000000"/>
          <w:sz w:val="24"/>
          <w:szCs w:val="24"/>
        </w:rPr>
        <w:t>(cited in Moore, 2004, p.</w:t>
      </w:r>
      <w:r w:rsidR="00A12668">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 xml:space="preserve">xvi) </w:t>
      </w:r>
      <w:bookmarkEnd w:id="90"/>
      <w:r>
        <w:rPr>
          <w:rFonts w:ascii="Calibri" w:eastAsia="Calibri" w:hAnsi="Calibri" w:cs="Times New Roman"/>
          <w:color w:val="000000"/>
          <w:sz w:val="24"/>
          <w:szCs w:val="24"/>
        </w:rPr>
        <w:t xml:space="preserve">describes a perilous quest as evoking a dark night of the soul which forms part of a purification process of the senses and spirit. In modern vernacular, it denotes </w:t>
      </w:r>
      <w:r w:rsidRPr="00570ECA">
        <w:rPr>
          <w:rFonts w:ascii="Calibri" w:eastAsia="Calibri" w:hAnsi="Calibri" w:cs="Times New Roman"/>
          <w:color w:val="000000"/>
          <w:sz w:val="24"/>
          <w:szCs w:val="24"/>
        </w:rPr>
        <w:t>a crisis of faith</w:t>
      </w:r>
      <w:r>
        <w:rPr>
          <w:rFonts w:ascii="Calibri" w:eastAsia="Calibri" w:hAnsi="Calibri" w:cs="Times New Roman"/>
          <w:color w:val="000000"/>
          <w:sz w:val="24"/>
          <w:szCs w:val="24"/>
        </w:rPr>
        <w:t xml:space="preserve"> or </w:t>
      </w:r>
      <w:r w:rsidRPr="00570ECA">
        <w:rPr>
          <w:rFonts w:ascii="Calibri" w:eastAsia="Calibri" w:hAnsi="Calibri" w:cs="Times New Roman"/>
          <w:color w:val="000000"/>
          <w:sz w:val="24"/>
          <w:szCs w:val="24"/>
        </w:rPr>
        <w:t xml:space="preserve">a </w:t>
      </w:r>
      <w:r>
        <w:rPr>
          <w:rFonts w:ascii="Calibri" w:eastAsia="Calibri" w:hAnsi="Calibri" w:cs="Times New Roman"/>
          <w:color w:val="000000"/>
          <w:sz w:val="24"/>
          <w:szCs w:val="24"/>
        </w:rPr>
        <w:t xml:space="preserve">painful ordeal to endure. Writing the analysis chapters became my dark night of the soul and I found myself in a transference (Breuer and Freud, 1895) with the task. </w:t>
      </w:r>
    </w:p>
    <w:p w14:paraId="4E13EEEA" w14:textId="77777777" w:rsidR="00807C1D" w:rsidRDefault="00BE5765" w:rsidP="008927BB">
      <w:pPr>
        <w:spacing w:after="0" w:line="360" w:lineRule="auto"/>
        <w:rPr>
          <w:rFonts w:ascii="Calibri" w:eastAsia="Calibri" w:hAnsi="Calibri" w:cs="Times New Roman"/>
          <w:color w:val="000000"/>
          <w:sz w:val="24"/>
          <w:szCs w:val="24"/>
        </w:rPr>
      </w:pPr>
      <w:r>
        <w:rPr>
          <w:rFonts w:ascii="Calibri" w:eastAsia="Calibri" w:hAnsi="Calibri" w:cs="Times New Roman"/>
          <w:color w:val="000000"/>
          <w:sz w:val="24"/>
          <w:szCs w:val="24"/>
        </w:rPr>
        <w:t xml:space="preserve">Romanyshyn (2021) suggests that engaging with research material psychologically can render the material “psychoactive” (p.192) which I read as something gets agitated in the potential space between the writer and that being written about. Epistemologically, semantically and psychologically, I had no template for executing the writing up of the analysis task and it became a psychoactive monster, so I slept, for hours and days. I went into a </w:t>
      </w:r>
      <w:r w:rsidRPr="00606B72">
        <w:rPr>
          <w:rFonts w:ascii="Calibri" w:eastAsia="Calibri" w:hAnsi="Calibri" w:cs="Times New Roman"/>
          <w:i/>
          <w:iCs/>
          <w:color w:val="000000"/>
          <w:sz w:val="24"/>
          <w:szCs w:val="24"/>
        </w:rPr>
        <w:t>cesur</w:t>
      </w:r>
      <w:r>
        <w:rPr>
          <w:rFonts w:ascii="Calibri" w:eastAsia="Calibri" w:hAnsi="Calibri" w:cs="Times New Roman"/>
          <w:color w:val="000000"/>
          <w:sz w:val="24"/>
          <w:szCs w:val="24"/>
        </w:rPr>
        <w:t xml:space="preserve"> (Kagge, 2017), a pause, a recovery space. Once recovered, I engaged in reflective dialogue with as many fairy godmothers and fathers available to me, repeatedly.</w:t>
      </w:r>
      <w:r w:rsidRPr="00AE53AE">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A combination of the rest and reflective dialogues with trusted others meant I could start to write about the individual and collective boons the data was returning.</w:t>
      </w:r>
    </w:p>
    <w:p w14:paraId="32E11567" w14:textId="29F38E5D" w:rsidR="00BE5765" w:rsidRDefault="00BE5765" w:rsidP="008927BB">
      <w:pPr>
        <w:spacing w:after="0" w:line="360" w:lineRule="auto"/>
        <w:rPr>
          <w:rFonts w:ascii="Calibri" w:eastAsia="Calibri" w:hAnsi="Calibri" w:cs="Times New Roman"/>
          <w:color w:val="000000"/>
          <w:sz w:val="24"/>
          <w:szCs w:val="24"/>
        </w:rPr>
      </w:pPr>
      <w:r>
        <w:rPr>
          <w:rFonts w:ascii="Calibri" w:eastAsia="Calibri" w:hAnsi="Calibri" w:cs="Times New Roman"/>
          <w:color w:val="000000"/>
          <w:sz w:val="24"/>
          <w:szCs w:val="24"/>
        </w:rPr>
        <w:t xml:space="preserve"> </w:t>
      </w:r>
      <w:r w:rsidRPr="005C5785">
        <w:rPr>
          <w:rFonts w:ascii="Calibri" w:eastAsia="Calibri" w:hAnsi="Calibri" w:cs="Times New Roman"/>
          <w:color w:val="000000"/>
          <w:sz w:val="24"/>
          <w:szCs w:val="24"/>
        </w:rPr>
        <w:t>A</w:t>
      </w:r>
      <w:r w:rsidR="009F46DC">
        <w:rPr>
          <w:rFonts w:ascii="Calibri" w:eastAsia="Calibri" w:hAnsi="Calibri" w:cs="Times New Roman"/>
          <w:color w:val="000000"/>
          <w:sz w:val="24"/>
          <w:szCs w:val="24"/>
        </w:rPr>
        <w:t xml:space="preserve">s a </w:t>
      </w:r>
      <w:r w:rsidR="00DF71E6">
        <w:rPr>
          <w:rFonts w:ascii="Calibri" w:eastAsia="Calibri" w:hAnsi="Calibri" w:cs="Times New Roman"/>
          <w:color w:val="000000"/>
          <w:sz w:val="24"/>
          <w:szCs w:val="24"/>
        </w:rPr>
        <w:t xml:space="preserve">reflective </w:t>
      </w:r>
      <w:r w:rsidR="009F46DC">
        <w:rPr>
          <w:rFonts w:ascii="Calibri" w:eastAsia="Calibri" w:hAnsi="Calibri" w:cs="Times New Roman"/>
          <w:color w:val="000000"/>
          <w:sz w:val="24"/>
          <w:szCs w:val="24"/>
        </w:rPr>
        <w:t>prompt for the reader</w:t>
      </w:r>
      <w:r w:rsidR="00F379E5">
        <w:rPr>
          <w:rFonts w:ascii="Calibri" w:eastAsia="Calibri" w:hAnsi="Calibri" w:cs="Times New Roman"/>
          <w:color w:val="000000"/>
          <w:sz w:val="24"/>
          <w:szCs w:val="24"/>
        </w:rPr>
        <w:t>,</w:t>
      </w:r>
      <w:r w:rsidR="00845742">
        <w:rPr>
          <w:rFonts w:ascii="Calibri" w:eastAsia="Calibri" w:hAnsi="Calibri" w:cs="Times New Roman"/>
          <w:color w:val="000000"/>
          <w:sz w:val="24"/>
          <w:szCs w:val="24"/>
        </w:rPr>
        <w:t xml:space="preserve"> it is worth considering that</w:t>
      </w:r>
      <w:r w:rsidR="00C0007F">
        <w:rPr>
          <w:rFonts w:ascii="Calibri" w:eastAsia="Calibri" w:hAnsi="Calibri" w:cs="Times New Roman"/>
          <w:color w:val="000000"/>
          <w:sz w:val="24"/>
          <w:szCs w:val="24"/>
        </w:rPr>
        <w:t>,</w:t>
      </w:r>
      <w:r w:rsidR="00845742">
        <w:rPr>
          <w:rFonts w:ascii="Calibri" w:eastAsia="Calibri" w:hAnsi="Calibri" w:cs="Times New Roman"/>
          <w:color w:val="000000"/>
          <w:sz w:val="24"/>
          <w:szCs w:val="24"/>
        </w:rPr>
        <w:t xml:space="preserve"> a</w:t>
      </w:r>
      <w:r w:rsidRPr="005C5785">
        <w:rPr>
          <w:rFonts w:ascii="Calibri" w:eastAsia="Calibri" w:hAnsi="Calibri" w:cs="Times New Roman"/>
          <w:color w:val="000000"/>
          <w:sz w:val="24"/>
          <w:szCs w:val="24"/>
        </w:rPr>
        <w:t>ccording to von Franz (1997)</w:t>
      </w:r>
      <w:r w:rsidR="00C0007F">
        <w:rPr>
          <w:rFonts w:ascii="Calibri" w:eastAsia="Calibri" w:hAnsi="Calibri" w:cs="Times New Roman"/>
          <w:color w:val="000000"/>
          <w:sz w:val="24"/>
          <w:szCs w:val="24"/>
        </w:rPr>
        <w:t>,</w:t>
      </w:r>
      <w:r w:rsidRPr="005C5785">
        <w:rPr>
          <w:rFonts w:ascii="Calibri" w:eastAsia="Calibri" w:hAnsi="Calibri" w:cs="Times New Roman"/>
          <w:color w:val="000000"/>
          <w:sz w:val="24"/>
          <w:szCs w:val="24"/>
        </w:rPr>
        <w:t xml:space="preserve"> many repetitions are required before an experience can be consolidated</w:t>
      </w:r>
      <w:r w:rsidR="00143F56">
        <w:rPr>
          <w:rFonts w:ascii="Calibri" w:eastAsia="Calibri" w:hAnsi="Calibri" w:cs="Times New Roman"/>
          <w:color w:val="000000"/>
          <w:sz w:val="24"/>
          <w:szCs w:val="24"/>
        </w:rPr>
        <w:t>,</w:t>
      </w:r>
      <w:r w:rsidRPr="005C5785">
        <w:rPr>
          <w:rFonts w:ascii="Calibri" w:eastAsia="Calibri" w:hAnsi="Calibri" w:cs="Times New Roman"/>
          <w:color w:val="000000"/>
          <w:sz w:val="24"/>
          <w:szCs w:val="24"/>
        </w:rPr>
        <w:t xml:space="preserve"> and it finally holds. </w:t>
      </w:r>
      <w:r>
        <w:rPr>
          <w:rFonts w:ascii="Calibri" w:eastAsia="Calibri" w:hAnsi="Calibri" w:cs="Times New Roman"/>
          <w:color w:val="000000"/>
          <w:sz w:val="24"/>
          <w:szCs w:val="24"/>
        </w:rPr>
        <w:t xml:space="preserve">Learning is both a journey and a process, and many repetitions are required, many monsters encountered and many conversations to be had, before the work, which for some </w:t>
      </w:r>
      <w:r w:rsidR="00143F56">
        <w:rPr>
          <w:rFonts w:ascii="Calibri" w:eastAsia="Calibri" w:hAnsi="Calibri" w:cs="Times New Roman"/>
          <w:color w:val="000000"/>
          <w:sz w:val="24"/>
          <w:szCs w:val="24"/>
        </w:rPr>
        <w:t xml:space="preserve">teachers, </w:t>
      </w:r>
      <w:r>
        <w:rPr>
          <w:rFonts w:ascii="Calibri" w:eastAsia="Calibri" w:hAnsi="Calibri" w:cs="Times New Roman"/>
          <w:color w:val="000000"/>
          <w:sz w:val="24"/>
          <w:szCs w:val="24"/>
        </w:rPr>
        <w:t>learners and researchers is a perilous “Ithaka” quest (Cavafy, 1992), finally holds.</w:t>
      </w:r>
    </w:p>
    <w:p w14:paraId="0B63BCF1" w14:textId="77777777" w:rsidR="00AE73D3" w:rsidRDefault="00AE73D3" w:rsidP="008927BB">
      <w:pPr>
        <w:spacing w:after="0" w:line="360" w:lineRule="auto"/>
        <w:rPr>
          <w:rFonts w:ascii="Calibri" w:eastAsia="Calibri" w:hAnsi="Calibri" w:cs="Times New Roman"/>
          <w:color w:val="000000"/>
          <w:sz w:val="24"/>
          <w:szCs w:val="24"/>
        </w:rPr>
      </w:pPr>
    </w:p>
    <w:p w14:paraId="1A815245" w14:textId="761A71E3" w:rsidR="00724256" w:rsidRDefault="00724256" w:rsidP="008927BB">
      <w:pPr>
        <w:spacing w:after="0" w:line="360" w:lineRule="auto"/>
        <w:rPr>
          <w:rFonts w:ascii="Calibri" w:eastAsia="Calibri" w:hAnsi="Calibri" w:cs="Times New Roman"/>
          <w:color w:val="000000"/>
          <w:sz w:val="24"/>
          <w:szCs w:val="24"/>
        </w:rPr>
      </w:pPr>
    </w:p>
    <w:p w14:paraId="3AD2EB92" w14:textId="77777777" w:rsidR="00AE7FE4" w:rsidRDefault="00AE7FE4" w:rsidP="00AE7FE4">
      <w:pPr>
        <w:rPr>
          <w:rFonts w:ascii="Calibri" w:hAnsi="Calibri" w:cs="Calibri"/>
          <w:sz w:val="56"/>
          <w:szCs w:val="56"/>
        </w:rPr>
      </w:pPr>
    </w:p>
    <w:p w14:paraId="5BAC90F5" w14:textId="77777777" w:rsidR="00AE7FE4" w:rsidRDefault="00AE7FE4" w:rsidP="00AE7FE4">
      <w:pPr>
        <w:rPr>
          <w:rFonts w:ascii="Calibri" w:hAnsi="Calibri" w:cs="Calibri"/>
          <w:sz w:val="56"/>
          <w:szCs w:val="56"/>
        </w:rPr>
      </w:pPr>
    </w:p>
    <w:p w14:paraId="2D0D1A15" w14:textId="77777777" w:rsidR="00AE7FE4" w:rsidRDefault="00AE7FE4" w:rsidP="00AE7FE4">
      <w:pPr>
        <w:rPr>
          <w:rFonts w:ascii="Calibri" w:hAnsi="Calibri" w:cs="Calibri"/>
          <w:sz w:val="56"/>
          <w:szCs w:val="56"/>
        </w:rPr>
      </w:pPr>
    </w:p>
    <w:p w14:paraId="41C25493" w14:textId="77777777" w:rsidR="00AE7FE4" w:rsidRDefault="00AE7FE4" w:rsidP="00AE7FE4">
      <w:pPr>
        <w:rPr>
          <w:rFonts w:ascii="Calibri" w:hAnsi="Calibri" w:cs="Calibri"/>
          <w:sz w:val="56"/>
          <w:szCs w:val="56"/>
        </w:rPr>
      </w:pPr>
    </w:p>
    <w:p w14:paraId="6B40FBDD" w14:textId="77777777" w:rsidR="00AE7FE4" w:rsidRDefault="00AE7FE4" w:rsidP="00AE7FE4">
      <w:pPr>
        <w:rPr>
          <w:rFonts w:ascii="Calibri" w:hAnsi="Calibri" w:cs="Calibri"/>
          <w:sz w:val="56"/>
          <w:szCs w:val="56"/>
        </w:rPr>
      </w:pPr>
    </w:p>
    <w:p w14:paraId="383BA6C2" w14:textId="77777777" w:rsidR="00AE7FE4" w:rsidRDefault="00AE7FE4" w:rsidP="00AE7FE4">
      <w:pPr>
        <w:rPr>
          <w:rFonts w:ascii="Calibri" w:hAnsi="Calibri" w:cs="Calibri"/>
          <w:sz w:val="56"/>
          <w:szCs w:val="56"/>
        </w:rPr>
      </w:pPr>
    </w:p>
    <w:p w14:paraId="66846522" w14:textId="35101F1A" w:rsidR="00AA75A1" w:rsidRPr="0022206B" w:rsidRDefault="00E56A9F" w:rsidP="00AE7FE4">
      <w:pPr>
        <w:ind w:firstLine="720"/>
        <w:rPr>
          <w:rFonts w:ascii="Calibri" w:hAnsi="Calibri" w:cs="Calibri"/>
          <w:sz w:val="56"/>
          <w:szCs w:val="56"/>
        </w:rPr>
      </w:pPr>
      <w:r>
        <w:rPr>
          <w:rFonts w:ascii="Calibri" w:hAnsi="Calibri" w:cs="Calibri"/>
          <w:sz w:val="56"/>
          <w:szCs w:val="56"/>
        </w:rPr>
        <w:t xml:space="preserve">  </w:t>
      </w:r>
      <w:r w:rsidR="0022206B">
        <w:rPr>
          <w:rFonts w:ascii="Calibri" w:hAnsi="Calibri" w:cs="Calibri"/>
          <w:sz w:val="56"/>
          <w:szCs w:val="56"/>
        </w:rPr>
        <w:t xml:space="preserve">Chapter Nine: </w:t>
      </w:r>
      <w:r w:rsidR="00AA75A1" w:rsidRPr="0022206B">
        <w:rPr>
          <w:rFonts w:ascii="Calibri" w:hAnsi="Calibri" w:cs="Calibri"/>
          <w:sz w:val="56"/>
          <w:szCs w:val="56"/>
        </w:rPr>
        <w:t>The Celebration</w:t>
      </w:r>
    </w:p>
    <w:p w14:paraId="0028C403" w14:textId="77777777" w:rsidR="00AA75A1" w:rsidRDefault="00AA75A1" w:rsidP="00941885">
      <w:pPr>
        <w:rPr>
          <w:rFonts w:ascii="Calibri" w:hAnsi="Calibri" w:cs="Calibri"/>
          <w:b/>
          <w:bCs/>
          <w:i/>
          <w:iCs/>
          <w:sz w:val="24"/>
          <w:szCs w:val="24"/>
        </w:rPr>
      </w:pPr>
    </w:p>
    <w:p w14:paraId="36F467D4" w14:textId="77777777" w:rsidR="00AA75A1" w:rsidRDefault="00AA75A1" w:rsidP="00941885">
      <w:pPr>
        <w:rPr>
          <w:rFonts w:ascii="Calibri" w:hAnsi="Calibri" w:cs="Calibri"/>
          <w:b/>
          <w:bCs/>
          <w:i/>
          <w:iCs/>
          <w:sz w:val="24"/>
          <w:szCs w:val="24"/>
        </w:rPr>
      </w:pPr>
    </w:p>
    <w:p w14:paraId="59400775" w14:textId="77777777" w:rsidR="00AA75A1" w:rsidRDefault="00AA75A1" w:rsidP="00941885">
      <w:pPr>
        <w:rPr>
          <w:rFonts w:ascii="Calibri" w:hAnsi="Calibri" w:cs="Calibri"/>
          <w:b/>
          <w:bCs/>
          <w:i/>
          <w:iCs/>
          <w:sz w:val="24"/>
          <w:szCs w:val="24"/>
        </w:rPr>
      </w:pPr>
    </w:p>
    <w:p w14:paraId="086AFAC2" w14:textId="77777777" w:rsidR="00AA75A1" w:rsidRDefault="00AA75A1" w:rsidP="00941885">
      <w:pPr>
        <w:rPr>
          <w:rFonts w:ascii="Calibri" w:hAnsi="Calibri" w:cs="Calibri"/>
          <w:b/>
          <w:bCs/>
          <w:i/>
          <w:iCs/>
          <w:sz w:val="24"/>
          <w:szCs w:val="24"/>
        </w:rPr>
      </w:pPr>
    </w:p>
    <w:p w14:paraId="0B22A37F" w14:textId="77777777" w:rsidR="00AA75A1" w:rsidRDefault="00AA75A1" w:rsidP="00941885">
      <w:pPr>
        <w:rPr>
          <w:rFonts w:ascii="Calibri" w:hAnsi="Calibri" w:cs="Calibri"/>
          <w:b/>
          <w:bCs/>
          <w:i/>
          <w:iCs/>
          <w:sz w:val="24"/>
          <w:szCs w:val="24"/>
        </w:rPr>
      </w:pPr>
    </w:p>
    <w:p w14:paraId="4AE6E965" w14:textId="77777777" w:rsidR="00AA75A1" w:rsidRDefault="00AA75A1" w:rsidP="00941885">
      <w:pPr>
        <w:rPr>
          <w:rFonts w:ascii="Calibri" w:hAnsi="Calibri" w:cs="Calibri"/>
          <w:b/>
          <w:bCs/>
          <w:i/>
          <w:iCs/>
          <w:sz w:val="24"/>
          <w:szCs w:val="24"/>
        </w:rPr>
      </w:pPr>
    </w:p>
    <w:p w14:paraId="1794B29E" w14:textId="77777777" w:rsidR="00AA75A1" w:rsidRDefault="00AA75A1" w:rsidP="00941885">
      <w:pPr>
        <w:rPr>
          <w:rFonts w:ascii="Calibri" w:hAnsi="Calibri" w:cs="Calibri"/>
          <w:b/>
          <w:bCs/>
          <w:i/>
          <w:iCs/>
          <w:sz w:val="24"/>
          <w:szCs w:val="24"/>
        </w:rPr>
      </w:pPr>
    </w:p>
    <w:p w14:paraId="3E951298" w14:textId="77777777" w:rsidR="00AA75A1" w:rsidRDefault="00AA75A1" w:rsidP="00941885">
      <w:pPr>
        <w:rPr>
          <w:rFonts w:ascii="Calibri" w:hAnsi="Calibri" w:cs="Calibri"/>
          <w:b/>
          <w:bCs/>
          <w:i/>
          <w:iCs/>
          <w:sz w:val="24"/>
          <w:szCs w:val="24"/>
        </w:rPr>
      </w:pPr>
    </w:p>
    <w:p w14:paraId="44DDBCB0" w14:textId="77777777" w:rsidR="009E2851" w:rsidRDefault="009E2851" w:rsidP="00941885">
      <w:pPr>
        <w:rPr>
          <w:rFonts w:ascii="Calibri" w:hAnsi="Calibri" w:cs="Calibri"/>
          <w:b/>
          <w:bCs/>
          <w:i/>
          <w:iCs/>
          <w:sz w:val="24"/>
          <w:szCs w:val="24"/>
        </w:rPr>
      </w:pPr>
    </w:p>
    <w:p w14:paraId="10FD490F" w14:textId="77777777" w:rsidR="00707BDB" w:rsidRDefault="00707BDB" w:rsidP="00941885">
      <w:pPr>
        <w:rPr>
          <w:rFonts w:ascii="Calibri" w:hAnsi="Calibri" w:cs="Calibri"/>
          <w:b/>
          <w:bCs/>
          <w:i/>
          <w:iCs/>
          <w:sz w:val="24"/>
          <w:szCs w:val="24"/>
        </w:rPr>
      </w:pPr>
    </w:p>
    <w:p w14:paraId="541E3C77" w14:textId="77777777" w:rsidR="009E2851" w:rsidRDefault="009E2851" w:rsidP="00941885">
      <w:pPr>
        <w:rPr>
          <w:rFonts w:ascii="Calibri" w:hAnsi="Calibri" w:cs="Calibri"/>
          <w:b/>
          <w:bCs/>
          <w:i/>
          <w:iCs/>
          <w:sz w:val="24"/>
          <w:szCs w:val="24"/>
        </w:rPr>
      </w:pPr>
    </w:p>
    <w:p w14:paraId="267A24BA" w14:textId="77777777" w:rsidR="009E2851" w:rsidRDefault="009E2851" w:rsidP="00941885">
      <w:pPr>
        <w:rPr>
          <w:rFonts w:ascii="Calibri" w:hAnsi="Calibri" w:cs="Calibri"/>
          <w:b/>
          <w:bCs/>
          <w:i/>
          <w:iCs/>
          <w:sz w:val="24"/>
          <w:szCs w:val="24"/>
        </w:rPr>
      </w:pPr>
    </w:p>
    <w:p w14:paraId="1C9F5BD0" w14:textId="77777777" w:rsidR="00AE7FE4" w:rsidRDefault="00AE7FE4" w:rsidP="00941885">
      <w:pPr>
        <w:rPr>
          <w:rFonts w:ascii="Calibri" w:hAnsi="Calibri" w:cs="Calibri"/>
          <w:b/>
          <w:bCs/>
          <w:i/>
          <w:iCs/>
          <w:sz w:val="24"/>
          <w:szCs w:val="24"/>
        </w:rPr>
      </w:pPr>
    </w:p>
    <w:p w14:paraId="018B25A1" w14:textId="77777777" w:rsidR="00AE7FE4" w:rsidRDefault="00AE7FE4" w:rsidP="00941885">
      <w:pPr>
        <w:rPr>
          <w:rFonts w:ascii="Calibri" w:hAnsi="Calibri" w:cs="Calibri"/>
          <w:b/>
          <w:bCs/>
          <w:i/>
          <w:iCs/>
          <w:sz w:val="24"/>
          <w:szCs w:val="24"/>
        </w:rPr>
      </w:pPr>
    </w:p>
    <w:p w14:paraId="781CC46E" w14:textId="77777777" w:rsidR="00AE7FE4" w:rsidRDefault="00AE7FE4" w:rsidP="00941885">
      <w:pPr>
        <w:rPr>
          <w:rFonts w:ascii="Calibri" w:hAnsi="Calibri" w:cs="Calibri"/>
          <w:b/>
          <w:bCs/>
          <w:i/>
          <w:iCs/>
          <w:sz w:val="24"/>
          <w:szCs w:val="24"/>
        </w:rPr>
      </w:pPr>
    </w:p>
    <w:p w14:paraId="2868E92B" w14:textId="77777777" w:rsidR="00AA75A1" w:rsidRDefault="00AA75A1" w:rsidP="00941885">
      <w:pPr>
        <w:rPr>
          <w:rFonts w:ascii="Calibri" w:hAnsi="Calibri" w:cs="Calibri"/>
          <w:b/>
          <w:bCs/>
          <w:i/>
          <w:iCs/>
          <w:sz w:val="24"/>
          <w:szCs w:val="24"/>
        </w:rPr>
      </w:pPr>
    </w:p>
    <w:p w14:paraId="5BC5F016" w14:textId="6E9C73BF" w:rsidR="00AA75A1" w:rsidRPr="00F231DE" w:rsidRDefault="00AA75A1" w:rsidP="00D961F1">
      <w:pPr>
        <w:ind w:left="2160" w:firstLine="720"/>
        <w:rPr>
          <w:rFonts w:ascii="Calibri" w:hAnsi="Calibri" w:cs="Calibri"/>
          <w:b/>
          <w:bCs/>
          <w:sz w:val="28"/>
          <w:szCs w:val="28"/>
        </w:rPr>
      </w:pPr>
      <w:r w:rsidRPr="00F231DE">
        <w:rPr>
          <w:rFonts w:ascii="Calibri" w:hAnsi="Calibri" w:cs="Calibri"/>
          <w:b/>
          <w:bCs/>
          <w:sz w:val="28"/>
          <w:szCs w:val="28"/>
        </w:rPr>
        <w:lastRenderedPageBreak/>
        <w:t xml:space="preserve">Chapter </w:t>
      </w:r>
      <w:r w:rsidR="009E2851" w:rsidRPr="00F231DE">
        <w:rPr>
          <w:rFonts w:ascii="Calibri" w:hAnsi="Calibri" w:cs="Calibri"/>
          <w:b/>
          <w:bCs/>
          <w:sz w:val="28"/>
          <w:szCs w:val="28"/>
        </w:rPr>
        <w:t>Nine</w:t>
      </w:r>
      <w:r w:rsidRPr="00F231DE">
        <w:rPr>
          <w:rFonts w:ascii="Calibri" w:hAnsi="Calibri" w:cs="Calibri"/>
          <w:b/>
          <w:bCs/>
          <w:sz w:val="28"/>
          <w:szCs w:val="28"/>
        </w:rPr>
        <w:t xml:space="preserve">: The </w:t>
      </w:r>
      <w:r w:rsidR="00220444" w:rsidRPr="00F231DE">
        <w:rPr>
          <w:rFonts w:ascii="Calibri" w:hAnsi="Calibri" w:cs="Calibri"/>
          <w:b/>
          <w:bCs/>
          <w:sz w:val="28"/>
          <w:szCs w:val="28"/>
        </w:rPr>
        <w:t>Celebration</w:t>
      </w:r>
      <w:r w:rsidRPr="00F231DE">
        <w:rPr>
          <w:rFonts w:ascii="Calibri" w:hAnsi="Calibri" w:cs="Calibri"/>
          <w:b/>
          <w:bCs/>
          <w:sz w:val="28"/>
          <w:szCs w:val="28"/>
        </w:rPr>
        <w:tab/>
      </w:r>
      <w:r w:rsidRPr="00F231DE">
        <w:rPr>
          <w:rFonts w:ascii="Calibri" w:hAnsi="Calibri" w:cs="Calibri"/>
          <w:b/>
          <w:bCs/>
          <w:sz w:val="28"/>
          <w:szCs w:val="28"/>
        </w:rPr>
        <w:tab/>
      </w:r>
      <w:r w:rsidRPr="00F231DE">
        <w:rPr>
          <w:rFonts w:ascii="Calibri" w:hAnsi="Calibri" w:cs="Calibri"/>
          <w:b/>
          <w:bCs/>
          <w:sz w:val="28"/>
          <w:szCs w:val="28"/>
        </w:rPr>
        <w:tab/>
      </w:r>
    </w:p>
    <w:p w14:paraId="5398512F" w14:textId="77777777" w:rsidR="00AA75A1" w:rsidRDefault="00AA75A1" w:rsidP="002F7D80">
      <w:pPr>
        <w:spacing w:line="360" w:lineRule="auto"/>
        <w:rPr>
          <w:rFonts w:ascii="Calibri" w:hAnsi="Calibri" w:cs="Calibri"/>
        </w:rPr>
      </w:pPr>
    </w:p>
    <w:p w14:paraId="2B8B82B0" w14:textId="6954B670" w:rsidR="00790E07" w:rsidRPr="00790E07" w:rsidRDefault="00790E07" w:rsidP="002F7D80">
      <w:pPr>
        <w:spacing w:line="360" w:lineRule="auto"/>
        <w:rPr>
          <w:rFonts w:ascii="Calibri" w:hAnsi="Calibri" w:cs="Calibri"/>
          <w:b/>
          <w:bCs/>
          <w:sz w:val="24"/>
          <w:szCs w:val="24"/>
        </w:rPr>
      </w:pPr>
      <w:r w:rsidRPr="00790E07">
        <w:rPr>
          <w:rFonts w:ascii="Calibri" w:hAnsi="Calibri" w:cs="Calibri"/>
          <w:b/>
          <w:bCs/>
          <w:sz w:val="24"/>
          <w:szCs w:val="24"/>
        </w:rPr>
        <w:t>Introduction</w:t>
      </w:r>
    </w:p>
    <w:p w14:paraId="156F6612" w14:textId="17E34BFF" w:rsidR="00AA75A1" w:rsidRDefault="002A4552" w:rsidP="002F7D80">
      <w:pPr>
        <w:spacing w:line="360" w:lineRule="auto"/>
        <w:rPr>
          <w:rFonts w:ascii="Calibri" w:hAnsi="Calibri" w:cs="Calibri"/>
          <w:sz w:val="24"/>
          <w:szCs w:val="24"/>
        </w:rPr>
      </w:pPr>
      <w:r w:rsidRPr="002A4552">
        <w:rPr>
          <w:rFonts w:ascii="Calibri" w:hAnsi="Calibri" w:cs="Calibri"/>
          <w:sz w:val="24"/>
          <w:szCs w:val="24"/>
        </w:rPr>
        <w:t xml:space="preserve">The conclusion is a response to stories that have been unearthed amid the literature and participants’ articulations. </w:t>
      </w:r>
      <w:r w:rsidR="00AA75A1">
        <w:rPr>
          <w:rFonts w:ascii="Calibri" w:hAnsi="Calibri" w:cs="Calibri"/>
          <w:sz w:val="24"/>
          <w:szCs w:val="24"/>
        </w:rPr>
        <w:t>Greene (1995) postulates that Dewey was drawn by “</w:t>
      </w:r>
      <w:r w:rsidR="00AA75A1" w:rsidRPr="0090664B">
        <w:rPr>
          <w:rFonts w:ascii="Calibri" w:hAnsi="Calibri" w:cs="Calibri"/>
          <w:sz w:val="24"/>
          <w:szCs w:val="24"/>
        </w:rPr>
        <w:t>the lure of incompleteness to be explored, the promise inherent in any quest</w:t>
      </w:r>
      <w:r w:rsidR="00AA75A1">
        <w:rPr>
          <w:rFonts w:ascii="Calibri" w:hAnsi="Calibri" w:cs="Calibri"/>
          <w:sz w:val="24"/>
          <w:szCs w:val="24"/>
        </w:rPr>
        <w:t xml:space="preserve">” (p.15) and this concluding chapter brings together </w:t>
      </w:r>
      <w:r w:rsidR="00AA75A1" w:rsidRPr="00DF2573">
        <w:rPr>
          <w:rFonts w:ascii="Calibri" w:hAnsi="Calibri" w:cs="Calibri"/>
          <w:sz w:val="24"/>
          <w:szCs w:val="24"/>
        </w:rPr>
        <w:t xml:space="preserve">what </w:t>
      </w:r>
      <w:r w:rsidR="007379D4">
        <w:rPr>
          <w:rFonts w:ascii="Calibri" w:hAnsi="Calibri" w:cs="Calibri"/>
          <w:sz w:val="24"/>
          <w:szCs w:val="24"/>
        </w:rPr>
        <w:t xml:space="preserve">was </w:t>
      </w:r>
      <w:r w:rsidR="00AA75A1" w:rsidRPr="00DF2573">
        <w:rPr>
          <w:rFonts w:ascii="Calibri" w:hAnsi="Calibri" w:cs="Calibri"/>
          <w:sz w:val="24"/>
          <w:szCs w:val="24"/>
        </w:rPr>
        <w:t>found</w:t>
      </w:r>
      <w:r w:rsidR="005759E3">
        <w:rPr>
          <w:rFonts w:ascii="Calibri" w:hAnsi="Calibri" w:cs="Calibri"/>
          <w:sz w:val="24"/>
          <w:szCs w:val="24"/>
        </w:rPr>
        <w:t xml:space="preserve">, </w:t>
      </w:r>
      <w:r w:rsidR="00AA75A1">
        <w:rPr>
          <w:rFonts w:ascii="Calibri" w:hAnsi="Calibri" w:cs="Calibri"/>
          <w:sz w:val="24"/>
          <w:szCs w:val="24"/>
        </w:rPr>
        <w:t xml:space="preserve">and </w:t>
      </w:r>
      <w:r w:rsidR="00AA75A1" w:rsidRPr="00DF2573">
        <w:rPr>
          <w:rFonts w:ascii="Calibri" w:hAnsi="Calibri" w:cs="Calibri"/>
          <w:sz w:val="24"/>
          <w:szCs w:val="24"/>
        </w:rPr>
        <w:t xml:space="preserve">what remains a </w:t>
      </w:r>
      <w:r w:rsidR="00AA75A1">
        <w:rPr>
          <w:rFonts w:ascii="Calibri" w:hAnsi="Calibri" w:cs="Calibri"/>
          <w:sz w:val="24"/>
          <w:szCs w:val="24"/>
        </w:rPr>
        <w:t>vacancy (</w:t>
      </w:r>
      <w:r w:rsidR="00D941F3">
        <w:rPr>
          <w:rFonts w:ascii="Calibri" w:hAnsi="Calibri" w:cs="Calibri"/>
          <w:sz w:val="24"/>
          <w:szCs w:val="24"/>
        </w:rPr>
        <w:t>ibid.</w:t>
      </w:r>
      <w:r w:rsidR="00AA75A1">
        <w:rPr>
          <w:rFonts w:ascii="Calibri" w:hAnsi="Calibri" w:cs="Calibri"/>
          <w:sz w:val="24"/>
          <w:szCs w:val="24"/>
        </w:rPr>
        <w:t xml:space="preserve">). </w:t>
      </w:r>
      <w:r w:rsidR="006C0027">
        <w:rPr>
          <w:rFonts w:ascii="Calibri" w:hAnsi="Calibri" w:cs="Calibri"/>
          <w:sz w:val="24"/>
          <w:szCs w:val="24"/>
        </w:rPr>
        <w:t>T</w:t>
      </w:r>
      <w:r w:rsidR="006C0027" w:rsidRPr="006C0027">
        <w:rPr>
          <w:rFonts w:ascii="Calibri" w:hAnsi="Calibri" w:cs="Calibri"/>
          <w:sz w:val="24"/>
          <w:szCs w:val="24"/>
        </w:rPr>
        <w:t>here are always avenues of incompleteness</w:t>
      </w:r>
      <w:r w:rsidR="006C0027">
        <w:rPr>
          <w:rFonts w:ascii="Calibri" w:hAnsi="Calibri" w:cs="Calibri"/>
          <w:sz w:val="24"/>
          <w:szCs w:val="24"/>
        </w:rPr>
        <w:t xml:space="preserve"> in any research quest</w:t>
      </w:r>
      <w:r w:rsidR="00182C0E">
        <w:rPr>
          <w:rFonts w:ascii="Calibri" w:hAnsi="Calibri" w:cs="Calibri"/>
          <w:sz w:val="24"/>
          <w:szCs w:val="24"/>
        </w:rPr>
        <w:t xml:space="preserve"> and s</w:t>
      </w:r>
      <w:r w:rsidR="00AA75A1" w:rsidRPr="00FD0B17">
        <w:rPr>
          <w:rFonts w:ascii="Calibri" w:hAnsi="Calibri" w:cs="Calibri"/>
          <w:sz w:val="24"/>
          <w:szCs w:val="24"/>
        </w:rPr>
        <w:t xml:space="preserve">uggestions will be made for </w:t>
      </w:r>
      <w:r w:rsidR="00AA75A1" w:rsidRPr="00680113">
        <w:rPr>
          <w:rFonts w:ascii="Calibri" w:hAnsi="Calibri" w:cs="Calibri"/>
          <w:sz w:val="24"/>
          <w:szCs w:val="24"/>
        </w:rPr>
        <w:t xml:space="preserve">pathways </w:t>
      </w:r>
      <w:r w:rsidR="005F267E">
        <w:rPr>
          <w:rFonts w:ascii="Calibri" w:hAnsi="Calibri" w:cs="Calibri"/>
          <w:sz w:val="24"/>
          <w:szCs w:val="24"/>
        </w:rPr>
        <w:t xml:space="preserve">that remain untrodden </w:t>
      </w:r>
      <w:r w:rsidR="00AA75A1" w:rsidRPr="00680113">
        <w:rPr>
          <w:rFonts w:ascii="Calibri" w:hAnsi="Calibri" w:cs="Calibri"/>
          <w:sz w:val="24"/>
          <w:szCs w:val="24"/>
        </w:rPr>
        <w:t>to allow them to follow their own individuation journey</w:t>
      </w:r>
      <w:r w:rsidR="009B6937">
        <w:rPr>
          <w:rFonts w:ascii="Calibri" w:hAnsi="Calibri" w:cs="Calibri"/>
          <w:sz w:val="24"/>
          <w:szCs w:val="24"/>
        </w:rPr>
        <w:t xml:space="preserve"> in the future</w:t>
      </w:r>
      <w:r w:rsidR="00AA75A1" w:rsidRPr="00680113">
        <w:rPr>
          <w:rFonts w:ascii="Calibri" w:hAnsi="Calibri" w:cs="Calibri"/>
          <w:sz w:val="24"/>
          <w:szCs w:val="24"/>
        </w:rPr>
        <w:t xml:space="preserve">. </w:t>
      </w:r>
      <w:r w:rsidR="00AA75A1">
        <w:rPr>
          <w:rFonts w:ascii="Calibri" w:hAnsi="Calibri" w:cs="Calibri"/>
          <w:sz w:val="24"/>
          <w:szCs w:val="24"/>
        </w:rPr>
        <w:t>The aims of the research will be revisited (see Table</w:t>
      </w:r>
      <w:r w:rsidR="00646B22">
        <w:rPr>
          <w:rFonts w:ascii="Calibri" w:hAnsi="Calibri" w:cs="Calibri"/>
          <w:sz w:val="24"/>
          <w:szCs w:val="24"/>
        </w:rPr>
        <w:t xml:space="preserve"> 16</w:t>
      </w:r>
      <w:r w:rsidR="00AA75A1">
        <w:rPr>
          <w:rFonts w:ascii="Calibri" w:hAnsi="Calibri" w:cs="Calibri"/>
          <w:sz w:val="24"/>
          <w:szCs w:val="24"/>
        </w:rPr>
        <w:t>)</w:t>
      </w:r>
      <w:r w:rsidR="00C4173A">
        <w:rPr>
          <w:rFonts w:ascii="Calibri" w:hAnsi="Calibri" w:cs="Calibri"/>
          <w:sz w:val="24"/>
          <w:szCs w:val="24"/>
        </w:rPr>
        <w:t xml:space="preserve"> followed</w:t>
      </w:r>
      <w:r w:rsidR="00B771D5">
        <w:rPr>
          <w:rFonts w:ascii="Calibri" w:hAnsi="Calibri" w:cs="Calibri"/>
          <w:sz w:val="24"/>
          <w:szCs w:val="24"/>
        </w:rPr>
        <w:t xml:space="preserve"> by </w:t>
      </w:r>
      <w:r w:rsidR="00AA75A1">
        <w:rPr>
          <w:rFonts w:ascii="Calibri" w:hAnsi="Calibri" w:cs="Calibri"/>
          <w:sz w:val="24"/>
          <w:szCs w:val="24"/>
        </w:rPr>
        <w:t xml:space="preserve">a </w:t>
      </w:r>
      <w:r w:rsidR="00B21E5E">
        <w:rPr>
          <w:rFonts w:ascii="Calibri" w:hAnsi="Calibri" w:cs="Calibri"/>
          <w:sz w:val="24"/>
          <w:szCs w:val="24"/>
        </w:rPr>
        <w:t xml:space="preserve">brief </w:t>
      </w:r>
      <w:r w:rsidR="002739A8">
        <w:rPr>
          <w:rFonts w:ascii="Calibri" w:hAnsi="Calibri" w:cs="Calibri"/>
          <w:sz w:val="24"/>
          <w:szCs w:val="24"/>
        </w:rPr>
        <w:t>synopsis</w:t>
      </w:r>
      <w:r w:rsidR="00AA75A1">
        <w:rPr>
          <w:rFonts w:ascii="Calibri" w:hAnsi="Calibri" w:cs="Calibri"/>
          <w:sz w:val="24"/>
          <w:szCs w:val="24"/>
        </w:rPr>
        <w:t xml:space="preserve"> of the findings which </w:t>
      </w:r>
      <w:r w:rsidR="0084212D">
        <w:rPr>
          <w:rFonts w:ascii="Calibri" w:hAnsi="Calibri" w:cs="Calibri"/>
          <w:sz w:val="24"/>
          <w:szCs w:val="24"/>
        </w:rPr>
        <w:t>are</w:t>
      </w:r>
      <w:r w:rsidR="00A25815">
        <w:rPr>
          <w:rFonts w:ascii="Calibri" w:hAnsi="Calibri" w:cs="Calibri"/>
          <w:sz w:val="24"/>
          <w:szCs w:val="24"/>
        </w:rPr>
        <w:t xml:space="preserve"> presented as </w:t>
      </w:r>
      <w:r w:rsidR="00AA75A1">
        <w:rPr>
          <w:rFonts w:ascii="Calibri" w:hAnsi="Calibri" w:cs="Calibri"/>
          <w:sz w:val="24"/>
          <w:szCs w:val="24"/>
        </w:rPr>
        <w:t xml:space="preserve">an echo response to </w:t>
      </w:r>
      <w:r w:rsidR="002739A8">
        <w:rPr>
          <w:rFonts w:ascii="Calibri" w:hAnsi="Calibri" w:cs="Calibri"/>
          <w:sz w:val="24"/>
          <w:szCs w:val="24"/>
        </w:rPr>
        <w:t xml:space="preserve">each of </w:t>
      </w:r>
      <w:r w:rsidR="00AA75A1">
        <w:rPr>
          <w:rFonts w:ascii="Calibri" w:hAnsi="Calibri" w:cs="Calibri"/>
          <w:sz w:val="24"/>
          <w:szCs w:val="24"/>
        </w:rPr>
        <w:t xml:space="preserve">the </w:t>
      </w:r>
      <w:r w:rsidR="00B43906">
        <w:rPr>
          <w:rFonts w:ascii="Calibri" w:hAnsi="Calibri" w:cs="Calibri"/>
          <w:sz w:val="24"/>
          <w:szCs w:val="24"/>
        </w:rPr>
        <w:t xml:space="preserve">three </w:t>
      </w:r>
      <w:r w:rsidR="00AA75A1">
        <w:rPr>
          <w:rFonts w:ascii="Calibri" w:hAnsi="Calibri" w:cs="Calibri"/>
          <w:sz w:val="24"/>
          <w:szCs w:val="24"/>
        </w:rPr>
        <w:t xml:space="preserve">research questions. A number of limitations to the study are </w:t>
      </w:r>
      <w:r w:rsidR="00906519">
        <w:rPr>
          <w:rFonts w:ascii="Calibri" w:hAnsi="Calibri" w:cs="Calibri"/>
          <w:sz w:val="24"/>
          <w:szCs w:val="24"/>
        </w:rPr>
        <w:t>identified</w:t>
      </w:r>
      <w:r w:rsidR="00AA75A1">
        <w:rPr>
          <w:rFonts w:ascii="Calibri" w:hAnsi="Calibri" w:cs="Calibri"/>
          <w:sz w:val="24"/>
          <w:szCs w:val="24"/>
        </w:rPr>
        <w:t xml:space="preserve"> and discussed, followed by considerations for dissemination of the research. </w:t>
      </w:r>
      <w:r w:rsidR="00AA75A1" w:rsidRPr="00EE05FA">
        <w:rPr>
          <w:rFonts w:ascii="Calibri" w:hAnsi="Calibri" w:cs="Calibri"/>
          <w:sz w:val="24"/>
          <w:szCs w:val="24"/>
        </w:rPr>
        <w:t>The chapter concludes with paying homage to the heroes of this research, the participants</w:t>
      </w:r>
      <w:r w:rsidR="00AA75A1">
        <w:rPr>
          <w:rFonts w:ascii="Calibri" w:hAnsi="Calibri" w:cs="Calibri"/>
          <w:sz w:val="24"/>
          <w:szCs w:val="24"/>
        </w:rPr>
        <w:t xml:space="preserve">. Like all heroes out of love for their work, they were “battling on behalf of the wider community” (Booker, 2004/2017, p. 220) and wished to bestow their </w:t>
      </w:r>
      <w:r w:rsidR="00AA75A1" w:rsidRPr="0057346B">
        <w:rPr>
          <w:rFonts w:ascii="Calibri" w:hAnsi="Calibri" w:cs="Calibri"/>
          <w:sz w:val="24"/>
          <w:szCs w:val="24"/>
        </w:rPr>
        <w:t>boon</w:t>
      </w:r>
      <w:r w:rsidR="00AA75A1">
        <w:rPr>
          <w:rFonts w:ascii="Calibri" w:hAnsi="Calibri" w:cs="Calibri"/>
          <w:sz w:val="24"/>
          <w:szCs w:val="24"/>
        </w:rPr>
        <w:t>s of knowledge and experience upon their students</w:t>
      </w:r>
      <w:r w:rsidR="00AA75A1" w:rsidRPr="00EE05FA">
        <w:rPr>
          <w:rFonts w:ascii="Calibri" w:hAnsi="Calibri" w:cs="Calibri"/>
          <w:sz w:val="24"/>
          <w:szCs w:val="24"/>
        </w:rPr>
        <w:t>.</w:t>
      </w:r>
    </w:p>
    <w:p w14:paraId="6DAB8CE3" w14:textId="77777777" w:rsidR="00AA75A1" w:rsidRDefault="00AA75A1" w:rsidP="003E2868">
      <w:pPr>
        <w:rPr>
          <w:rFonts w:ascii="Calibri" w:hAnsi="Calibri" w:cs="Calibri"/>
          <w:b/>
          <w:bCs/>
          <w:sz w:val="24"/>
          <w:szCs w:val="24"/>
          <w:lang w:val="en-US"/>
        </w:rPr>
      </w:pPr>
      <w:r w:rsidRPr="00970165">
        <w:rPr>
          <w:rFonts w:ascii="Calibri" w:hAnsi="Calibri" w:cs="Calibri"/>
          <w:b/>
          <w:bCs/>
          <w:sz w:val="24"/>
          <w:szCs w:val="24"/>
          <w:lang w:val="en-US"/>
        </w:rPr>
        <w:t>Aims Revisited</w:t>
      </w:r>
    </w:p>
    <w:p w14:paraId="6948E430" w14:textId="6FE0DB06" w:rsidR="00AA75A1" w:rsidRPr="00646B22" w:rsidRDefault="00AA75A1" w:rsidP="00A87EDE">
      <w:pPr>
        <w:ind w:left="2880" w:firstLine="720"/>
        <w:rPr>
          <w:rFonts w:ascii="Calibri" w:hAnsi="Calibri" w:cs="Calibri"/>
          <w:i/>
          <w:iCs/>
          <w:sz w:val="24"/>
          <w:szCs w:val="24"/>
          <w:lang w:val="en-US"/>
        </w:rPr>
      </w:pPr>
      <w:r w:rsidRPr="00646B22">
        <w:rPr>
          <w:rFonts w:ascii="Calibri" w:hAnsi="Calibri" w:cs="Calibri"/>
          <w:i/>
          <w:iCs/>
          <w:sz w:val="24"/>
          <w:szCs w:val="24"/>
          <w:lang w:val="en-US"/>
        </w:rPr>
        <w:t>Table</w:t>
      </w:r>
      <w:r w:rsidR="00646B22" w:rsidRPr="00646B22">
        <w:rPr>
          <w:rFonts w:ascii="Calibri" w:hAnsi="Calibri" w:cs="Calibri"/>
          <w:i/>
          <w:iCs/>
          <w:sz w:val="24"/>
          <w:szCs w:val="24"/>
          <w:lang w:val="en-US"/>
        </w:rPr>
        <w:t xml:space="preserve"> 16</w:t>
      </w:r>
      <w:r w:rsidRPr="00646B22">
        <w:rPr>
          <w:rFonts w:ascii="Calibri" w:hAnsi="Calibri" w:cs="Calibri"/>
          <w:i/>
          <w:iCs/>
          <w:sz w:val="24"/>
          <w:szCs w:val="24"/>
          <w:lang w:val="en-US"/>
        </w:rPr>
        <w:t>: Research aims</w:t>
      </w:r>
    </w:p>
    <w:tbl>
      <w:tblPr>
        <w:tblStyle w:val="TableGrid"/>
        <w:tblW w:w="0" w:type="auto"/>
        <w:tblLook w:val="04A0" w:firstRow="1" w:lastRow="0" w:firstColumn="1" w:lastColumn="0" w:noHBand="0" w:noVBand="1"/>
      </w:tblPr>
      <w:tblGrid>
        <w:gridCol w:w="9016"/>
      </w:tblGrid>
      <w:tr w:rsidR="00AA75A1" w14:paraId="037362BE" w14:textId="77777777" w:rsidTr="001A015A">
        <w:trPr>
          <w:trHeight w:val="510"/>
        </w:trPr>
        <w:tc>
          <w:tcPr>
            <w:tcW w:w="9016" w:type="dxa"/>
          </w:tcPr>
          <w:p w14:paraId="2C66EBDE" w14:textId="77777777" w:rsidR="00AA75A1" w:rsidRPr="001A015A" w:rsidRDefault="00AA75A1" w:rsidP="003E2868">
            <w:pPr>
              <w:rPr>
                <w:rFonts w:ascii="Calibri" w:hAnsi="Calibri" w:cs="Calibri"/>
                <w:b/>
                <w:bCs/>
                <w:sz w:val="24"/>
                <w:szCs w:val="24"/>
                <w:lang w:val="en-US"/>
              </w:rPr>
            </w:pPr>
            <w:r>
              <w:rPr>
                <w:rFonts w:ascii="Calibri" w:hAnsi="Calibri" w:cs="Calibri"/>
                <w:sz w:val="24"/>
                <w:szCs w:val="24"/>
                <w:lang w:val="en-US"/>
              </w:rPr>
              <w:t xml:space="preserve">                                                        </w:t>
            </w:r>
            <w:r w:rsidRPr="001A015A">
              <w:rPr>
                <w:rFonts w:ascii="Calibri" w:hAnsi="Calibri" w:cs="Calibri"/>
                <w:b/>
                <w:bCs/>
                <w:sz w:val="24"/>
                <w:szCs w:val="24"/>
                <w:lang w:val="en-US"/>
              </w:rPr>
              <w:t xml:space="preserve">Research aims revisited </w:t>
            </w:r>
          </w:p>
        </w:tc>
      </w:tr>
      <w:tr w:rsidR="00AA75A1" w14:paraId="52137EA7" w14:textId="77777777" w:rsidTr="00325FC2">
        <w:tc>
          <w:tcPr>
            <w:tcW w:w="9016" w:type="dxa"/>
          </w:tcPr>
          <w:p w14:paraId="7C9FC43F" w14:textId="2601E305" w:rsidR="00AA75A1" w:rsidRPr="00BA4633" w:rsidRDefault="00AA75A1" w:rsidP="00BA4633">
            <w:pPr>
              <w:pStyle w:val="ListParagraph"/>
              <w:numPr>
                <w:ilvl w:val="0"/>
                <w:numId w:val="23"/>
              </w:numPr>
              <w:spacing w:after="0"/>
              <w:rPr>
                <w:rFonts w:ascii="Calibri" w:hAnsi="Calibri" w:cs="Calibri"/>
                <w:lang w:val="en-US"/>
              </w:rPr>
            </w:pPr>
            <w:r w:rsidRPr="00BA4633">
              <w:rPr>
                <w:rFonts w:ascii="Calibri" w:hAnsi="Calibri" w:cs="Calibri"/>
                <w:lang w:val="en-US"/>
              </w:rPr>
              <w:t>To identify HE teachers’ perspectives of their emotional wellbeing and support mechanisms during their teacher training, teaching praxis and in their teaching environments</w:t>
            </w:r>
          </w:p>
          <w:p w14:paraId="1838B20E" w14:textId="77777777" w:rsidR="00AA75A1" w:rsidRPr="00BA4633" w:rsidRDefault="00AA75A1" w:rsidP="003E2868">
            <w:pPr>
              <w:rPr>
                <w:rFonts w:ascii="Calibri" w:hAnsi="Calibri" w:cs="Calibri"/>
                <w:lang w:val="en-US"/>
              </w:rPr>
            </w:pPr>
          </w:p>
        </w:tc>
      </w:tr>
      <w:tr w:rsidR="00AA75A1" w14:paraId="0210E251" w14:textId="77777777" w:rsidTr="00325FC2">
        <w:tc>
          <w:tcPr>
            <w:tcW w:w="9016" w:type="dxa"/>
          </w:tcPr>
          <w:p w14:paraId="50EEB604" w14:textId="030CD064" w:rsidR="00AA75A1" w:rsidRPr="00BA4633" w:rsidRDefault="00AA75A1" w:rsidP="00BA4633">
            <w:pPr>
              <w:pStyle w:val="ListParagraph"/>
              <w:numPr>
                <w:ilvl w:val="0"/>
                <w:numId w:val="23"/>
              </w:numPr>
              <w:spacing w:after="0"/>
              <w:rPr>
                <w:rFonts w:ascii="Calibri" w:hAnsi="Calibri" w:cs="Calibri"/>
                <w:lang w:val="en-US"/>
              </w:rPr>
            </w:pPr>
            <w:r w:rsidRPr="00BA4633">
              <w:rPr>
                <w:rFonts w:ascii="Calibri" w:hAnsi="Calibri" w:cs="Calibri"/>
                <w:lang w:val="en-US"/>
              </w:rPr>
              <w:t>To understand how and if HE teachers utilise reflective practice to manage and process their emotions</w:t>
            </w:r>
          </w:p>
          <w:p w14:paraId="70C9A020" w14:textId="77777777" w:rsidR="00AA75A1" w:rsidRPr="00BA4633" w:rsidRDefault="00AA75A1" w:rsidP="003E2868">
            <w:pPr>
              <w:rPr>
                <w:rFonts w:ascii="Calibri" w:hAnsi="Calibri" w:cs="Calibri"/>
                <w:lang w:val="en-US"/>
              </w:rPr>
            </w:pPr>
          </w:p>
        </w:tc>
      </w:tr>
      <w:tr w:rsidR="00AA75A1" w14:paraId="459FC3FE" w14:textId="77777777" w:rsidTr="00325FC2">
        <w:tc>
          <w:tcPr>
            <w:tcW w:w="9016" w:type="dxa"/>
          </w:tcPr>
          <w:p w14:paraId="5CC6E61C" w14:textId="77777777" w:rsidR="00AA75A1" w:rsidRPr="00BA4633" w:rsidRDefault="00AA75A1" w:rsidP="00BA4633">
            <w:pPr>
              <w:pStyle w:val="ListParagraph"/>
              <w:numPr>
                <w:ilvl w:val="0"/>
                <w:numId w:val="23"/>
              </w:numPr>
              <w:spacing w:after="0" w:line="240" w:lineRule="auto"/>
              <w:rPr>
                <w:rFonts w:ascii="Calibri" w:hAnsi="Calibri" w:cs="Calibri"/>
                <w:lang w:val="en-US"/>
              </w:rPr>
            </w:pPr>
            <w:r w:rsidRPr="00BA4633">
              <w:rPr>
                <w:rFonts w:ascii="Calibri" w:hAnsi="Calibri" w:cs="Calibri"/>
                <w:lang w:val="en-US"/>
              </w:rPr>
              <w:t xml:space="preserve">To explore whether the concept of holding drawn from Winnicottian theory provides enhanced awareness of support and reflective practice for HE teachers. </w:t>
            </w:r>
          </w:p>
          <w:p w14:paraId="5576B237" w14:textId="77777777" w:rsidR="00AA75A1" w:rsidRPr="00BA4633" w:rsidRDefault="00AA75A1" w:rsidP="003E2868">
            <w:pPr>
              <w:rPr>
                <w:rFonts w:ascii="Calibri" w:hAnsi="Calibri" w:cs="Calibri"/>
                <w:lang w:val="en-US"/>
              </w:rPr>
            </w:pPr>
          </w:p>
        </w:tc>
      </w:tr>
    </w:tbl>
    <w:p w14:paraId="1D2EC337" w14:textId="77777777" w:rsidR="00AA75A1" w:rsidRDefault="00AA75A1" w:rsidP="003E2868">
      <w:pPr>
        <w:rPr>
          <w:rFonts w:ascii="Calibri" w:hAnsi="Calibri" w:cs="Calibri"/>
          <w:sz w:val="24"/>
          <w:szCs w:val="24"/>
          <w:lang w:val="en-US"/>
        </w:rPr>
      </w:pPr>
      <w:r>
        <w:rPr>
          <w:rFonts w:ascii="Calibri" w:hAnsi="Calibri" w:cs="Calibri"/>
          <w:sz w:val="24"/>
          <w:szCs w:val="24"/>
          <w:lang w:val="en-US"/>
        </w:rPr>
        <w:t xml:space="preserve"> </w:t>
      </w:r>
    </w:p>
    <w:p w14:paraId="79732A94" w14:textId="707822EA" w:rsidR="00AA75A1" w:rsidRDefault="00AA75A1" w:rsidP="00C478F9">
      <w:pPr>
        <w:rPr>
          <w:rFonts w:ascii="Calibri" w:hAnsi="Calibri" w:cs="Calibri"/>
          <w:b/>
          <w:bCs/>
          <w:sz w:val="24"/>
          <w:szCs w:val="24"/>
        </w:rPr>
      </w:pPr>
      <w:r w:rsidRPr="00194E43">
        <w:rPr>
          <w:rFonts w:ascii="Calibri" w:hAnsi="Calibri" w:cs="Calibri"/>
          <w:b/>
          <w:bCs/>
          <w:sz w:val="24"/>
          <w:szCs w:val="24"/>
        </w:rPr>
        <w:t xml:space="preserve">Key findings in Relation to the Research Questions </w:t>
      </w:r>
    </w:p>
    <w:p w14:paraId="52356ED8" w14:textId="7A1EE23F" w:rsidR="00AA75A1" w:rsidRPr="00E041E9" w:rsidRDefault="00AA75A1" w:rsidP="000D359E">
      <w:pPr>
        <w:spacing w:line="360" w:lineRule="auto"/>
        <w:rPr>
          <w:rFonts w:ascii="Calibri" w:hAnsi="Calibri" w:cs="Calibri"/>
          <w:i/>
          <w:iCs/>
          <w:sz w:val="24"/>
          <w:szCs w:val="24"/>
        </w:rPr>
      </w:pPr>
      <w:r>
        <w:rPr>
          <w:rFonts w:ascii="Calibri" w:hAnsi="Calibri" w:cs="Calibri"/>
          <w:sz w:val="24"/>
          <w:szCs w:val="24"/>
          <w:lang w:val="en-US"/>
        </w:rPr>
        <w:t xml:space="preserve">Each of the three research questions </w:t>
      </w:r>
      <w:r w:rsidRPr="00C71B7A">
        <w:rPr>
          <w:rFonts w:ascii="Calibri" w:hAnsi="Calibri" w:cs="Calibri"/>
          <w:sz w:val="24"/>
          <w:szCs w:val="24"/>
          <w:lang w:val="en-US"/>
        </w:rPr>
        <w:t xml:space="preserve">will be addressed </w:t>
      </w:r>
      <w:r>
        <w:rPr>
          <w:rFonts w:ascii="Calibri" w:hAnsi="Calibri" w:cs="Calibri"/>
          <w:sz w:val="24"/>
          <w:szCs w:val="24"/>
          <w:lang w:val="en-US"/>
        </w:rPr>
        <w:t xml:space="preserve">in turn </w:t>
      </w:r>
      <w:r w:rsidRPr="00C71B7A">
        <w:rPr>
          <w:rFonts w:ascii="Calibri" w:hAnsi="Calibri" w:cs="Calibri"/>
          <w:sz w:val="24"/>
          <w:szCs w:val="24"/>
          <w:lang w:val="en-US"/>
        </w:rPr>
        <w:t>as an echo response</w:t>
      </w:r>
      <w:r>
        <w:rPr>
          <w:rFonts w:ascii="Calibri" w:hAnsi="Calibri" w:cs="Calibri"/>
          <w:sz w:val="24"/>
          <w:szCs w:val="24"/>
          <w:lang w:val="en-US"/>
        </w:rPr>
        <w:t xml:space="preserve"> to the aims, </w:t>
      </w:r>
      <w:r w:rsidRPr="00942D22">
        <w:rPr>
          <w:rFonts w:ascii="Calibri" w:hAnsi="Calibri" w:cs="Calibri"/>
          <w:sz w:val="24"/>
          <w:szCs w:val="24"/>
          <w:lang w:val="en-US"/>
        </w:rPr>
        <w:t>analysis</w:t>
      </w:r>
      <w:r>
        <w:rPr>
          <w:rFonts w:ascii="Calibri" w:hAnsi="Calibri" w:cs="Calibri"/>
          <w:sz w:val="24"/>
          <w:szCs w:val="24"/>
          <w:lang w:val="en-US"/>
        </w:rPr>
        <w:t xml:space="preserve"> and discussion (Chapters </w:t>
      </w:r>
      <w:r w:rsidR="0043630A">
        <w:rPr>
          <w:rFonts w:ascii="Calibri" w:hAnsi="Calibri" w:cs="Calibri"/>
          <w:sz w:val="24"/>
          <w:szCs w:val="24"/>
          <w:lang w:val="en-US"/>
        </w:rPr>
        <w:t xml:space="preserve">Five </w:t>
      </w:r>
      <w:r>
        <w:rPr>
          <w:rFonts w:ascii="Calibri" w:hAnsi="Calibri" w:cs="Calibri"/>
          <w:sz w:val="24"/>
          <w:szCs w:val="24"/>
          <w:lang w:val="en-US"/>
        </w:rPr>
        <w:t>-</w:t>
      </w:r>
      <w:r w:rsidR="0043630A">
        <w:rPr>
          <w:rFonts w:ascii="Calibri" w:hAnsi="Calibri" w:cs="Calibri"/>
          <w:sz w:val="24"/>
          <w:szCs w:val="24"/>
          <w:lang w:val="en-US"/>
        </w:rPr>
        <w:t>Eight</w:t>
      </w:r>
      <w:r>
        <w:rPr>
          <w:rFonts w:ascii="Calibri" w:hAnsi="Calibri" w:cs="Calibri"/>
          <w:sz w:val="24"/>
          <w:szCs w:val="24"/>
          <w:lang w:val="en-US"/>
        </w:rPr>
        <w:t>)</w:t>
      </w:r>
      <w:r w:rsidRPr="00942D22">
        <w:rPr>
          <w:rFonts w:ascii="Calibri" w:hAnsi="Calibri" w:cs="Calibri"/>
          <w:sz w:val="24"/>
          <w:szCs w:val="24"/>
          <w:lang w:val="en-US"/>
        </w:rPr>
        <w:t>.</w:t>
      </w:r>
      <w:r>
        <w:rPr>
          <w:rFonts w:ascii="Calibri" w:hAnsi="Calibri" w:cs="Calibri"/>
          <w:sz w:val="24"/>
          <w:szCs w:val="24"/>
          <w:lang w:val="en-US"/>
        </w:rPr>
        <w:t xml:space="preserve"> </w:t>
      </w:r>
    </w:p>
    <w:p w14:paraId="062A6958" w14:textId="429A0132" w:rsidR="003B421E" w:rsidRPr="00B34D77" w:rsidRDefault="00AA75A1" w:rsidP="004A2B7E">
      <w:pPr>
        <w:spacing w:after="160" w:line="259" w:lineRule="auto"/>
        <w:rPr>
          <w:rFonts w:ascii="Calibri" w:eastAsia="Calibri" w:hAnsi="Calibri" w:cs="Times New Roman"/>
          <w:b/>
          <w:bCs/>
          <w:sz w:val="24"/>
          <w:szCs w:val="24"/>
          <w:lang w:val="en-US"/>
        </w:rPr>
      </w:pPr>
      <w:r w:rsidRPr="00AB0263">
        <w:rPr>
          <w:rFonts w:ascii="Calibri" w:hAnsi="Calibri" w:cs="Calibri"/>
          <w:b/>
          <w:bCs/>
          <w:i/>
          <w:iCs/>
          <w:sz w:val="24"/>
          <w:szCs w:val="24"/>
        </w:rPr>
        <w:lastRenderedPageBreak/>
        <w:t>Echo response to research question 1</w:t>
      </w:r>
      <w:r>
        <w:rPr>
          <w:rFonts w:ascii="Calibri" w:hAnsi="Calibri" w:cs="Calibri"/>
          <w:b/>
          <w:bCs/>
          <w:i/>
          <w:iCs/>
          <w:sz w:val="24"/>
          <w:szCs w:val="24"/>
        </w:rPr>
        <w:t>:</w:t>
      </w:r>
      <w:r w:rsidRPr="00AB0263">
        <w:rPr>
          <w:rFonts w:ascii="Calibri" w:hAnsi="Calibri" w:cs="Calibri"/>
          <w:sz w:val="24"/>
          <w:szCs w:val="24"/>
          <w:lang w:val="en-US"/>
        </w:rPr>
        <w:t xml:space="preserve"> </w:t>
      </w:r>
      <w:bookmarkStart w:id="91" w:name="_Hlk203051144"/>
      <w:r w:rsidRPr="00C216B4">
        <w:rPr>
          <w:rFonts w:ascii="Calibri" w:eastAsia="Calibri" w:hAnsi="Calibri" w:cs="Times New Roman"/>
          <w:b/>
          <w:bCs/>
          <w:sz w:val="24"/>
          <w:szCs w:val="24"/>
          <w:lang w:val="en-US"/>
        </w:rPr>
        <w:t>What are the experiences, perspectives, and reflections of HE teachers on their teaching, and teacher training journeys?</w:t>
      </w:r>
    </w:p>
    <w:bookmarkEnd w:id="91"/>
    <w:p w14:paraId="71E61D09" w14:textId="1664ED0E" w:rsidR="003B421E" w:rsidRPr="003B421E" w:rsidRDefault="003B421E" w:rsidP="00B34D77">
      <w:pPr>
        <w:ind w:left="720"/>
        <w:rPr>
          <w:rFonts w:ascii="Calibri" w:hAnsi="Calibri" w:cs="Calibri"/>
          <w:i/>
          <w:iCs/>
          <w:sz w:val="24"/>
          <w:szCs w:val="24"/>
        </w:rPr>
      </w:pPr>
      <w:r w:rsidRPr="003B421E">
        <w:rPr>
          <w:rFonts w:ascii="Calibri" w:hAnsi="Calibri" w:cs="Calibri"/>
          <w:i/>
          <w:iCs/>
          <w:sz w:val="24"/>
          <w:szCs w:val="24"/>
        </w:rPr>
        <w:t>The human side, our own experience, what we’ve been through, it effects our knowledge and understanding of how things pan out, and I think that’s so important. If it were just a question of recruiting people to support students who could deliver frameworks and legislation, you wouldn’t even need to interview people, you would just put their CVs into AI and say, ‘Do they have on paper what it takes to deliver this?’ (Mo, T2, p.3, par 3).</w:t>
      </w:r>
    </w:p>
    <w:p w14:paraId="415B5A3C" w14:textId="2CD6EFE1" w:rsidR="00AA75A1" w:rsidRDefault="00AA75A1" w:rsidP="00D84066">
      <w:pPr>
        <w:spacing w:line="360" w:lineRule="auto"/>
        <w:rPr>
          <w:rFonts w:ascii="Calibri" w:hAnsi="Calibri" w:cs="Calibri"/>
          <w:sz w:val="24"/>
          <w:szCs w:val="24"/>
        </w:rPr>
      </w:pPr>
      <w:r>
        <w:rPr>
          <w:rFonts w:ascii="Calibri" w:hAnsi="Calibri" w:cs="Calibri"/>
          <w:sz w:val="24"/>
          <w:szCs w:val="24"/>
        </w:rPr>
        <w:t xml:space="preserve">In this study, the literature reviewed (Chapter </w:t>
      </w:r>
      <w:r w:rsidR="008504B2">
        <w:rPr>
          <w:rFonts w:ascii="Calibri" w:hAnsi="Calibri" w:cs="Calibri"/>
          <w:sz w:val="24"/>
          <w:szCs w:val="24"/>
        </w:rPr>
        <w:t>Three</w:t>
      </w:r>
      <w:r>
        <w:rPr>
          <w:rFonts w:ascii="Calibri" w:hAnsi="Calibri" w:cs="Calibri"/>
          <w:sz w:val="24"/>
          <w:szCs w:val="24"/>
        </w:rPr>
        <w:t xml:space="preserve">) revealed an inadequacy in mechanisms </w:t>
      </w:r>
      <w:r w:rsidR="00E51D49">
        <w:rPr>
          <w:rFonts w:ascii="Calibri" w:hAnsi="Calibri" w:cs="Calibri"/>
          <w:sz w:val="24"/>
          <w:szCs w:val="24"/>
        </w:rPr>
        <w:t>and</w:t>
      </w:r>
      <w:r>
        <w:rPr>
          <w:rFonts w:ascii="Calibri" w:hAnsi="Calibri" w:cs="Calibri"/>
          <w:sz w:val="24"/>
          <w:szCs w:val="24"/>
        </w:rPr>
        <w:t xml:space="preserve"> procedures to safeguard the emotional lives of teachers from the outset of their teacher trainings</w:t>
      </w:r>
      <w:r w:rsidR="00E51D49">
        <w:rPr>
          <w:rFonts w:ascii="Calibri" w:hAnsi="Calibri" w:cs="Calibri"/>
          <w:sz w:val="24"/>
          <w:szCs w:val="24"/>
        </w:rPr>
        <w:t>,</w:t>
      </w:r>
      <w:r>
        <w:rPr>
          <w:rFonts w:ascii="Calibri" w:hAnsi="Calibri" w:cs="Calibri"/>
          <w:sz w:val="24"/>
          <w:szCs w:val="24"/>
        </w:rPr>
        <w:t xml:space="preserve"> and beyond.</w:t>
      </w:r>
      <w:r w:rsidRPr="00AE6A0A">
        <w:rPr>
          <w:rFonts w:ascii="Calibri" w:hAnsi="Calibri" w:cs="Calibri"/>
          <w:sz w:val="24"/>
          <w:szCs w:val="24"/>
        </w:rPr>
        <w:t xml:space="preserve"> </w:t>
      </w:r>
      <w:r>
        <w:rPr>
          <w:rFonts w:ascii="Calibri" w:hAnsi="Calibri" w:cs="Calibri"/>
          <w:sz w:val="24"/>
          <w:szCs w:val="24"/>
        </w:rPr>
        <w:t>P</w:t>
      </w:r>
      <w:r w:rsidRPr="00AE6A0A">
        <w:rPr>
          <w:rFonts w:ascii="Calibri" w:hAnsi="Calibri" w:cs="Calibri"/>
          <w:sz w:val="24"/>
          <w:szCs w:val="24"/>
        </w:rPr>
        <w:t xml:space="preserve">articipants in this study affirmed there was a need for recognition and affirmation of the </w:t>
      </w:r>
      <w:r w:rsidR="001815DA">
        <w:rPr>
          <w:rFonts w:ascii="Calibri" w:hAnsi="Calibri" w:cs="Calibri"/>
          <w:sz w:val="24"/>
          <w:szCs w:val="24"/>
        </w:rPr>
        <w:t>ps</w:t>
      </w:r>
      <w:r w:rsidR="00051AE6">
        <w:rPr>
          <w:rFonts w:ascii="Calibri" w:hAnsi="Calibri" w:cs="Calibri"/>
          <w:sz w:val="24"/>
          <w:szCs w:val="24"/>
        </w:rPr>
        <w:t xml:space="preserve">ychosocial, </w:t>
      </w:r>
      <w:r w:rsidRPr="00AE6A0A">
        <w:rPr>
          <w:rFonts w:ascii="Calibri" w:hAnsi="Calibri" w:cs="Calibri"/>
          <w:sz w:val="24"/>
          <w:szCs w:val="24"/>
        </w:rPr>
        <w:t xml:space="preserve">emotional </w:t>
      </w:r>
      <w:r w:rsidR="00480D39">
        <w:rPr>
          <w:rFonts w:ascii="Calibri" w:hAnsi="Calibri" w:cs="Calibri"/>
          <w:sz w:val="24"/>
          <w:szCs w:val="24"/>
        </w:rPr>
        <w:t xml:space="preserve">and relational </w:t>
      </w:r>
      <w:r w:rsidRPr="00AE6A0A">
        <w:rPr>
          <w:rFonts w:ascii="Calibri" w:hAnsi="Calibri" w:cs="Calibri"/>
          <w:sz w:val="24"/>
          <w:szCs w:val="24"/>
        </w:rPr>
        <w:t>side</w:t>
      </w:r>
      <w:r w:rsidR="00480D39">
        <w:rPr>
          <w:rFonts w:ascii="Calibri" w:hAnsi="Calibri" w:cs="Calibri"/>
          <w:sz w:val="24"/>
          <w:szCs w:val="24"/>
        </w:rPr>
        <w:t>s</w:t>
      </w:r>
      <w:r w:rsidRPr="00AE6A0A">
        <w:rPr>
          <w:rFonts w:ascii="Calibri" w:hAnsi="Calibri" w:cs="Calibri"/>
          <w:sz w:val="24"/>
          <w:szCs w:val="24"/>
        </w:rPr>
        <w:t xml:space="preserve"> of their work which</w:t>
      </w:r>
      <w:r w:rsidR="00FF54E7">
        <w:rPr>
          <w:rFonts w:ascii="Calibri" w:hAnsi="Calibri" w:cs="Calibri"/>
          <w:sz w:val="24"/>
          <w:szCs w:val="24"/>
        </w:rPr>
        <w:t xml:space="preserve"> </w:t>
      </w:r>
      <w:r w:rsidR="0058723A">
        <w:rPr>
          <w:rFonts w:ascii="Calibri" w:hAnsi="Calibri" w:cs="Calibri"/>
          <w:sz w:val="24"/>
          <w:szCs w:val="24"/>
        </w:rPr>
        <w:t xml:space="preserve">they felt </w:t>
      </w:r>
      <w:r>
        <w:rPr>
          <w:rFonts w:ascii="Calibri" w:hAnsi="Calibri" w:cs="Calibri"/>
          <w:sz w:val="24"/>
          <w:szCs w:val="24"/>
        </w:rPr>
        <w:t xml:space="preserve">should </w:t>
      </w:r>
      <w:r w:rsidRPr="00AE6A0A">
        <w:rPr>
          <w:rFonts w:ascii="Calibri" w:hAnsi="Calibri" w:cs="Calibri"/>
          <w:sz w:val="24"/>
          <w:szCs w:val="24"/>
        </w:rPr>
        <w:t xml:space="preserve">be </w:t>
      </w:r>
      <w:r>
        <w:rPr>
          <w:rFonts w:ascii="Calibri" w:hAnsi="Calibri" w:cs="Calibri"/>
          <w:sz w:val="24"/>
          <w:szCs w:val="24"/>
        </w:rPr>
        <w:t xml:space="preserve">included </w:t>
      </w:r>
      <w:r w:rsidR="00B1120D">
        <w:rPr>
          <w:rFonts w:ascii="Calibri" w:hAnsi="Calibri" w:cs="Calibri"/>
          <w:sz w:val="24"/>
          <w:szCs w:val="24"/>
        </w:rPr>
        <w:t>in the curriculum</w:t>
      </w:r>
      <w:r w:rsidRPr="00AE6A0A">
        <w:rPr>
          <w:rFonts w:ascii="Calibri" w:hAnsi="Calibri" w:cs="Calibri"/>
          <w:sz w:val="24"/>
          <w:szCs w:val="24"/>
        </w:rPr>
        <w:t xml:space="preserve"> in their teacher trainings. </w:t>
      </w:r>
      <w:r w:rsidR="006B3DA5">
        <w:rPr>
          <w:rFonts w:ascii="Calibri" w:hAnsi="Calibri" w:cs="Calibri"/>
          <w:sz w:val="24"/>
          <w:szCs w:val="24"/>
        </w:rPr>
        <w:t>P</w:t>
      </w:r>
      <w:r w:rsidRPr="00AE6A0A">
        <w:rPr>
          <w:rFonts w:ascii="Calibri" w:hAnsi="Calibri" w:cs="Calibri"/>
          <w:sz w:val="24"/>
          <w:szCs w:val="24"/>
        </w:rPr>
        <w:t xml:space="preserve">reparation for the emotional side of learning </w:t>
      </w:r>
      <w:r w:rsidR="00861D1A">
        <w:rPr>
          <w:rFonts w:ascii="Calibri" w:hAnsi="Calibri" w:cs="Calibri"/>
          <w:sz w:val="24"/>
          <w:szCs w:val="24"/>
        </w:rPr>
        <w:t xml:space="preserve">to teach </w:t>
      </w:r>
      <w:r w:rsidRPr="00AE6A0A">
        <w:rPr>
          <w:rFonts w:ascii="Calibri" w:hAnsi="Calibri" w:cs="Calibri"/>
          <w:sz w:val="24"/>
          <w:szCs w:val="24"/>
        </w:rPr>
        <w:t xml:space="preserve">and teaching, the application of methods and the moral side was </w:t>
      </w:r>
      <w:r w:rsidR="00141766">
        <w:rPr>
          <w:rFonts w:ascii="Calibri" w:hAnsi="Calibri" w:cs="Calibri"/>
          <w:sz w:val="24"/>
          <w:szCs w:val="24"/>
        </w:rPr>
        <w:t xml:space="preserve">largely </w:t>
      </w:r>
      <w:r w:rsidRPr="00AE6A0A">
        <w:rPr>
          <w:rFonts w:ascii="Calibri" w:hAnsi="Calibri" w:cs="Calibri"/>
          <w:sz w:val="24"/>
          <w:szCs w:val="24"/>
        </w:rPr>
        <w:t>lacking</w:t>
      </w:r>
      <w:r w:rsidR="00357082">
        <w:rPr>
          <w:rFonts w:ascii="Calibri" w:hAnsi="Calibri" w:cs="Calibri"/>
          <w:sz w:val="24"/>
          <w:szCs w:val="24"/>
        </w:rPr>
        <w:t xml:space="preserve"> </w:t>
      </w:r>
      <w:r w:rsidR="000D000B">
        <w:rPr>
          <w:rFonts w:ascii="Calibri" w:hAnsi="Calibri" w:cs="Calibri"/>
          <w:sz w:val="24"/>
          <w:szCs w:val="24"/>
        </w:rPr>
        <w:t xml:space="preserve">during teacher trainings </w:t>
      </w:r>
      <w:r w:rsidR="00357082">
        <w:rPr>
          <w:rFonts w:ascii="Calibri" w:hAnsi="Calibri" w:cs="Calibri"/>
          <w:sz w:val="24"/>
          <w:szCs w:val="24"/>
        </w:rPr>
        <w:t>resulting</w:t>
      </w:r>
      <w:r>
        <w:rPr>
          <w:rFonts w:ascii="Calibri" w:hAnsi="Calibri" w:cs="Calibri"/>
          <w:sz w:val="24"/>
          <w:szCs w:val="24"/>
        </w:rPr>
        <w:t xml:space="preserve"> in</w:t>
      </w:r>
      <w:r w:rsidRPr="00AE6A0A">
        <w:rPr>
          <w:rFonts w:ascii="Calibri" w:hAnsi="Calibri" w:cs="Calibri"/>
          <w:sz w:val="24"/>
          <w:szCs w:val="24"/>
        </w:rPr>
        <w:t xml:space="preserve"> </w:t>
      </w:r>
      <w:r>
        <w:rPr>
          <w:rFonts w:ascii="Calibri" w:hAnsi="Calibri" w:cs="Calibri"/>
          <w:sz w:val="24"/>
          <w:szCs w:val="24"/>
        </w:rPr>
        <w:t>an</w:t>
      </w:r>
      <w:r w:rsidRPr="00AE6A0A">
        <w:rPr>
          <w:rFonts w:ascii="Calibri" w:hAnsi="Calibri" w:cs="Calibri"/>
          <w:sz w:val="24"/>
          <w:szCs w:val="24"/>
        </w:rPr>
        <w:t xml:space="preserve"> arduous </w:t>
      </w:r>
      <w:r>
        <w:rPr>
          <w:rFonts w:ascii="Calibri" w:hAnsi="Calibri" w:cs="Calibri"/>
          <w:sz w:val="24"/>
          <w:szCs w:val="24"/>
        </w:rPr>
        <w:t xml:space="preserve">learning journey </w:t>
      </w:r>
      <w:r w:rsidRPr="00AE6A0A">
        <w:rPr>
          <w:rFonts w:ascii="Calibri" w:hAnsi="Calibri" w:cs="Calibri"/>
          <w:sz w:val="24"/>
          <w:szCs w:val="24"/>
        </w:rPr>
        <w:t>for some participants</w:t>
      </w:r>
      <w:r w:rsidR="006D40B1">
        <w:rPr>
          <w:rFonts w:ascii="Calibri" w:hAnsi="Calibri" w:cs="Calibri"/>
          <w:sz w:val="24"/>
          <w:szCs w:val="24"/>
        </w:rPr>
        <w:t xml:space="preserve"> which </w:t>
      </w:r>
      <w:r w:rsidR="004D3F42">
        <w:rPr>
          <w:rFonts w:ascii="Calibri" w:hAnsi="Calibri" w:cs="Calibri"/>
          <w:sz w:val="24"/>
          <w:szCs w:val="24"/>
        </w:rPr>
        <w:t xml:space="preserve">meant </w:t>
      </w:r>
      <w:r>
        <w:rPr>
          <w:rFonts w:ascii="Calibri" w:hAnsi="Calibri" w:cs="Calibri"/>
          <w:sz w:val="24"/>
          <w:szCs w:val="24"/>
        </w:rPr>
        <w:t xml:space="preserve">their vulnerability </w:t>
      </w:r>
      <w:r w:rsidRPr="00AE6A0A">
        <w:rPr>
          <w:rFonts w:ascii="Calibri" w:hAnsi="Calibri" w:cs="Calibri"/>
          <w:sz w:val="24"/>
          <w:szCs w:val="24"/>
        </w:rPr>
        <w:t xml:space="preserve">was a prominent feature. </w:t>
      </w:r>
    </w:p>
    <w:p w14:paraId="68A17866" w14:textId="635F655D" w:rsidR="00AA75A1" w:rsidRPr="00782D13" w:rsidRDefault="00AA75A1" w:rsidP="00D84066">
      <w:pPr>
        <w:spacing w:line="360" w:lineRule="auto"/>
        <w:rPr>
          <w:rFonts w:ascii="Calibri" w:hAnsi="Calibri" w:cs="Calibri"/>
          <w:sz w:val="24"/>
          <w:szCs w:val="24"/>
        </w:rPr>
      </w:pPr>
      <w:r w:rsidRPr="00DD363A">
        <w:rPr>
          <w:rFonts w:ascii="Calibri" w:hAnsi="Calibri" w:cs="Calibri"/>
          <w:sz w:val="24"/>
          <w:szCs w:val="24"/>
        </w:rPr>
        <w:t xml:space="preserve">This research has shown that emotions feature in teaching and learning, and the mediating and managing of emotions is an important human endeavour requiring consideration. </w:t>
      </w:r>
      <w:r w:rsidRPr="00815FDC">
        <w:rPr>
          <w:rFonts w:ascii="Calibri" w:hAnsi="Calibri" w:cs="Calibri"/>
          <w:sz w:val="24"/>
          <w:szCs w:val="24"/>
        </w:rPr>
        <w:t xml:space="preserve">The </w:t>
      </w:r>
      <w:r>
        <w:rPr>
          <w:rFonts w:ascii="Calibri" w:hAnsi="Calibri" w:cs="Calibri"/>
          <w:sz w:val="24"/>
          <w:szCs w:val="24"/>
        </w:rPr>
        <w:t xml:space="preserve">research </w:t>
      </w:r>
      <w:r w:rsidRPr="00815FDC">
        <w:rPr>
          <w:rFonts w:ascii="Calibri" w:hAnsi="Calibri" w:cs="Calibri"/>
          <w:sz w:val="24"/>
          <w:szCs w:val="24"/>
        </w:rPr>
        <w:t>findings highlight</w:t>
      </w:r>
      <w:r>
        <w:rPr>
          <w:rFonts w:ascii="Calibri" w:hAnsi="Calibri" w:cs="Calibri"/>
          <w:sz w:val="24"/>
          <w:szCs w:val="24"/>
        </w:rPr>
        <w:t xml:space="preserve"> </w:t>
      </w:r>
      <w:r w:rsidRPr="00815FDC">
        <w:rPr>
          <w:rFonts w:ascii="Calibri" w:hAnsi="Calibri" w:cs="Calibri"/>
          <w:sz w:val="24"/>
          <w:szCs w:val="24"/>
        </w:rPr>
        <w:t>the need to provide more emotional safeguarding</w:t>
      </w:r>
      <w:r>
        <w:rPr>
          <w:rFonts w:ascii="Calibri" w:hAnsi="Calibri" w:cs="Calibri"/>
          <w:sz w:val="24"/>
          <w:szCs w:val="24"/>
        </w:rPr>
        <w:t xml:space="preserve"> </w:t>
      </w:r>
      <w:r w:rsidRPr="00815FDC">
        <w:rPr>
          <w:rFonts w:ascii="Calibri" w:hAnsi="Calibri" w:cs="Calibri"/>
          <w:sz w:val="24"/>
          <w:szCs w:val="24"/>
        </w:rPr>
        <w:t xml:space="preserve">and holding </w:t>
      </w:r>
      <w:r w:rsidR="00DF516B">
        <w:rPr>
          <w:rFonts w:ascii="Calibri" w:hAnsi="Calibri" w:cs="Calibri"/>
          <w:sz w:val="24"/>
          <w:szCs w:val="24"/>
        </w:rPr>
        <w:t>(Winnicott, 1965)</w:t>
      </w:r>
      <w:r w:rsidR="001D28F8">
        <w:rPr>
          <w:rFonts w:ascii="Calibri" w:hAnsi="Calibri" w:cs="Calibri"/>
          <w:sz w:val="24"/>
          <w:szCs w:val="24"/>
        </w:rPr>
        <w:t xml:space="preserve"> </w:t>
      </w:r>
      <w:r w:rsidRPr="00815FDC">
        <w:rPr>
          <w:rFonts w:ascii="Calibri" w:hAnsi="Calibri" w:cs="Calibri"/>
          <w:sz w:val="24"/>
          <w:szCs w:val="24"/>
        </w:rPr>
        <w:t xml:space="preserve">for learners as they transition across unknown territories of knowledge </w:t>
      </w:r>
      <w:r>
        <w:rPr>
          <w:rFonts w:ascii="Calibri" w:hAnsi="Calibri" w:cs="Calibri"/>
          <w:sz w:val="24"/>
          <w:szCs w:val="24"/>
        </w:rPr>
        <w:t xml:space="preserve">and skill </w:t>
      </w:r>
      <w:r w:rsidRPr="00815FDC">
        <w:rPr>
          <w:rFonts w:ascii="Calibri" w:hAnsi="Calibri" w:cs="Calibri"/>
          <w:sz w:val="24"/>
          <w:szCs w:val="24"/>
        </w:rPr>
        <w:t>acquisition.</w:t>
      </w:r>
      <w:r w:rsidRPr="00C478F9">
        <w:rPr>
          <w:rFonts w:ascii="Calibri" w:hAnsi="Calibri" w:cs="Calibri"/>
          <w:sz w:val="24"/>
          <w:szCs w:val="24"/>
        </w:rPr>
        <w:t xml:space="preserve"> Despite significant literature on the role of academic staff as pastoral carers</w:t>
      </w:r>
      <w:r w:rsidR="0025168F">
        <w:rPr>
          <w:rFonts w:ascii="Calibri" w:hAnsi="Calibri" w:cs="Calibri"/>
          <w:sz w:val="24"/>
          <w:szCs w:val="24"/>
        </w:rPr>
        <w:t xml:space="preserve"> for their students</w:t>
      </w:r>
      <w:r w:rsidRPr="00C478F9">
        <w:rPr>
          <w:rFonts w:ascii="Calibri" w:hAnsi="Calibri" w:cs="Calibri"/>
          <w:sz w:val="24"/>
          <w:szCs w:val="24"/>
        </w:rPr>
        <w:t xml:space="preserve">, </w:t>
      </w:r>
      <w:r>
        <w:rPr>
          <w:rFonts w:ascii="Calibri" w:hAnsi="Calibri" w:cs="Calibri"/>
          <w:sz w:val="24"/>
          <w:szCs w:val="24"/>
        </w:rPr>
        <w:t xml:space="preserve">participants affirmed that </w:t>
      </w:r>
      <w:r w:rsidRPr="00C478F9">
        <w:rPr>
          <w:rFonts w:ascii="Calibri" w:hAnsi="Calibri" w:cs="Calibri"/>
          <w:sz w:val="24"/>
          <w:szCs w:val="24"/>
        </w:rPr>
        <w:t xml:space="preserve">there is a lack of focus on </w:t>
      </w:r>
      <w:r w:rsidRPr="00BC4246">
        <w:rPr>
          <w:rFonts w:ascii="Calibri" w:hAnsi="Calibri" w:cs="Calibri"/>
          <w:i/>
          <w:iCs/>
          <w:sz w:val="24"/>
          <w:szCs w:val="24"/>
        </w:rPr>
        <w:t>their</w:t>
      </w:r>
      <w:r w:rsidRPr="00F87793">
        <w:rPr>
          <w:rFonts w:ascii="Calibri" w:hAnsi="Calibri" w:cs="Calibri"/>
          <w:sz w:val="24"/>
          <w:szCs w:val="24"/>
        </w:rPr>
        <w:t xml:space="preserve"> </w:t>
      </w:r>
      <w:r w:rsidRPr="00C478F9">
        <w:rPr>
          <w:rFonts w:ascii="Calibri" w:hAnsi="Calibri" w:cs="Calibri"/>
          <w:sz w:val="24"/>
          <w:szCs w:val="24"/>
        </w:rPr>
        <w:t>care</w:t>
      </w:r>
      <w:r>
        <w:rPr>
          <w:rFonts w:ascii="Calibri" w:hAnsi="Calibri" w:cs="Calibri"/>
          <w:sz w:val="24"/>
          <w:szCs w:val="24"/>
        </w:rPr>
        <w:t xml:space="preserve"> as trainee</w:t>
      </w:r>
      <w:r w:rsidR="00D352A5">
        <w:rPr>
          <w:rFonts w:ascii="Calibri" w:hAnsi="Calibri" w:cs="Calibri"/>
          <w:sz w:val="24"/>
          <w:szCs w:val="24"/>
        </w:rPr>
        <w:t xml:space="preserve"> teachers</w:t>
      </w:r>
      <w:r>
        <w:rPr>
          <w:rFonts w:ascii="Calibri" w:hAnsi="Calibri" w:cs="Calibri"/>
          <w:sz w:val="24"/>
          <w:szCs w:val="24"/>
        </w:rPr>
        <w:t>,</w:t>
      </w:r>
      <w:r w:rsidRPr="00C478F9">
        <w:rPr>
          <w:rFonts w:ascii="Calibri" w:hAnsi="Calibri" w:cs="Calibri"/>
          <w:sz w:val="24"/>
          <w:szCs w:val="24"/>
        </w:rPr>
        <w:t xml:space="preserve"> and </w:t>
      </w:r>
      <w:r w:rsidR="00AF1044">
        <w:rPr>
          <w:rFonts w:ascii="Calibri" w:hAnsi="Calibri" w:cs="Calibri"/>
          <w:sz w:val="24"/>
          <w:szCs w:val="24"/>
        </w:rPr>
        <w:t xml:space="preserve">the </w:t>
      </w:r>
      <w:r w:rsidRPr="00C478F9">
        <w:rPr>
          <w:rFonts w:ascii="Calibri" w:hAnsi="Calibri" w:cs="Calibri"/>
          <w:sz w:val="24"/>
          <w:szCs w:val="24"/>
        </w:rPr>
        <w:t xml:space="preserve">emotional well-being </w:t>
      </w:r>
      <w:r w:rsidR="00AF1044">
        <w:rPr>
          <w:rFonts w:ascii="Calibri" w:hAnsi="Calibri" w:cs="Calibri"/>
          <w:sz w:val="24"/>
          <w:szCs w:val="24"/>
        </w:rPr>
        <w:t xml:space="preserve">of </w:t>
      </w:r>
      <w:r w:rsidR="000A5B1E">
        <w:rPr>
          <w:rFonts w:ascii="Calibri" w:hAnsi="Calibri" w:cs="Calibri"/>
          <w:sz w:val="24"/>
          <w:szCs w:val="24"/>
        </w:rPr>
        <w:t xml:space="preserve">qualified </w:t>
      </w:r>
      <w:r w:rsidR="00AF1044">
        <w:rPr>
          <w:rFonts w:ascii="Calibri" w:hAnsi="Calibri" w:cs="Calibri"/>
          <w:sz w:val="24"/>
          <w:szCs w:val="24"/>
        </w:rPr>
        <w:t xml:space="preserve">teachers </w:t>
      </w:r>
      <w:r w:rsidRPr="00C478F9">
        <w:rPr>
          <w:rFonts w:ascii="Calibri" w:hAnsi="Calibri" w:cs="Calibri"/>
          <w:sz w:val="24"/>
          <w:szCs w:val="24"/>
        </w:rPr>
        <w:t xml:space="preserve">remains an under researched field. </w:t>
      </w:r>
      <w:r w:rsidRPr="00782D13">
        <w:rPr>
          <w:rFonts w:ascii="Calibri" w:hAnsi="Calibri" w:cs="Calibri"/>
          <w:sz w:val="24"/>
          <w:szCs w:val="24"/>
        </w:rPr>
        <w:t xml:space="preserve">This study contributes to the field of pedagogy by identifying </w:t>
      </w:r>
      <w:r>
        <w:rPr>
          <w:rFonts w:ascii="Calibri" w:hAnsi="Calibri" w:cs="Calibri"/>
          <w:sz w:val="24"/>
          <w:szCs w:val="24"/>
        </w:rPr>
        <w:t xml:space="preserve">the importance of taking more care of teachers, listening to their needs and heeding the requirement to better prepare teachers for the emotional realms of teaching and learning. </w:t>
      </w:r>
    </w:p>
    <w:p w14:paraId="1594E1A2" w14:textId="77777777" w:rsidR="00AA75A1" w:rsidRPr="00E35EF9" w:rsidRDefault="00AA75A1" w:rsidP="004A2B7E">
      <w:pPr>
        <w:spacing w:after="160" w:line="259" w:lineRule="auto"/>
        <w:rPr>
          <w:rFonts w:ascii="Calibri" w:eastAsia="Calibri" w:hAnsi="Calibri" w:cs="Times New Roman"/>
          <w:b/>
          <w:bCs/>
          <w:sz w:val="24"/>
          <w:szCs w:val="24"/>
          <w:lang w:val="en-US"/>
        </w:rPr>
      </w:pPr>
      <w:r w:rsidRPr="00AB0263">
        <w:rPr>
          <w:rFonts w:ascii="Calibri" w:hAnsi="Calibri" w:cs="Calibri"/>
          <w:b/>
          <w:bCs/>
          <w:i/>
          <w:iCs/>
          <w:sz w:val="24"/>
          <w:szCs w:val="24"/>
        </w:rPr>
        <w:t>Echo response to Research Question 2:</w:t>
      </w:r>
      <w:r>
        <w:rPr>
          <w:rFonts w:ascii="Calibri" w:hAnsi="Calibri" w:cs="Calibri"/>
          <w:b/>
          <w:bCs/>
          <w:i/>
          <w:iCs/>
          <w:sz w:val="24"/>
          <w:szCs w:val="24"/>
        </w:rPr>
        <w:t xml:space="preserve"> </w:t>
      </w:r>
      <w:r w:rsidRPr="00E35EF9">
        <w:rPr>
          <w:rFonts w:ascii="Calibri" w:eastAsia="Calibri" w:hAnsi="Calibri" w:cs="Times New Roman"/>
          <w:b/>
          <w:bCs/>
          <w:sz w:val="24"/>
          <w:szCs w:val="24"/>
          <w:lang w:val="en-US"/>
        </w:rPr>
        <w:t>What role does reflective practice play in the teaching practices of HE teachers?</w:t>
      </w:r>
    </w:p>
    <w:p w14:paraId="5E1A3D85" w14:textId="77777777" w:rsidR="001775E0" w:rsidRPr="001775E0" w:rsidRDefault="001775E0" w:rsidP="001775E0">
      <w:pPr>
        <w:ind w:left="720"/>
        <w:rPr>
          <w:rFonts w:ascii="Calibri" w:hAnsi="Calibri" w:cs="Calibri"/>
          <w:i/>
          <w:iCs/>
          <w:sz w:val="24"/>
          <w:szCs w:val="24"/>
        </w:rPr>
      </w:pPr>
      <w:r w:rsidRPr="001775E0">
        <w:rPr>
          <w:rFonts w:ascii="Calibri" w:hAnsi="Calibri" w:cs="Calibri"/>
          <w:i/>
          <w:iCs/>
          <w:sz w:val="24"/>
          <w:szCs w:val="24"/>
        </w:rPr>
        <w:t>I feel reflection is crucial to any form of development in life. So, it’s basically, it’s not the starting point that’s important, it’s your ability to improve, it’s like the gradient of the graph rather than the position of the graphics (Miriam, T1, p.11, par 10).</w:t>
      </w:r>
    </w:p>
    <w:p w14:paraId="33A53526" w14:textId="5A39F212" w:rsidR="00AA75A1" w:rsidRPr="004D2119" w:rsidRDefault="00AA75A1" w:rsidP="00D5693E">
      <w:pPr>
        <w:spacing w:line="360" w:lineRule="auto"/>
        <w:rPr>
          <w:rFonts w:ascii="Calibri" w:hAnsi="Calibri" w:cs="Calibri"/>
          <w:b/>
          <w:bCs/>
          <w:i/>
          <w:iCs/>
          <w:sz w:val="24"/>
          <w:szCs w:val="24"/>
        </w:rPr>
      </w:pPr>
      <w:r w:rsidRPr="004D2119">
        <w:rPr>
          <w:rFonts w:ascii="Calibri" w:hAnsi="Calibri" w:cs="Calibri"/>
          <w:sz w:val="24"/>
          <w:szCs w:val="24"/>
        </w:rPr>
        <w:t xml:space="preserve">This </w:t>
      </w:r>
      <w:r w:rsidRPr="00814631">
        <w:rPr>
          <w:rFonts w:ascii="Calibri" w:hAnsi="Calibri" w:cs="Calibri"/>
          <w:sz w:val="24"/>
          <w:szCs w:val="24"/>
        </w:rPr>
        <w:t xml:space="preserve">study found that the process of reflection acts to support personal, student and service improvement as affirmed by the literature. </w:t>
      </w:r>
      <w:r>
        <w:rPr>
          <w:rFonts w:ascii="Calibri" w:hAnsi="Calibri" w:cs="Calibri"/>
          <w:sz w:val="24"/>
          <w:szCs w:val="24"/>
        </w:rPr>
        <w:t>Furthermore, reflection was implicitly rather</w:t>
      </w:r>
      <w:r w:rsidR="001A3DAF">
        <w:rPr>
          <w:rFonts w:ascii="Calibri" w:hAnsi="Calibri" w:cs="Calibri"/>
          <w:sz w:val="24"/>
          <w:szCs w:val="24"/>
        </w:rPr>
        <w:t xml:space="preserve"> </w:t>
      </w:r>
      <w:r>
        <w:rPr>
          <w:rFonts w:ascii="Calibri" w:hAnsi="Calibri" w:cs="Calibri"/>
          <w:sz w:val="24"/>
          <w:szCs w:val="24"/>
        </w:rPr>
        <w:lastRenderedPageBreak/>
        <w:t>than explicitly stated as a restorative and affirmative device to acknowledge</w:t>
      </w:r>
      <w:r w:rsidR="00E017B9">
        <w:rPr>
          <w:rFonts w:ascii="Calibri" w:hAnsi="Calibri" w:cs="Calibri"/>
          <w:sz w:val="24"/>
          <w:szCs w:val="24"/>
        </w:rPr>
        <w:t>, affirm</w:t>
      </w:r>
      <w:r>
        <w:rPr>
          <w:rFonts w:ascii="Calibri" w:hAnsi="Calibri" w:cs="Calibri"/>
          <w:sz w:val="24"/>
          <w:szCs w:val="24"/>
        </w:rPr>
        <w:t xml:space="preserve"> </w:t>
      </w:r>
      <w:r w:rsidR="00CC25A8">
        <w:rPr>
          <w:rFonts w:ascii="Calibri" w:hAnsi="Calibri" w:cs="Calibri"/>
          <w:sz w:val="24"/>
          <w:szCs w:val="24"/>
        </w:rPr>
        <w:t xml:space="preserve">and </w:t>
      </w:r>
      <w:r>
        <w:rPr>
          <w:rFonts w:ascii="Calibri" w:hAnsi="Calibri" w:cs="Calibri"/>
          <w:sz w:val="24"/>
          <w:szCs w:val="24"/>
        </w:rPr>
        <w:t xml:space="preserve">challenge actions taken </w:t>
      </w:r>
      <w:r w:rsidR="00FF0FCB">
        <w:rPr>
          <w:rFonts w:ascii="Calibri" w:hAnsi="Calibri" w:cs="Calibri"/>
          <w:sz w:val="24"/>
          <w:szCs w:val="24"/>
        </w:rPr>
        <w:t>b</w:t>
      </w:r>
      <w:r w:rsidR="00E017B9">
        <w:rPr>
          <w:rFonts w:ascii="Calibri" w:hAnsi="Calibri" w:cs="Calibri"/>
          <w:sz w:val="24"/>
          <w:szCs w:val="24"/>
        </w:rPr>
        <w:t xml:space="preserve">y teachers </w:t>
      </w:r>
      <w:r>
        <w:rPr>
          <w:rFonts w:ascii="Calibri" w:hAnsi="Calibri" w:cs="Calibri"/>
          <w:sz w:val="24"/>
          <w:szCs w:val="24"/>
        </w:rPr>
        <w:t>in the course of their work. R</w:t>
      </w:r>
      <w:r w:rsidRPr="00C478F9">
        <w:rPr>
          <w:rFonts w:ascii="Calibri" w:hAnsi="Calibri" w:cs="Calibri"/>
          <w:sz w:val="24"/>
          <w:szCs w:val="24"/>
        </w:rPr>
        <w:t xml:space="preserve">eflection </w:t>
      </w:r>
      <w:r>
        <w:rPr>
          <w:rFonts w:ascii="Calibri" w:hAnsi="Calibri" w:cs="Calibri"/>
          <w:sz w:val="24"/>
          <w:szCs w:val="24"/>
        </w:rPr>
        <w:t xml:space="preserve">was </w:t>
      </w:r>
      <w:r w:rsidRPr="00C478F9">
        <w:rPr>
          <w:rFonts w:ascii="Calibri" w:hAnsi="Calibri" w:cs="Calibri"/>
          <w:sz w:val="24"/>
          <w:szCs w:val="24"/>
        </w:rPr>
        <w:t xml:space="preserve">used in service of safeguarding </w:t>
      </w:r>
      <w:r>
        <w:rPr>
          <w:rFonts w:ascii="Calibri" w:hAnsi="Calibri" w:cs="Calibri"/>
          <w:sz w:val="24"/>
          <w:szCs w:val="24"/>
        </w:rPr>
        <w:t>the well</w:t>
      </w:r>
      <w:r w:rsidR="00E02E58">
        <w:rPr>
          <w:rFonts w:ascii="Calibri" w:hAnsi="Calibri" w:cs="Calibri"/>
          <w:sz w:val="24"/>
          <w:szCs w:val="24"/>
        </w:rPr>
        <w:t>-</w:t>
      </w:r>
      <w:r>
        <w:rPr>
          <w:rFonts w:ascii="Calibri" w:hAnsi="Calibri" w:cs="Calibri"/>
          <w:sz w:val="24"/>
          <w:szCs w:val="24"/>
        </w:rPr>
        <w:t xml:space="preserve">being </w:t>
      </w:r>
      <w:r w:rsidRPr="00C478F9">
        <w:rPr>
          <w:rFonts w:ascii="Calibri" w:hAnsi="Calibri" w:cs="Calibri"/>
          <w:sz w:val="24"/>
          <w:szCs w:val="24"/>
        </w:rPr>
        <w:t>of the teacher</w:t>
      </w:r>
      <w:r w:rsidR="009874DE">
        <w:rPr>
          <w:rFonts w:ascii="Calibri" w:hAnsi="Calibri" w:cs="Calibri"/>
          <w:sz w:val="24"/>
          <w:szCs w:val="24"/>
        </w:rPr>
        <w:t xml:space="preserve"> </w:t>
      </w:r>
      <w:r>
        <w:rPr>
          <w:rFonts w:ascii="Calibri" w:hAnsi="Calibri" w:cs="Calibri"/>
          <w:sz w:val="24"/>
          <w:szCs w:val="24"/>
        </w:rPr>
        <w:t xml:space="preserve">largely </w:t>
      </w:r>
      <w:r w:rsidR="009874DE">
        <w:rPr>
          <w:rFonts w:ascii="Calibri" w:hAnsi="Calibri" w:cs="Calibri"/>
          <w:sz w:val="24"/>
          <w:szCs w:val="24"/>
        </w:rPr>
        <w:t xml:space="preserve">as </w:t>
      </w:r>
      <w:r w:rsidRPr="00C478F9">
        <w:rPr>
          <w:rFonts w:ascii="Calibri" w:hAnsi="Calibri" w:cs="Calibri"/>
          <w:sz w:val="24"/>
          <w:szCs w:val="24"/>
        </w:rPr>
        <w:t>an intuitive choice and involve</w:t>
      </w:r>
      <w:r>
        <w:rPr>
          <w:rFonts w:ascii="Calibri" w:hAnsi="Calibri" w:cs="Calibri"/>
          <w:sz w:val="24"/>
          <w:szCs w:val="24"/>
        </w:rPr>
        <w:t>d</w:t>
      </w:r>
      <w:r w:rsidRPr="00C478F9">
        <w:rPr>
          <w:rFonts w:ascii="Calibri" w:hAnsi="Calibri" w:cs="Calibri"/>
          <w:sz w:val="24"/>
          <w:szCs w:val="24"/>
        </w:rPr>
        <w:t xml:space="preserve"> emotionally sharing with trusted others</w:t>
      </w:r>
      <w:r w:rsidR="009874DE">
        <w:rPr>
          <w:rFonts w:ascii="Calibri" w:hAnsi="Calibri" w:cs="Calibri"/>
          <w:sz w:val="24"/>
          <w:szCs w:val="24"/>
        </w:rPr>
        <w:t>,</w:t>
      </w:r>
      <w:r>
        <w:rPr>
          <w:rFonts w:ascii="Calibri" w:hAnsi="Calibri" w:cs="Calibri"/>
          <w:sz w:val="24"/>
          <w:szCs w:val="24"/>
        </w:rPr>
        <w:t xml:space="preserve"> </w:t>
      </w:r>
      <w:r w:rsidR="00E02E58">
        <w:rPr>
          <w:rFonts w:ascii="Calibri" w:hAnsi="Calibri" w:cs="Calibri"/>
          <w:sz w:val="24"/>
          <w:szCs w:val="24"/>
        </w:rPr>
        <w:t xml:space="preserve">but </w:t>
      </w:r>
      <w:r w:rsidRPr="00C478F9">
        <w:rPr>
          <w:rFonts w:ascii="Calibri" w:hAnsi="Calibri" w:cs="Calibri"/>
          <w:sz w:val="24"/>
          <w:szCs w:val="24"/>
        </w:rPr>
        <w:t>with discernment.</w:t>
      </w:r>
      <w:r>
        <w:rPr>
          <w:rFonts w:ascii="Calibri" w:hAnsi="Calibri" w:cs="Calibri"/>
          <w:sz w:val="24"/>
          <w:szCs w:val="24"/>
        </w:rPr>
        <w:t xml:space="preserve"> </w:t>
      </w:r>
      <w:bookmarkStart w:id="92" w:name="_Hlk199668353"/>
      <w:r w:rsidRPr="00186B24">
        <w:rPr>
          <w:rFonts w:ascii="Calibri" w:hAnsi="Calibri" w:cs="Calibri"/>
          <w:sz w:val="24"/>
          <w:szCs w:val="24"/>
        </w:rPr>
        <w:t xml:space="preserve">The conditions for open dialogue that </w:t>
      </w:r>
      <w:r>
        <w:rPr>
          <w:rFonts w:ascii="Calibri" w:hAnsi="Calibri" w:cs="Calibri"/>
          <w:sz w:val="24"/>
          <w:szCs w:val="24"/>
        </w:rPr>
        <w:t xml:space="preserve">a </w:t>
      </w:r>
      <w:r w:rsidRPr="00186B24">
        <w:rPr>
          <w:rFonts w:ascii="Calibri" w:hAnsi="Calibri" w:cs="Calibri"/>
          <w:sz w:val="24"/>
          <w:szCs w:val="24"/>
        </w:rPr>
        <w:t>critical</w:t>
      </w:r>
      <w:r>
        <w:rPr>
          <w:rFonts w:ascii="Calibri" w:hAnsi="Calibri" w:cs="Calibri"/>
          <w:sz w:val="24"/>
          <w:szCs w:val="24"/>
        </w:rPr>
        <w:t>ly</w:t>
      </w:r>
      <w:r w:rsidRPr="00186B24">
        <w:rPr>
          <w:rFonts w:ascii="Calibri" w:hAnsi="Calibri" w:cs="Calibri"/>
          <w:sz w:val="24"/>
          <w:szCs w:val="24"/>
        </w:rPr>
        <w:t xml:space="preserve"> reflective stance demands were particularly salient in this study. Participants repeatedly referred to “a trusted circle” of friends or colleagues with whom they felt safe to reflect </w:t>
      </w:r>
      <w:r>
        <w:rPr>
          <w:rFonts w:ascii="Calibri" w:hAnsi="Calibri" w:cs="Calibri"/>
          <w:sz w:val="24"/>
          <w:szCs w:val="24"/>
        </w:rPr>
        <w:t xml:space="preserve">whether it be about difficulties in their </w:t>
      </w:r>
      <w:r w:rsidR="00A90C51">
        <w:rPr>
          <w:rFonts w:ascii="Calibri" w:hAnsi="Calibri" w:cs="Calibri"/>
          <w:sz w:val="24"/>
          <w:szCs w:val="24"/>
        </w:rPr>
        <w:t>work or</w:t>
      </w:r>
      <w:r>
        <w:rPr>
          <w:rFonts w:ascii="Calibri" w:hAnsi="Calibri" w:cs="Calibri"/>
          <w:sz w:val="24"/>
          <w:szCs w:val="24"/>
        </w:rPr>
        <w:t xml:space="preserve"> </w:t>
      </w:r>
      <w:r w:rsidR="00D81D25">
        <w:rPr>
          <w:rFonts w:ascii="Calibri" w:hAnsi="Calibri" w:cs="Calibri"/>
          <w:sz w:val="24"/>
          <w:szCs w:val="24"/>
        </w:rPr>
        <w:t xml:space="preserve">their </w:t>
      </w:r>
      <w:r>
        <w:rPr>
          <w:rFonts w:ascii="Calibri" w:hAnsi="Calibri" w:cs="Calibri"/>
          <w:sz w:val="24"/>
          <w:szCs w:val="24"/>
        </w:rPr>
        <w:t>struggles</w:t>
      </w:r>
      <w:r w:rsidR="0084136C">
        <w:rPr>
          <w:rFonts w:ascii="Calibri" w:hAnsi="Calibri" w:cs="Calibri"/>
          <w:sz w:val="24"/>
          <w:szCs w:val="24"/>
        </w:rPr>
        <w:t xml:space="preserve"> with learning</w:t>
      </w:r>
      <w:r>
        <w:rPr>
          <w:rFonts w:ascii="Calibri" w:hAnsi="Calibri" w:cs="Calibri"/>
          <w:sz w:val="24"/>
          <w:szCs w:val="24"/>
        </w:rPr>
        <w:t xml:space="preserve">. This </w:t>
      </w:r>
      <w:r w:rsidRPr="00186B24">
        <w:rPr>
          <w:rFonts w:ascii="Calibri" w:hAnsi="Calibri" w:cs="Calibri"/>
          <w:sz w:val="24"/>
          <w:szCs w:val="24"/>
        </w:rPr>
        <w:t>affirm</w:t>
      </w:r>
      <w:r>
        <w:rPr>
          <w:rFonts w:ascii="Calibri" w:hAnsi="Calibri" w:cs="Calibri"/>
          <w:sz w:val="24"/>
          <w:szCs w:val="24"/>
        </w:rPr>
        <w:t xml:space="preserve">s </w:t>
      </w:r>
      <w:r w:rsidRPr="00186B24">
        <w:rPr>
          <w:rFonts w:ascii="Calibri" w:hAnsi="Calibri" w:cs="Calibri"/>
          <w:sz w:val="24"/>
          <w:szCs w:val="24"/>
        </w:rPr>
        <w:t xml:space="preserve">that a facilitating environment encompasses safety and trust as strong features. </w:t>
      </w:r>
      <w:r>
        <w:rPr>
          <w:rFonts w:ascii="Calibri" w:hAnsi="Calibri" w:cs="Calibri"/>
          <w:sz w:val="24"/>
          <w:szCs w:val="24"/>
        </w:rPr>
        <w:t xml:space="preserve">Reflective practice can indeed perform a restorative function </w:t>
      </w:r>
      <w:r w:rsidR="006F3EB0">
        <w:rPr>
          <w:rFonts w:ascii="Calibri" w:hAnsi="Calibri" w:cs="Calibri"/>
          <w:sz w:val="24"/>
          <w:szCs w:val="24"/>
        </w:rPr>
        <w:t xml:space="preserve">in teacher </w:t>
      </w:r>
      <w:r w:rsidR="00C96E6F">
        <w:rPr>
          <w:rFonts w:ascii="Calibri" w:hAnsi="Calibri" w:cs="Calibri"/>
          <w:sz w:val="24"/>
          <w:szCs w:val="24"/>
        </w:rPr>
        <w:t>well-being,</w:t>
      </w:r>
      <w:r>
        <w:rPr>
          <w:rFonts w:ascii="Calibri" w:hAnsi="Calibri" w:cs="Calibri"/>
          <w:sz w:val="24"/>
          <w:szCs w:val="24"/>
        </w:rPr>
        <w:t xml:space="preserve"> but </w:t>
      </w:r>
      <w:r w:rsidR="006F3EB0">
        <w:rPr>
          <w:rFonts w:ascii="Calibri" w:hAnsi="Calibri" w:cs="Calibri"/>
          <w:sz w:val="24"/>
          <w:szCs w:val="24"/>
        </w:rPr>
        <w:t xml:space="preserve">it </w:t>
      </w:r>
      <w:r>
        <w:rPr>
          <w:rFonts w:ascii="Calibri" w:hAnsi="Calibri" w:cs="Calibri"/>
          <w:sz w:val="24"/>
          <w:szCs w:val="24"/>
        </w:rPr>
        <w:t>needs to be held as a process within emotionally safe</w:t>
      </w:r>
      <w:r w:rsidR="00931B4A">
        <w:rPr>
          <w:rFonts w:ascii="Calibri" w:hAnsi="Calibri" w:cs="Calibri"/>
          <w:sz w:val="24"/>
          <w:szCs w:val="24"/>
        </w:rPr>
        <w:t xml:space="preserve"> and trust</w:t>
      </w:r>
      <w:r w:rsidR="0062365B">
        <w:rPr>
          <w:rFonts w:ascii="Calibri" w:hAnsi="Calibri" w:cs="Calibri"/>
          <w:sz w:val="24"/>
          <w:szCs w:val="24"/>
        </w:rPr>
        <w:t>worthy</w:t>
      </w:r>
      <w:r>
        <w:rPr>
          <w:rFonts w:ascii="Calibri" w:hAnsi="Calibri" w:cs="Calibri"/>
          <w:sz w:val="24"/>
          <w:szCs w:val="24"/>
        </w:rPr>
        <w:t xml:space="preserve"> confines.</w:t>
      </w:r>
    </w:p>
    <w:p w14:paraId="63F4C2E7" w14:textId="3B0A15A4" w:rsidR="00AA75A1" w:rsidRDefault="00AA75A1" w:rsidP="00847DEE">
      <w:pPr>
        <w:spacing w:line="360" w:lineRule="auto"/>
        <w:rPr>
          <w:rFonts w:ascii="Calibri" w:hAnsi="Calibri" w:cs="Calibri"/>
          <w:sz w:val="24"/>
          <w:szCs w:val="24"/>
        </w:rPr>
      </w:pPr>
      <w:r>
        <w:rPr>
          <w:rFonts w:ascii="Calibri" w:hAnsi="Calibri" w:cs="Calibri"/>
          <w:sz w:val="24"/>
          <w:szCs w:val="24"/>
        </w:rPr>
        <w:t>The lack of understanding and clarity of the role, purpose, function and application of reflection was repeatedly affirmed by the literature</w:t>
      </w:r>
      <w:r w:rsidR="009D3C80">
        <w:rPr>
          <w:rFonts w:ascii="Calibri" w:hAnsi="Calibri" w:cs="Calibri"/>
          <w:sz w:val="24"/>
          <w:szCs w:val="24"/>
        </w:rPr>
        <w:t>,</w:t>
      </w:r>
      <w:r>
        <w:rPr>
          <w:rFonts w:ascii="Calibri" w:hAnsi="Calibri" w:cs="Calibri"/>
          <w:sz w:val="24"/>
          <w:szCs w:val="24"/>
        </w:rPr>
        <w:t xml:space="preserve"> and </w:t>
      </w:r>
      <w:r w:rsidR="00C96E6F">
        <w:rPr>
          <w:rFonts w:ascii="Calibri" w:hAnsi="Calibri" w:cs="Calibri"/>
          <w:sz w:val="24"/>
          <w:szCs w:val="24"/>
        </w:rPr>
        <w:t xml:space="preserve">by </w:t>
      </w:r>
      <w:r w:rsidR="00F20DD4">
        <w:rPr>
          <w:rFonts w:ascii="Calibri" w:hAnsi="Calibri" w:cs="Calibri"/>
          <w:sz w:val="24"/>
          <w:szCs w:val="24"/>
        </w:rPr>
        <w:t xml:space="preserve">all </w:t>
      </w:r>
      <w:r>
        <w:rPr>
          <w:rFonts w:ascii="Calibri" w:hAnsi="Calibri" w:cs="Calibri"/>
          <w:sz w:val="24"/>
          <w:szCs w:val="24"/>
        </w:rPr>
        <w:t xml:space="preserve">of </w:t>
      </w:r>
      <w:r w:rsidR="00F20DD4">
        <w:rPr>
          <w:rFonts w:ascii="Calibri" w:hAnsi="Calibri" w:cs="Calibri"/>
          <w:sz w:val="24"/>
          <w:szCs w:val="24"/>
        </w:rPr>
        <w:t xml:space="preserve">the </w:t>
      </w:r>
      <w:r>
        <w:rPr>
          <w:rFonts w:ascii="Calibri" w:hAnsi="Calibri" w:cs="Calibri"/>
          <w:sz w:val="24"/>
          <w:szCs w:val="24"/>
        </w:rPr>
        <w:t xml:space="preserve">participants. </w:t>
      </w:r>
      <w:r w:rsidR="00E7520F">
        <w:rPr>
          <w:rFonts w:ascii="Calibri" w:hAnsi="Calibri" w:cs="Calibri"/>
          <w:sz w:val="24"/>
          <w:szCs w:val="24"/>
        </w:rPr>
        <w:t xml:space="preserve">Some strong advocates of </w:t>
      </w:r>
      <w:r>
        <w:rPr>
          <w:rFonts w:ascii="Calibri" w:hAnsi="Calibri" w:cs="Calibri"/>
          <w:sz w:val="24"/>
          <w:szCs w:val="24"/>
        </w:rPr>
        <w:t>reflection had experienced reflective practice as valued and embedded in their working practices before and beyond their historic professional roots in caring professions</w:t>
      </w:r>
      <w:r w:rsidR="00E7520F">
        <w:rPr>
          <w:rFonts w:ascii="Calibri" w:hAnsi="Calibri" w:cs="Calibri"/>
          <w:sz w:val="24"/>
          <w:szCs w:val="24"/>
        </w:rPr>
        <w:t xml:space="preserve"> where reflective practice </w:t>
      </w:r>
      <w:r w:rsidR="00FB4F95">
        <w:rPr>
          <w:rFonts w:ascii="Calibri" w:hAnsi="Calibri" w:cs="Calibri"/>
          <w:sz w:val="24"/>
          <w:szCs w:val="24"/>
        </w:rPr>
        <w:t>was a professional imperative</w:t>
      </w:r>
      <w:r>
        <w:rPr>
          <w:rFonts w:ascii="Calibri" w:hAnsi="Calibri" w:cs="Calibri"/>
          <w:sz w:val="24"/>
          <w:szCs w:val="24"/>
        </w:rPr>
        <w:t xml:space="preserve">. It is clear that reflective practice was a much-valued tool in all of the participants’ toolkits, however the process </w:t>
      </w:r>
      <w:r w:rsidR="006B3FC5">
        <w:rPr>
          <w:rFonts w:ascii="Calibri" w:hAnsi="Calibri" w:cs="Calibri"/>
          <w:sz w:val="24"/>
          <w:szCs w:val="24"/>
        </w:rPr>
        <w:t xml:space="preserve">largely </w:t>
      </w:r>
      <w:r>
        <w:rPr>
          <w:rFonts w:ascii="Calibri" w:hAnsi="Calibri" w:cs="Calibri"/>
          <w:sz w:val="24"/>
          <w:szCs w:val="24"/>
        </w:rPr>
        <w:t>lacked relevance and clarity in their teacher training</w:t>
      </w:r>
      <w:r w:rsidR="006B3FC5">
        <w:rPr>
          <w:rFonts w:ascii="Calibri" w:hAnsi="Calibri" w:cs="Calibri"/>
          <w:sz w:val="24"/>
          <w:szCs w:val="24"/>
        </w:rPr>
        <w:t>s</w:t>
      </w:r>
      <w:r>
        <w:rPr>
          <w:rFonts w:ascii="Calibri" w:hAnsi="Calibri" w:cs="Calibri"/>
          <w:sz w:val="24"/>
          <w:szCs w:val="24"/>
        </w:rPr>
        <w:t>, and a need was identified to embed reflective practice from the outset rather than it being an adjunct or task.</w:t>
      </w:r>
      <w:bookmarkEnd w:id="92"/>
      <w:r>
        <w:rPr>
          <w:rFonts w:ascii="Calibri" w:hAnsi="Calibri" w:cs="Calibri"/>
          <w:sz w:val="24"/>
          <w:szCs w:val="24"/>
        </w:rPr>
        <w:t xml:space="preserve"> Th</w:t>
      </w:r>
      <w:r w:rsidR="006B3FC5">
        <w:rPr>
          <w:rFonts w:ascii="Calibri" w:hAnsi="Calibri" w:cs="Calibri"/>
          <w:sz w:val="24"/>
          <w:szCs w:val="24"/>
        </w:rPr>
        <w:t>e findings</w:t>
      </w:r>
      <w:r>
        <w:rPr>
          <w:rFonts w:ascii="Calibri" w:hAnsi="Calibri" w:cs="Calibri"/>
          <w:sz w:val="24"/>
          <w:szCs w:val="24"/>
        </w:rPr>
        <w:t xml:space="preserve"> can inform teacher trainings and transform approaches to reflective practice to encompass its relevance in curricula in an experiential way to enhance its value and application.</w:t>
      </w:r>
    </w:p>
    <w:p w14:paraId="4835AC7F" w14:textId="54F16CA6" w:rsidR="00A76ADF" w:rsidRDefault="00AA75A1" w:rsidP="00A76ADF">
      <w:pPr>
        <w:spacing w:after="160" w:line="259" w:lineRule="auto"/>
        <w:rPr>
          <w:b/>
          <w:bCs/>
          <w:sz w:val="24"/>
          <w:szCs w:val="24"/>
          <w:lang w:val="en-US"/>
        </w:rPr>
      </w:pPr>
      <w:r w:rsidRPr="00A76ADF">
        <w:rPr>
          <w:rFonts w:ascii="Calibri" w:hAnsi="Calibri" w:cs="Calibri"/>
          <w:b/>
          <w:bCs/>
          <w:i/>
          <w:iCs/>
          <w:sz w:val="24"/>
          <w:szCs w:val="24"/>
        </w:rPr>
        <w:t>Echo Response to Research Question 3:</w:t>
      </w:r>
      <w:r w:rsidR="00A76ADF" w:rsidRPr="00A76ADF">
        <w:rPr>
          <w:b/>
          <w:bCs/>
          <w:sz w:val="24"/>
          <w:szCs w:val="24"/>
          <w:lang w:val="en-US"/>
        </w:rPr>
        <w:t xml:space="preserve"> How can HE teachers make use of Winnicott’s concept of holding?</w:t>
      </w:r>
    </w:p>
    <w:p w14:paraId="25861E29" w14:textId="13E4730F" w:rsidR="00ED4FF4" w:rsidRPr="00ED4FF4" w:rsidRDefault="00ED4FF4" w:rsidP="00ED4FF4">
      <w:pPr>
        <w:spacing w:after="160"/>
        <w:ind w:left="720"/>
        <w:rPr>
          <w:i/>
          <w:iCs/>
          <w:sz w:val="24"/>
          <w:szCs w:val="24"/>
        </w:rPr>
      </w:pPr>
      <w:r w:rsidRPr="00ED4FF4">
        <w:rPr>
          <w:i/>
          <w:iCs/>
          <w:sz w:val="24"/>
          <w:szCs w:val="24"/>
        </w:rPr>
        <w:t xml:space="preserve">I sort of looked at it </w:t>
      </w:r>
      <w:r w:rsidR="001F12A0">
        <w:rPr>
          <w:i/>
          <w:iCs/>
          <w:sz w:val="24"/>
          <w:szCs w:val="24"/>
        </w:rPr>
        <w:t xml:space="preserve">[holding) </w:t>
      </w:r>
      <w:r w:rsidRPr="00ED4FF4">
        <w:rPr>
          <w:i/>
          <w:iCs/>
          <w:sz w:val="24"/>
          <w:szCs w:val="24"/>
        </w:rPr>
        <w:t>from that sort of perspective that I’m a lecturer holding the student around being inclusive with them, being open, being transparent so that they understand exactly where and who I am, not just somebody standing in front of them talking around what they need to know or areas of what they need to look at (Jenko, T2, p.1, par 7).</w:t>
      </w:r>
    </w:p>
    <w:p w14:paraId="3B49B78F" w14:textId="77777777" w:rsidR="00ED4FF4" w:rsidRPr="00ED4FF4" w:rsidRDefault="00ED4FF4" w:rsidP="00A76ADF">
      <w:pPr>
        <w:spacing w:after="160" w:line="259" w:lineRule="auto"/>
        <w:rPr>
          <w:sz w:val="24"/>
          <w:szCs w:val="24"/>
          <w:lang w:val="en-US"/>
        </w:rPr>
      </w:pPr>
    </w:p>
    <w:p w14:paraId="380BAA06" w14:textId="77777777" w:rsidR="00A91B80" w:rsidRDefault="00EB56D6" w:rsidP="002A3A66">
      <w:pPr>
        <w:spacing w:line="360" w:lineRule="auto"/>
        <w:rPr>
          <w:rFonts w:ascii="Calibri" w:hAnsi="Calibri" w:cs="Calibri"/>
          <w:sz w:val="24"/>
          <w:szCs w:val="24"/>
        </w:rPr>
      </w:pPr>
      <w:r>
        <w:rPr>
          <w:rFonts w:ascii="Calibri" w:hAnsi="Calibri" w:cs="Calibri"/>
          <w:sz w:val="24"/>
          <w:szCs w:val="24"/>
        </w:rPr>
        <w:t>“H</w:t>
      </w:r>
      <w:r w:rsidR="00AA75A1">
        <w:rPr>
          <w:rFonts w:ascii="Calibri" w:hAnsi="Calibri" w:cs="Calibri"/>
          <w:sz w:val="24"/>
          <w:szCs w:val="24"/>
        </w:rPr>
        <w:t>olding</w:t>
      </w:r>
      <w:r w:rsidR="003A5E17">
        <w:rPr>
          <w:rFonts w:ascii="Calibri" w:hAnsi="Calibri" w:cs="Calibri"/>
          <w:sz w:val="24"/>
          <w:szCs w:val="24"/>
        </w:rPr>
        <w:t>”</w:t>
      </w:r>
      <w:r w:rsidR="00AA75A1">
        <w:rPr>
          <w:rFonts w:ascii="Calibri" w:hAnsi="Calibri" w:cs="Calibri"/>
          <w:sz w:val="24"/>
          <w:szCs w:val="24"/>
        </w:rPr>
        <w:t xml:space="preserve"> </w:t>
      </w:r>
      <w:r w:rsidR="002A3A66">
        <w:rPr>
          <w:rFonts w:ascii="Calibri" w:hAnsi="Calibri" w:cs="Calibri"/>
          <w:sz w:val="24"/>
          <w:szCs w:val="24"/>
        </w:rPr>
        <w:t xml:space="preserve">(Winnicott, </w:t>
      </w:r>
      <w:r w:rsidR="00195BAD">
        <w:rPr>
          <w:rFonts w:ascii="Calibri" w:hAnsi="Calibri" w:cs="Calibri"/>
          <w:sz w:val="24"/>
          <w:szCs w:val="24"/>
        </w:rPr>
        <w:t>1965</w:t>
      </w:r>
      <w:r w:rsidR="003A5E17">
        <w:rPr>
          <w:rFonts w:ascii="Calibri" w:hAnsi="Calibri" w:cs="Calibri"/>
          <w:sz w:val="24"/>
          <w:szCs w:val="24"/>
        </w:rPr>
        <w:t>, pp.43-44</w:t>
      </w:r>
      <w:r w:rsidR="00195BAD">
        <w:rPr>
          <w:rFonts w:ascii="Calibri" w:hAnsi="Calibri" w:cs="Calibri"/>
          <w:sz w:val="24"/>
          <w:szCs w:val="24"/>
        </w:rPr>
        <w:t xml:space="preserve">) </w:t>
      </w:r>
      <w:r w:rsidR="00AA75A1" w:rsidRPr="00B05D4D">
        <w:rPr>
          <w:rFonts w:ascii="Calibri" w:eastAsia="Calibri" w:hAnsi="Calibri" w:cs="Times New Roman"/>
          <w:sz w:val="24"/>
          <w:szCs w:val="24"/>
        </w:rPr>
        <w:t>denotes an overarching concept of support in the caring for a child</w:t>
      </w:r>
      <w:r w:rsidR="00AA75A1">
        <w:rPr>
          <w:rFonts w:ascii="Calibri" w:eastAsia="Calibri" w:hAnsi="Calibri" w:cs="Times New Roman"/>
          <w:sz w:val="24"/>
          <w:szCs w:val="24"/>
        </w:rPr>
        <w:t xml:space="preserve">, and in this study, it was affirmed it can be ubiquitously applied as the </w:t>
      </w:r>
      <w:r w:rsidR="00AA75A1" w:rsidRPr="00890E10">
        <w:rPr>
          <w:rFonts w:ascii="Calibri" w:eastAsia="Calibri" w:hAnsi="Calibri" w:cs="Times New Roman"/>
          <w:sz w:val="24"/>
          <w:szCs w:val="24"/>
        </w:rPr>
        <w:lastRenderedPageBreak/>
        <w:t>offering of an empathic response</w:t>
      </w:r>
      <w:r w:rsidR="00F62725">
        <w:rPr>
          <w:rFonts w:ascii="Calibri" w:eastAsia="Calibri" w:hAnsi="Calibri" w:cs="Times New Roman"/>
          <w:sz w:val="24"/>
          <w:szCs w:val="24"/>
        </w:rPr>
        <w:t>,</w:t>
      </w:r>
      <w:r w:rsidR="00AA75A1" w:rsidRPr="00890E10">
        <w:rPr>
          <w:rFonts w:ascii="Calibri" w:eastAsia="Calibri" w:hAnsi="Calibri" w:cs="Times New Roman"/>
          <w:sz w:val="24"/>
          <w:szCs w:val="24"/>
        </w:rPr>
        <w:t xml:space="preserve"> and space in service </w:t>
      </w:r>
      <w:r w:rsidR="00FE573F">
        <w:rPr>
          <w:rFonts w:ascii="Calibri" w:eastAsia="Calibri" w:hAnsi="Calibri" w:cs="Times New Roman"/>
          <w:sz w:val="24"/>
          <w:szCs w:val="24"/>
        </w:rPr>
        <w:t>of</w:t>
      </w:r>
      <w:r w:rsidR="00AA75A1" w:rsidRPr="00890E10">
        <w:rPr>
          <w:rFonts w:ascii="Calibri" w:eastAsia="Calibri" w:hAnsi="Calibri" w:cs="Times New Roman"/>
          <w:sz w:val="24"/>
          <w:szCs w:val="24"/>
        </w:rPr>
        <w:t xml:space="preserve"> the </w:t>
      </w:r>
      <w:r w:rsidR="00AA75A1">
        <w:rPr>
          <w:rFonts w:ascii="Calibri" w:eastAsia="Calibri" w:hAnsi="Calibri" w:cs="Times New Roman"/>
          <w:sz w:val="24"/>
          <w:szCs w:val="24"/>
        </w:rPr>
        <w:t>adult to actualise trust in the environmental provision and provide affective stability</w:t>
      </w:r>
      <w:r w:rsidR="00622C23">
        <w:rPr>
          <w:rFonts w:ascii="Calibri" w:eastAsia="Calibri" w:hAnsi="Calibri" w:cs="Times New Roman"/>
          <w:sz w:val="24"/>
          <w:szCs w:val="24"/>
        </w:rPr>
        <w:t xml:space="preserve"> (Jacobi, 1990)</w:t>
      </w:r>
      <w:r w:rsidR="00AA75A1" w:rsidRPr="00D446AD">
        <w:rPr>
          <w:rFonts w:ascii="Calibri" w:eastAsia="Calibri" w:hAnsi="Calibri" w:cs="Times New Roman"/>
          <w:sz w:val="24"/>
          <w:szCs w:val="24"/>
        </w:rPr>
        <w:t xml:space="preserve">. </w:t>
      </w:r>
      <w:r w:rsidR="00AA75A1" w:rsidRPr="00D446AD">
        <w:rPr>
          <w:rFonts w:ascii="Calibri" w:hAnsi="Calibri" w:cs="Calibri"/>
          <w:sz w:val="24"/>
          <w:szCs w:val="24"/>
        </w:rPr>
        <w:t xml:space="preserve">For example, participants affirmed that the facilitating environment </w:t>
      </w:r>
      <w:r w:rsidR="00AA75A1">
        <w:rPr>
          <w:rFonts w:ascii="Calibri" w:hAnsi="Calibri" w:cs="Calibri"/>
          <w:sz w:val="24"/>
          <w:szCs w:val="24"/>
        </w:rPr>
        <w:t xml:space="preserve">they </w:t>
      </w:r>
      <w:r w:rsidR="00AA75A1" w:rsidRPr="00D446AD">
        <w:rPr>
          <w:rFonts w:ascii="Calibri" w:hAnsi="Calibri" w:cs="Calibri"/>
          <w:sz w:val="24"/>
          <w:szCs w:val="24"/>
        </w:rPr>
        <w:t>create</w:t>
      </w:r>
      <w:r w:rsidR="00AA75A1">
        <w:rPr>
          <w:rFonts w:ascii="Calibri" w:hAnsi="Calibri" w:cs="Calibri"/>
          <w:sz w:val="24"/>
          <w:szCs w:val="24"/>
        </w:rPr>
        <w:t>d</w:t>
      </w:r>
      <w:r w:rsidR="00AA75A1" w:rsidRPr="00D446AD">
        <w:rPr>
          <w:rFonts w:ascii="Calibri" w:hAnsi="Calibri" w:cs="Calibri"/>
          <w:sz w:val="24"/>
          <w:szCs w:val="24"/>
        </w:rPr>
        <w:t xml:space="preserve"> </w:t>
      </w:r>
      <w:r w:rsidR="00AA75A1">
        <w:rPr>
          <w:rFonts w:ascii="Calibri" w:hAnsi="Calibri" w:cs="Calibri"/>
          <w:sz w:val="24"/>
          <w:szCs w:val="24"/>
        </w:rPr>
        <w:t xml:space="preserve">resulted in </w:t>
      </w:r>
      <w:r w:rsidR="00AA75A1" w:rsidRPr="00D446AD">
        <w:rPr>
          <w:rFonts w:ascii="Calibri" w:hAnsi="Calibri" w:cs="Calibri"/>
          <w:sz w:val="24"/>
          <w:szCs w:val="24"/>
        </w:rPr>
        <w:t>students being able to trust the</w:t>
      </w:r>
      <w:r w:rsidR="00AA75A1">
        <w:rPr>
          <w:rFonts w:ascii="Calibri" w:hAnsi="Calibri" w:cs="Calibri"/>
          <w:sz w:val="24"/>
          <w:szCs w:val="24"/>
        </w:rPr>
        <w:t>ir</w:t>
      </w:r>
      <w:r w:rsidR="00AA75A1" w:rsidRPr="00D446AD">
        <w:rPr>
          <w:rFonts w:ascii="Calibri" w:hAnsi="Calibri" w:cs="Calibri"/>
          <w:sz w:val="24"/>
          <w:szCs w:val="24"/>
        </w:rPr>
        <w:t xml:space="preserve"> learning process. </w:t>
      </w:r>
      <w:r w:rsidR="00AA75A1" w:rsidRPr="00C478F9">
        <w:rPr>
          <w:rFonts w:ascii="Calibri" w:hAnsi="Calibri" w:cs="Calibri"/>
          <w:sz w:val="24"/>
          <w:szCs w:val="24"/>
        </w:rPr>
        <w:t xml:space="preserve">Participants acknowledged that </w:t>
      </w:r>
      <w:r w:rsidR="006B08DC">
        <w:rPr>
          <w:rFonts w:ascii="Calibri" w:hAnsi="Calibri" w:cs="Calibri"/>
          <w:sz w:val="24"/>
          <w:szCs w:val="24"/>
        </w:rPr>
        <w:t>teaching</w:t>
      </w:r>
      <w:r w:rsidR="00AA75A1" w:rsidRPr="00C478F9">
        <w:rPr>
          <w:rFonts w:ascii="Calibri" w:hAnsi="Calibri" w:cs="Calibri"/>
          <w:sz w:val="24"/>
          <w:szCs w:val="24"/>
        </w:rPr>
        <w:t xml:space="preserve"> is a relational process</w:t>
      </w:r>
      <w:r w:rsidR="00D276E0">
        <w:rPr>
          <w:rFonts w:ascii="Calibri" w:hAnsi="Calibri" w:cs="Calibri"/>
          <w:sz w:val="24"/>
          <w:szCs w:val="24"/>
        </w:rPr>
        <w:t xml:space="preserve"> and</w:t>
      </w:r>
      <w:r w:rsidR="00AA75A1" w:rsidRPr="00C478F9">
        <w:rPr>
          <w:rFonts w:ascii="Calibri" w:hAnsi="Calibri" w:cs="Calibri"/>
          <w:sz w:val="24"/>
          <w:szCs w:val="24"/>
        </w:rPr>
        <w:t xml:space="preserve"> their affective state</w:t>
      </w:r>
      <w:r w:rsidR="0076317B">
        <w:rPr>
          <w:rFonts w:ascii="Calibri" w:hAnsi="Calibri" w:cs="Calibri"/>
          <w:sz w:val="24"/>
          <w:szCs w:val="24"/>
        </w:rPr>
        <w:t xml:space="preserve"> as</w:t>
      </w:r>
      <w:r w:rsidR="00015B0B">
        <w:rPr>
          <w:rFonts w:ascii="Calibri" w:hAnsi="Calibri" w:cs="Calibri"/>
          <w:sz w:val="24"/>
          <w:szCs w:val="24"/>
        </w:rPr>
        <w:t xml:space="preserve"> teachers </w:t>
      </w:r>
      <w:r w:rsidR="00AA75A1" w:rsidRPr="00C478F9">
        <w:rPr>
          <w:rFonts w:ascii="Calibri" w:hAnsi="Calibri" w:cs="Calibri"/>
          <w:sz w:val="24"/>
          <w:szCs w:val="24"/>
        </w:rPr>
        <w:t xml:space="preserve">is connected to </w:t>
      </w:r>
      <w:r w:rsidR="00793208" w:rsidRPr="00C478F9">
        <w:rPr>
          <w:rFonts w:ascii="Calibri" w:hAnsi="Calibri" w:cs="Calibri"/>
          <w:sz w:val="24"/>
          <w:szCs w:val="24"/>
        </w:rPr>
        <w:t>another</w:t>
      </w:r>
      <w:r w:rsidR="00793208">
        <w:rPr>
          <w:rFonts w:ascii="Calibri" w:hAnsi="Calibri" w:cs="Calibri"/>
          <w:sz w:val="24"/>
          <w:szCs w:val="24"/>
        </w:rPr>
        <w:t xml:space="preserve"> and</w:t>
      </w:r>
      <w:r w:rsidR="00AA75A1" w:rsidRPr="00C478F9">
        <w:rPr>
          <w:rFonts w:ascii="Calibri" w:hAnsi="Calibri" w:cs="Calibri"/>
          <w:sz w:val="24"/>
          <w:szCs w:val="24"/>
        </w:rPr>
        <w:t xml:space="preserve"> requires </w:t>
      </w:r>
      <w:r w:rsidR="00AA75A1">
        <w:rPr>
          <w:rFonts w:ascii="Calibri" w:hAnsi="Calibri" w:cs="Calibri"/>
          <w:sz w:val="24"/>
          <w:szCs w:val="24"/>
        </w:rPr>
        <w:t xml:space="preserve">holding </w:t>
      </w:r>
      <w:r w:rsidR="00AA75A1" w:rsidRPr="00C478F9">
        <w:rPr>
          <w:rFonts w:ascii="Calibri" w:hAnsi="Calibri" w:cs="Calibri"/>
          <w:sz w:val="24"/>
          <w:szCs w:val="24"/>
        </w:rPr>
        <w:t xml:space="preserve">by another as a continuum. </w:t>
      </w:r>
      <w:r w:rsidR="00AA75A1">
        <w:rPr>
          <w:rFonts w:ascii="Calibri" w:hAnsi="Calibri" w:cs="Calibri"/>
          <w:sz w:val="24"/>
          <w:szCs w:val="24"/>
        </w:rPr>
        <w:t xml:space="preserve">Findings from this study suggest </w:t>
      </w:r>
      <w:r w:rsidR="00AA75A1" w:rsidRPr="00C478F9">
        <w:rPr>
          <w:rFonts w:ascii="Calibri" w:hAnsi="Calibri" w:cs="Calibri"/>
          <w:sz w:val="24"/>
          <w:szCs w:val="24"/>
        </w:rPr>
        <w:t>it is the village of supportive colleagues</w:t>
      </w:r>
      <w:r w:rsidR="00AA75A1">
        <w:rPr>
          <w:rFonts w:ascii="Calibri" w:hAnsi="Calibri" w:cs="Calibri"/>
          <w:sz w:val="24"/>
          <w:szCs w:val="24"/>
        </w:rPr>
        <w:t>, teachers</w:t>
      </w:r>
      <w:r w:rsidR="00AA75A1" w:rsidRPr="00C478F9">
        <w:rPr>
          <w:rFonts w:ascii="Calibri" w:hAnsi="Calibri" w:cs="Calibri"/>
          <w:sz w:val="24"/>
          <w:szCs w:val="24"/>
        </w:rPr>
        <w:t xml:space="preserve"> and mentors that provide holding. </w:t>
      </w:r>
    </w:p>
    <w:p w14:paraId="45146877" w14:textId="4D5B6ABB" w:rsidR="00AA75A1" w:rsidRPr="00A91B80" w:rsidRDefault="00926AF2" w:rsidP="002A3A66">
      <w:pPr>
        <w:spacing w:line="360" w:lineRule="auto"/>
        <w:rPr>
          <w:rFonts w:ascii="Calibri" w:hAnsi="Calibri" w:cs="Calibri"/>
          <w:sz w:val="24"/>
          <w:szCs w:val="24"/>
        </w:rPr>
      </w:pPr>
      <w:r>
        <w:rPr>
          <w:rFonts w:ascii="Calibri" w:hAnsi="Calibri" w:cs="Calibri"/>
          <w:sz w:val="24"/>
          <w:szCs w:val="24"/>
        </w:rPr>
        <w:t>Furthermore, participants</w:t>
      </w:r>
      <w:r w:rsidR="00AA75A1">
        <w:rPr>
          <w:rFonts w:ascii="Calibri" w:hAnsi="Calibri" w:cs="Calibri"/>
          <w:sz w:val="24"/>
          <w:szCs w:val="24"/>
        </w:rPr>
        <w:t xml:space="preserve"> affirmed that p</w:t>
      </w:r>
      <w:r w:rsidR="00AA75A1" w:rsidRPr="00C478F9">
        <w:rPr>
          <w:rFonts w:ascii="Calibri" w:hAnsi="Calibri" w:cs="Calibri"/>
          <w:sz w:val="24"/>
          <w:szCs w:val="24"/>
        </w:rPr>
        <w:t>sychological safety cannot easily be achieved in a clime of mistrust and fear</w:t>
      </w:r>
      <w:r w:rsidR="00AA75A1">
        <w:rPr>
          <w:rFonts w:ascii="Calibri" w:hAnsi="Calibri" w:cs="Calibri"/>
          <w:sz w:val="24"/>
          <w:szCs w:val="24"/>
        </w:rPr>
        <w:t>.</w:t>
      </w:r>
      <w:r w:rsidR="00AA75A1" w:rsidRPr="00C478F9">
        <w:rPr>
          <w:rFonts w:ascii="Calibri" w:hAnsi="Calibri" w:cs="Calibri"/>
          <w:sz w:val="24"/>
          <w:szCs w:val="24"/>
        </w:rPr>
        <w:t xml:space="preserve"> </w:t>
      </w:r>
      <w:r w:rsidR="00AA75A1">
        <w:rPr>
          <w:rFonts w:ascii="Calibri" w:hAnsi="Calibri" w:cs="Calibri"/>
          <w:sz w:val="24"/>
          <w:szCs w:val="24"/>
        </w:rPr>
        <w:t>P</w:t>
      </w:r>
      <w:r w:rsidR="00AA75A1" w:rsidRPr="00C478F9">
        <w:rPr>
          <w:rFonts w:ascii="Calibri" w:hAnsi="Calibri" w:cs="Calibri"/>
          <w:sz w:val="24"/>
          <w:szCs w:val="24"/>
        </w:rPr>
        <w:t xml:space="preserve">articipants were passionate about providing </w:t>
      </w:r>
      <w:r w:rsidR="007B5F7C">
        <w:rPr>
          <w:rFonts w:ascii="Calibri" w:hAnsi="Calibri" w:cs="Calibri"/>
          <w:sz w:val="24"/>
          <w:szCs w:val="24"/>
        </w:rPr>
        <w:t>strong holding</w:t>
      </w:r>
      <w:r w:rsidR="00AA75A1" w:rsidRPr="00C478F9">
        <w:rPr>
          <w:rFonts w:ascii="Calibri" w:hAnsi="Calibri" w:cs="Calibri"/>
          <w:sz w:val="24"/>
          <w:szCs w:val="24"/>
        </w:rPr>
        <w:t xml:space="preserve"> for their students to actualise</w:t>
      </w:r>
      <w:r w:rsidR="00D57F85">
        <w:rPr>
          <w:rFonts w:ascii="Calibri" w:hAnsi="Calibri" w:cs="Calibri"/>
          <w:sz w:val="24"/>
          <w:szCs w:val="24"/>
        </w:rPr>
        <w:t xml:space="preserve"> (Maslow, 1943)</w:t>
      </w:r>
      <w:r w:rsidR="000E22D1">
        <w:rPr>
          <w:rFonts w:ascii="Calibri" w:hAnsi="Calibri" w:cs="Calibri"/>
          <w:sz w:val="24"/>
          <w:szCs w:val="24"/>
        </w:rPr>
        <w:t xml:space="preserve"> their learning</w:t>
      </w:r>
      <w:r w:rsidR="00AA75A1">
        <w:rPr>
          <w:rFonts w:ascii="Calibri" w:hAnsi="Calibri" w:cs="Calibri"/>
          <w:sz w:val="24"/>
          <w:szCs w:val="24"/>
        </w:rPr>
        <w:t>, conquer their fears</w:t>
      </w:r>
      <w:r w:rsidR="00AA75A1" w:rsidRPr="00C478F9">
        <w:rPr>
          <w:rFonts w:ascii="Calibri" w:hAnsi="Calibri" w:cs="Calibri"/>
          <w:sz w:val="24"/>
          <w:szCs w:val="24"/>
        </w:rPr>
        <w:t xml:space="preserve"> and to mature as people. By contrast</w:t>
      </w:r>
      <w:r w:rsidR="00AA75A1">
        <w:rPr>
          <w:rFonts w:ascii="Calibri" w:hAnsi="Calibri" w:cs="Calibri"/>
          <w:sz w:val="24"/>
          <w:szCs w:val="24"/>
        </w:rPr>
        <w:t xml:space="preserve">, </w:t>
      </w:r>
      <w:r w:rsidR="00AA75A1" w:rsidRPr="00C478F9">
        <w:rPr>
          <w:rFonts w:ascii="Calibri" w:hAnsi="Calibri" w:cs="Calibri"/>
          <w:sz w:val="24"/>
          <w:szCs w:val="24"/>
        </w:rPr>
        <w:t xml:space="preserve">participants acknowledged the teacher training cultural milieu failed </w:t>
      </w:r>
      <w:r w:rsidR="00AA75A1">
        <w:rPr>
          <w:rFonts w:ascii="Calibri" w:hAnsi="Calibri" w:cs="Calibri"/>
          <w:sz w:val="24"/>
          <w:szCs w:val="24"/>
        </w:rPr>
        <w:t xml:space="preserve">to hold </w:t>
      </w:r>
      <w:r w:rsidR="00AA75A1" w:rsidRPr="00C478F9">
        <w:rPr>
          <w:rFonts w:ascii="Calibri" w:hAnsi="Calibri" w:cs="Calibri"/>
          <w:sz w:val="24"/>
          <w:szCs w:val="24"/>
        </w:rPr>
        <w:t xml:space="preserve">them in </w:t>
      </w:r>
      <w:r w:rsidR="00AA75A1" w:rsidRPr="00C478F9">
        <w:rPr>
          <w:rFonts w:ascii="Calibri" w:hAnsi="Calibri" w:cs="Calibri"/>
          <w:i/>
          <w:iCs/>
          <w:sz w:val="24"/>
          <w:szCs w:val="24"/>
        </w:rPr>
        <w:t xml:space="preserve">their </w:t>
      </w:r>
      <w:r w:rsidR="00AA75A1" w:rsidRPr="00C478F9">
        <w:rPr>
          <w:rFonts w:ascii="Calibri" w:hAnsi="Calibri" w:cs="Calibri"/>
          <w:sz w:val="24"/>
          <w:szCs w:val="24"/>
        </w:rPr>
        <w:t>actualisation</w:t>
      </w:r>
      <w:r w:rsidR="00D57F85">
        <w:rPr>
          <w:rFonts w:ascii="Calibri" w:hAnsi="Calibri" w:cs="Calibri"/>
          <w:sz w:val="24"/>
          <w:szCs w:val="24"/>
        </w:rPr>
        <w:t xml:space="preserve"> (</w:t>
      </w:r>
      <w:r w:rsidR="00C210B9">
        <w:rPr>
          <w:rFonts w:ascii="Calibri" w:hAnsi="Calibri" w:cs="Calibri"/>
          <w:sz w:val="24"/>
          <w:szCs w:val="24"/>
        </w:rPr>
        <w:t>ibid.)</w:t>
      </w:r>
      <w:r w:rsidR="00AA75A1">
        <w:rPr>
          <w:rFonts w:ascii="Calibri" w:hAnsi="Calibri" w:cs="Calibri"/>
          <w:sz w:val="24"/>
          <w:szCs w:val="24"/>
        </w:rPr>
        <w:t xml:space="preserve">. </w:t>
      </w:r>
      <w:r w:rsidR="00C5290A">
        <w:rPr>
          <w:rFonts w:ascii="Calibri" w:hAnsi="Calibri" w:cs="Calibri"/>
          <w:sz w:val="24"/>
          <w:szCs w:val="24"/>
        </w:rPr>
        <w:t>When biographically reflecting</w:t>
      </w:r>
      <w:r w:rsidR="00F8017C">
        <w:rPr>
          <w:rFonts w:ascii="Calibri" w:hAnsi="Calibri" w:cs="Calibri"/>
          <w:sz w:val="24"/>
          <w:szCs w:val="24"/>
        </w:rPr>
        <w:t xml:space="preserve"> </w:t>
      </w:r>
      <w:r w:rsidR="00F8017C" w:rsidRPr="00F8017C">
        <w:rPr>
          <w:rFonts w:ascii="Calibri" w:hAnsi="Calibri" w:cs="Calibri"/>
          <w:sz w:val="24"/>
          <w:szCs w:val="24"/>
        </w:rPr>
        <w:t xml:space="preserve">(Mayes, 1998; 2001; 2007) </w:t>
      </w:r>
      <w:r w:rsidR="00A13312">
        <w:rPr>
          <w:rFonts w:ascii="Calibri" w:hAnsi="Calibri" w:cs="Calibri"/>
          <w:sz w:val="24"/>
          <w:szCs w:val="24"/>
        </w:rPr>
        <w:t>on their teacher training journeys, p</w:t>
      </w:r>
      <w:r w:rsidR="00AA75A1">
        <w:rPr>
          <w:rFonts w:ascii="Calibri" w:hAnsi="Calibri" w:cs="Calibri"/>
          <w:sz w:val="24"/>
          <w:szCs w:val="24"/>
        </w:rPr>
        <w:t xml:space="preserve">articipants </w:t>
      </w:r>
      <w:r w:rsidR="00B8615F">
        <w:rPr>
          <w:rFonts w:ascii="Calibri" w:hAnsi="Calibri" w:cs="Calibri"/>
          <w:sz w:val="24"/>
          <w:szCs w:val="24"/>
        </w:rPr>
        <w:t xml:space="preserve">who </w:t>
      </w:r>
      <w:r w:rsidR="00C5290A">
        <w:rPr>
          <w:rFonts w:ascii="Calibri" w:hAnsi="Calibri" w:cs="Calibri"/>
          <w:sz w:val="24"/>
          <w:szCs w:val="24"/>
        </w:rPr>
        <w:t xml:space="preserve">were </w:t>
      </w:r>
      <w:r w:rsidR="00B8615F">
        <w:rPr>
          <w:rFonts w:ascii="Calibri" w:hAnsi="Calibri" w:cs="Calibri"/>
          <w:sz w:val="24"/>
          <w:szCs w:val="24"/>
        </w:rPr>
        <w:t xml:space="preserve">adult returners </w:t>
      </w:r>
      <w:r w:rsidR="000D5F93">
        <w:rPr>
          <w:rFonts w:ascii="Calibri" w:hAnsi="Calibri" w:cs="Calibri"/>
          <w:sz w:val="24"/>
          <w:szCs w:val="24"/>
        </w:rPr>
        <w:t xml:space="preserve">to education </w:t>
      </w:r>
      <w:r w:rsidR="00602764" w:rsidRPr="00602764">
        <w:rPr>
          <w:rFonts w:ascii="Calibri" w:hAnsi="Calibri" w:cs="Calibri"/>
          <w:sz w:val="24"/>
          <w:szCs w:val="24"/>
        </w:rPr>
        <w:t xml:space="preserve">(Slowey and Schuetze, 2012) </w:t>
      </w:r>
      <w:r w:rsidR="000D5F93">
        <w:rPr>
          <w:rFonts w:ascii="Calibri" w:hAnsi="Calibri" w:cs="Calibri"/>
          <w:sz w:val="24"/>
          <w:szCs w:val="24"/>
        </w:rPr>
        <w:t xml:space="preserve">were rendered </w:t>
      </w:r>
      <w:r w:rsidR="00AA75A1">
        <w:rPr>
          <w:rFonts w:ascii="Calibri" w:hAnsi="Calibri" w:cs="Calibri"/>
          <w:sz w:val="24"/>
          <w:szCs w:val="24"/>
        </w:rPr>
        <w:t>vulnerable</w:t>
      </w:r>
      <w:r w:rsidR="000D5F93">
        <w:rPr>
          <w:rFonts w:ascii="Calibri" w:hAnsi="Calibri" w:cs="Calibri"/>
          <w:sz w:val="24"/>
          <w:szCs w:val="24"/>
        </w:rPr>
        <w:t xml:space="preserve"> as a result of a lack of holding.</w:t>
      </w:r>
    </w:p>
    <w:p w14:paraId="2546C5F6" w14:textId="24BC5723" w:rsidR="00C44B59" w:rsidRPr="00D42571" w:rsidRDefault="00AA75A1" w:rsidP="00D42571">
      <w:pPr>
        <w:spacing w:line="360" w:lineRule="auto"/>
        <w:rPr>
          <w:rFonts w:ascii="Calibri" w:hAnsi="Calibri" w:cs="Calibri"/>
          <w:sz w:val="24"/>
          <w:szCs w:val="24"/>
        </w:rPr>
      </w:pPr>
      <w:r w:rsidRPr="00BA1F35">
        <w:rPr>
          <w:rFonts w:ascii="Calibri" w:hAnsi="Calibri" w:cs="Calibri"/>
          <w:sz w:val="24"/>
          <w:szCs w:val="24"/>
        </w:rPr>
        <w:t xml:space="preserve">With reference to the macro view on the findings of this study, </w:t>
      </w:r>
      <w:r w:rsidR="002770D3">
        <w:rPr>
          <w:rFonts w:ascii="Calibri" w:hAnsi="Calibri" w:cs="Calibri"/>
          <w:sz w:val="24"/>
          <w:szCs w:val="24"/>
        </w:rPr>
        <w:t>s</w:t>
      </w:r>
      <w:r>
        <w:rPr>
          <w:rFonts w:ascii="Calibri" w:hAnsi="Calibri" w:cs="Calibri"/>
          <w:sz w:val="24"/>
          <w:szCs w:val="24"/>
        </w:rPr>
        <w:t xml:space="preserve">ome participants were keen to correct an archetypal </w:t>
      </w:r>
      <w:r w:rsidRPr="00BA1F35">
        <w:rPr>
          <w:rFonts w:ascii="Calibri" w:hAnsi="Calibri" w:cs="Calibri"/>
          <w:sz w:val="24"/>
          <w:szCs w:val="24"/>
        </w:rPr>
        <w:t>view</w:t>
      </w:r>
      <w:r>
        <w:rPr>
          <w:rFonts w:ascii="Calibri" w:hAnsi="Calibri" w:cs="Calibri"/>
          <w:sz w:val="24"/>
          <w:szCs w:val="24"/>
        </w:rPr>
        <w:t xml:space="preserve"> of the “teacher” which </w:t>
      </w:r>
      <w:r w:rsidR="00395B07">
        <w:rPr>
          <w:rFonts w:ascii="Calibri" w:hAnsi="Calibri" w:cs="Calibri"/>
          <w:sz w:val="24"/>
          <w:szCs w:val="24"/>
        </w:rPr>
        <w:t xml:space="preserve">has the potential </w:t>
      </w:r>
      <w:r w:rsidR="001B1FA9">
        <w:rPr>
          <w:rFonts w:ascii="Calibri" w:hAnsi="Calibri" w:cs="Calibri"/>
          <w:sz w:val="24"/>
          <w:szCs w:val="24"/>
        </w:rPr>
        <w:t>of rendering</w:t>
      </w:r>
      <w:r>
        <w:rPr>
          <w:rFonts w:ascii="Calibri" w:hAnsi="Calibri" w:cs="Calibri"/>
          <w:sz w:val="24"/>
          <w:szCs w:val="24"/>
        </w:rPr>
        <w:t xml:space="preserve"> </w:t>
      </w:r>
      <w:r w:rsidRPr="00BA1F35">
        <w:rPr>
          <w:rFonts w:ascii="Calibri" w:hAnsi="Calibri" w:cs="Calibri"/>
          <w:sz w:val="24"/>
          <w:szCs w:val="24"/>
        </w:rPr>
        <w:t xml:space="preserve">teachers </w:t>
      </w:r>
      <w:r>
        <w:rPr>
          <w:rFonts w:ascii="Calibri" w:hAnsi="Calibri" w:cs="Calibri"/>
          <w:sz w:val="24"/>
          <w:szCs w:val="24"/>
        </w:rPr>
        <w:t>being</w:t>
      </w:r>
      <w:r w:rsidRPr="00BA1F35">
        <w:rPr>
          <w:rFonts w:ascii="Calibri" w:hAnsi="Calibri" w:cs="Calibri"/>
          <w:sz w:val="24"/>
          <w:szCs w:val="24"/>
        </w:rPr>
        <w:t xml:space="preserve"> seen </w:t>
      </w:r>
      <w:r>
        <w:rPr>
          <w:rFonts w:ascii="Calibri" w:hAnsi="Calibri" w:cs="Calibri"/>
          <w:sz w:val="24"/>
          <w:szCs w:val="24"/>
        </w:rPr>
        <w:t>by students and employers in a diminished light</w:t>
      </w:r>
      <w:r w:rsidRPr="00BA1F35">
        <w:rPr>
          <w:rFonts w:ascii="Calibri" w:hAnsi="Calibri" w:cs="Calibri"/>
          <w:sz w:val="24"/>
          <w:szCs w:val="24"/>
        </w:rPr>
        <w:t>.</w:t>
      </w:r>
      <w:r>
        <w:rPr>
          <w:rFonts w:ascii="Calibri" w:hAnsi="Calibri" w:cs="Calibri"/>
          <w:sz w:val="24"/>
          <w:szCs w:val="24"/>
        </w:rPr>
        <w:t xml:space="preserve"> Banished into the shadowy darkness, </w:t>
      </w:r>
      <w:r w:rsidRPr="00F0697E">
        <w:rPr>
          <w:rFonts w:ascii="Calibri" w:hAnsi="Calibri" w:cs="Calibri"/>
          <w:sz w:val="24"/>
          <w:szCs w:val="24"/>
        </w:rPr>
        <w:t xml:space="preserve">the human needs of the teacher get forgotten and like Cinderella </w:t>
      </w:r>
      <w:r>
        <w:rPr>
          <w:rFonts w:ascii="Calibri" w:hAnsi="Calibri" w:cs="Calibri"/>
          <w:sz w:val="24"/>
          <w:szCs w:val="24"/>
        </w:rPr>
        <w:t>(Grimm</w:t>
      </w:r>
      <w:r w:rsidR="0048501D">
        <w:rPr>
          <w:rFonts w:ascii="Calibri" w:hAnsi="Calibri" w:cs="Calibri"/>
          <w:sz w:val="24"/>
          <w:szCs w:val="24"/>
        </w:rPr>
        <w:t xml:space="preserve"> and Grimm</w:t>
      </w:r>
      <w:r>
        <w:rPr>
          <w:rFonts w:ascii="Calibri" w:hAnsi="Calibri" w:cs="Calibri"/>
          <w:sz w:val="24"/>
          <w:szCs w:val="24"/>
        </w:rPr>
        <w:t xml:space="preserve">, 1869) </w:t>
      </w:r>
      <w:r w:rsidRPr="00F0697E">
        <w:rPr>
          <w:rFonts w:ascii="Calibri" w:hAnsi="Calibri" w:cs="Calibri"/>
          <w:sz w:val="24"/>
          <w:szCs w:val="24"/>
        </w:rPr>
        <w:t xml:space="preserve">confined to the kitchen, the teacher </w:t>
      </w:r>
      <w:r>
        <w:rPr>
          <w:rFonts w:ascii="Calibri" w:hAnsi="Calibri" w:cs="Calibri"/>
          <w:sz w:val="24"/>
          <w:szCs w:val="24"/>
        </w:rPr>
        <w:t xml:space="preserve">can </w:t>
      </w:r>
      <w:r w:rsidRPr="00F0697E">
        <w:rPr>
          <w:rFonts w:ascii="Calibri" w:hAnsi="Calibri" w:cs="Calibri"/>
          <w:sz w:val="24"/>
          <w:szCs w:val="24"/>
        </w:rPr>
        <w:t xml:space="preserve">become </w:t>
      </w:r>
      <w:r>
        <w:rPr>
          <w:rFonts w:ascii="Calibri" w:hAnsi="Calibri" w:cs="Calibri"/>
          <w:sz w:val="24"/>
          <w:szCs w:val="24"/>
        </w:rPr>
        <w:t xml:space="preserve">dehumanised </w:t>
      </w:r>
      <w:r w:rsidRPr="00F0697E">
        <w:rPr>
          <w:rFonts w:ascii="Calibri" w:hAnsi="Calibri" w:cs="Calibri"/>
          <w:sz w:val="24"/>
          <w:szCs w:val="24"/>
        </w:rPr>
        <w:t xml:space="preserve">and deemed a functional object. </w:t>
      </w:r>
      <w:r>
        <w:rPr>
          <w:rFonts w:ascii="Calibri" w:hAnsi="Calibri" w:cs="Calibri"/>
          <w:sz w:val="24"/>
          <w:szCs w:val="24"/>
        </w:rPr>
        <w:t>With a primary focus on the vulnerability of present-day student customers who shore up the fiscal coffers, this study has found that a narrative of the resilient teacher is being perpetuated therein. In a predominantly business clime of prioritising the student as customer, the support needs of the teacher will inevitably be confined to a procedural and systemic functional offering; an offering that is inadequate at the individual</w:t>
      </w:r>
      <w:r w:rsidR="00D42571">
        <w:rPr>
          <w:rFonts w:ascii="Calibri" w:hAnsi="Calibri" w:cs="Calibri"/>
          <w:sz w:val="24"/>
          <w:szCs w:val="24"/>
        </w:rPr>
        <w:t>, human</w:t>
      </w:r>
      <w:r>
        <w:rPr>
          <w:rFonts w:ascii="Calibri" w:hAnsi="Calibri" w:cs="Calibri"/>
          <w:sz w:val="24"/>
          <w:szCs w:val="24"/>
        </w:rPr>
        <w:t xml:space="preserve"> level. These findings contribute to the literature and wider discourse by shining a light on the teacher’s need to be viewed holistically.</w:t>
      </w:r>
    </w:p>
    <w:p w14:paraId="66845BA9" w14:textId="12AD8151" w:rsidR="00AA75A1" w:rsidRDefault="00AA75A1" w:rsidP="003E2868">
      <w:pPr>
        <w:rPr>
          <w:rFonts w:ascii="Calibri" w:hAnsi="Calibri" w:cs="Calibri"/>
          <w:b/>
          <w:bCs/>
          <w:sz w:val="24"/>
          <w:szCs w:val="24"/>
        </w:rPr>
      </w:pPr>
      <w:r w:rsidRPr="00DF1324">
        <w:rPr>
          <w:rFonts w:ascii="Calibri" w:hAnsi="Calibri" w:cs="Calibri"/>
          <w:b/>
          <w:bCs/>
          <w:sz w:val="24"/>
          <w:szCs w:val="24"/>
        </w:rPr>
        <w:t>Contributions</w:t>
      </w:r>
      <w:r>
        <w:rPr>
          <w:rFonts w:ascii="Calibri" w:hAnsi="Calibri" w:cs="Calibri"/>
          <w:b/>
          <w:bCs/>
          <w:sz w:val="24"/>
          <w:szCs w:val="24"/>
        </w:rPr>
        <w:t xml:space="preserve"> </w:t>
      </w:r>
    </w:p>
    <w:p w14:paraId="7EBD540F" w14:textId="44A676A3" w:rsidR="00AA75A1" w:rsidRDefault="00AA75A1" w:rsidP="00031DF8">
      <w:pPr>
        <w:spacing w:line="360" w:lineRule="auto"/>
        <w:rPr>
          <w:rFonts w:ascii="Calibri" w:hAnsi="Calibri" w:cs="Calibri"/>
          <w:sz w:val="24"/>
          <w:szCs w:val="24"/>
          <w:lang w:val="en-US"/>
        </w:rPr>
      </w:pPr>
      <w:r>
        <w:rPr>
          <w:rFonts w:ascii="Calibri" w:hAnsi="Calibri" w:cs="Calibri"/>
          <w:sz w:val="24"/>
          <w:szCs w:val="24"/>
          <w:lang w:val="en-US"/>
        </w:rPr>
        <w:t>Primarily I hope that this research stimulates wider policy makers in teacher education to be more aware of, and empathetic to, the emotional side of teachers</w:t>
      </w:r>
      <w:r w:rsidRPr="004044CA">
        <w:rPr>
          <w:rFonts w:ascii="Calibri" w:hAnsi="Calibri" w:cs="Calibri"/>
          <w:sz w:val="24"/>
          <w:szCs w:val="24"/>
          <w:lang w:val="en-US"/>
        </w:rPr>
        <w:t xml:space="preserve"> </w:t>
      </w:r>
      <w:r>
        <w:rPr>
          <w:rFonts w:ascii="Calibri" w:hAnsi="Calibri" w:cs="Calibri"/>
          <w:sz w:val="24"/>
          <w:szCs w:val="24"/>
          <w:lang w:val="en-US"/>
        </w:rPr>
        <w:t xml:space="preserve">and </w:t>
      </w:r>
      <w:r w:rsidRPr="004044CA">
        <w:rPr>
          <w:rFonts w:ascii="Calibri" w:hAnsi="Calibri" w:cs="Calibri"/>
          <w:sz w:val="24"/>
          <w:szCs w:val="24"/>
          <w:lang w:val="en-US"/>
        </w:rPr>
        <w:t>t</w:t>
      </w:r>
      <w:r>
        <w:rPr>
          <w:rFonts w:ascii="Calibri" w:hAnsi="Calibri" w:cs="Calibri"/>
          <w:sz w:val="24"/>
          <w:szCs w:val="24"/>
          <w:lang w:val="en-US"/>
        </w:rPr>
        <w:t>hus</w:t>
      </w:r>
      <w:r w:rsidRPr="004044CA">
        <w:rPr>
          <w:rFonts w:ascii="Calibri" w:hAnsi="Calibri" w:cs="Calibri"/>
          <w:sz w:val="24"/>
          <w:szCs w:val="24"/>
          <w:lang w:val="en-US"/>
        </w:rPr>
        <w:t xml:space="preserve"> </w:t>
      </w:r>
      <w:r w:rsidR="000B1DD9">
        <w:rPr>
          <w:rFonts w:ascii="Calibri" w:hAnsi="Calibri" w:cs="Calibri"/>
          <w:sz w:val="24"/>
          <w:szCs w:val="24"/>
          <w:lang w:val="en-US"/>
        </w:rPr>
        <w:t>embed</w:t>
      </w:r>
      <w:r w:rsidRPr="004044CA">
        <w:rPr>
          <w:rFonts w:ascii="Calibri" w:hAnsi="Calibri" w:cs="Calibri"/>
          <w:sz w:val="24"/>
          <w:szCs w:val="24"/>
          <w:lang w:val="en-US"/>
        </w:rPr>
        <w:t xml:space="preserve"> the </w:t>
      </w:r>
      <w:r w:rsidRPr="004044CA">
        <w:rPr>
          <w:rFonts w:ascii="Calibri" w:hAnsi="Calibri" w:cs="Calibri"/>
          <w:sz w:val="24"/>
          <w:szCs w:val="24"/>
          <w:lang w:val="en-US"/>
        </w:rPr>
        <w:lastRenderedPageBreak/>
        <w:t xml:space="preserve">notion of </w:t>
      </w:r>
      <w:r w:rsidR="00C44B59">
        <w:rPr>
          <w:rFonts w:ascii="Calibri" w:hAnsi="Calibri" w:cs="Calibri"/>
          <w:sz w:val="24"/>
          <w:szCs w:val="24"/>
          <w:lang w:val="en-US"/>
        </w:rPr>
        <w:t>holding</w:t>
      </w:r>
      <w:r w:rsidR="003541A1">
        <w:rPr>
          <w:rFonts w:ascii="Calibri" w:hAnsi="Calibri" w:cs="Calibri"/>
          <w:sz w:val="24"/>
          <w:szCs w:val="24"/>
          <w:lang w:val="en-US"/>
        </w:rPr>
        <w:t xml:space="preserve"> </w:t>
      </w:r>
      <w:r w:rsidRPr="004044CA">
        <w:rPr>
          <w:rFonts w:ascii="Calibri" w:hAnsi="Calibri" w:cs="Calibri"/>
          <w:sz w:val="24"/>
          <w:szCs w:val="24"/>
          <w:lang w:val="en-US"/>
        </w:rPr>
        <w:t>mechanisms at the outset of their training</w:t>
      </w:r>
      <w:r>
        <w:rPr>
          <w:rFonts w:ascii="Calibri" w:hAnsi="Calibri" w:cs="Calibri"/>
          <w:sz w:val="24"/>
          <w:szCs w:val="24"/>
          <w:lang w:val="en-US"/>
        </w:rPr>
        <w:t>. T</w:t>
      </w:r>
      <w:r w:rsidRPr="0017713F">
        <w:rPr>
          <w:rFonts w:ascii="Calibri" w:hAnsi="Calibri" w:cs="Calibri"/>
          <w:sz w:val="24"/>
          <w:szCs w:val="24"/>
          <w:lang w:val="en-US"/>
        </w:rPr>
        <w:t xml:space="preserve">his study has made significant and original contributions to current </w:t>
      </w:r>
      <w:r>
        <w:rPr>
          <w:rFonts w:ascii="Calibri" w:hAnsi="Calibri" w:cs="Calibri"/>
          <w:sz w:val="24"/>
          <w:szCs w:val="24"/>
          <w:lang w:val="en-US"/>
        </w:rPr>
        <w:t xml:space="preserve">practice and understandings </w:t>
      </w:r>
      <w:r w:rsidRPr="0017713F">
        <w:rPr>
          <w:rFonts w:ascii="Calibri" w:hAnsi="Calibri" w:cs="Calibri"/>
          <w:sz w:val="24"/>
          <w:szCs w:val="24"/>
          <w:lang w:val="en-US"/>
        </w:rPr>
        <w:t xml:space="preserve">of </w:t>
      </w:r>
      <w:r>
        <w:rPr>
          <w:rFonts w:ascii="Calibri" w:hAnsi="Calibri" w:cs="Calibri"/>
          <w:sz w:val="24"/>
          <w:szCs w:val="24"/>
          <w:lang w:val="en-US"/>
        </w:rPr>
        <w:t xml:space="preserve">HE </w:t>
      </w:r>
      <w:r w:rsidRPr="0017713F">
        <w:rPr>
          <w:rFonts w:ascii="Calibri" w:hAnsi="Calibri" w:cs="Calibri"/>
          <w:sz w:val="24"/>
          <w:szCs w:val="24"/>
          <w:lang w:val="en-US"/>
        </w:rPr>
        <w:t>teachers’ emotional lives more broadly</w:t>
      </w:r>
      <w:r>
        <w:rPr>
          <w:rFonts w:ascii="Calibri" w:hAnsi="Calibri" w:cs="Calibri"/>
          <w:sz w:val="24"/>
          <w:szCs w:val="24"/>
          <w:lang w:val="en-US"/>
        </w:rPr>
        <w:t>. By garnering the lived experience stories and perspectives of HE teachers as they describe</w:t>
      </w:r>
      <w:r w:rsidR="006670A1">
        <w:rPr>
          <w:rFonts w:ascii="Calibri" w:hAnsi="Calibri" w:cs="Calibri"/>
          <w:sz w:val="24"/>
          <w:szCs w:val="24"/>
          <w:lang w:val="en-US"/>
        </w:rPr>
        <w:t xml:space="preserve"> </w:t>
      </w:r>
      <w:r>
        <w:rPr>
          <w:rFonts w:ascii="Calibri" w:hAnsi="Calibri" w:cs="Calibri"/>
          <w:sz w:val="24"/>
          <w:szCs w:val="24"/>
          <w:lang w:val="en-US"/>
        </w:rPr>
        <w:t xml:space="preserve">and critically evaluate their learning </w:t>
      </w:r>
      <w:r w:rsidRPr="0061475F">
        <w:rPr>
          <w:rFonts w:ascii="Calibri" w:hAnsi="Calibri" w:cs="Calibri"/>
          <w:i/>
          <w:iCs/>
          <w:sz w:val="24"/>
          <w:szCs w:val="24"/>
          <w:lang w:val="en-US"/>
        </w:rPr>
        <w:t>and</w:t>
      </w:r>
      <w:r>
        <w:rPr>
          <w:rFonts w:ascii="Calibri" w:hAnsi="Calibri" w:cs="Calibri"/>
          <w:sz w:val="24"/>
          <w:szCs w:val="24"/>
          <w:lang w:val="en-US"/>
        </w:rPr>
        <w:t xml:space="preserve"> teaching journeys, this study provided insights into what was missing, what worked and what supported them. By introducing the concept of holding, teachers </w:t>
      </w:r>
      <w:r w:rsidR="00450C1D">
        <w:rPr>
          <w:rFonts w:ascii="Calibri" w:hAnsi="Calibri" w:cs="Calibri"/>
          <w:sz w:val="24"/>
          <w:szCs w:val="24"/>
          <w:lang w:val="en-US"/>
        </w:rPr>
        <w:t xml:space="preserve">were prompted to </w:t>
      </w:r>
      <w:r>
        <w:rPr>
          <w:rFonts w:ascii="Calibri" w:hAnsi="Calibri" w:cs="Calibri"/>
          <w:sz w:val="24"/>
          <w:szCs w:val="24"/>
          <w:lang w:val="en-US"/>
        </w:rPr>
        <w:t xml:space="preserve">reflect upon their own support mechanisms, and the majority carried these reflections forward in their practice. </w:t>
      </w:r>
    </w:p>
    <w:p w14:paraId="3D1C987A" w14:textId="6D09E5E7" w:rsidR="009D36F1" w:rsidRDefault="003541A1" w:rsidP="00031DF8">
      <w:pPr>
        <w:spacing w:line="360" w:lineRule="auto"/>
        <w:rPr>
          <w:rFonts w:ascii="Calibri" w:hAnsi="Calibri" w:cs="Calibri"/>
          <w:sz w:val="24"/>
          <w:szCs w:val="24"/>
          <w:lang w:val="en-US"/>
        </w:rPr>
      </w:pPr>
      <w:r>
        <w:rPr>
          <w:rFonts w:ascii="Calibri" w:hAnsi="Calibri" w:cs="Calibri"/>
          <w:sz w:val="24"/>
          <w:szCs w:val="24"/>
          <w:lang w:val="en-US"/>
        </w:rPr>
        <w:t>One</w:t>
      </w:r>
      <w:r w:rsidR="00C64CCC">
        <w:rPr>
          <w:rFonts w:ascii="Calibri" w:hAnsi="Calibri" w:cs="Calibri"/>
          <w:sz w:val="24"/>
          <w:szCs w:val="24"/>
          <w:lang w:val="en-US"/>
        </w:rPr>
        <w:t xml:space="preserve"> </w:t>
      </w:r>
      <w:r w:rsidR="007218C7">
        <w:rPr>
          <w:rFonts w:ascii="Calibri" w:hAnsi="Calibri" w:cs="Calibri"/>
          <w:sz w:val="24"/>
          <w:szCs w:val="24"/>
          <w:lang w:val="en-US"/>
        </w:rPr>
        <w:t xml:space="preserve">potential </w:t>
      </w:r>
      <w:r w:rsidR="00C64CCC">
        <w:rPr>
          <w:rFonts w:ascii="Calibri" w:hAnsi="Calibri" w:cs="Calibri"/>
          <w:sz w:val="24"/>
          <w:szCs w:val="24"/>
          <w:lang w:val="en-US"/>
        </w:rPr>
        <w:t xml:space="preserve">contribution </w:t>
      </w:r>
      <w:r w:rsidR="00A91B38">
        <w:rPr>
          <w:rFonts w:ascii="Calibri" w:hAnsi="Calibri" w:cs="Calibri"/>
          <w:sz w:val="24"/>
          <w:szCs w:val="24"/>
          <w:lang w:val="en-US"/>
        </w:rPr>
        <w:t>centers around the importance of safeguarding researchers</w:t>
      </w:r>
      <w:r w:rsidR="004575C0">
        <w:rPr>
          <w:rFonts w:ascii="Calibri" w:hAnsi="Calibri" w:cs="Calibri"/>
          <w:sz w:val="24"/>
          <w:szCs w:val="24"/>
          <w:lang w:val="en-US"/>
        </w:rPr>
        <w:t xml:space="preserve">. As outlined in Chapter </w:t>
      </w:r>
      <w:r w:rsidR="006A186B">
        <w:rPr>
          <w:rFonts w:ascii="Calibri" w:hAnsi="Calibri" w:cs="Calibri"/>
          <w:sz w:val="24"/>
          <w:szCs w:val="24"/>
          <w:lang w:val="en-US"/>
        </w:rPr>
        <w:t>Four</w:t>
      </w:r>
      <w:r w:rsidR="004575C0">
        <w:rPr>
          <w:rFonts w:ascii="Calibri" w:hAnsi="Calibri" w:cs="Calibri"/>
          <w:sz w:val="24"/>
          <w:szCs w:val="24"/>
          <w:lang w:val="en-US"/>
        </w:rPr>
        <w:t xml:space="preserve">, </w:t>
      </w:r>
      <w:r w:rsidR="002A0081">
        <w:rPr>
          <w:rFonts w:ascii="Calibri" w:hAnsi="Calibri" w:cs="Calibri"/>
          <w:sz w:val="24"/>
          <w:szCs w:val="24"/>
          <w:lang w:val="en-US"/>
        </w:rPr>
        <w:t>preparation for conducting interviews was sorely lacking</w:t>
      </w:r>
      <w:r w:rsidR="008C3EAB">
        <w:rPr>
          <w:rFonts w:ascii="Calibri" w:hAnsi="Calibri" w:cs="Calibri"/>
          <w:sz w:val="24"/>
          <w:szCs w:val="24"/>
          <w:lang w:val="en-US"/>
        </w:rPr>
        <w:t xml:space="preserve"> in both the teaching delivery and the GRIP (2022) polic</w:t>
      </w:r>
      <w:r w:rsidR="008105B0">
        <w:rPr>
          <w:rFonts w:ascii="Calibri" w:hAnsi="Calibri" w:cs="Calibri"/>
          <w:sz w:val="24"/>
          <w:szCs w:val="24"/>
          <w:lang w:val="en-US"/>
        </w:rPr>
        <w:t xml:space="preserve">y. It is hoped that </w:t>
      </w:r>
      <w:r w:rsidR="004C2B81">
        <w:rPr>
          <w:rFonts w:ascii="Calibri" w:hAnsi="Calibri" w:cs="Calibri"/>
          <w:sz w:val="24"/>
          <w:szCs w:val="24"/>
          <w:lang w:val="en-US"/>
        </w:rPr>
        <w:t xml:space="preserve">designers of courses in education in which research is a salient component </w:t>
      </w:r>
      <w:r w:rsidR="00CC7E5F">
        <w:rPr>
          <w:rFonts w:ascii="Calibri" w:hAnsi="Calibri" w:cs="Calibri"/>
          <w:sz w:val="24"/>
          <w:szCs w:val="24"/>
          <w:lang w:val="en-US"/>
        </w:rPr>
        <w:t>might take heed of the</w:t>
      </w:r>
      <w:r w:rsidR="008320B0">
        <w:rPr>
          <w:rFonts w:ascii="Calibri" w:hAnsi="Calibri" w:cs="Calibri"/>
          <w:sz w:val="24"/>
          <w:szCs w:val="24"/>
          <w:lang w:val="en-US"/>
        </w:rPr>
        <w:t xml:space="preserve">se </w:t>
      </w:r>
      <w:r w:rsidR="004E2D2C">
        <w:rPr>
          <w:rFonts w:ascii="Calibri" w:hAnsi="Calibri" w:cs="Calibri"/>
          <w:sz w:val="24"/>
          <w:szCs w:val="24"/>
          <w:lang w:val="en-US"/>
        </w:rPr>
        <w:t>gaps and</w:t>
      </w:r>
      <w:r w:rsidR="008320B0">
        <w:rPr>
          <w:rFonts w:ascii="Calibri" w:hAnsi="Calibri" w:cs="Calibri"/>
          <w:sz w:val="24"/>
          <w:szCs w:val="24"/>
          <w:lang w:val="en-US"/>
        </w:rPr>
        <w:t xml:space="preserve"> </w:t>
      </w:r>
      <w:r w:rsidR="00735BA1">
        <w:rPr>
          <w:rFonts w:ascii="Calibri" w:hAnsi="Calibri" w:cs="Calibri"/>
          <w:sz w:val="24"/>
          <w:szCs w:val="24"/>
          <w:lang w:val="en-US"/>
        </w:rPr>
        <w:t>pay</w:t>
      </w:r>
      <w:r w:rsidR="007F3A50">
        <w:rPr>
          <w:rFonts w:ascii="Calibri" w:hAnsi="Calibri" w:cs="Calibri"/>
          <w:sz w:val="24"/>
          <w:szCs w:val="24"/>
          <w:lang w:val="en-US"/>
        </w:rPr>
        <w:t xml:space="preserve"> </w:t>
      </w:r>
      <w:r w:rsidR="00735BA1">
        <w:rPr>
          <w:rFonts w:ascii="Calibri" w:hAnsi="Calibri" w:cs="Calibri"/>
          <w:sz w:val="24"/>
          <w:szCs w:val="24"/>
          <w:lang w:val="en-US"/>
        </w:rPr>
        <w:t xml:space="preserve">more attention to </w:t>
      </w:r>
      <w:r w:rsidR="0066063E">
        <w:rPr>
          <w:rFonts w:ascii="Calibri" w:hAnsi="Calibri" w:cs="Calibri"/>
          <w:sz w:val="24"/>
          <w:szCs w:val="24"/>
          <w:lang w:val="en-US"/>
        </w:rPr>
        <w:t xml:space="preserve">the welfare and preparedness </w:t>
      </w:r>
      <w:r w:rsidR="00381715">
        <w:rPr>
          <w:rFonts w:ascii="Calibri" w:hAnsi="Calibri" w:cs="Calibri"/>
          <w:sz w:val="24"/>
          <w:szCs w:val="24"/>
          <w:lang w:val="en-US"/>
        </w:rPr>
        <w:t xml:space="preserve">of neophyte researchers faced with </w:t>
      </w:r>
      <w:r w:rsidR="000466CC">
        <w:rPr>
          <w:rFonts w:ascii="Calibri" w:hAnsi="Calibri" w:cs="Calibri"/>
          <w:sz w:val="24"/>
          <w:szCs w:val="24"/>
          <w:lang w:val="en-US"/>
        </w:rPr>
        <w:t>sensitive matters such as holding participants and their stories.</w:t>
      </w:r>
      <w:r w:rsidR="00CE29AD">
        <w:rPr>
          <w:rFonts w:ascii="Calibri" w:hAnsi="Calibri" w:cs="Calibri"/>
          <w:sz w:val="24"/>
          <w:szCs w:val="24"/>
          <w:lang w:val="en-US"/>
        </w:rPr>
        <w:t xml:space="preserve"> </w:t>
      </w:r>
    </w:p>
    <w:p w14:paraId="65090372" w14:textId="1E4CEE12" w:rsidR="00911F50" w:rsidRDefault="00AA75A1" w:rsidP="00031DF8">
      <w:pPr>
        <w:spacing w:line="360" w:lineRule="auto"/>
        <w:rPr>
          <w:rFonts w:ascii="Calibri" w:hAnsi="Calibri" w:cs="Calibri"/>
          <w:sz w:val="24"/>
          <w:szCs w:val="24"/>
        </w:rPr>
      </w:pPr>
      <w:r w:rsidRPr="001E4793">
        <w:rPr>
          <w:rFonts w:ascii="Calibri" w:hAnsi="Calibri" w:cs="Calibri"/>
          <w:sz w:val="24"/>
          <w:szCs w:val="24"/>
        </w:rPr>
        <w:t>In terms of academic contribution</w:t>
      </w:r>
      <w:r>
        <w:rPr>
          <w:rFonts w:ascii="Calibri" w:hAnsi="Calibri" w:cs="Calibri"/>
          <w:sz w:val="24"/>
          <w:szCs w:val="24"/>
        </w:rPr>
        <w:t>, t</w:t>
      </w:r>
      <w:r w:rsidRPr="0012354D">
        <w:rPr>
          <w:rFonts w:ascii="Calibri" w:hAnsi="Calibri" w:cs="Calibri"/>
          <w:sz w:val="24"/>
          <w:szCs w:val="24"/>
        </w:rPr>
        <w:t xml:space="preserve">o my knowledge </w:t>
      </w:r>
      <w:r>
        <w:rPr>
          <w:rFonts w:ascii="Calibri" w:hAnsi="Calibri" w:cs="Calibri"/>
          <w:sz w:val="24"/>
          <w:szCs w:val="24"/>
        </w:rPr>
        <w:t>this</w:t>
      </w:r>
      <w:r w:rsidRPr="0012354D">
        <w:rPr>
          <w:rFonts w:ascii="Calibri" w:hAnsi="Calibri" w:cs="Calibri"/>
          <w:sz w:val="24"/>
          <w:szCs w:val="24"/>
        </w:rPr>
        <w:t xml:space="preserve"> is the first study to track the lived experience journeys of HE teachers from their initial training to their being fully fledged teachers</w:t>
      </w:r>
      <w:r>
        <w:rPr>
          <w:rFonts w:ascii="Calibri" w:hAnsi="Calibri" w:cs="Calibri"/>
          <w:sz w:val="24"/>
          <w:szCs w:val="24"/>
        </w:rPr>
        <w:t xml:space="preserve"> through the lens of holding.</w:t>
      </w:r>
      <w:r w:rsidRPr="0012354D">
        <w:rPr>
          <w:rFonts w:ascii="Calibri" w:hAnsi="Calibri" w:cs="Calibri"/>
          <w:sz w:val="24"/>
          <w:szCs w:val="24"/>
        </w:rPr>
        <w:t xml:space="preserve"> </w:t>
      </w:r>
      <w:r>
        <w:rPr>
          <w:rFonts w:ascii="Calibri" w:hAnsi="Calibri" w:cs="Calibri"/>
          <w:sz w:val="24"/>
          <w:szCs w:val="24"/>
        </w:rPr>
        <w:t xml:space="preserve"> </w:t>
      </w:r>
      <w:r w:rsidRPr="00034890">
        <w:rPr>
          <w:rFonts w:ascii="Calibri" w:eastAsia="Calibri" w:hAnsi="Calibri" w:cs="Times New Roman"/>
          <w:sz w:val="24"/>
          <w:szCs w:val="24"/>
        </w:rPr>
        <w:t>Lopez-Pedraza</w:t>
      </w:r>
      <w:r w:rsidRPr="00034890">
        <w:rPr>
          <w:rFonts w:ascii="Calibri" w:hAnsi="Calibri" w:cs="Calibri"/>
          <w:sz w:val="24"/>
          <w:szCs w:val="24"/>
        </w:rPr>
        <w:t xml:space="preserve"> </w:t>
      </w:r>
      <w:r>
        <w:rPr>
          <w:rFonts w:ascii="Calibri" w:hAnsi="Calibri" w:cs="Calibri"/>
          <w:sz w:val="24"/>
          <w:szCs w:val="24"/>
        </w:rPr>
        <w:t>(1977/2000) highlighted that the field of psychoanalysis and its inception some 100 years ago were contaminated by historical infighting and suspicion</w:t>
      </w:r>
      <w:r w:rsidR="004C7B40">
        <w:rPr>
          <w:rFonts w:ascii="Calibri" w:hAnsi="Calibri" w:cs="Calibri"/>
          <w:sz w:val="24"/>
          <w:szCs w:val="24"/>
        </w:rPr>
        <w:t>,</w:t>
      </w:r>
      <w:r>
        <w:rPr>
          <w:rFonts w:ascii="Calibri" w:hAnsi="Calibri" w:cs="Calibri"/>
          <w:sz w:val="24"/>
          <w:szCs w:val="24"/>
        </w:rPr>
        <w:t xml:space="preserve"> and I believe as a psychotherapist conducting research I have contributed to breaking that spell and have found a way of letting psychosocial concepts, feelings and knowledge acquisition share a space, amicably, in the academic field. </w:t>
      </w:r>
    </w:p>
    <w:p w14:paraId="10AE5E48" w14:textId="2F9B8C9A" w:rsidR="00427F31" w:rsidRPr="00427F31" w:rsidRDefault="00427F31" w:rsidP="00427F31">
      <w:pPr>
        <w:spacing w:line="360" w:lineRule="auto"/>
        <w:rPr>
          <w:rFonts w:ascii="Calibri" w:hAnsi="Calibri" w:cs="Calibri"/>
          <w:b/>
          <w:bCs/>
          <w:sz w:val="24"/>
          <w:szCs w:val="24"/>
        </w:rPr>
      </w:pPr>
      <w:r w:rsidRPr="00427F31">
        <w:rPr>
          <w:rFonts w:ascii="Calibri" w:hAnsi="Calibri" w:cs="Calibri"/>
          <w:b/>
          <w:bCs/>
          <w:sz w:val="24"/>
          <w:szCs w:val="24"/>
        </w:rPr>
        <w:t xml:space="preserve">Recommendations for HE </w:t>
      </w:r>
      <w:r w:rsidR="000023A3">
        <w:rPr>
          <w:rFonts w:ascii="Calibri" w:hAnsi="Calibri" w:cs="Calibri"/>
          <w:b/>
          <w:bCs/>
          <w:sz w:val="24"/>
          <w:szCs w:val="24"/>
        </w:rPr>
        <w:t>e</w:t>
      </w:r>
      <w:r w:rsidRPr="00427F31">
        <w:rPr>
          <w:rFonts w:ascii="Calibri" w:hAnsi="Calibri" w:cs="Calibri"/>
          <w:b/>
          <w:bCs/>
          <w:sz w:val="24"/>
          <w:szCs w:val="24"/>
        </w:rPr>
        <w:t xml:space="preserve">stablishments and </w:t>
      </w:r>
      <w:r w:rsidR="000023A3">
        <w:rPr>
          <w:rFonts w:ascii="Calibri" w:hAnsi="Calibri" w:cs="Calibri"/>
          <w:b/>
          <w:bCs/>
          <w:sz w:val="24"/>
          <w:szCs w:val="24"/>
        </w:rPr>
        <w:t>p</w:t>
      </w:r>
      <w:r w:rsidRPr="00427F31">
        <w:rPr>
          <w:rFonts w:ascii="Calibri" w:hAnsi="Calibri" w:cs="Calibri"/>
          <w:b/>
          <w:bCs/>
          <w:sz w:val="24"/>
          <w:szCs w:val="24"/>
        </w:rPr>
        <w:t xml:space="preserve">olicy </w:t>
      </w:r>
      <w:r w:rsidR="000023A3">
        <w:rPr>
          <w:rFonts w:ascii="Calibri" w:hAnsi="Calibri" w:cs="Calibri"/>
          <w:b/>
          <w:bCs/>
          <w:sz w:val="24"/>
          <w:szCs w:val="24"/>
        </w:rPr>
        <w:t>m</w:t>
      </w:r>
      <w:r w:rsidRPr="00427F31">
        <w:rPr>
          <w:rFonts w:ascii="Calibri" w:hAnsi="Calibri" w:cs="Calibri"/>
          <w:b/>
          <w:bCs/>
          <w:sz w:val="24"/>
          <w:szCs w:val="24"/>
        </w:rPr>
        <w:t>akers</w:t>
      </w:r>
    </w:p>
    <w:p w14:paraId="404EB258" w14:textId="1AA60CE2" w:rsidR="00AA75A1" w:rsidRDefault="004C346B" w:rsidP="00031DF8">
      <w:pPr>
        <w:spacing w:line="360" w:lineRule="auto"/>
        <w:rPr>
          <w:rFonts w:ascii="Calibri" w:hAnsi="Calibri" w:cs="Calibri"/>
          <w:sz w:val="24"/>
          <w:szCs w:val="24"/>
        </w:rPr>
      </w:pPr>
      <w:r>
        <w:rPr>
          <w:rFonts w:ascii="Calibri" w:hAnsi="Calibri" w:cs="Calibri"/>
          <w:sz w:val="24"/>
          <w:szCs w:val="24"/>
        </w:rPr>
        <w:t>As a broad overview</w:t>
      </w:r>
      <w:r w:rsidR="008A7868">
        <w:rPr>
          <w:rFonts w:ascii="Calibri" w:hAnsi="Calibri" w:cs="Calibri"/>
          <w:sz w:val="24"/>
          <w:szCs w:val="24"/>
        </w:rPr>
        <w:t xml:space="preserve">, </w:t>
      </w:r>
      <w:r w:rsidR="00AA75A1">
        <w:rPr>
          <w:rFonts w:ascii="Calibri" w:hAnsi="Calibri" w:cs="Calibri"/>
          <w:sz w:val="24"/>
          <w:szCs w:val="24"/>
        </w:rPr>
        <w:t>Table</w:t>
      </w:r>
      <w:r w:rsidR="00020D88">
        <w:rPr>
          <w:rFonts w:ascii="Calibri" w:hAnsi="Calibri" w:cs="Calibri"/>
          <w:sz w:val="24"/>
          <w:szCs w:val="24"/>
        </w:rPr>
        <w:t xml:space="preserve"> 17 </w:t>
      </w:r>
      <w:r w:rsidR="005C62BD">
        <w:rPr>
          <w:rFonts w:ascii="Calibri" w:hAnsi="Calibri" w:cs="Calibri"/>
          <w:sz w:val="24"/>
          <w:szCs w:val="24"/>
        </w:rPr>
        <w:t>(</w:t>
      </w:r>
      <w:r w:rsidR="00DA5EF6">
        <w:rPr>
          <w:rFonts w:ascii="Calibri" w:hAnsi="Calibri" w:cs="Calibri"/>
          <w:sz w:val="24"/>
          <w:szCs w:val="24"/>
        </w:rPr>
        <w:t>p.214</w:t>
      </w:r>
      <w:r w:rsidR="005C62BD">
        <w:rPr>
          <w:rFonts w:ascii="Calibri" w:hAnsi="Calibri" w:cs="Calibri"/>
          <w:sz w:val="24"/>
          <w:szCs w:val="24"/>
        </w:rPr>
        <w:t>)</w:t>
      </w:r>
      <w:r w:rsidR="007E6D98">
        <w:rPr>
          <w:rFonts w:ascii="Calibri" w:hAnsi="Calibri" w:cs="Calibri"/>
          <w:sz w:val="24"/>
          <w:szCs w:val="24"/>
        </w:rPr>
        <w:t xml:space="preserve"> </w:t>
      </w:r>
      <w:r w:rsidR="00AA75A1">
        <w:rPr>
          <w:rFonts w:ascii="Calibri" w:hAnsi="Calibri" w:cs="Calibri"/>
          <w:sz w:val="24"/>
          <w:szCs w:val="24"/>
        </w:rPr>
        <w:t xml:space="preserve">delineates </w:t>
      </w:r>
      <w:r w:rsidR="00AA75A1" w:rsidRPr="0012354D">
        <w:rPr>
          <w:rFonts w:ascii="Calibri" w:hAnsi="Calibri" w:cs="Calibri"/>
          <w:sz w:val="24"/>
          <w:szCs w:val="24"/>
        </w:rPr>
        <w:t>unique contribution</w:t>
      </w:r>
      <w:r w:rsidR="00E661DA">
        <w:rPr>
          <w:rFonts w:ascii="Calibri" w:hAnsi="Calibri" w:cs="Calibri"/>
          <w:sz w:val="24"/>
          <w:szCs w:val="24"/>
        </w:rPr>
        <w:t>s</w:t>
      </w:r>
      <w:r w:rsidR="00AA75A1" w:rsidRPr="0012354D">
        <w:rPr>
          <w:rFonts w:ascii="Calibri" w:hAnsi="Calibri" w:cs="Calibri"/>
          <w:sz w:val="24"/>
          <w:szCs w:val="24"/>
        </w:rPr>
        <w:t xml:space="preserve"> </w:t>
      </w:r>
      <w:r w:rsidR="00AA75A1">
        <w:rPr>
          <w:rFonts w:ascii="Calibri" w:hAnsi="Calibri" w:cs="Calibri"/>
          <w:sz w:val="24"/>
          <w:szCs w:val="24"/>
        </w:rPr>
        <w:t>this study affords</w:t>
      </w:r>
      <w:r w:rsidR="00AA75A1" w:rsidRPr="0012354D">
        <w:rPr>
          <w:rFonts w:ascii="Calibri" w:hAnsi="Calibri" w:cs="Calibri"/>
          <w:sz w:val="24"/>
          <w:szCs w:val="24"/>
        </w:rPr>
        <w:t xml:space="preserve"> the wider scholarship</w:t>
      </w:r>
      <w:r w:rsidR="008A7868">
        <w:rPr>
          <w:rFonts w:ascii="Calibri" w:hAnsi="Calibri" w:cs="Calibri"/>
          <w:sz w:val="24"/>
          <w:szCs w:val="24"/>
        </w:rPr>
        <w:t xml:space="preserve">, </w:t>
      </w:r>
      <w:r w:rsidR="00AA75A1">
        <w:rPr>
          <w:rFonts w:ascii="Calibri" w:hAnsi="Calibri" w:cs="Calibri"/>
          <w:sz w:val="24"/>
          <w:szCs w:val="24"/>
        </w:rPr>
        <w:t>potential challenges to th</w:t>
      </w:r>
      <w:r w:rsidR="00C953B4">
        <w:rPr>
          <w:rFonts w:ascii="Calibri" w:hAnsi="Calibri" w:cs="Calibri"/>
          <w:sz w:val="24"/>
          <w:szCs w:val="24"/>
        </w:rPr>
        <w:t>e</w:t>
      </w:r>
      <w:r w:rsidR="00AA75A1">
        <w:rPr>
          <w:rFonts w:ascii="Calibri" w:hAnsi="Calibri" w:cs="Calibri"/>
          <w:sz w:val="24"/>
          <w:szCs w:val="24"/>
        </w:rPr>
        <w:t>s</w:t>
      </w:r>
      <w:r w:rsidR="00C953B4">
        <w:rPr>
          <w:rFonts w:ascii="Calibri" w:hAnsi="Calibri" w:cs="Calibri"/>
          <w:sz w:val="24"/>
          <w:szCs w:val="24"/>
        </w:rPr>
        <w:t>e</w:t>
      </w:r>
      <w:r w:rsidR="00AA75A1">
        <w:rPr>
          <w:rFonts w:ascii="Calibri" w:hAnsi="Calibri" w:cs="Calibri"/>
          <w:sz w:val="24"/>
          <w:szCs w:val="24"/>
        </w:rPr>
        <w:t xml:space="preserve"> contribution</w:t>
      </w:r>
      <w:r w:rsidR="00C953B4">
        <w:rPr>
          <w:rFonts w:ascii="Calibri" w:hAnsi="Calibri" w:cs="Calibri"/>
          <w:sz w:val="24"/>
          <w:szCs w:val="24"/>
        </w:rPr>
        <w:t>s</w:t>
      </w:r>
      <w:r w:rsidR="0018361C">
        <w:rPr>
          <w:rFonts w:ascii="Calibri" w:hAnsi="Calibri" w:cs="Calibri"/>
          <w:sz w:val="24"/>
          <w:szCs w:val="24"/>
        </w:rPr>
        <w:t xml:space="preserve"> </w:t>
      </w:r>
      <w:r w:rsidR="00F55E40">
        <w:rPr>
          <w:rFonts w:ascii="Calibri" w:hAnsi="Calibri" w:cs="Calibri"/>
          <w:sz w:val="24"/>
          <w:szCs w:val="24"/>
        </w:rPr>
        <w:t>and</w:t>
      </w:r>
      <w:r w:rsidR="003444D3">
        <w:rPr>
          <w:rFonts w:ascii="Calibri" w:hAnsi="Calibri" w:cs="Calibri"/>
          <w:sz w:val="24"/>
          <w:szCs w:val="24"/>
        </w:rPr>
        <w:t xml:space="preserve"> suggestions </w:t>
      </w:r>
      <w:r w:rsidR="00641C2F">
        <w:rPr>
          <w:rFonts w:ascii="Calibri" w:hAnsi="Calibri" w:cs="Calibri"/>
          <w:sz w:val="24"/>
          <w:szCs w:val="24"/>
        </w:rPr>
        <w:t xml:space="preserve">for addressing </w:t>
      </w:r>
      <w:r w:rsidR="002E3F49">
        <w:rPr>
          <w:rFonts w:ascii="Calibri" w:hAnsi="Calibri" w:cs="Calibri"/>
          <w:sz w:val="24"/>
          <w:szCs w:val="24"/>
        </w:rPr>
        <w:t xml:space="preserve">some of the challenges. By framing </w:t>
      </w:r>
      <w:r w:rsidR="006E2F2A">
        <w:rPr>
          <w:rFonts w:ascii="Calibri" w:hAnsi="Calibri" w:cs="Calibri"/>
          <w:sz w:val="24"/>
          <w:szCs w:val="24"/>
        </w:rPr>
        <w:t xml:space="preserve">the </w:t>
      </w:r>
      <w:r w:rsidR="00D95E30">
        <w:rPr>
          <w:rFonts w:ascii="Calibri" w:hAnsi="Calibri" w:cs="Calibri"/>
          <w:sz w:val="24"/>
          <w:szCs w:val="24"/>
        </w:rPr>
        <w:t xml:space="preserve">information in this </w:t>
      </w:r>
      <w:r w:rsidR="005C62BD">
        <w:rPr>
          <w:rFonts w:ascii="Calibri" w:hAnsi="Calibri" w:cs="Calibri"/>
          <w:sz w:val="24"/>
          <w:szCs w:val="24"/>
        </w:rPr>
        <w:t>way,</w:t>
      </w:r>
      <w:r w:rsidR="004001F3">
        <w:rPr>
          <w:rFonts w:ascii="Calibri" w:hAnsi="Calibri" w:cs="Calibri"/>
          <w:sz w:val="24"/>
          <w:szCs w:val="24"/>
        </w:rPr>
        <w:t xml:space="preserve"> I am </w:t>
      </w:r>
      <w:r w:rsidR="00750FEC">
        <w:rPr>
          <w:rFonts w:ascii="Calibri" w:hAnsi="Calibri" w:cs="Calibri"/>
          <w:sz w:val="24"/>
          <w:szCs w:val="24"/>
        </w:rPr>
        <w:t>naming the “</w:t>
      </w:r>
      <w:r w:rsidR="00004D76">
        <w:rPr>
          <w:rFonts w:ascii="Calibri" w:hAnsi="Calibri" w:cs="Calibri"/>
          <w:sz w:val="24"/>
          <w:szCs w:val="24"/>
        </w:rPr>
        <w:t xml:space="preserve">what”, acknowledging the “so what” </w:t>
      </w:r>
      <w:r w:rsidR="009F3569">
        <w:rPr>
          <w:rFonts w:ascii="Calibri" w:hAnsi="Calibri" w:cs="Calibri"/>
          <w:sz w:val="24"/>
          <w:szCs w:val="24"/>
        </w:rPr>
        <w:t>in their potential  operationalisation</w:t>
      </w:r>
      <w:r w:rsidR="00921D40">
        <w:rPr>
          <w:rFonts w:ascii="Calibri" w:hAnsi="Calibri" w:cs="Calibri"/>
          <w:sz w:val="24"/>
          <w:szCs w:val="24"/>
        </w:rPr>
        <w:t xml:space="preserve"> as possibly voiced by stakeholders</w:t>
      </w:r>
      <w:r w:rsidR="004F458A">
        <w:rPr>
          <w:rFonts w:ascii="Calibri" w:hAnsi="Calibri" w:cs="Calibri"/>
          <w:sz w:val="24"/>
          <w:szCs w:val="24"/>
        </w:rPr>
        <w:t xml:space="preserve"> and </w:t>
      </w:r>
      <w:r w:rsidR="00E61CA2">
        <w:rPr>
          <w:rFonts w:ascii="Calibri" w:hAnsi="Calibri" w:cs="Calibri"/>
          <w:sz w:val="24"/>
          <w:szCs w:val="24"/>
        </w:rPr>
        <w:t xml:space="preserve">proffering an echo </w:t>
      </w:r>
      <w:r w:rsidR="008F7949">
        <w:rPr>
          <w:rFonts w:ascii="Calibri" w:hAnsi="Calibri" w:cs="Calibri"/>
          <w:sz w:val="24"/>
          <w:szCs w:val="24"/>
        </w:rPr>
        <w:t xml:space="preserve">“now what” </w:t>
      </w:r>
      <w:r w:rsidR="00E61CA2">
        <w:rPr>
          <w:rFonts w:ascii="Calibri" w:hAnsi="Calibri" w:cs="Calibri"/>
          <w:sz w:val="24"/>
          <w:szCs w:val="24"/>
        </w:rPr>
        <w:t xml:space="preserve">response </w:t>
      </w:r>
      <w:r w:rsidR="005C62BD">
        <w:rPr>
          <w:rFonts w:ascii="Calibri" w:hAnsi="Calibri" w:cs="Calibri"/>
          <w:sz w:val="24"/>
          <w:szCs w:val="24"/>
        </w:rPr>
        <w:t>as a prompt for reflection.</w:t>
      </w:r>
    </w:p>
    <w:p w14:paraId="5B898753" w14:textId="77777777" w:rsidR="006C5327" w:rsidRDefault="006C5327" w:rsidP="00031DF8">
      <w:pPr>
        <w:spacing w:line="360" w:lineRule="auto"/>
        <w:rPr>
          <w:rFonts w:ascii="Calibri" w:hAnsi="Calibri" w:cs="Calibri"/>
          <w:sz w:val="24"/>
          <w:szCs w:val="24"/>
        </w:rPr>
      </w:pPr>
    </w:p>
    <w:p w14:paraId="6F4D1CAA" w14:textId="77777777" w:rsidR="00067BDF" w:rsidRDefault="00067BDF" w:rsidP="00067BDF">
      <w:pPr>
        <w:rPr>
          <w:rFonts w:ascii="Calibri" w:hAnsi="Calibri" w:cs="Calibri"/>
          <w:sz w:val="24"/>
          <w:szCs w:val="24"/>
        </w:rPr>
      </w:pPr>
    </w:p>
    <w:p w14:paraId="6A986306" w14:textId="350D28FB" w:rsidR="002C243B" w:rsidRDefault="004B3C7D" w:rsidP="004B3C7D">
      <w:pPr>
        <w:ind w:left="2160"/>
        <w:rPr>
          <w:rFonts w:ascii="Calibri" w:hAnsi="Calibri" w:cs="Calibri"/>
          <w:i/>
          <w:iCs/>
          <w:sz w:val="24"/>
          <w:szCs w:val="24"/>
        </w:rPr>
      </w:pPr>
      <w:r>
        <w:rPr>
          <w:rFonts w:ascii="Calibri" w:hAnsi="Calibri" w:cs="Calibri"/>
          <w:i/>
          <w:iCs/>
          <w:sz w:val="24"/>
          <w:szCs w:val="24"/>
        </w:rPr>
        <w:lastRenderedPageBreak/>
        <w:t xml:space="preserve">              </w:t>
      </w:r>
      <w:r w:rsidR="00AA75A1" w:rsidRPr="00020D88">
        <w:rPr>
          <w:rFonts w:ascii="Calibri" w:hAnsi="Calibri" w:cs="Calibri"/>
          <w:i/>
          <w:iCs/>
          <w:sz w:val="24"/>
          <w:szCs w:val="24"/>
        </w:rPr>
        <w:t xml:space="preserve">Table </w:t>
      </w:r>
      <w:r w:rsidR="00020D88" w:rsidRPr="00020D88">
        <w:rPr>
          <w:rFonts w:ascii="Calibri" w:hAnsi="Calibri" w:cs="Calibri"/>
          <w:i/>
          <w:iCs/>
          <w:sz w:val="24"/>
          <w:szCs w:val="24"/>
        </w:rPr>
        <w:t>17</w:t>
      </w:r>
      <w:r w:rsidR="00AA75A1" w:rsidRPr="00020D88">
        <w:rPr>
          <w:rFonts w:ascii="Calibri" w:hAnsi="Calibri" w:cs="Calibri"/>
          <w:i/>
          <w:iCs/>
          <w:sz w:val="24"/>
          <w:szCs w:val="24"/>
        </w:rPr>
        <w:t>: Contributions to practice</w:t>
      </w:r>
    </w:p>
    <w:tbl>
      <w:tblPr>
        <w:tblStyle w:val="TableGrid"/>
        <w:tblW w:w="9209" w:type="dxa"/>
        <w:tblLook w:val="04A0" w:firstRow="1" w:lastRow="0" w:firstColumn="1" w:lastColumn="0" w:noHBand="0" w:noVBand="1"/>
      </w:tblPr>
      <w:tblGrid>
        <w:gridCol w:w="3114"/>
        <w:gridCol w:w="3260"/>
        <w:gridCol w:w="2835"/>
      </w:tblGrid>
      <w:tr w:rsidR="005356D7" w14:paraId="363FC2D1" w14:textId="77777777" w:rsidTr="007E6D98">
        <w:tc>
          <w:tcPr>
            <w:tcW w:w="3114" w:type="dxa"/>
          </w:tcPr>
          <w:p w14:paraId="66EE6EB3" w14:textId="274DCD74" w:rsidR="005356D7" w:rsidRPr="001B52A6" w:rsidRDefault="00D21502" w:rsidP="003B4C4B">
            <w:pPr>
              <w:rPr>
                <w:b/>
                <w:bCs/>
              </w:rPr>
            </w:pPr>
            <w:r>
              <w:rPr>
                <w:b/>
                <w:bCs/>
              </w:rPr>
              <w:t xml:space="preserve">Holding: </w:t>
            </w:r>
            <w:r w:rsidR="001B52A6" w:rsidRPr="001B52A6">
              <w:rPr>
                <w:b/>
                <w:bCs/>
              </w:rPr>
              <w:t>Contributions</w:t>
            </w:r>
          </w:p>
        </w:tc>
        <w:tc>
          <w:tcPr>
            <w:tcW w:w="3260" w:type="dxa"/>
          </w:tcPr>
          <w:p w14:paraId="6419B90B" w14:textId="26636EA8" w:rsidR="005356D7" w:rsidRDefault="00E73365" w:rsidP="003B4C4B">
            <w:r>
              <w:rPr>
                <w:rFonts w:ascii="Calibri" w:eastAsia="Calibri" w:hAnsi="Calibri" w:cs="Calibri"/>
                <w:b/>
                <w:bCs/>
                <w:sz w:val="20"/>
                <w:szCs w:val="20"/>
              </w:rPr>
              <w:t>Challenges to the contributions</w:t>
            </w:r>
          </w:p>
        </w:tc>
        <w:tc>
          <w:tcPr>
            <w:tcW w:w="2835" w:type="dxa"/>
          </w:tcPr>
          <w:p w14:paraId="49DCCA0A" w14:textId="1A55BC4A" w:rsidR="005356D7" w:rsidRDefault="003444D3" w:rsidP="003B4C4B">
            <w:r>
              <w:rPr>
                <w:rFonts w:ascii="Calibri" w:eastAsia="Calibri" w:hAnsi="Calibri" w:cs="Calibri"/>
                <w:b/>
                <w:bCs/>
                <w:sz w:val="20"/>
                <w:szCs w:val="20"/>
              </w:rPr>
              <w:t xml:space="preserve">Suggestions </w:t>
            </w:r>
            <w:r w:rsidR="005356D7" w:rsidRPr="00E77BBC">
              <w:rPr>
                <w:rFonts w:ascii="Calibri" w:eastAsia="Calibri" w:hAnsi="Calibri" w:cs="Calibri"/>
                <w:b/>
                <w:bCs/>
                <w:sz w:val="20"/>
                <w:szCs w:val="20"/>
              </w:rPr>
              <w:t>to address challenges</w:t>
            </w:r>
          </w:p>
        </w:tc>
      </w:tr>
      <w:tr w:rsidR="005356D7" w14:paraId="6DC74C22" w14:textId="77777777" w:rsidTr="007E6D98">
        <w:tc>
          <w:tcPr>
            <w:tcW w:w="3114" w:type="dxa"/>
          </w:tcPr>
          <w:p w14:paraId="472195F4" w14:textId="77777777" w:rsidR="005356D7" w:rsidRPr="00E77BBC" w:rsidRDefault="005356D7" w:rsidP="003B4C4B">
            <w:pPr>
              <w:rPr>
                <w:rFonts w:ascii="Calibri" w:eastAsia="Calibri" w:hAnsi="Calibri" w:cs="Calibri"/>
                <w:sz w:val="18"/>
                <w:szCs w:val="18"/>
              </w:rPr>
            </w:pPr>
          </w:p>
          <w:p w14:paraId="6E829D29" w14:textId="77777777" w:rsidR="00307B1C" w:rsidRPr="00E77BBC" w:rsidRDefault="00307B1C" w:rsidP="003B4C4B">
            <w:pPr>
              <w:rPr>
                <w:rFonts w:ascii="Calibri" w:eastAsia="Calibri" w:hAnsi="Calibri" w:cs="Calibri"/>
                <w:sz w:val="18"/>
                <w:szCs w:val="18"/>
              </w:rPr>
            </w:pPr>
            <w:r w:rsidRPr="00E77BBC">
              <w:rPr>
                <w:rFonts w:ascii="Calibri" w:eastAsia="Calibri" w:hAnsi="Calibri" w:cs="Calibri"/>
                <w:sz w:val="18"/>
                <w:szCs w:val="18"/>
              </w:rPr>
              <w:t>By shining a light on an ethic of care, support mechanisms and the safeguarding of emotions, this study has identified the importance of tending to a more holistic approach to teacher and researcher welfare in HE</w:t>
            </w:r>
            <w:r w:rsidR="005356D7" w:rsidRPr="00E77BBC">
              <w:rPr>
                <w:rFonts w:ascii="Calibri" w:eastAsia="Calibri" w:hAnsi="Calibri" w:cs="Calibri"/>
                <w:sz w:val="18"/>
                <w:szCs w:val="18"/>
              </w:rPr>
              <w:t>.</w:t>
            </w:r>
          </w:p>
          <w:p w14:paraId="23D420D6" w14:textId="77777777" w:rsidR="005356D7" w:rsidRPr="00E77BBC" w:rsidRDefault="005356D7" w:rsidP="003B4C4B">
            <w:pPr>
              <w:rPr>
                <w:rFonts w:ascii="Calibri" w:eastAsia="Calibri" w:hAnsi="Calibri" w:cs="Calibri"/>
                <w:sz w:val="18"/>
                <w:szCs w:val="18"/>
              </w:rPr>
            </w:pPr>
          </w:p>
          <w:p w14:paraId="4072BC99" w14:textId="77777777" w:rsidR="00307B1C" w:rsidRPr="00E77BBC" w:rsidRDefault="00307B1C" w:rsidP="003B4C4B">
            <w:pPr>
              <w:rPr>
                <w:rFonts w:ascii="Calibri" w:eastAsia="Calibri" w:hAnsi="Calibri" w:cs="Calibri"/>
                <w:sz w:val="18"/>
                <w:szCs w:val="18"/>
              </w:rPr>
            </w:pPr>
            <w:r w:rsidRPr="00E77BBC">
              <w:rPr>
                <w:rFonts w:ascii="Calibri" w:eastAsia="Calibri" w:hAnsi="Calibri" w:cs="Calibri"/>
                <w:sz w:val="18"/>
                <w:szCs w:val="18"/>
              </w:rPr>
              <w:t>The findings could be used to guide future teacher trainings to incorporate support in their curricula, to pilot externally sourced pedagogic supervisors, to encourage the development of self-selected learning support groups and to emphasise the importance of self-care</w:t>
            </w:r>
            <w:r w:rsidR="005356D7" w:rsidRPr="00E77BBC">
              <w:rPr>
                <w:rFonts w:ascii="Calibri" w:eastAsia="Calibri" w:hAnsi="Calibri" w:cs="Calibri"/>
                <w:sz w:val="18"/>
                <w:szCs w:val="18"/>
              </w:rPr>
              <w:t>.</w:t>
            </w:r>
          </w:p>
          <w:p w14:paraId="0CBA09FC" w14:textId="77777777" w:rsidR="005356D7" w:rsidRPr="00E77BBC" w:rsidRDefault="005356D7" w:rsidP="003B4C4B">
            <w:pPr>
              <w:rPr>
                <w:rFonts w:ascii="Calibri" w:eastAsia="Calibri" w:hAnsi="Calibri" w:cs="Calibri"/>
                <w:sz w:val="18"/>
                <w:szCs w:val="18"/>
              </w:rPr>
            </w:pPr>
          </w:p>
          <w:p w14:paraId="581DB833" w14:textId="77777777" w:rsidR="005356D7" w:rsidRPr="00E77BBC" w:rsidRDefault="005356D7" w:rsidP="003B4C4B">
            <w:pPr>
              <w:rPr>
                <w:rFonts w:ascii="Calibri" w:eastAsia="Calibri" w:hAnsi="Calibri" w:cs="Calibri"/>
                <w:sz w:val="18"/>
                <w:szCs w:val="18"/>
              </w:rPr>
            </w:pPr>
          </w:p>
          <w:p w14:paraId="07306A73" w14:textId="77777777" w:rsidR="005356D7" w:rsidRPr="00E77BBC" w:rsidRDefault="005356D7" w:rsidP="003B4C4B">
            <w:pPr>
              <w:rPr>
                <w:rFonts w:ascii="Calibri" w:eastAsia="Calibri" w:hAnsi="Calibri" w:cs="Calibri"/>
                <w:sz w:val="18"/>
                <w:szCs w:val="18"/>
              </w:rPr>
            </w:pPr>
          </w:p>
          <w:p w14:paraId="67708329" w14:textId="77777777" w:rsidR="005356D7" w:rsidRPr="00E77BBC" w:rsidRDefault="005356D7" w:rsidP="003B4C4B">
            <w:pPr>
              <w:rPr>
                <w:rFonts w:ascii="Calibri" w:eastAsia="Calibri" w:hAnsi="Calibri" w:cs="Calibri"/>
                <w:sz w:val="18"/>
                <w:szCs w:val="18"/>
              </w:rPr>
            </w:pPr>
          </w:p>
          <w:p w14:paraId="48F651C7" w14:textId="77777777" w:rsidR="005356D7" w:rsidRDefault="00307B1C" w:rsidP="003B4C4B">
            <w:r w:rsidRPr="00E77BBC">
              <w:rPr>
                <w:rFonts w:ascii="Calibri" w:eastAsia="Calibri" w:hAnsi="Calibri" w:cs="Calibri"/>
                <w:sz w:val="18"/>
                <w:szCs w:val="18"/>
              </w:rPr>
              <w:t>From the perspective of both being learners and teachers, insights into participants’ stories and experiences provided rich information on what supported them, and what thwarted them practically and emotionally during their teacher training and teaching work. This new knowledge can inform universities, occupational health departments and managerial staff that students and staff as adults require a</w:t>
            </w:r>
            <w:r w:rsidR="005356D7" w:rsidRPr="00E77BBC">
              <w:rPr>
                <w:rFonts w:ascii="Calibri" w:eastAsia="Calibri" w:hAnsi="Calibri" w:cs="Calibri"/>
                <w:sz w:val="18"/>
                <w:szCs w:val="18"/>
              </w:rPr>
              <w:t>n emotionally</w:t>
            </w:r>
            <w:r w:rsidRPr="00E77BBC">
              <w:rPr>
                <w:rFonts w:ascii="Calibri" w:eastAsia="Calibri" w:hAnsi="Calibri" w:cs="Calibri"/>
                <w:sz w:val="18"/>
                <w:szCs w:val="18"/>
              </w:rPr>
              <w:t xml:space="preserve"> </w:t>
            </w:r>
            <w:r w:rsidR="005356D7" w:rsidRPr="00E77BBC">
              <w:rPr>
                <w:rFonts w:ascii="Calibri" w:eastAsia="Calibri" w:hAnsi="Calibri" w:cs="Calibri"/>
                <w:sz w:val="18"/>
                <w:szCs w:val="18"/>
              </w:rPr>
              <w:t xml:space="preserve">supportive </w:t>
            </w:r>
            <w:r w:rsidRPr="00E77BBC">
              <w:rPr>
                <w:rFonts w:ascii="Calibri" w:eastAsia="Calibri" w:hAnsi="Calibri" w:cs="Calibri"/>
                <w:sz w:val="18"/>
                <w:szCs w:val="18"/>
              </w:rPr>
              <w:t>culture</w:t>
            </w:r>
            <w:r w:rsidR="005356D7" w:rsidRPr="00E77BBC">
              <w:rPr>
                <w:rFonts w:ascii="Calibri" w:eastAsia="Calibri" w:hAnsi="Calibri" w:cs="Calibri"/>
                <w:sz w:val="18"/>
                <w:szCs w:val="18"/>
              </w:rPr>
              <w:t xml:space="preserve">. The findings </w:t>
            </w:r>
            <w:r w:rsidRPr="00E77BBC">
              <w:rPr>
                <w:rFonts w:ascii="Calibri" w:eastAsia="Calibri" w:hAnsi="Calibri" w:cs="Calibri"/>
                <w:sz w:val="18"/>
                <w:szCs w:val="18"/>
              </w:rPr>
              <w:t>could aid, inform and drive more inclusive practice</w:t>
            </w:r>
            <w:r w:rsidR="005356D7" w:rsidRPr="00E77BBC">
              <w:rPr>
                <w:rFonts w:ascii="Calibri" w:eastAsia="Calibri" w:hAnsi="Calibri" w:cs="Calibri"/>
                <w:sz w:val="18"/>
                <w:szCs w:val="18"/>
              </w:rPr>
              <w:t>.</w:t>
            </w:r>
          </w:p>
        </w:tc>
        <w:tc>
          <w:tcPr>
            <w:tcW w:w="3260" w:type="dxa"/>
          </w:tcPr>
          <w:p w14:paraId="2CAC1A55" w14:textId="77777777" w:rsidR="005356D7" w:rsidRPr="00E77BBC" w:rsidRDefault="005356D7" w:rsidP="003B4C4B">
            <w:pPr>
              <w:rPr>
                <w:rFonts w:ascii="Calibri" w:eastAsia="Calibri" w:hAnsi="Calibri" w:cs="Calibri"/>
                <w:sz w:val="18"/>
                <w:szCs w:val="18"/>
              </w:rPr>
            </w:pPr>
          </w:p>
          <w:p w14:paraId="617AFCF4" w14:textId="77777777" w:rsidR="00307B1C" w:rsidRPr="00E77BBC" w:rsidRDefault="00307B1C" w:rsidP="003B4C4B">
            <w:pPr>
              <w:rPr>
                <w:rFonts w:ascii="Calibri" w:eastAsia="Calibri" w:hAnsi="Calibri" w:cs="Calibri"/>
                <w:sz w:val="18"/>
                <w:szCs w:val="18"/>
              </w:rPr>
            </w:pPr>
            <w:r w:rsidRPr="00E77BBC">
              <w:rPr>
                <w:rFonts w:ascii="Calibri" w:eastAsia="Calibri" w:hAnsi="Calibri" w:cs="Calibri"/>
                <w:sz w:val="18"/>
                <w:szCs w:val="18"/>
              </w:rPr>
              <w:t>Teachers teaching on teacher trainings may be opposed to changing their curricula or not believe emotional/psychological support is important</w:t>
            </w:r>
            <w:r w:rsidR="005356D7" w:rsidRPr="00E77BBC">
              <w:rPr>
                <w:rFonts w:ascii="Calibri" w:eastAsia="Calibri" w:hAnsi="Calibri" w:cs="Calibri"/>
                <w:sz w:val="18"/>
                <w:szCs w:val="18"/>
              </w:rPr>
              <w:t>.</w:t>
            </w:r>
          </w:p>
          <w:p w14:paraId="2CF74C83" w14:textId="77777777" w:rsidR="005356D7" w:rsidRPr="00E77BBC" w:rsidRDefault="005356D7" w:rsidP="003B4C4B">
            <w:pPr>
              <w:rPr>
                <w:rFonts w:ascii="Calibri" w:eastAsia="Calibri" w:hAnsi="Calibri" w:cs="Calibri"/>
                <w:sz w:val="18"/>
                <w:szCs w:val="18"/>
              </w:rPr>
            </w:pPr>
          </w:p>
          <w:p w14:paraId="263EF75D" w14:textId="77777777" w:rsidR="005356D7" w:rsidRPr="00E77BBC" w:rsidRDefault="005356D7" w:rsidP="003B4C4B">
            <w:pPr>
              <w:rPr>
                <w:rFonts w:ascii="Calibri" w:eastAsia="Calibri" w:hAnsi="Calibri" w:cs="Calibri"/>
                <w:sz w:val="18"/>
                <w:szCs w:val="18"/>
              </w:rPr>
            </w:pPr>
          </w:p>
          <w:p w14:paraId="58A45FFC" w14:textId="77777777" w:rsidR="00307B1C" w:rsidRPr="00E77BBC" w:rsidRDefault="00307B1C" w:rsidP="003B4C4B">
            <w:pPr>
              <w:rPr>
                <w:rFonts w:ascii="Calibri" w:eastAsia="Calibri" w:hAnsi="Calibri" w:cs="Calibri"/>
                <w:sz w:val="18"/>
                <w:szCs w:val="18"/>
              </w:rPr>
            </w:pPr>
            <w:r w:rsidRPr="00E77BBC">
              <w:rPr>
                <w:rFonts w:ascii="Calibri" w:eastAsia="Calibri" w:hAnsi="Calibri" w:cs="Calibri"/>
                <w:sz w:val="18"/>
                <w:szCs w:val="18"/>
              </w:rPr>
              <w:t>Externally sourced supervisors may be mistrusted and funding for such a service may not be available. Teachers may mistrust a pedagogic supervision offering</w:t>
            </w:r>
            <w:r w:rsidR="005356D7" w:rsidRPr="00E77BBC">
              <w:rPr>
                <w:rFonts w:ascii="Calibri" w:eastAsia="Calibri" w:hAnsi="Calibri" w:cs="Calibri"/>
                <w:sz w:val="18"/>
                <w:szCs w:val="18"/>
              </w:rPr>
              <w:t xml:space="preserve"> </w:t>
            </w:r>
            <w:r w:rsidRPr="00E77BBC">
              <w:rPr>
                <w:rFonts w:ascii="Calibri" w:eastAsia="Calibri" w:hAnsi="Calibri" w:cs="Calibri"/>
                <w:sz w:val="18"/>
                <w:szCs w:val="18"/>
              </w:rPr>
              <w:t>and may see this as yet another demand on their time</w:t>
            </w:r>
            <w:r w:rsidR="005356D7" w:rsidRPr="00E77BBC">
              <w:rPr>
                <w:rFonts w:ascii="Calibri" w:eastAsia="Calibri" w:hAnsi="Calibri" w:cs="Calibri"/>
                <w:sz w:val="18"/>
                <w:szCs w:val="18"/>
              </w:rPr>
              <w:t xml:space="preserve">. </w:t>
            </w:r>
            <w:r w:rsidRPr="00E77BBC">
              <w:rPr>
                <w:rFonts w:ascii="Calibri" w:eastAsia="Calibri" w:hAnsi="Calibri" w:cs="Calibri"/>
                <w:sz w:val="18"/>
                <w:szCs w:val="18"/>
              </w:rPr>
              <w:t>A learning support group may be welcomed by some but also may be viewed as an affirmation of lack and struggle which may prevent some academics from taking part</w:t>
            </w:r>
            <w:r w:rsidR="005356D7" w:rsidRPr="00E77BBC">
              <w:rPr>
                <w:rFonts w:ascii="Calibri" w:eastAsia="Calibri" w:hAnsi="Calibri" w:cs="Calibri"/>
                <w:sz w:val="18"/>
                <w:szCs w:val="18"/>
              </w:rPr>
              <w:t>.</w:t>
            </w:r>
          </w:p>
          <w:p w14:paraId="53CA89F7" w14:textId="77777777" w:rsidR="005356D7" w:rsidRDefault="005356D7" w:rsidP="003B4C4B">
            <w:pPr>
              <w:rPr>
                <w:rFonts w:ascii="Calibri" w:eastAsia="Calibri" w:hAnsi="Calibri" w:cs="Calibri"/>
                <w:sz w:val="18"/>
                <w:szCs w:val="18"/>
              </w:rPr>
            </w:pPr>
          </w:p>
          <w:p w14:paraId="60164D8F" w14:textId="77777777" w:rsidR="007E6D98" w:rsidRDefault="007E6D98" w:rsidP="003B4C4B">
            <w:pPr>
              <w:rPr>
                <w:rFonts w:ascii="Calibri" w:eastAsia="Calibri" w:hAnsi="Calibri" w:cs="Calibri"/>
                <w:sz w:val="18"/>
                <w:szCs w:val="18"/>
              </w:rPr>
            </w:pPr>
          </w:p>
          <w:p w14:paraId="1C1B9F93" w14:textId="695D9904" w:rsidR="005356D7" w:rsidRDefault="00307B1C" w:rsidP="003B4C4B">
            <w:r w:rsidRPr="00E77BBC">
              <w:rPr>
                <w:rFonts w:ascii="Calibri" w:eastAsia="Calibri" w:hAnsi="Calibri" w:cs="Calibri"/>
                <w:sz w:val="18"/>
                <w:szCs w:val="18"/>
              </w:rPr>
              <w:t xml:space="preserve">Promoting the idea of self-care could be seen as infantilising and cynically received by HE teachers who believe their employers may be avoiding taking responsibility for the welfare of their teaching staff. To introduce an ethic of care beyond current systemic offerings where systemic politics and neoliberal business models reign, a concept of holding will find itself in a diaspora and under scrutiny by the application of a prejudicial filter. This prejudicial filter can be applied to psychological safety and </w:t>
            </w:r>
            <w:r w:rsidR="0041435F">
              <w:rPr>
                <w:rFonts w:ascii="Calibri" w:eastAsia="Calibri" w:hAnsi="Calibri" w:cs="Calibri"/>
                <w:sz w:val="18"/>
                <w:szCs w:val="18"/>
              </w:rPr>
              <w:t>a</w:t>
            </w:r>
            <w:r w:rsidRPr="00E77BBC">
              <w:rPr>
                <w:rFonts w:ascii="Calibri" w:eastAsia="Calibri" w:hAnsi="Calibri" w:cs="Calibri"/>
                <w:sz w:val="18"/>
                <w:szCs w:val="18"/>
              </w:rPr>
              <w:t xml:space="preserve"> vulnerability narrative rendering emotional support for teachers in the same diaspora</w:t>
            </w:r>
            <w:r w:rsidR="00F80A93">
              <w:rPr>
                <w:rFonts w:ascii="Calibri" w:eastAsia="Calibri" w:hAnsi="Calibri" w:cs="Calibri"/>
                <w:sz w:val="18"/>
                <w:szCs w:val="18"/>
              </w:rPr>
              <w:t xml:space="preserve">. </w:t>
            </w:r>
            <w:r w:rsidR="00454C78">
              <w:rPr>
                <w:rFonts w:ascii="Calibri" w:eastAsia="Calibri" w:hAnsi="Calibri" w:cs="Calibri"/>
                <w:sz w:val="18"/>
                <w:szCs w:val="18"/>
              </w:rPr>
              <w:t>Support becomes</w:t>
            </w:r>
            <w:r w:rsidRPr="00E77BBC">
              <w:rPr>
                <w:rFonts w:ascii="Calibri" w:eastAsia="Calibri" w:hAnsi="Calibri" w:cs="Calibri"/>
                <w:sz w:val="18"/>
                <w:szCs w:val="18"/>
              </w:rPr>
              <w:t xml:space="preserve"> confined to clandestine self-selected</w:t>
            </w:r>
            <w:r w:rsidR="005A181C">
              <w:rPr>
                <w:rFonts w:ascii="Calibri" w:eastAsia="Calibri" w:hAnsi="Calibri" w:cs="Calibri"/>
                <w:sz w:val="18"/>
                <w:szCs w:val="18"/>
              </w:rPr>
              <w:t xml:space="preserve"> and</w:t>
            </w:r>
            <w:r w:rsidRPr="00E77BBC">
              <w:rPr>
                <w:rFonts w:ascii="Calibri" w:eastAsia="Calibri" w:hAnsi="Calibri" w:cs="Calibri"/>
                <w:sz w:val="18"/>
                <w:szCs w:val="18"/>
              </w:rPr>
              <w:t xml:space="preserve"> self-care methods</w:t>
            </w:r>
            <w:r w:rsidR="005356D7" w:rsidRPr="00E77BBC">
              <w:rPr>
                <w:rFonts w:ascii="Calibri" w:eastAsia="Calibri" w:hAnsi="Calibri" w:cs="Calibri"/>
                <w:sz w:val="18"/>
                <w:szCs w:val="18"/>
              </w:rPr>
              <w:t>.</w:t>
            </w:r>
          </w:p>
        </w:tc>
        <w:tc>
          <w:tcPr>
            <w:tcW w:w="2835" w:type="dxa"/>
          </w:tcPr>
          <w:p w14:paraId="6AC591E2" w14:textId="77777777" w:rsidR="005356D7" w:rsidRDefault="005356D7" w:rsidP="003B4C4B">
            <w:pPr>
              <w:rPr>
                <w:rFonts w:ascii="Calibri" w:hAnsi="Calibri" w:cs="Calibri"/>
                <w:sz w:val="18"/>
                <w:szCs w:val="18"/>
              </w:rPr>
            </w:pPr>
          </w:p>
          <w:p w14:paraId="387A6FE2" w14:textId="07B4B076" w:rsidR="00307B1C" w:rsidRPr="00E77BBC" w:rsidRDefault="00307B1C" w:rsidP="003B4C4B">
            <w:pPr>
              <w:rPr>
                <w:rFonts w:ascii="Calibri" w:hAnsi="Calibri" w:cs="Calibri"/>
                <w:sz w:val="18"/>
                <w:szCs w:val="18"/>
              </w:rPr>
            </w:pPr>
            <w:r w:rsidRPr="00E77BBC">
              <w:rPr>
                <w:rFonts w:ascii="Calibri" w:hAnsi="Calibri" w:cs="Calibri"/>
                <w:sz w:val="18"/>
                <w:szCs w:val="18"/>
              </w:rPr>
              <w:t xml:space="preserve">Consult teachers on their needs through surveys and actualise the output so that teachers are able to trust </w:t>
            </w:r>
            <w:r w:rsidR="00B96FD9">
              <w:rPr>
                <w:rFonts w:ascii="Calibri" w:hAnsi="Calibri" w:cs="Calibri"/>
                <w:sz w:val="18"/>
                <w:szCs w:val="18"/>
              </w:rPr>
              <w:t xml:space="preserve">that </w:t>
            </w:r>
            <w:r w:rsidRPr="00E77BBC">
              <w:rPr>
                <w:rFonts w:ascii="Calibri" w:hAnsi="Calibri" w:cs="Calibri"/>
                <w:sz w:val="18"/>
                <w:szCs w:val="18"/>
              </w:rPr>
              <w:t>their thoughts, feelings and voices are taken seriously</w:t>
            </w:r>
            <w:r w:rsidR="005356D7" w:rsidRPr="00E77BBC">
              <w:rPr>
                <w:rFonts w:ascii="Calibri" w:hAnsi="Calibri" w:cs="Calibri"/>
                <w:sz w:val="18"/>
                <w:szCs w:val="18"/>
              </w:rPr>
              <w:t>.</w:t>
            </w:r>
          </w:p>
          <w:p w14:paraId="4C22F06A" w14:textId="77777777" w:rsidR="005356D7" w:rsidRPr="00E77BBC" w:rsidRDefault="005356D7" w:rsidP="003B4C4B">
            <w:pPr>
              <w:rPr>
                <w:rFonts w:ascii="Calibri" w:hAnsi="Calibri" w:cs="Calibri"/>
                <w:sz w:val="18"/>
                <w:szCs w:val="18"/>
              </w:rPr>
            </w:pPr>
          </w:p>
          <w:p w14:paraId="4987B9F5" w14:textId="77777777" w:rsidR="005356D7" w:rsidRPr="00E77BBC" w:rsidRDefault="005356D7" w:rsidP="003B4C4B">
            <w:pPr>
              <w:rPr>
                <w:rFonts w:ascii="Calibri" w:hAnsi="Calibri" w:cs="Calibri"/>
                <w:sz w:val="18"/>
                <w:szCs w:val="18"/>
              </w:rPr>
            </w:pPr>
          </w:p>
          <w:p w14:paraId="7484D29A" w14:textId="77777777" w:rsidR="00307B1C" w:rsidRPr="00E77BBC" w:rsidRDefault="00307B1C" w:rsidP="003B4C4B">
            <w:pPr>
              <w:rPr>
                <w:rFonts w:ascii="Calibri" w:hAnsi="Calibri" w:cs="Calibri"/>
                <w:sz w:val="18"/>
                <w:szCs w:val="18"/>
              </w:rPr>
            </w:pPr>
            <w:r w:rsidRPr="00E77BBC">
              <w:rPr>
                <w:rFonts w:ascii="Calibri" w:hAnsi="Calibri" w:cs="Calibri"/>
                <w:sz w:val="18"/>
                <w:szCs w:val="18"/>
              </w:rPr>
              <w:t>Model pedagogic holding in teacher training, support provision and management practices</w:t>
            </w:r>
            <w:r w:rsidR="005356D7" w:rsidRPr="00E77BBC">
              <w:rPr>
                <w:rFonts w:ascii="Calibri" w:hAnsi="Calibri" w:cs="Calibri"/>
                <w:sz w:val="18"/>
                <w:szCs w:val="18"/>
              </w:rPr>
              <w:t>.</w:t>
            </w:r>
          </w:p>
          <w:p w14:paraId="269043B3" w14:textId="77777777" w:rsidR="005356D7" w:rsidRPr="00E77BBC" w:rsidRDefault="005356D7" w:rsidP="003B4C4B">
            <w:pPr>
              <w:rPr>
                <w:rFonts w:ascii="Calibri" w:hAnsi="Calibri" w:cs="Calibri"/>
                <w:sz w:val="18"/>
                <w:szCs w:val="18"/>
              </w:rPr>
            </w:pPr>
          </w:p>
          <w:p w14:paraId="0781F748" w14:textId="77777777" w:rsidR="005356D7" w:rsidRPr="00E77BBC" w:rsidRDefault="005356D7" w:rsidP="003B4C4B">
            <w:pPr>
              <w:rPr>
                <w:rFonts w:ascii="Calibri" w:hAnsi="Calibri" w:cs="Calibri"/>
                <w:sz w:val="18"/>
                <w:szCs w:val="18"/>
              </w:rPr>
            </w:pPr>
          </w:p>
          <w:p w14:paraId="1FF8430D" w14:textId="77777777" w:rsidR="005356D7" w:rsidRPr="00E77BBC" w:rsidRDefault="005356D7" w:rsidP="003B4C4B">
            <w:pPr>
              <w:rPr>
                <w:rFonts w:ascii="Calibri" w:hAnsi="Calibri" w:cs="Calibri"/>
                <w:sz w:val="18"/>
                <w:szCs w:val="18"/>
              </w:rPr>
            </w:pPr>
          </w:p>
          <w:p w14:paraId="1230FE8D" w14:textId="77777777" w:rsidR="005356D7" w:rsidRPr="00E77BBC" w:rsidRDefault="005356D7" w:rsidP="003B4C4B">
            <w:pPr>
              <w:rPr>
                <w:rFonts w:ascii="Calibri" w:hAnsi="Calibri" w:cs="Calibri"/>
                <w:sz w:val="18"/>
                <w:szCs w:val="18"/>
              </w:rPr>
            </w:pPr>
          </w:p>
          <w:p w14:paraId="7CA21CDE" w14:textId="77777777" w:rsidR="005356D7" w:rsidRPr="00E77BBC" w:rsidRDefault="005356D7" w:rsidP="003B4C4B">
            <w:pPr>
              <w:rPr>
                <w:rFonts w:ascii="Calibri" w:hAnsi="Calibri" w:cs="Calibri"/>
                <w:sz w:val="18"/>
                <w:szCs w:val="18"/>
              </w:rPr>
            </w:pPr>
          </w:p>
          <w:p w14:paraId="723A72F2" w14:textId="77777777" w:rsidR="005356D7" w:rsidRPr="00E77BBC" w:rsidRDefault="005356D7" w:rsidP="003B4C4B">
            <w:pPr>
              <w:rPr>
                <w:rFonts w:ascii="Calibri" w:hAnsi="Calibri" w:cs="Calibri"/>
                <w:sz w:val="18"/>
                <w:szCs w:val="18"/>
              </w:rPr>
            </w:pPr>
          </w:p>
          <w:p w14:paraId="3FCBCF4C" w14:textId="77777777" w:rsidR="005356D7" w:rsidRPr="00E77BBC" w:rsidRDefault="005356D7" w:rsidP="003B4C4B">
            <w:pPr>
              <w:rPr>
                <w:rFonts w:ascii="Calibri" w:hAnsi="Calibri" w:cs="Calibri"/>
                <w:sz w:val="18"/>
                <w:szCs w:val="18"/>
              </w:rPr>
            </w:pPr>
          </w:p>
          <w:p w14:paraId="08DC6F1A" w14:textId="77777777" w:rsidR="005356D7" w:rsidRDefault="005356D7" w:rsidP="003B4C4B">
            <w:pPr>
              <w:rPr>
                <w:rFonts w:ascii="Calibri" w:hAnsi="Calibri" w:cs="Calibri"/>
                <w:sz w:val="18"/>
                <w:szCs w:val="18"/>
              </w:rPr>
            </w:pPr>
          </w:p>
          <w:p w14:paraId="569D5031" w14:textId="77777777" w:rsidR="005356D7" w:rsidRPr="00E77BBC" w:rsidRDefault="005356D7" w:rsidP="003B4C4B">
            <w:pPr>
              <w:rPr>
                <w:rFonts w:ascii="Calibri" w:hAnsi="Calibri" w:cs="Calibri"/>
                <w:sz w:val="18"/>
                <w:szCs w:val="18"/>
              </w:rPr>
            </w:pPr>
          </w:p>
          <w:p w14:paraId="0B9EFFC8" w14:textId="18431837" w:rsidR="005356D7" w:rsidRPr="00E77BBC" w:rsidRDefault="00307B1C" w:rsidP="003B4C4B">
            <w:pPr>
              <w:rPr>
                <w:rFonts w:ascii="Calibri" w:hAnsi="Calibri" w:cs="Calibri"/>
                <w:sz w:val="18"/>
                <w:szCs w:val="18"/>
              </w:rPr>
            </w:pPr>
            <w:r w:rsidRPr="00E77BBC">
              <w:rPr>
                <w:rFonts w:ascii="Calibri" w:hAnsi="Calibri" w:cs="Calibri"/>
                <w:sz w:val="18"/>
                <w:szCs w:val="18"/>
              </w:rPr>
              <w:t xml:space="preserve">Culture is notoriously difficult to change, and any changes take a long time to </w:t>
            </w:r>
            <w:r w:rsidR="003E15A3">
              <w:rPr>
                <w:rFonts w:ascii="Calibri" w:hAnsi="Calibri" w:cs="Calibri"/>
                <w:sz w:val="18"/>
                <w:szCs w:val="18"/>
              </w:rPr>
              <w:t>embed</w:t>
            </w:r>
            <w:r w:rsidRPr="00E77BBC">
              <w:rPr>
                <w:rFonts w:ascii="Calibri" w:hAnsi="Calibri" w:cs="Calibri"/>
                <w:sz w:val="18"/>
                <w:szCs w:val="18"/>
              </w:rPr>
              <w:t>. To encourage critical dialogue on teacher trainings in safe spaces would require the process being modelled as safe; the teacher-trainers play an important role in this modelling. Theory, literature and scholarship could inform trainee teachers on the importance of well-being and the consequences of not tending to well-being</w:t>
            </w:r>
            <w:r w:rsidR="005356D7" w:rsidRPr="00E77BBC">
              <w:rPr>
                <w:rFonts w:ascii="Calibri" w:hAnsi="Calibri" w:cs="Calibri"/>
                <w:sz w:val="18"/>
                <w:szCs w:val="18"/>
              </w:rPr>
              <w:t>.</w:t>
            </w:r>
          </w:p>
        </w:tc>
      </w:tr>
      <w:tr w:rsidR="005356D7" w14:paraId="5B45EAFF" w14:textId="77777777" w:rsidTr="004B3C7D">
        <w:trPr>
          <w:trHeight w:val="420"/>
        </w:trPr>
        <w:tc>
          <w:tcPr>
            <w:tcW w:w="3114" w:type="dxa"/>
          </w:tcPr>
          <w:p w14:paraId="261B3D18" w14:textId="0475C98E" w:rsidR="005356D7" w:rsidRPr="00E77BBC" w:rsidRDefault="005356D7" w:rsidP="003B4C4B">
            <w:pPr>
              <w:rPr>
                <w:rFonts w:ascii="Calibri" w:hAnsi="Calibri" w:cs="Calibri"/>
                <w:b/>
                <w:bCs/>
                <w:sz w:val="20"/>
                <w:szCs w:val="20"/>
              </w:rPr>
            </w:pPr>
            <w:r w:rsidRPr="00E77BBC">
              <w:rPr>
                <w:rFonts w:ascii="Calibri" w:hAnsi="Calibri" w:cs="Calibri"/>
                <w:b/>
                <w:bCs/>
                <w:sz w:val="20"/>
                <w:szCs w:val="20"/>
              </w:rPr>
              <w:t>Reflective practice: Contributions</w:t>
            </w:r>
          </w:p>
        </w:tc>
        <w:tc>
          <w:tcPr>
            <w:tcW w:w="3260" w:type="dxa"/>
          </w:tcPr>
          <w:p w14:paraId="7E038EE4" w14:textId="77777777" w:rsidR="005356D7" w:rsidRPr="00E77BBC" w:rsidRDefault="005356D7" w:rsidP="003B4C4B">
            <w:pPr>
              <w:rPr>
                <w:rFonts w:ascii="Calibri" w:hAnsi="Calibri" w:cs="Calibri"/>
                <w:sz w:val="20"/>
                <w:szCs w:val="20"/>
              </w:rPr>
            </w:pPr>
            <w:r w:rsidRPr="00E77BBC">
              <w:rPr>
                <w:rFonts w:ascii="Calibri" w:hAnsi="Calibri" w:cs="Calibri"/>
                <w:b/>
                <w:bCs/>
                <w:sz w:val="20"/>
                <w:szCs w:val="20"/>
              </w:rPr>
              <w:t>Reflective practice: Challenges</w:t>
            </w:r>
          </w:p>
        </w:tc>
        <w:tc>
          <w:tcPr>
            <w:tcW w:w="2835" w:type="dxa"/>
          </w:tcPr>
          <w:p w14:paraId="698DC47A" w14:textId="77777777" w:rsidR="005356D7" w:rsidRPr="00E77BBC" w:rsidRDefault="005356D7" w:rsidP="003B4C4B">
            <w:pPr>
              <w:rPr>
                <w:rFonts w:ascii="Calibri" w:hAnsi="Calibri" w:cs="Calibri"/>
                <w:b/>
                <w:bCs/>
                <w:sz w:val="20"/>
                <w:szCs w:val="20"/>
              </w:rPr>
            </w:pPr>
            <w:r w:rsidRPr="00E77BBC">
              <w:rPr>
                <w:rFonts w:ascii="Calibri" w:hAnsi="Calibri" w:cs="Calibri"/>
                <w:b/>
                <w:bCs/>
                <w:sz w:val="20"/>
                <w:szCs w:val="20"/>
              </w:rPr>
              <w:t>Reflective practice: Steps to address challenges</w:t>
            </w:r>
          </w:p>
          <w:p w14:paraId="7EB75BB3" w14:textId="77777777" w:rsidR="005356D7" w:rsidRPr="00E77BBC" w:rsidRDefault="005356D7" w:rsidP="003B4C4B">
            <w:pPr>
              <w:rPr>
                <w:rFonts w:ascii="Calibri" w:hAnsi="Calibri" w:cs="Calibri"/>
                <w:sz w:val="20"/>
                <w:szCs w:val="20"/>
              </w:rPr>
            </w:pPr>
          </w:p>
        </w:tc>
      </w:tr>
      <w:tr w:rsidR="005356D7" w:rsidRPr="00E77BBC" w14:paraId="43C50173" w14:textId="77777777" w:rsidTr="007E6D98">
        <w:tc>
          <w:tcPr>
            <w:tcW w:w="3114" w:type="dxa"/>
          </w:tcPr>
          <w:p w14:paraId="245513FA" w14:textId="77777777" w:rsidR="005356D7" w:rsidRPr="00E77BBC" w:rsidRDefault="005356D7" w:rsidP="003B4C4B">
            <w:pPr>
              <w:rPr>
                <w:rFonts w:ascii="Calibri" w:hAnsi="Calibri" w:cs="Calibri"/>
                <w:sz w:val="18"/>
                <w:szCs w:val="18"/>
              </w:rPr>
            </w:pPr>
          </w:p>
          <w:p w14:paraId="6EEC2167" w14:textId="77777777" w:rsidR="00307B1C" w:rsidRPr="00E77BBC" w:rsidRDefault="00307B1C" w:rsidP="003B4C4B">
            <w:pPr>
              <w:rPr>
                <w:rFonts w:ascii="Calibri" w:hAnsi="Calibri" w:cs="Calibri"/>
                <w:sz w:val="18"/>
                <w:szCs w:val="18"/>
              </w:rPr>
            </w:pPr>
            <w:r w:rsidRPr="00E77BBC">
              <w:rPr>
                <w:rFonts w:ascii="Calibri" w:hAnsi="Calibri" w:cs="Calibri"/>
                <w:sz w:val="18"/>
                <w:szCs w:val="18"/>
              </w:rPr>
              <w:t>Reflective practice as a concept, procedural tool and support mechanism in the HE teacher’s toolkit is an asset however, to be of more intrinsic value and to be realised, the process of reflective practice requires clarification and the conditions safe for its instigation. By identifying the facilitating environment essential to the operationalising of reflective practice, future educators might pay more attention to identifying people and spaces that provide safe conditions for reflection</w:t>
            </w:r>
            <w:r w:rsidR="005356D7" w:rsidRPr="00E77BBC">
              <w:rPr>
                <w:rFonts w:ascii="Calibri" w:hAnsi="Calibri" w:cs="Calibri"/>
                <w:sz w:val="18"/>
                <w:szCs w:val="18"/>
              </w:rPr>
              <w:t>.</w:t>
            </w:r>
          </w:p>
          <w:p w14:paraId="73CA6679" w14:textId="77777777" w:rsidR="005356D7" w:rsidRPr="00E77BBC" w:rsidRDefault="005356D7" w:rsidP="003B4C4B">
            <w:pPr>
              <w:rPr>
                <w:rFonts w:ascii="Calibri" w:hAnsi="Calibri" w:cs="Calibri"/>
                <w:sz w:val="18"/>
                <w:szCs w:val="18"/>
              </w:rPr>
            </w:pPr>
          </w:p>
        </w:tc>
        <w:tc>
          <w:tcPr>
            <w:tcW w:w="3260" w:type="dxa"/>
          </w:tcPr>
          <w:p w14:paraId="36CA2C1D" w14:textId="77777777" w:rsidR="005356D7" w:rsidRDefault="005356D7" w:rsidP="003B4C4B">
            <w:pPr>
              <w:rPr>
                <w:rFonts w:ascii="Calibri" w:hAnsi="Calibri" w:cs="Calibri"/>
                <w:sz w:val="18"/>
                <w:szCs w:val="18"/>
              </w:rPr>
            </w:pPr>
          </w:p>
          <w:p w14:paraId="050B2DA1" w14:textId="77777777" w:rsidR="005356D7" w:rsidRPr="00E77BBC" w:rsidRDefault="00307B1C" w:rsidP="003B4C4B">
            <w:pPr>
              <w:rPr>
                <w:rFonts w:ascii="Calibri" w:hAnsi="Calibri" w:cs="Calibri"/>
                <w:sz w:val="18"/>
                <w:szCs w:val="18"/>
              </w:rPr>
            </w:pPr>
            <w:r w:rsidRPr="00E77BBC">
              <w:rPr>
                <w:rFonts w:ascii="Calibri" w:hAnsi="Calibri" w:cs="Calibri"/>
                <w:sz w:val="18"/>
                <w:szCs w:val="18"/>
              </w:rPr>
              <w:t>There are no measurable benefits to the teacher and teaching process. Reflection might be regarded as too soft a skill for subjects where hard facts, scientific knowledge and objective evidence are required. Academics are time poor, and reflective practice that has no tangible benefits for the reflector and affords no fiscal advantage to the system could be regarded as too soft a skill and practice. Beyond having a negligible purpose, reflection is a complex process to engage in, can result in vulnerability and some teachers will be resistant or not know “how” to reflect</w:t>
            </w:r>
            <w:r w:rsidR="005356D7">
              <w:rPr>
                <w:rFonts w:ascii="Calibri" w:hAnsi="Calibri" w:cs="Calibri"/>
                <w:sz w:val="18"/>
                <w:szCs w:val="18"/>
              </w:rPr>
              <w:t>.</w:t>
            </w:r>
          </w:p>
        </w:tc>
        <w:tc>
          <w:tcPr>
            <w:tcW w:w="2835" w:type="dxa"/>
          </w:tcPr>
          <w:p w14:paraId="18E22BD8" w14:textId="77777777" w:rsidR="005356D7" w:rsidRDefault="005356D7" w:rsidP="003B4C4B">
            <w:pPr>
              <w:rPr>
                <w:rFonts w:ascii="Calibri" w:hAnsi="Calibri" w:cs="Calibri"/>
                <w:sz w:val="18"/>
                <w:szCs w:val="18"/>
              </w:rPr>
            </w:pPr>
          </w:p>
          <w:p w14:paraId="37B8B358" w14:textId="77777777" w:rsidR="005356D7" w:rsidRPr="00E77BBC" w:rsidRDefault="00307B1C" w:rsidP="003B4C4B">
            <w:pPr>
              <w:rPr>
                <w:rFonts w:ascii="Calibri" w:hAnsi="Calibri" w:cs="Calibri"/>
                <w:sz w:val="18"/>
                <w:szCs w:val="18"/>
              </w:rPr>
            </w:pPr>
            <w:r w:rsidRPr="00E77BBC">
              <w:rPr>
                <w:rFonts w:ascii="Calibri" w:hAnsi="Calibri" w:cs="Calibri"/>
                <w:sz w:val="18"/>
                <w:szCs w:val="18"/>
              </w:rPr>
              <w:t>Encouraging self-selected support groups at the start of teacher trainings and encourage the process of reflection amongst teachers by providing them the designated time and space for this activity. Introduce the idea, practice and application of a framework for reflective practice. Employ external supervisors, a growing field in tertiary education, to provide dedicated pedagogic holding sessions as a continuum</w:t>
            </w:r>
            <w:r w:rsidR="005356D7" w:rsidRPr="00E77BBC">
              <w:rPr>
                <w:rFonts w:ascii="Calibri" w:hAnsi="Calibri" w:cs="Calibri"/>
                <w:sz w:val="18"/>
                <w:szCs w:val="18"/>
              </w:rPr>
              <w:t>.</w:t>
            </w:r>
          </w:p>
        </w:tc>
      </w:tr>
    </w:tbl>
    <w:p w14:paraId="549BB842" w14:textId="2C077BFB" w:rsidR="00AA75A1" w:rsidRPr="007A1E7A" w:rsidRDefault="00AA75A1" w:rsidP="0018596B">
      <w:pPr>
        <w:rPr>
          <w:rFonts w:ascii="Calibri" w:hAnsi="Calibri" w:cs="Calibri"/>
          <w:b/>
          <w:bCs/>
          <w:sz w:val="24"/>
          <w:szCs w:val="24"/>
        </w:rPr>
      </w:pPr>
    </w:p>
    <w:p w14:paraId="1873209C" w14:textId="77777777" w:rsidR="00C957F5" w:rsidRDefault="00AA75A1" w:rsidP="001B1224">
      <w:pPr>
        <w:spacing w:line="360" w:lineRule="auto"/>
        <w:rPr>
          <w:rFonts w:ascii="Calibri" w:hAnsi="Calibri" w:cs="Calibri"/>
          <w:sz w:val="24"/>
          <w:szCs w:val="24"/>
        </w:rPr>
      </w:pPr>
      <w:r>
        <w:rPr>
          <w:rFonts w:ascii="Calibri" w:hAnsi="Calibri" w:cs="Calibri"/>
          <w:sz w:val="24"/>
          <w:szCs w:val="24"/>
        </w:rPr>
        <w:lastRenderedPageBreak/>
        <w:t>P</w:t>
      </w:r>
      <w:r w:rsidRPr="00470514">
        <w:rPr>
          <w:rFonts w:ascii="Calibri" w:hAnsi="Calibri" w:cs="Calibri"/>
          <w:sz w:val="24"/>
          <w:szCs w:val="24"/>
        </w:rPr>
        <w:t>otential challenges to th</w:t>
      </w:r>
      <w:r>
        <w:rPr>
          <w:rFonts w:ascii="Calibri" w:hAnsi="Calibri" w:cs="Calibri"/>
          <w:sz w:val="24"/>
          <w:szCs w:val="24"/>
        </w:rPr>
        <w:t xml:space="preserve">is study’s </w:t>
      </w:r>
      <w:r w:rsidRPr="00470514">
        <w:rPr>
          <w:rFonts w:ascii="Calibri" w:hAnsi="Calibri" w:cs="Calibri"/>
          <w:sz w:val="24"/>
          <w:szCs w:val="24"/>
        </w:rPr>
        <w:t xml:space="preserve">contributions </w:t>
      </w:r>
      <w:r>
        <w:rPr>
          <w:rFonts w:ascii="Calibri" w:hAnsi="Calibri" w:cs="Calibri"/>
          <w:sz w:val="24"/>
          <w:szCs w:val="24"/>
        </w:rPr>
        <w:t>highlight</w:t>
      </w:r>
      <w:r w:rsidRPr="00470514">
        <w:rPr>
          <w:rFonts w:ascii="Calibri" w:hAnsi="Calibri" w:cs="Calibri"/>
          <w:sz w:val="24"/>
          <w:szCs w:val="24"/>
        </w:rPr>
        <w:t xml:space="preserve"> the need for </w:t>
      </w:r>
      <w:r>
        <w:rPr>
          <w:rFonts w:ascii="Calibri" w:hAnsi="Calibri" w:cs="Calibri"/>
          <w:sz w:val="24"/>
          <w:szCs w:val="24"/>
        </w:rPr>
        <w:t xml:space="preserve">carefully considered </w:t>
      </w:r>
      <w:r w:rsidRPr="00470514">
        <w:rPr>
          <w:rFonts w:ascii="Calibri" w:hAnsi="Calibri" w:cs="Calibri"/>
          <w:sz w:val="24"/>
          <w:szCs w:val="24"/>
        </w:rPr>
        <w:t>theoretical assemblages</w:t>
      </w:r>
      <w:r>
        <w:rPr>
          <w:rFonts w:ascii="Calibri" w:hAnsi="Calibri" w:cs="Calibri"/>
          <w:sz w:val="24"/>
          <w:szCs w:val="24"/>
        </w:rPr>
        <w:t xml:space="preserve"> and for further </w:t>
      </w:r>
      <w:r w:rsidRPr="00470514">
        <w:rPr>
          <w:rFonts w:ascii="Calibri" w:hAnsi="Calibri" w:cs="Calibri"/>
          <w:sz w:val="24"/>
          <w:szCs w:val="24"/>
        </w:rPr>
        <w:t>interdisciplinary forms of enquiry into teachers’ and organisations’ understanding of support and well-being of their employees’ mental health.</w:t>
      </w:r>
      <w:r>
        <w:rPr>
          <w:rFonts w:ascii="Calibri" w:hAnsi="Calibri" w:cs="Calibri"/>
          <w:sz w:val="24"/>
          <w:szCs w:val="24"/>
        </w:rPr>
        <w:t xml:space="preserve"> Well</w:t>
      </w:r>
      <w:r w:rsidR="00A87B18">
        <w:rPr>
          <w:rFonts w:ascii="Calibri" w:hAnsi="Calibri" w:cs="Calibri"/>
          <w:sz w:val="24"/>
          <w:szCs w:val="24"/>
        </w:rPr>
        <w:t>-</w:t>
      </w:r>
      <w:r>
        <w:rPr>
          <w:rFonts w:ascii="Calibri" w:hAnsi="Calibri" w:cs="Calibri"/>
          <w:sz w:val="24"/>
          <w:szCs w:val="24"/>
        </w:rPr>
        <w:t>being preparedness in teacher trainings, reflective practice and the concept of holding are not being proposed as a panacea for all ills in the teaching profession, however,</w:t>
      </w:r>
      <w:r w:rsidRPr="00470514">
        <w:rPr>
          <w:rFonts w:ascii="Calibri" w:hAnsi="Calibri" w:cs="Calibri"/>
          <w:sz w:val="24"/>
          <w:szCs w:val="24"/>
        </w:rPr>
        <w:t xml:space="preserve"> th</w:t>
      </w:r>
      <w:r>
        <w:rPr>
          <w:rFonts w:ascii="Calibri" w:hAnsi="Calibri" w:cs="Calibri"/>
          <w:sz w:val="24"/>
          <w:szCs w:val="24"/>
        </w:rPr>
        <w:t xml:space="preserve">is </w:t>
      </w:r>
      <w:r w:rsidRPr="00470514">
        <w:rPr>
          <w:rFonts w:ascii="Calibri" w:hAnsi="Calibri" w:cs="Calibri"/>
          <w:sz w:val="24"/>
          <w:szCs w:val="24"/>
        </w:rPr>
        <w:t xml:space="preserve">research </w:t>
      </w:r>
      <w:r>
        <w:rPr>
          <w:rFonts w:ascii="Calibri" w:hAnsi="Calibri" w:cs="Calibri"/>
          <w:sz w:val="24"/>
          <w:szCs w:val="24"/>
        </w:rPr>
        <w:t>provides</w:t>
      </w:r>
      <w:r w:rsidRPr="00470514">
        <w:rPr>
          <w:rFonts w:ascii="Calibri" w:hAnsi="Calibri" w:cs="Calibri"/>
          <w:sz w:val="24"/>
          <w:szCs w:val="24"/>
        </w:rPr>
        <w:t xml:space="preserve"> </w:t>
      </w:r>
      <w:r>
        <w:rPr>
          <w:rFonts w:ascii="Calibri" w:hAnsi="Calibri" w:cs="Calibri"/>
          <w:sz w:val="24"/>
          <w:szCs w:val="24"/>
        </w:rPr>
        <w:t xml:space="preserve">both a </w:t>
      </w:r>
      <w:r w:rsidRPr="00470514">
        <w:rPr>
          <w:rFonts w:ascii="Calibri" w:hAnsi="Calibri" w:cs="Calibri"/>
          <w:sz w:val="24"/>
          <w:szCs w:val="24"/>
        </w:rPr>
        <w:t xml:space="preserve">foundational stone and springboard from which these areas </w:t>
      </w:r>
      <w:r>
        <w:rPr>
          <w:rFonts w:ascii="Calibri" w:hAnsi="Calibri" w:cs="Calibri"/>
          <w:sz w:val="24"/>
          <w:szCs w:val="24"/>
        </w:rPr>
        <w:t xml:space="preserve">could </w:t>
      </w:r>
      <w:r w:rsidRPr="00470514">
        <w:rPr>
          <w:rFonts w:ascii="Calibri" w:hAnsi="Calibri" w:cs="Calibri"/>
          <w:sz w:val="24"/>
          <w:szCs w:val="24"/>
        </w:rPr>
        <w:t>be developed</w:t>
      </w:r>
      <w:r w:rsidR="00D26092">
        <w:rPr>
          <w:rFonts w:ascii="Calibri" w:hAnsi="Calibri" w:cs="Calibri"/>
          <w:sz w:val="24"/>
          <w:szCs w:val="24"/>
        </w:rPr>
        <w:t>, particularly</w:t>
      </w:r>
      <w:r w:rsidR="00E7193A">
        <w:rPr>
          <w:rFonts w:ascii="Calibri" w:hAnsi="Calibri" w:cs="Calibri"/>
          <w:sz w:val="24"/>
          <w:szCs w:val="24"/>
        </w:rPr>
        <w:t xml:space="preserve"> in initial teacher </w:t>
      </w:r>
      <w:r w:rsidR="00CA7662">
        <w:rPr>
          <w:rFonts w:ascii="Calibri" w:hAnsi="Calibri" w:cs="Calibri"/>
          <w:sz w:val="24"/>
          <w:szCs w:val="24"/>
        </w:rPr>
        <w:t>trainings.</w:t>
      </w:r>
      <w:r>
        <w:rPr>
          <w:rFonts w:ascii="Calibri" w:hAnsi="Calibri" w:cs="Calibri"/>
          <w:sz w:val="24"/>
          <w:szCs w:val="24"/>
        </w:rPr>
        <w:t xml:space="preserve"> </w:t>
      </w:r>
    </w:p>
    <w:p w14:paraId="20B0A51B" w14:textId="19E244B9" w:rsidR="007E1C6C" w:rsidRPr="001B1224" w:rsidRDefault="00AA75A1" w:rsidP="001B1224">
      <w:pPr>
        <w:spacing w:line="360" w:lineRule="auto"/>
        <w:rPr>
          <w:rFonts w:ascii="Calibri" w:hAnsi="Calibri" w:cs="Calibri"/>
          <w:sz w:val="24"/>
          <w:szCs w:val="24"/>
        </w:rPr>
      </w:pPr>
      <w:r>
        <w:rPr>
          <w:rFonts w:ascii="Calibri" w:hAnsi="Calibri" w:cs="Calibri"/>
          <w:sz w:val="24"/>
          <w:szCs w:val="24"/>
        </w:rPr>
        <w:t>This study is not seeking the establishment of a “therapeutic university” (</w:t>
      </w:r>
      <w:r w:rsidRPr="00557323">
        <w:rPr>
          <w:rFonts w:ascii="Calibri" w:eastAsia="Calibri" w:hAnsi="Calibri" w:cs="Times New Roman"/>
          <w:sz w:val="24"/>
          <w:szCs w:val="24"/>
        </w:rPr>
        <w:t>Hermanowicz</w:t>
      </w:r>
      <w:r>
        <w:rPr>
          <w:rFonts w:ascii="Calibri" w:eastAsia="Calibri" w:hAnsi="Calibri" w:cs="Times New Roman"/>
          <w:sz w:val="24"/>
          <w:szCs w:val="24"/>
        </w:rPr>
        <w:t>, 2024, p. 506</w:t>
      </w:r>
      <w:r>
        <w:rPr>
          <w:rFonts w:ascii="Calibri" w:hAnsi="Calibri" w:cs="Calibri"/>
          <w:sz w:val="24"/>
          <w:szCs w:val="24"/>
        </w:rPr>
        <w:t>)</w:t>
      </w:r>
      <w:bookmarkStart w:id="93" w:name="_Hlk203396792"/>
      <w:r>
        <w:rPr>
          <w:rFonts w:ascii="Calibri" w:hAnsi="Calibri" w:cs="Calibri"/>
          <w:sz w:val="24"/>
          <w:szCs w:val="24"/>
        </w:rPr>
        <w:t xml:space="preserve"> but illustrates that a more emotion-focussed</w:t>
      </w:r>
      <w:bookmarkEnd w:id="93"/>
      <w:r>
        <w:rPr>
          <w:rFonts w:ascii="Calibri" w:hAnsi="Calibri" w:cs="Calibri"/>
          <w:sz w:val="24"/>
          <w:szCs w:val="24"/>
        </w:rPr>
        <w:t xml:space="preserve"> and inclusive </w:t>
      </w:r>
      <w:r>
        <w:rPr>
          <w:rFonts w:ascii="Calibri" w:hAnsi="Calibri" w:cs="Calibri"/>
          <w:sz w:val="24"/>
          <w:szCs w:val="24"/>
          <w:lang w:val="en-US"/>
        </w:rPr>
        <w:t xml:space="preserve">provision for teacher support is required in HE establishments and </w:t>
      </w:r>
      <w:r>
        <w:rPr>
          <w:rFonts w:ascii="Calibri" w:hAnsi="Calibri" w:cs="Calibri"/>
          <w:sz w:val="24"/>
          <w:szCs w:val="24"/>
        </w:rPr>
        <w:t xml:space="preserve">prompts reflections on </w:t>
      </w:r>
      <w:r w:rsidRPr="00460D3B">
        <w:rPr>
          <w:rFonts w:ascii="Calibri" w:hAnsi="Calibri" w:cs="Calibri"/>
          <w:sz w:val="24"/>
          <w:szCs w:val="24"/>
        </w:rPr>
        <w:t>an ethic of care</w:t>
      </w:r>
      <w:r w:rsidR="004079B7">
        <w:rPr>
          <w:rFonts w:ascii="Calibri" w:hAnsi="Calibri" w:cs="Calibri"/>
          <w:sz w:val="24"/>
          <w:szCs w:val="24"/>
        </w:rPr>
        <w:t xml:space="preserve"> (Noddings, 2002)</w:t>
      </w:r>
      <w:r w:rsidRPr="00460D3B">
        <w:rPr>
          <w:rFonts w:ascii="Calibri" w:hAnsi="Calibri" w:cs="Calibri"/>
          <w:sz w:val="24"/>
          <w:szCs w:val="24"/>
        </w:rPr>
        <w:t xml:space="preserve"> for teachers. </w:t>
      </w:r>
      <w:r w:rsidRPr="00D951FF">
        <w:rPr>
          <w:rFonts w:ascii="Calibri" w:hAnsi="Calibri" w:cs="Calibri"/>
          <w:sz w:val="24"/>
          <w:szCs w:val="24"/>
        </w:rPr>
        <w:t xml:space="preserve">The next section puts forward </w:t>
      </w:r>
      <w:r>
        <w:rPr>
          <w:rFonts w:ascii="Calibri" w:hAnsi="Calibri" w:cs="Calibri"/>
          <w:sz w:val="24"/>
          <w:szCs w:val="24"/>
        </w:rPr>
        <w:t>suggestions</w:t>
      </w:r>
      <w:r w:rsidRPr="00D951FF">
        <w:rPr>
          <w:rFonts w:ascii="Calibri" w:hAnsi="Calibri" w:cs="Calibri"/>
          <w:sz w:val="24"/>
          <w:szCs w:val="24"/>
        </w:rPr>
        <w:t xml:space="preserve"> for </w:t>
      </w:r>
      <w:r>
        <w:rPr>
          <w:rFonts w:ascii="Calibri" w:hAnsi="Calibri" w:cs="Calibri"/>
          <w:sz w:val="24"/>
          <w:szCs w:val="24"/>
        </w:rPr>
        <w:t>the</w:t>
      </w:r>
      <w:r w:rsidR="00F5422F">
        <w:rPr>
          <w:rFonts w:ascii="Calibri" w:hAnsi="Calibri" w:cs="Calibri"/>
          <w:sz w:val="24"/>
          <w:szCs w:val="24"/>
        </w:rPr>
        <w:t xml:space="preserve"> </w:t>
      </w:r>
      <w:r>
        <w:rPr>
          <w:rFonts w:ascii="Calibri" w:hAnsi="Calibri" w:cs="Calibri"/>
          <w:sz w:val="24"/>
          <w:szCs w:val="24"/>
        </w:rPr>
        <w:t>application</w:t>
      </w:r>
      <w:r w:rsidR="00F5422F">
        <w:rPr>
          <w:rFonts w:ascii="Calibri" w:hAnsi="Calibri" w:cs="Calibri"/>
          <w:sz w:val="24"/>
          <w:szCs w:val="24"/>
        </w:rPr>
        <w:t xml:space="preserve"> of broader recommendations</w:t>
      </w:r>
      <w:r w:rsidR="00AF47BF">
        <w:rPr>
          <w:rFonts w:ascii="Calibri" w:hAnsi="Calibri" w:cs="Calibri"/>
          <w:sz w:val="24"/>
          <w:szCs w:val="24"/>
        </w:rPr>
        <w:t>.</w:t>
      </w:r>
    </w:p>
    <w:p w14:paraId="7ECC2DC7" w14:textId="23E198D3" w:rsidR="00AA75A1" w:rsidRPr="003A3AE5" w:rsidRDefault="00AA75A1" w:rsidP="003A3AE5">
      <w:pPr>
        <w:rPr>
          <w:rFonts w:ascii="Calibri" w:hAnsi="Calibri" w:cs="Calibri"/>
          <w:b/>
          <w:bCs/>
          <w:sz w:val="24"/>
          <w:szCs w:val="24"/>
        </w:rPr>
      </w:pPr>
      <w:r w:rsidRPr="003A3AE5">
        <w:rPr>
          <w:rFonts w:ascii="Calibri" w:hAnsi="Calibri" w:cs="Calibri"/>
          <w:b/>
          <w:bCs/>
          <w:sz w:val="24"/>
          <w:szCs w:val="24"/>
          <w:lang w:val="en-US"/>
        </w:rPr>
        <w:t xml:space="preserve">Application </w:t>
      </w:r>
    </w:p>
    <w:p w14:paraId="7A051CCE" w14:textId="6F61AE94" w:rsidR="00AA75A1" w:rsidRDefault="00AA75A1" w:rsidP="00463552">
      <w:pPr>
        <w:spacing w:line="360" w:lineRule="auto"/>
        <w:rPr>
          <w:rFonts w:ascii="Calibri" w:hAnsi="Calibri" w:cs="Calibri"/>
          <w:sz w:val="24"/>
          <w:szCs w:val="24"/>
        </w:rPr>
      </w:pPr>
      <w:r>
        <w:rPr>
          <w:rFonts w:ascii="Calibri" w:hAnsi="Calibri" w:cs="Calibri"/>
          <w:sz w:val="24"/>
          <w:szCs w:val="24"/>
        </w:rPr>
        <w:t>T</w:t>
      </w:r>
      <w:r w:rsidRPr="00C154C9">
        <w:rPr>
          <w:rFonts w:ascii="Calibri" w:hAnsi="Calibri" w:cs="Calibri"/>
          <w:sz w:val="24"/>
          <w:szCs w:val="24"/>
        </w:rPr>
        <w:t>his section offers a set of useful takeaway points that may be adapted by those working in teacher training and allied professional services</w:t>
      </w:r>
      <w:r>
        <w:rPr>
          <w:rFonts w:ascii="Calibri" w:hAnsi="Calibri" w:cs="Calibri"/>
          <w:sz w:val="24"/>
          <w:szCs w:val="24"/>
        </w:rPr>
        <w:t xml:space="preserve"> as broad </w:t>
      </w:r>
      <w:r w:rsidRPr="00A429E9">
        <w:rPr>
          <w:rFonts w:ascii="Calibri" w:hAnsi="Calibri" w:cs="Calibri"/>
          <w:sz w:val="24"/>
          <w:szCs w:val="24"/>
        </w:rPr>
        <w:t>recommendations for application to future practice</w:t>
      </w:r>
      <w:r>
        <w:rPr>
          <w:rFonts w:ascii="Calibri" w:hAnsi="Calibri" w:cs="Calibri"/>
          <w:sz w:val="24"/>
          <w:szCs w:val="24"/>
        </w:rPr>
        <w:t>.</w:t>
      </w:r>
      <w:r w:rsidRPr="00182246">
        <w:rPr>
          <w:rFonts w:ascii="Calibri" w:hAnsi="Calibri" w:cs="Calibri"/>
          <w:sz w:val="24"/>
          <w:szCs w:val="24"/>
        </w:rPr>
        <w:t xml:space="preserve"> </w:t>
      </w:r>
      <w:r w:rsidRPr="002971A1">
        <w:rPr>
          <w:rFonts w:ascii="Calibri" w:hAnsi="Calibri" w:cs="Calibri"/>
          <w:sz w:val="24"/>
          <w:szCs w:val="24"/>
        </w:rPr>
        <w:t>There is a need for greater consideration of designing teacher trainings to include an awareness of teacher needs and support mechanisms as learners. This same need applies to the scaffolding of reflective practice and to have trainee teachers reflect more upon</w:t>
      </w:r>
      <w:r>
        <w:rPr>
          <w:rFonts w:ascii="Calibri" w:hAnsi="Calibri" w:cs="Calibri"/>
          <w:sz w:val="24"/>
          <w:szCs w:val="24"/>
        </w:rPr>
        <w:t xml:space="preserve"> and</w:t>
      </w:r>
      <w:r w:rsidRPr="002971A1">
        <w:rPr>
          <w:rFonts w:ascii="Calibri" w:hAnsi="Calibri" w:cs="Calibri"/>
          <w:sz w:val="24"/>
          <w:szCs w:val="24"/>
        </w:rPr>
        <w:t xml:space="preserve"> implement self-care elements in their teaching work. </w:t>
      </w:r>
      <w:r w:rsidRPr="002642EA">
        <w:rPr>
          <w:rFonts w:ascii="Calibri" w:hAnsi="Calibri" w:cs="Calibri"/>
          <w:sz w:val="24"/>
          <w:szCs w:val="24"/>
        </w:rPr>
        <w:t xml:space="preserve">Table </w:t>
      </w:r>
      <w:r w:rsidR="00A55EE1">
        <w:rPr>
          <w:rFonts w:ascii="Calibri" w:hAnsi="Calibri" w:cs="Calibri"/>
          <w:sz w:val="24"/>
          <w:szCs w:val="24"/>
        </w:rPr>
        <w:t xml:space="preserve">18 </w:t>
      </w:r>
      <w:r w:rsidR="0009627C">
        <w:rPr>
          <w:rFonts w:ascii="Calibri" w:hAnsi="Calibri" w:cs="Calibri"/>
          <w:sz w:val="24"/>
          <w:szCs w:val="24"/>
        </w:rPr>
        <w:t xml:space="preserve">(p. 216) </w:t>
      </w:r>
      <w:r w:rsidRPr="002642EA">
        <w:rPr>
          <w:rFonts w:ascii="Calibri" w:hAnsi="Calibri" w:cs="Calibri"/>
          <w:sz w:val="24"/>
          <w:szCs w:val="24"/>
        </w:rPr>
        <w:t>provides a synopsis of broad applications to practice recommendations based on the finding</w:t>
      </w:r>
      <w:r>
        <w:rPr>
          <w:rFonts w:ascii="Calibri" w:hAnsi="Calibri" w:cs="Calibri"/>
          <w:sz w:val="24"/>
          <w:szCs w:val="24"/>
        </w:rPr>
        <w:t xml:space="preserve">s and is </w:t>
      </w:r>
      <w:r w:rsidRPr="00A429E9">
        <w:rPr>
          <w:rFonts w:ascii="Calibri" w:hAnsi="Calibri" w:cs="Calibri"/>
          <w:sz w:val="24"/>
          <w:szCs w:val="24"/>
        </w:rPr>
        <w:t xml:space="preserve">neither an exhaustive list nor a substitute for conducting rigorous studies on </w:t>
      </w:r>
      <w:r w:rsidR="00201DDA" w:rsidRPr="00A429E9">
        <w:rPr>
          <w:rFonts w:ascii="Calibri" w:hAnsi="Calibri" w:cs="Calibri"/>
          <w:sz w:val="24"/>
          <w:szCs w:val="24"/>
        </w:rPr>
        <w:t>teachers</w:t>
      </w:r>
      <w:r w:rsidRPr="00A429E9">
        <w:rPr>
          <w:rFonts w:ascii="Calibri" w:hAnsi="Calibri" w:cs="Calibri"/>
          <w:sz w:val="24"/>
          <w:szCs w:val="24"/>
        </w:rPr>
        <w:t xml:space="preserve"> </w:t>
      </w:r>
      <w:r>
        <w:rPr>
          <w:rFonts w:ascii="Calibri" w:hAnsi="Calibri" w:cs="Calibri"/>
          <w:sz w:val="24"/>
          <w:szCs w:val="24"/>
        </w:rPr>
        <w:t>lived experiences of emotions, reflective practice and holding</w:t>
      </w:r>
      <w:r w:rsidRPr="00A429E9">
        <w:rPr>
          <w:rFonts w:ascii="Calibri" w:hAnsi="Calibri" w:cs="Calibri"/>
          <w:sz w:val="24"/>
          <w:szCs w:val="24"/>
        </w:rPr>
        <w:t xml:space="preserve"> in the future</w:t>
      </w:r>
      <w:r w:rsidR="0009627C">
        <w:rPr>
          <w:rFonts w:ascii="Calibri" w:hAnsi="Calibri" w:cs="Calibri"/>
          <w:sz w:val="24"/>
          <w:szCs w:val="24"/>
        </w:rPr>
        <w:t>.</w:t>
      </w:r>
      <w:r w:rsidRPr="00A429E9">
        <w:rPr>
          <w:rFonts w:ascii="Calibri" w:hAnsi="Calibri" w:cs="Calibri"/>
          <w:sz w:val="24"/>
          <w:szCs w:val="24"/>
        </w:rPr>
        <w:t xml:space="preserve"> </w:t>
      </w:r>
    </w:p>
    <w:p w14:paraId="20D46A14" w14:textId="77777777" w:rsidR="00E61123" w:rsidRDefault="00E61123" w:rsidP="00463552">
      <w:pPr>
        <w:spacing w:line="360" w:lineRule="auto"/>
        <w:rPr>
          <w:rFonts w:ascii="Calibri" w:hAnsi="Calibri" w:cs="Calibri"/>
          <w:sz w:val="24"/>
          <w:szCs w:val="24"/>
        </w:rPr>
      </w:pPr>
    </w:p>
    <w:p w14:paraId="76B92782" w14:textId="77777777" w:rsidR="00E61123" w:rsidRDefault="00E61123" w:rsidP="00463552">
      <w:pPr>
        <w:spacing w:line="360" w:lineRule="auto"/>
        <w:rPr>
          <w:rFonts w:ascii="Calibri" w:hAnsi="Calibri" w:cs="Calibri"/>
          <w:sz w:val="24"/>
          <w:szCs w:val="24"/>
        </w:rPr>
      </w:pPr>
    </w:p>
    <w:p w14:paraId="471DA0C0" w14:textId="77777777" w:rsidR="00E61123" w:rsidRDefault="00E61123" w:rsidP="00463552">
      <w:pPr>
        <w:spacing w:line="360" w:lineRule="auto"/>
        <w:rPr>
          <w:rFonts w:ascii="Calibri" w:hAnsi="Calibri" w:cs="Calibri"/>
          <w:sz w:val="24"/>
          <w:szCs w:val="24"/>
        </w:rPr>
      </w:pPr>
    </w:p>
    <w:p w14:paraId="1BAC99BE" w14:textId="77777777" w:rsidR="004E0C7E" w:rsidRDefault="004E0C7E" w:rsidP="00463552">
      <w:pPr>
        <w:spacing w:line="360" w:lineRule="auto"/>
        <w:rPr>
          <w:rFonts w:ascii="Calibri" w:hAnsi="Calibri" w:cs="Calibri"/>
          <w:sz w:val="24"/>
          <w:szCs w:val="24"/>
        </w:rPr>
      </w:pPr>
    </w:p>
    <w:p w14:paraId="0D75A92F" w14:textId="77777777" w:rsidR="00C957F5" w:rsidRDefault="00C957F5" w:rsidP="00463552">
      <w:pPr>
        <w:spacing w:line="360" w:lineRule="auto"/>
        <w:rPr>
          <w:rFonts w:ascii="Calibri" w:hAnsi="Calibri" w:cs="Calibri"/>
          <w:sz w:val="24"/>
          <w:szCs w:val="24"/>
        </w:rPr>
      </w:pPr>
    </w:p>
    <w:p w14:paraId="3B33818E" w14:textId="77777777" w:rsidR="00E61123" w:rsidRDefault="00E61123" w:rsidP="00463552">
      <w:pPr>
        <w:spacing w:line="360" w:lineRule="auto"/>
        <w:rPr>
          <w:rFonts w:ascii="Calibri" w:hAnsi="Calibri" w:cs="Calibri"/>
          <w:sz w:val="24"/>
          <w:szCs w:val="24"/>
        </w:rPr>
      </w:pPr>
    </w:p>
    <w:p w14:paraId="312F123C" w14:textId="4421FD77" w:rsidR="00AA75A1" w:rsidRPr="005229EB" w:rsidRDefault="00AA75A1" w:rsidP="007557DB">
      <w:pPr>
        <w:ind w:left="720" w:firstLine="720"/>
        <w:rPr>
          <w:rFonts w:ascii="Calibri" w:hAnsi="Calibri" w:cs="Calibri"/>
          <w:i/>
          <w:iCs/>
          <w:sz w:val="24"/>
          <w:szCs w:val="24"/>
        </w:rPr>
      </w:pPr>
      <w:r w:rsidRPr="005229EB">
        <w:rPr>
          <w:rFonts w:ascii="Calibri" w:hAnsi="Calibri" w:cs="Calibri"/>
          <w:i/>
          <w:iCs/>
          <w:sz w:val="24"/>
          <w:szCs w:val="24"/>
        </w:rPr>
        <w:lastRenderedPageBreak/>
        <w:t xml:space="preserve">Table </w:t>
      </w:r>
      <w:r w:rsidR="00A55EE1" w:rsidRPr="005229EB">
        <w:rPr>
          <w:rFonts w:ascii="Calibri" w:hAnsi="Calibri" w:cs="Calibri"/>
          <w:i/>
          <w:iCs/>
          <w:sz w:val="24"/>
          <w:szCs w:val="24"/>
        </w:rPr>
        <w:t>18</w:t>
      </w:r>
      <w:r w:rsidRPr="005229EB">
        <w:rPr>
          <w:rFonts w:ascii="Calibri" w:hAnsi="Calibri" w:cs="Calibri"/>
          <w:i/>
          <w:iCs/>
          <w:sz w:val="24"/>
          <w:szCs w:val="24"/>
        </w:rPr>
        <w:t>: Broad applications to practice recommendations</w:t>
      </w:r>
    </w:p>
    <w:tbl>
      <w:tblPr>
        <w:tblStyle w:val="TableGrid"/>
        <w:tblW w:w="9351" w:type="dxa"/>
        <w:tblLook w:val="04A0" w:firstRow="1" w:lastRow="0" w:firstColumn="1" w:lastColumn="0" w:noHBand="0" w:noVBand="1"/>
      </w:tblPr>
      <w:tblGrid>
        <w:gridCol w:w="2830"/>
        <w:gridCol w:w="6521"/>
      </w:tblGrid>
      <w:tr w:rsidR="00AA75A1" w:rsidRPr="00574F0C" w14:paraId="48DAC04D" w14:textId="77777777" w:rsidTr="00C5228E">
        <w:tc>
          <w:tcPr>
            <w:tcW w:w="2830" w:type="dxa"/>
          </w:tcPr>
          <w:p w14:paraId="75DB43F6" w14:textId="77777777" w:rsidR="00AA75A1" w:rsidRPr="00574F0C" w:rsidRDefault="00AA75A1" w:rsidP="00574F0C">
            <w:pPr>
              <w:rPr>
                <w:rFonts w:ascii="Calibri" w:hAnsi="Calibri" w:cs="Calibri"/>
                <w:b/>
                <w:bCs/>
                <w:sz w:val="24"/>
                <w:szCs w:val="24"/>
              </w:rPr>
            </w:pPr>
            <w:r w:rsidRPr="00574F0C">
              <w:rPr>
                <w:rFonts w:ascii="Calibri" w:hAnsi="Calibri" w:cs="Calibri"/>
                <w:b/>
                <w:bCs/>
                <w:sz w:val="24"/>
                <w:szCs w:val="24"/>
              </w:rPr>
              <w:t>Broad research recommendations</w:t>
            </w:r>
          </w:p>
        </w:tc>
        <w:tc>
          <w:tcPr>
            <w:tcW w:w="6521" w:type="dxa"/>
          </w:tcPr>
          <w:p w14:paraId="77CB2F19" w14:textId="77777777" w:rsidR="00AA75A1" w:rsidRPr="00574F0C" w:rsidRDefault="00AA75A1" w:rsidP="00574F0C">
            <w:pPr>
              <w:rPr>
                <w:rFonts w:ascii="Calibri" w:hAnsi="Calibri" w:cs="Calibri"/>
                <w:b/>
                <w:bCs/>
                <w:sz w:val="24"/>
                <w:szCs w:val="24"/>
              </w:rPr>
            </w:pPr>
            <w:r w:rsidRPr="00574F0C">
              <w:rPr>
                <w:rFonts w:ascii="Calibri" w:hAnsi="Calibri" w:cs="Calibri"/>
                <w:b/>
                <w:bCs/>
                <w:sz w:val="24"/>
                <w:szCs w:val="24"/>
              </w:rPr>
              <w:t>Key Messages</w:t>
            </w:r>
          </w:p>
        </w:tc>
      </w:tr>
      <w:tr w:rsidR="00AA75A1" w:rsidRPr="00574F0C" w14:paraId="4BA29841" w14:textId="77777777" w:rsidTr="00C5228E">
        <w:tc>
          <w:tcPr>
            <w:tcW w:w="2830" w:type="dxa"/>
          </w:tcPr>
          <w:p w14:paraId="0B102B4F"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To explore motivations for becoming a teacher</w:t>
            </w:r>
          </w:p>
        </w:tc>
        <w:tc>
          <w:tcPr>
            <w:tcW w:w="6521" w:type="dxa"/>
          </w:tcPr>
          <w:p w14:paraId="065A274E"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Biographical reflectivity diary throughout the training to track the progress of the journey and as an aide memoir</w:t>
            </w:r>
          </w:p>
        </w:tc>
      </w:tr>
      <w:tr w:rsidR="00AA75A1" w:rsidRPr="00574F0C" w14:paraId="476FD9C7" w14:textId="77777777" w:rsidTr="00C5228E">
        <w:tc>
          <w:tcPr>
            <w:tcW w:w="2830" w:type="dxa"/>
          </w:tcPr>
          <w:p w14:paraId="37B7C2F1"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To introduce the idea of holding on teacher training programmes</w:t>
            </w:r>
          </w:p>
        </w:tc>
        <w:tc>
          <w:tcPr>
            <w:tcW w:w="6521" w:type="dxa"/>
          </w:tcPr>
          <w:p w14:paraId="1FBE5C6A"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A model for support using Winnicott’s holding as a prompt</w:t>
            </w:r>
          </w:p>
          <w:p w14:paraId="64EBFF36"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Learning Support Group</w:t>
            </w:r>
          </w:p>
          <w:p w14:paraId="4CAA9701"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Mentoring – separate person to the teachers/tutors</w:t>
            </w:r>
          </w:p>
        </w:tc>
      </w:tr>
      <w:tr w:rsidR="00AA75A1" w:rsidRPr="00574F0C" w14:paraId="56683424" w14:textId="77777777" w:rsidTr="00C5228E">
        <w:tc>
          <w:tcPr>
            <w:tcW w:w="2830" w:type="dxa"/>
          </w:tcPr>
          <w:p w14:paraId="29028E05"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To embed reflective practice and to model it from the outset</w:t>
            </w:r>
          </w:p>
        </w:tc>
        <w:tc>
          <w:tcPr>
            <w:tcW w:w="6521" w:type="dxa"/>
          </w:tcPr>
          <w:p w14:paraId="620F30C7"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Personal choice as to the method – journal, dialogue with trusted others, written assignments</w:t>
            </w:r>
          </w:p>
          <w:p w14:paraId="7BCF2FC3"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Reflection explained as a catalyst for self-care</w:t>
            </w:r>
          </w:p>
        </w:tc>
      </w:tr>
      <w:tr w:rsidR="00AA75A1" w:rsidRPr="00574F0C" w14:paraId="473F9487" w14:textId="77777777" w:rsidTr="00C5228E">
        <w:tc>
          <w:tcPr>
            <w:tcW w:w="2830" w:type="dxa"/>
          </w:tcPr>
          <w:p w14:paraId="76A51CEB"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To explore matters of mental health and wellbeing in teacher training from the outset</w:t>
            </w:r>
          </w:p>
        </w:tc>
        <w:tc>
          <w:tcPr>
            <w:tcW w:w="6521" w:type="dxa"/>
          </w:tcPr>
          <w:p w14:paraId="37536D64"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Exploring teaching as an emotional practice</w:t>
            </w:r>
          </w:p>
          <w:p w14:paraId="16985F49"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The good enough teacher</w:t>
            </w:r>
          </w:p>
          <w:p w14:paraId="6E8C31B5"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Teacher as transitional object</w:t>
            </w:r>
          </w:p>
          <w:p w14:paraId="135BE3D1"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Responsibility</w:t>
            </w:r>
          </w:p>
        </w:tc>
      </w:tr>
      <w:tr w:rsidR="00AA75A1" w:rsidRPr="00574F0C" w14:paraId="567D02FA" w14:textId="77777777" w:rsidTr="00C5228E">
        <w:tc>
          <w:tcPr>
            <w:tcW w:w="2830" w:type="dxa"/>
          </w:tcPr>
          <w:p w14:paraId="6D31E372"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Scaffolding the process of reflection beginning with the benign task of keeping a reflective diary for personal purposes rather than an assessed piece of work</w:t>
            </w:r>
          </w:p>
        </w:tc>
        <w:tc>
          <w:tcPr>
            <w:tcW w:w="6521" w:type="dxa"/>
          </w:tcPr>
          <w:p w14:paraId="2DEF758A" w14:textId="23C4386A" w:rsidR="00AA75A1" w:rsidRPr="007E1C6C" w:rsidRDefault="00AA75A1" w:rsidP="00574F0C">
            <w:pPr>
              <w:rPr>
                <w:rFonts w:ascii="Calibri" w:hAnsi="Calibri" w:cs="Calibri"/>
                <w:sz w:val="18"/>
                <w:szCs w:val="18"/>
              </w:rPr>
            </w:pPr>
            <w:r w:rsidRPr="007E1C6C">
              <w:rPr>
                <w:rFonts w:ascii="Calibri" w:hAnsi="Calibri" w:cs="Calibri"/>
                <w:sz w:val="18"/>
                <w:szCs w:val="18"/>
              </w:rPr>
              <w:t>A reflective diary is partly about capturing and anchoring thoughts and feelings, and “must be ever-changing like the individual using it” (Kelly, 2023, p. 11) and, as such, needs to be seen as “a flexible canvas reflecting the many ebbs and flows” (</w:t>
            </w:r>
            <w:r w:rsidR="00AB1ADC">
              <w:rPr>
                <w:rFonts w:ascii="Calibri" w:hAnsi="Calibri" w:cs="Calibri"/>
                <w:sz w:val="18"/>
                <w:szCs w:val="18"/>
              </w:rPr>
              <w:t>ibid.</w:t>
            </w:r>
            <w:r w:rsidRPr="007E1C6C">
              <w:rPr>
                <w:rFonts w:ascii="Calibri" w:hAnsi="Calibri" w:cs="Calibri"/>
                <w:sz w:val="18"/>
                <w:szCs w:val="18"/>
              </w:rPr>
              <w:t>) of its author</w:t>
            </w:r>
          </w:p>
        </w:tc>
      </w:tr>
      <w:tr w:rsidR="00AA75A1" w:rsidRPr="00574F0C" w14:paraId="3F02E03E" w14:textId="77777777" w:rsidTr="00C5228E">
        <w:tc>
          <w:tcPr>
            <w:tcW w:w="2830" w:type="dxa"/>
          </w:tcPr>
          <w:p w14:paraId="14E8147A"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 xml:space="preserve">The suggestion of peer learning support groups </w:t>
            </w:r>
          </w:p>
        </w:tc>
        <w:tc>
          <w:tcPr>
            <w:tcW w:w="6521" w:type="dxa"/>
          </w:tcPr>
          <w:p w14:paraId="26665620"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Discussions about barriers, challenges and advantages and the importance of trust and trusted dialogue</w:t>
            </w:r>
          </w:p>
        </w:tc>
      </w:tr>
      <w:tr w:rsidR="00AA75A1" w:rsidRPr="00574F0C" w14:paraId="77C734E6" w14:textId="77777777" w:rsidTr="00C5228E">
        <w:tc>
          <w:tcPr>
            <w:tcW w:w="2830" w:type="dxa"/>
          </w:tcPr>
          <w:p w14:paraId="6C618376"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Provide an opportunity to experience teaching supervision: a voluntary offering</w:t>
            </w:r>
          </w:p>
        </w:tc>
        <w:tc>
          <w:tcPr>
            <w:tcW w:w="6521" w:type="dxa"/>
          </w:tcPr>
          <w:p w14:paraId="73FD3702"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Supervision from an external provider with training in supervision</w:t>
            </w:r>
          </w:p>
          <w:p w14:paraId="54342C5B" w14:textId="77777777" w:rsidR="00AA75A1" w:rsidRDefault="00AA75A1" w:rsidP="00574F0C">
            <w:pPr>
              <w:rPr>
                <w:rFonts w:ascii="Calibri" w:hAnsi="Calibri" w:cs="Calibri"/>
                <w:sz w:val="18"/>
                <w:szCs w:val="18"/>
              </w:rPr>
            </w:pPr>
            <w:r w:rsidRPr="007E1C6C">
              <w:rPr>
                <w:rFonts w:ascii="Calibri" w:hAnsi="Calibri" w:cs="Calibri"/>
                <w:sz w:val="18"/>
                <w:szCs w:val="18"/>
              </w:rPr>
              <w:t>The employment of a PNA or PMA (ref) equivalent to provide holding for:</w:t>
            </w:r>
          </w:p>
          <w:p w14:paraId="170AFA64" w14:textId="77777777" w:rsidR="00AF38ED" w:rsidRPr="007E1C6C" w:rsidRDefault="00AF38ED" w:rsidP="00574F0C">
            <w:pPr>
              <w:rPr>
                <w:rFonts w:ascii="Calibri" w:hAnsi="Calibri" w:cs="Calibri"/>
                <w:sz w:val="18"/>
                <w:szCs w:val="18"/>
              </w:rPr>
            </w:pPr>
          </w:p>
          <w:p w14:paraId="709676CC" w14:textId="77777777" w:rsidR="00AA75A1" w:rsidRPr="007E1C6C" w:rsidRDefault="00AA75A1" w:rsidP="00495434">
            <w:pPr>
              <w:pStyle w:val="ListParagraph"/>
              <w:numPr>
                <w:ilvl w:val="0"/>
                <w:numId w:val="14"/>
              </w:numPr>
              <w:spacing w:after="0" w:line="240" w:lineRule="auto"/>
              <w:rPr>
                <w:rFonts w:ascii="Calibri" w:hAnsi="Calibri" w:cs="Calibri"/>
                <w:sz w:val="18"/>
                <w:szCs w:val="18"/>
              </w:rPr>
            </w:pPr>
            <w:r w:rsidRPr="007E1C6C">
              <w:rPr>
                <w:rFonts w:ascii="Calibri" w:hAnsi="Calibri" w:cs="Calibri"/>
                <w:sz w:val="18"/>
                <w:szCs w:val="18"/>
              </w:rPr>
              <w:t>The teacher and their emotions as they navigate any obstacles and difficulties in their work or work context</w:t>
            </w:r>
          </w:p>
          <w:p w14:paraId="575864D9" w14:textId="77777777" w:rsidR="00AA75A1" w:rsidRPr="007E1C6C" w:rsidRDefault="00AA75A1" w:rsidP="00495434">
            <w:pPr>
              <w:pStyle w:val="ListParagraph"/>
              <w:numPr>
                <w:ilvl w:val="0"/>
                <w:numId w:val="14"/>
              </w:numPr>
              <w:spacing w:after="0" w:line="240" w:lineRule="auto"/>
              <w:rPr>
                <w:rFonts w:ascii="Calibri" w:hAnsi="Calibri" w:cs="Calibri"/>
                <w:sz w:val="18"/>
                <w:szCs w:val="18"/>
              </w:rPr>
            </w:pPr>
            <w:r w:rsidRPr="007E1C6C">
              <w:rPr>
                <w:rFonts w:ascii="Calibri" w:hAnsi="Calibri" w:cs="Calibri"/>
                <w:sz w:val="18"/>
                <w:szCs w:val="18"/>
              </w:rPr>
              <w:t>To safeguard the service user/ the student</w:t>
            </w:r>
          </w:p>
          <w:p w14:paraId="7521B2AB" w14:textId="77777777" w:rsidR="00AA75A1" w:rsidRDefault="00AA75A1" w:rsidP="00495434">
            <w:pPr>
              <w:pStyle w:val="ListParagraph"/>
              <w:numPr>
                <w:ilvl w:val="0"/>
                <w:numId w:val="14"/>
              </w:numPr>
              <w:spacing w:after="0" w:line="240" w:lineRule="auto"/>
              <w:rPr>
                <w:rFonts w:ascii="Calibri" w:hAnsi="Calibri" w:cs="Calibri"/>
                <w:sz w:val="18"/>
                <w:szCs w:val="18"/>
              </w:rPr>
            </w:pPr>
            <w:r w:rsidRPr="007E1C6C">
              <w:rPr>
                <w:rFonts w:ascii="Calibri" w:hAnsi="Calibri" w:cs="Calibri"/>
                <w:sz w:val="18"/>
                <w:szCs w:val="18"/>
              </w:rPr>
              <w:t>As a space and place to develop and hone teaching skills</w:t>
            </w:r>
          </w:p>
          <w:p w14:paraId="495602A5" w14:textId="77777777" w:rsidR="00AF38ED" w:rsidRPr="007E1C6C" w:rsidRDefault="00AF38ED" w:rsidP="00AF38ED">
            <w:pPr>
              <w:pStyle w:val="ListParagraph"/>
              <w:spacing w:after="0" w:line="240" w:lineRule="auto"/>
              <w:rPr>
                <w:rFonts w:ascii="Calibri" w:hAnsi="Calibri" w:cs="Calibri"/>
                <w:sz w:val="18"/>
                <w:szCs w:val="18"/>
              </w:rPr>
            </w:pPr>
          </w:p>
          <w:p w14:paraId="28D04228"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Supervision as a restorative function</w:t>
            </w:r>
          </w:p>
          <w:p w14:paraId="5886D212"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A contract</w:t>
            </w:r>
          </w:p>
          <w:p w14:paraId="4735D8B3" w14:textId="680267B4" w:rsidR="00AA75A1" w:rsidRPr="007E1C6C" w:rsidRDefault="00AA75A1" w:rsidP="00574F0C">
            <w:pPr>
              <w:rPr>
                <w:rFonts w:ascii="Calibri" w:hAnsi="Calibri" w:cs="Calibri"/>
                <w:sz w:val="18"/>
                <w:szCs w:val="18"/>
              </w:rPr>
            </w:pPr>
            <w:r w:rsidRPr="007E1C6C">
              <w:rPr>
                <w:rFonts w:ascii="Calibri" w:hAnsi="Calibri" w:cs="Calibri"/>
                <w:sz w:val="18"/>
                <w:szCs w:val="18"/>
              </w:rPr>
              <w:t xml:space="preserve">Visiting Lecturer </w:t>
            </w:r>
            <w:r w:rsidR="002E020C" w:rsidRPr="007E1C6C">
              <w:rPr>
                <w:rFonts w:ascii="Calibri" w:hAnsi="Calibri" w:cs="Calibri"/>
                <w:sz w:val="18"/>
                <w:szCs w:val="18"/>
              </w:rPr>
              <w:t>s</w:t>
            </w:r>
            <w:r w:rsidRPr="007E1C6C">
              <w:rPr>
                <w:rFonts w:ascii="Calibri" w:hAnsi="Calibri" w:cs="Calibri"/>
                <w:sz w:val="18"/>
                <w:szCs w:val="18"/>
              </w:rPr>
              <w:t>essions</w:t>
            </w:r>
          </w:p>
        </w:tc>
      </w:tr>
      <w:tr w:rsidR="00AA75A1" w:rsidRPr="00574F0C" w14:paraId="4EA36F54" w14:textId="77777777" w:rsidTr="00C5228E">
        <w:tc>
          <w:tcPr>
            <w:tcW w:w="2830" w:type="dxa"/>
          </w:tcPr>
          <w:p w14:paraId="30454EA5" w14:textId="3AA91C34" w:rsidR="00AA75A1" w:rsidRPr="007E1C6C" w:rsidRDefault="00AA75A1" w:rsidP="00574F0C">
            <w:pPr>
              <w:rPr>
                <w:rFonts w:ascii="Calibri" w:hAnsi="Calibri" w:cs="Calibri"/>
                <w:sz w:val="18"/>
                <w:szCs w:val="18"/>
              </w:rPr>
            </w:pPr>
            <w:r w:rsidRPr="007E1C6C">
              <w:rPr>
                <w:rFonts w:ascii="Calibri" w:hAnsi="Calibri" w:cs="Calibri"/>
                <w:sz w:val="18"/>
                <w:szCs w:val="18"/>
              </w:rPr>
              <w:t xml:space="preserve">Expansion of a code of ethics for teachers that includes an ethic of care </w:t>
            </w:r>
            <w:r w:rsidR="0074515B">
              <w:rPr>
                <w:rFonts w:ascii="Calibri" w:hAnsi="Calibri" w:cs="Calibri"/>
                <w:sz w:val="18"/>
                <w:szCs w:val="18"/>
              </w:rPr>
              <w:t>(Noddings, 2002)</w:t>
            </w:r>
          </w:p>
        </w:tc>
        <w:tc>
          <w:tcPr>
            <w:tcW w:w="6521" w:type="dxa"/>
          </w:tcPr>
          <w:p w14:paraId="6DE6E9C7"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To consider teaching as having the potential to impact the teacher and how teachers might access support, the importance of self-care and of implementing an ethic of care for themselves</w:t>
            </w:r>
          </w:p>
        </w:tc>
      </w:tr>
      <w:tr w:rsidR="00483F1B" w:rsidRPr="00574F0C" w14:paraId="54E99D81" w14:textId="77777777" w:rsidTr="00C5228E">
        <w:tc>
          <w:tcPr>
            <w:tcW w:w="2830" w:type="dxa"/>
          </w:tcPr>
          <w:p w14:paraId="62143743" w14:textId="0F923DF7" w:rsidR="00483F1B" w:rsidRPr="007E1C6C" w:rsidRDefault="00465BE4" w:rsidP="00574F0C">
            <w:pPr>
              <w:rPr>
                <w:rFonts w:ascii="Calibri" w:hAnsi="Calibri" w:cs="Calibri"/>
                <w:sz w:val="18"/>
                <w:szCs w:val="18"/>
              </w:rPr>
            </w:pPr>
            <w:r>
              <w:rPr>
                <w:rFonts w:ascii="Calibri" w:hAnsi="Calibri" w:cs="Calibri"/>
                <w:sz w:val="18"/>
                <w:szCs w:val="18"/>
              </w:rPr>
              <w:t xml:space="preserve">The mandatory implementation of </w:t>
            </w:r>
            <w:r w:rsidR="00111232">
              <w:rPr>
                <w:rFonts w:ascii="Calibri" w:hAnsi="Calibri" w:cs="Calibri"/>
                <w:sz w:val="18"/>
                <w:szCs w:val="18"/>
              </w:rPr>
              <w:t>training for HE teachers in how to best support their students</w:t>
            </w:r>
            <w:r w:rsidR="006D129B">
              <w:rPr>
                <w:rFonts w:ascii="Calibri" w:hAnsi="Calibri" w:cs="Calibri"/>
                <w:sz w:val="18"/>
                <w:szCs w:val="18"/>
              </w:rPr>
              <w:t>’ mental well-being</w:t>
            </w:r>
            <w:r w:rsidR="00335846">
              <w:rPr>
                <w:rFonts w:ascii="Calibri" w:hAnsi="Calibri" w:cs="Calibri"/>
                <w:sz w:val="18"/>
                <w:szCs w:val="18"/>
              </w:rPr>
              <w:t xml:space="preserve"> </w:t>
            </w:r>
            <w:r w:rsidR="00CD703D">
              <w:rPr>
                <w:rFonts w:ascii="Calibri" w:hAnsi="Calibri" w:cs="Calibri"/>
                <w:sz w:val="18"/>
                <w:szCs w:val="18"/>
              </w:rPr>
              <w:t xml:space="preserve">which would </w:t>
            </w:r>
            <w:r w:rsidR="00335846">
              <w:rPr>
                <w:rFonts w:ascii="Calibri" w:hAnsi="Calibri" w:cs="Calibri"/>
                <w:sz w:val="18"/>
                <w:szCs w:val="18"/>
              </w:rPr>
              <w:t xml:space="preserve">enhance their ability to </w:t>
            </w:r>
            <w:r w:rsidR="000C55BA">
              <w:rPr>
                <w:rFonts w:ascii="Calibri" w:hAnsi="Calibri" w:cs="Calibri"/>
                <w:sz w:val="18"/>
                <w:szCs w:val="18"/>
              </w:rPr>
              <w:t>address generic pastoral matters</w:t>
            </w:r>
          </w:p>
        </w:tc>
        <w:tc>
          <w:tcPr>
            <w:tcW w:w="6521" w:type="dxa"/>
          </w:tcPr>
          <w:p w14:paraId="65ED446A" w14:textId="77777777" w:rsidR="00483F1B" w:rsidRDefault="00D63C92" w:rsidP="00574F0C">
            <w:pPr>
              <w:rPr>
                <w:rFonts w:ascii="Calibri" w:hAnsi="Calibri" w:cs="Calibri"/>
                <w:sz w:val="18"/>
                <w:szCs w:val="18"/>
              </w:rPr>
            </w:pPr>
            <w:r>
              <w:rPr>
                <w:rFonts w:ascii="Calibri" w:hAnsi="Calibri" w:cs="Calibri"/>
                <w:sz w:val="18"/>
                <w:szCs w:val="18"/>
              </w:rPr>
              <w:t>Currently mental health awareness training and strategies</w:t>
            </w:r>
            <w:r w:rsidR="003066F8">
              <w:rPr>
                <w:rFonts w:ascii="Calibri" w:hAnsi="Calibri" w:cs="Calibri"/>
                <w:sz w:val="18"/>
                <w:szCs w:val="18"/>
              </w:rPr>
              <w:t xml:space="preserve"> to address pastoral needs of the current student population</w:t>
            </w:r>
            <w:r w:rsidR="00A40103">
              <w:rPr>
                <w:rFonts w:ascii="Calibri" w:hAnsi="Calibri" w:cs="Calibri"/>
                <w:sz w:val="18"/>
                <w:szCs w:val="18"/>
              </w:rPr>
              <w:t xml:space="preserve"> are not ubiquitously applied in teacher trainings. </w:t>
            </w:r>
          </w:p>
          <w:p w14:paraId="3C9901DF" w14:textId="3BA205B9" w:rsidR="00852247" w:rsidRPr="007E1C6C" w:rsidRDefault="00852247" w:rsidP="00574F0C">
            <w:pPr>
              <w:rPr>
                <w:rFonts w:ascii="Calibri" w:hAnsi="Calibri" w:cs="Calibri"/>
                <w:sz w:val="18"/>
                <w:szCs w:val="18"/>
              </w:rPr>
            </w:pPr>
            <w:r>
              <w:rPr>
                <w:rFonts w:ascii="Calibri" w:hAnsi="Calibri" w:cs="Calibri"/>
                <w:sz w:val="18"/>
                <w:szCs w:val="18"/>
              </w:rPr>
              <w:t>A recent development</w:t>
            </w:r>
            <w:r w:rsidR="00520A98">
              <w:rPr>
                <w:rFonts w:ascii="Calibri" w:hAnsi="Calibri" w:cs="Calibri"/>
                <w:sz w:val="18"/>
                <w:szCs w:val="18"/>
              </w:rPr>
              <w:t xml:space="preserve"> piloted </w:t>
            </w:r>
            <w:r w:rsidR="007749DD">
              <w:rPr>
                <w:rFonts w:ascii="Calibri" w:hAnsi="Calibri" w:cs="Calibri"/>
                <w:sz w:val="18"/>
                <w:szCs w:val="18"/>
              </w:rPr>
              <w:t>by Sun</w:t>
            </w:r>
            <w:r w:rsidR="00683BCC">
              <w:rPr>
                <w:rFonts w:ascii="Calibri" w:hAnsi="Calibri" w:cs="Calibri"/>
                <w:sz w:val="18"/>
                <w:szCs w:val="18"/>
              </w:rPr>
              <w:t xml:space="preserve"> M</w:t>
            </w:r>
            <w:r w:rsidR="007749DD">
              <w:rPr>
                <w:rFonts w:ascii="Calibri" w:hAnsi="Calibri" w:cs="Calibri"/>
                <w:sz w:val="18"/>
                <w:szCs w:val="18"/>
              </w:rPr>
              <w:t>entors (2026)</w:t>
            </w:r>
            <w:r>
              <w:rPr>
                <w:rFonts w:ascii="Calibri" w:hAnsi="Calibri" w:cs="Calibri"/>
                <w:sz w:val="18"/>
                <w:szCs w:val="18"/>
              </w:rPr>
              <w:t xml:space="preserve"> in this field </w:t>
            </w:r>
            <w:r w:rsidR="000B15DB">
              <w:rPr>
                <w:rFonts w:ascii="Calibri" w:hAnsi="Calibri" w:cs="Calibri"/>
                <w:sz w:val="18"/>
                <w:szCs w:val="18"/>
              </w:rPr>
              <w:t xml:space="preserve">offers on-line </w:t>
            </w:r>
            <w:r w:rsidR="007749DD">
              <w:rPr>
                <w:rFonts w:ascii="Calibri" w:hAnsi="Calibri" w:cs="Calibri"/>
                <w:sz w:val="18"/>
                <w:szCs w:val="18"/>
              </w:rPr>
              <w:t>E-Learning/</w:t>
            </w:r>
            <w:r w:rsidR="000B15DB">
              <w:rPr>
                <w:rFonts w:ascii="Calibri" w:hAnsi="Calibri" w:cs="Calibri"/>
                <w:sz w:val="18"/>
                <w:szCs w:val="18"/>
              </w:rPr>
              <w:t xml:space="preserve">training </w:t>
            </w:r>
            <w:r w:rsidR="00520A98">
              <w:rPr>
                <w:rFonts w:ascii="Calibri" w:hAnsi="Calibri" w:cs="Calibri"/>
                <w:sz w:val="18"/>
                <w:szCs w:val="18"/>
              </w:rPr>
              <w:t xml:space="preserve">specifically for HE teachers </w:t>
            </w:r>
            <w:r w:rsidR="000B15DB">
              <w:rPr>
                <w:rFonts w:ascii="Calibri" w:hAnsi="Calibri" w:cs="Calibri"/>
                <w:sz w:val="18"/>
                <w:szCs w:val="18"/>
              </w:rPr>
              <w:t>in these areas</w:t>
            </w:r>
            <w:r w:rsidR="003C7076">
              <w:rPr>
                <w:rFonts w:ascii="Calibri" w:hAnsi="Calibri" w:cs="Calibri"/>
                <w:sz w:val="18"/>
                <w:szCs w:val="18"/>
              </w:rPr>
              <w:t>; the project will go live in March 2026</w:t>
            </w:r>
            <w:r w:rsidR="003E66A0">
              <w:rPr>
                <w:rFonts w:ascii="Calibri" w:hAnsi="Calibri" w:cs="Calibri"/>
                <w:sz w:val="18"/>
                <w:szCs w:val="18"/>
              </w:rPr>
              <w:t xml:space="preserve"> (</w:t>
            </w:r>
            <w:r w:rsidR="003E66A0" w:rsidRPr="003E66A0">
              <w:rPr>
                <w:rFonts w:ascii="Calibri" w:hAnsi="Calibri" w:cs="Calibri"/>
                <w:sz w:val="18"/>
                <w:szCs w:val="18"/>
              </w:rPr>
              <w:t>https://sunmentors.eu</w:t>
            </w:r>
            <w:r w:rsidR="003E66A0">
              <w:rPr>
                <w:rFonts w:ascii="Calibri" w:hAnsi="Calibri" w:cs="Calibri"/>
                <w:sz w:val="18"/>
                <w:szCs w:val="18"/>
              </w:rPr>
              <w:t>)</w:t>
            </w:r>
            <w:r w:rsidR="003C7076">
              <w:rPr>
                <w:rFonts w:ascii="Calibri" w:hAnsi="Calibri" w:cs="Calibri"/>
                <w:sz w:val="18"/>
                <w:szCs w:val="18"/>
              </w:rPr>
              <w:t>.</w:t>
            </w:r>
            <w:r w:rsidR="000B15DB">
              <w:rPr>
                <w:rFonts w:ascii="Calibri" w:hAnsi="Calibri" w:cs="Calibri"/>
                <w:sz w:val="18"/>
                <w:szCs w:val="18"/>
              </w:rPr>
              <w:t xml:space="preserve"> </w:t>
            </w:r>
            <w:r w:rsidR="00984056">
              <w:rPr>
                <w:rFonts w:ascii="Calibri" w:hAnsi="Calibri" w:cs="Calibri"/>
                <w:sz w:val="18"/>
                <w:szCs w:val="18"/>
              </w:rPr>
              <w:t>Mental health training could</w:t>
            </w:r>
            <w:r w:rsidR="000B15DB">
              <w:rPr>
                <w:rFonts w:ascii="Calibri" w:hAnsi="Calibri" w:cs="Calibri"/>
                <w:sz w:val="18"/>
                <w:szCs w:val="18"/>
              </w:rPr>
              <w:t xml:space="preserve"> be extended</w:t>
            </w:r>
            <w:r w:rsidR="0085221E">
              <w:rPr>
                <w:rFonts w:ascii="Calibri" w:hAnsi="Calibri" w:cs="Calibri"/>
                <w:sz w:val="18"/>
                <w:szCs w:val="18"/>
              </w:rPr>
              <w:t xml:space="preserve"> to mandatory modules in generic teacher training</w:t>
            </w:r>
            <w:r w:rsidR="00273760">
              <w:rPr>
                <w:rFonts w:ascii="Calibri" w:hAnsi="Calibri" w:cs="Calibri"/>
                <w:sz w:val="18"/>
                <w:szCs w:val="18"/>
              </w:rPr>
              <w:t xml:space="preserve"> offerings</w:t>
            </w:r>
            <w:r w:rsidR="00520A98">
              <w:rPr>
                <w:rFonts w:ascii="Calibri" w:hAnsi="Calibri" w:cs="Calibri"/>
                <w:sz w:val="18"/>
                <w:szCs w:val="18"/>
              </w:rPr>
              <w:t xml:space="preserve">. </w:t>
            </w:r>
          </w:p>
        </w:tc>
      </w:tr>
      <w:tr w:rsidR="00AA75A1" w:rsidRPr="00574F0C" w14:paraId="7B7576E8" w14:textId="77777777" w:rsidTr="00C5228E">
        <w:tc>
          <w:tcPr>
            <w:tcW w:w="2830" w:type="dxa"/>
          </w:tcPr>
          <w:p w14:paraId="6EF2C30D" w14:textId="77777777" w:rsidR="00AA75A1" w:rsidRPr="007E1C6C" w:rsidRDefault="00AA75A1" w:rsidP="00574F0C">
            <w:pPr>
              <w:rPr>
                <w:rFonts w:ascii="Calibri" w:hAnsi="Calibri" w:cs="Calibri"/>
                <w:sz w:val="18"/>
                <w:szCs w:val="18"/>
              </w:rPr>
            </w:pPr>
            <w:r w:rsidRPr="007E1C6C">
              <w:rPr>
                <w:rFonts w:ascii="Calibri" w:hAnsi="Calibri" w:cs="Calibri"/>
                <w:sz w:val="18"/>
                <w:szCs w:val="18"/>
              </w:rPr>
              <w:t>The development of a Mental Health Charter for teachers</w:t>
            </w:r>
          </w:p>
        </w:tc>
        <w:tc>
          <w:tcPr>
            <w:tcW w:w="6521" w:type="dxa"/>
          </w:tcPr>
          <w:p w14:paraId="7231CC3F" w14:textId="3F514F9D" w:rsidR="00AA75A1" w:rsidRPr="007E1C6C" w:rsidRDefault="00AA75A1" w:rsidP="00574F0C">
            <w:pPr>
              <w:rPr>
                <w:rFonts w:ascii="Calibri" w:hAnsi="Calibri" w:cs="Calibri"/>
                <w:sz w:val="18"/>
                <w:szCs w:val="18"/>
              </w:rPr>
            </w:pPr>
            <w:r w:rsidRPr="007E1C6C">
              <w:rPr>
                <w:rFonts w:ascii="Calibri" w:hAnsi="Calibri" w:cs="Calibri"/>
                <w:sz w:val="18"/>
                <w:szCs w:val="18"/>
              </w:rPr>
              <w:t>Taking the mental health and well-being of teachers more seriously and not simply in response to a mental health crisis in students. The potential for such a charter being created could be prompted as an exercise that may result in the development of a localised, personal or group contract during training, within departments or as reflective task/assignment</w:t>
            </w:r>
          </w:p>
        </w:tc>
      </w:tr>
      <w:tr w:rsidR="009163B5" w:rsidRPr="00574F0C" w14:paraId="45F7F0B0" w14:textId="77777777" w:rsidTr="00C5228E">
        <w:tc>
          <w:tcPr>
            <w:tcW w:w="2830" w:type="dxa"/>
          </w:tcPr>
          <w:p w14:paraId="5BFA2FF2" w14:textId="59ADD3F0" w:rsidR="009163B5" w:rsidRPr="007E1C6C" w:rsidRDefault="0024099E" w:rsidP="00574F0C">
            <w:pPr>
              <w:rPr>
                <w:rFonts w:ascii="Calibri" w:hAnsi="Calibri" w:cs="Calibri"/>
                <w:sz w:val="18"/>
                <w:szCs w:val="18"/>
              </w:rPr>
            </w:pPr>
            <w:r>
              <w:rPr>
                <w:rFonts w:ascii="Calibri" w:hAnsi="Calibri" w:cs="Calibri"/>
                <w:sz w:val="18"/>
                <w:szCs w:val="18"/>
              </w:rPr>
              <w:t>Additions to research policies</w:t>
            </w:r>
            <w:r w:rsidR="00503A42">
              <w:rPr>
                <w:rFonts w:ascii="Calibri" w:hAnsi="Calibri" w:cs="Calibri"/>
                <w:sz w:val="18"/>
                <w:szCs w:val="18"/>
              </w:rPr>
              <w:t xml:space="preserve"> and/or the development of a Mental Health Charter for </w:t>
            </w:r>
            <w:r w:rsidR="009571B2">
              <w:rPr>
                <w:rFonts w:ascii="Calibri" w:hAnsi="Calibri" w:cs="Calibri"/>
                <w:sz w:val="18"/>
                <w:szCs w:val="18"/>
              </w:rPr>
              <w:t>researchers</w:t>
            </w:r>
          </w:p>
        </w:tc>
        <w:tc>
          <w:tcPr>
            <w:tcW w:w="6521" w:type="dxa"/>
          </w:tcPr>
          <w:p w14:paraId="7A8B51ED" w14:textId="567B2110" w:rsidR="009163B5" w:rsidRDefault="009571B2" w:rsidP="00574F0C">
            <w:pPr>
              <w:rPr>
                <w:rFonts w:ascii="Calibri" w:hAnsi="Calibri" w:cs="Calibri"/>
                <w:sz w:val="18"/>
                <w:szCs w:val="18"/>
              </w:rPr>
            </w:pPr>
            <w:r>
              <w:rPr>
                <w:rFonts w:ascii="Calibri" w:hAnsi="Calibri" w:cs="Calibri"/>
                <w:sz w:val="18"/>
                <w:szCs w:val="18"/>
              </w:rPr>
              <w:t xml:space="preserve">Considerations of </w:t>
            </w:r>
            <w:r w:rsidR="00F7149F">
              <w:rPr>
                <w:rFonts w:ascii="Calibri" w:hAnsi="Calibri" w:cs="Calibri"/>
                <w:sz w:val="18"/>
                <w:szCs w:val="18"/>
              </w:rPr>
              <w:t xml:space="preserve">an assemblage of further </w:t>
            </w:r>
            <w:r w:rsidR="00DB34F1">
              <w:rPr>
                <w:rFonts w:ascii="Calibri" w:hAnsi="Calibri" w:cs="Calibri"/>
                <w:sz w:val="18"/>
                <w:szCs w:val="18"/>
              </w:rPr>
              <w:t>support mechanisms for researchers</w:t>
            </w:r>
            <w:r w:rsidR="008C0E72">
              <w:rPr>
                <w:rFonts w:ascii="Calibri" w:hAnsi="Calibri" w:cs="Calibri"/>
                <w:sz w:val="18"/>
                <w:szCs w:val="18"/>
              </w:rPr>
              <w:t>:</w:t>
            </w:r>
          </w:p>
          <w:p w14:paraId="54117F38" w14:textId="77777777" w:rsidR="005C1784" w:rsidRDefault="005C1784" w:rsidP="00574F0C">
            <w:pPr>
              <w:rPr>
                <w:rFonts w:ascii="Calibri" w:hAnsi="Calibri" w:cs="Calibri"/>
                <w:sz w:val="18"/>
                <w:szCs w:val="18"/>
              </w:rPr>
            </w:pPr>
          </w:p>
          <w:p w14:paraId="49DD72F3" w14:textId="3D0EC43D" w:rsidR="005C1784" w:rsidRDefault="005C1784" w:rsidP="00DB34F1">
            <w:pPr>
              <w:pStyle w:val="ListParagraph"/>
              <w:numPr>
                <w:ilvl w:val="0"/>
                <w:numId w:val="27"/>
              </w:numPr>
              <w:spacing w:after="0"/>
              <w:rPr>
                <w:rFonts w:ascii="Calibri" w:hAnsi="Calibri" w:cs="Calibri"/>
                <w:sz w:val="18"/>
                <w:szCs w:val="18"/>
              </w:rPr>
            </w:pPr>
            <w:r w:rsidRPr="005C1784">
              <w:rPr>
                <w:rFonts w:ascii="Calibri" w:hAnsi="Calibri" w:cs="Calibri"/>
                <w:sz w:val="18"/>
                <w:szCs w:val="18"/>
              </w:rPr>
              <w:t>Preparing for recruitment of participants and</w:t>
            </w:r>
            <w:r w:rsidR="00DF6A6F">
              <w:rPr>
                <w:rFonts w:ascii="Calibri" w:hAnsi="Calibri" w:cs="Calibri"/>
                <w:sz w:val="18"/>
                <w:szCs w:val="18"/>
              </w:rPr>
              <w:t xml:space="preserve">, in particular, </w:t>
            </w:r>
            <w:r w:rsidR="003F598C">
              <w:rPr>
                <w:rFonts w:ascii="Calibri" w:hAnsi="Calibri" w:cs="Calibri"/>
                <w:sz w:val="18"/>
                <w:szCs w:val="18"/>
              </w:rPr>
              <w:t xml:space="preserve">when conducting sensitive research </w:t>
            </w:r>
            <w:r w:rsidR="004E7A42">
              <w:rPr>
                <w:rFonts w:ascii="Calibri" w:hAnsi="Calibri" w:cs="Calibri"/>
                <w:sz w:val="18"/>
                <w:szCs w:val="18"/>
              </w:rPr>
              <w:t xml:space="preserve">reflecting upon </w:t>
            </w:r>
            <w:r w:rsidR="003F598C">
              <w:rPr>
                <w:rFonts w:ascii="Calibri" w:hAnsi="Calibri" w:cs="Calibri"/>
                <w:sz w:val="18"/>
                <w:szCs w:val="18"/>
              </w:rPr>
              <w:t>the need to approach known gatekeepers where a relationship/contact has been established prior to recruitment</w:t>
            </w:r>
          </w:p>
          <w:p w14:paraId="1208C03F" w14:textId="3E4A77A9" w:rsidR="00DB34F1" w:rsidRDefault="00384A8D" w:rsidP="00DB34F1">
            <w:pPr>
              <w:pStyle w:val="ListParagraph"/>
              <w:numPr>
                <w:ilvl w:val="0"/>
                <w:numId w:val="27"/>
              </w:numPr>
              <w:spacing w:after="0"/>
              <w:rPr>
                <w:rFonts w:ascii="Calibri" w:hAnsi="Calibri" w:cs="Calibri"/>
                <w:sz w:val="18"/>
                <w:szCs w:val="18"/>
              </w:rPr>
            </w:pPr>
            <w:r>
              <w:rPr>
                <w:rFonts w:ascii="Calibri" w:hAnsi="Calibri" w:cs="Calibri"/>
                <w:sz w:val="18"/>
                <w:szCs w:val="18"/>
              </w:rPr>
              <w:t>Training in interview processes and techniques</w:t>
            </w:r>
          </w:p>
          <w:p w14:paraId="15CD00C6" w14:textId="113AB351" w:rsidR="00C57F07" w:rsidRDefault="00C57F07" w:rsidP="00DB34F1">
            <w:pPr>
              <w:pStyle w:val="ListParagraph"/>
              <w:numPr>
                <w:ilvl w:val="0"/>
                <w:numId w:val="27"/>
              </w:numPr>
              <w:spacing w:after="0"/>
              <w:rPr>
                <w:rFonts w:ascii="Calibri" w:hAnsi="Calibri" w:cs="Calibri"/>
                <w:sz w:val="18"/>
                <w:szCs w:val="18"/>
              </w:rPr>
            </w:pPr>
            <w:r>
              <w:rPr>
                <w:rFonts w:ascii="Calibri" w:hAnsi="Calibri" w:cs="Calibri"/>
                <w:sz w:val="18"/>
                <w:szCs w:val="18"/>
              </w:rPr>
              <w:t xml:space="preserve">The importance of preparing for interviews taking place </w:t>
            </w:r>
          </w:p>
          <w:p w14:paraId="1E53BBE3" w14:textId="77777777" w:rsidR="00384A8D" w:rsidRDefault="00384A8D" w:rsidP="00DB34F1">
            <w:pPr>
              <w:pStyle w:val="ListParagraph"/>
              <w:numPr>
                <w:ilvl w:val="0"/>
                <w:numId w:val="27"/>
              </w:numPr>
              <w:spacing w:after="0"/>
              <w:rPr>
                <w:rFonts w:ascii="Calibri" w:hAnsi="Calibri" w:cs="Calibri"/>
                <w:sz w:val="18"/>
                <w:szCs w:val="18"/>
              </w:rPr>
            </w:pPr>
            <w:r>
              <w:rPr>
                <w:rFonts w:ascii="Calibri" w:hAnsi="Calibri" w:cs="Calibri"/>
                <w:sz w:val="18"/>
                <w:szCs w:val="18"/>
              </w:rPr>
              <w:t xml:space="preserve">Debriefing for researchers post </w:t>
            </w:r>
            <w:r w:rsidR="00790D31">
              <w:rPr>
                <w:rFonts w:ascii="Calibri" w:hAnsi="Calibri" w:cs="Calibri"/>
                <w:sz w:val="18"/>
                <w:szCs w:val="18"/>
              </w:rPr>
              <w:t>finalising</w:t>
            </w:r>
            <w:r w:rsidR="00D22AF6">
              <w:rPr>
                <w:rFonts w:ascii="Calibri" w:hAnsi="Calibri" w:cs="Calibri"/>
                <w:sz w:val="18"/>
                <w:szCs w:val="18"/>
              </w:rPr>
              <w:t xml:space="preserve"> </w:t>
            </w:r>
            <w:r>
              <w:rPr>
                <w:rFonts w:ascii="Calibri" w:hAnsi="Calibri" w:cs="Calibri"/>
                <w:sz w:val="18"/>
                <w:szCs w:val="18"/>
              </w:rPr>
              <w:t>the interview</w:t>
            </w:r>
            <w:r w:rsidR="00790D31">
              <w:rPr>
                <w:rFonts w:ascii="Calibri" w:hAnsi="Calibri" w:cs="Calibri"/>
                <w:sz w:val="18"/>
                <w:szCs w:val="18"/>
              </w:rPr>
              <w:t>s</w:t>
            </w:r>
          </w:p>
          <w:p w14:paraId="280E419D" w14:textId="613C181D" w:rsidR="00790D31" w:rsidRPr="00DB34F1" w:rsidRDefault="00790D31" w:rsidP="00FB2D1B">
            <w:pPr>
              <w:pStyle w:val="ListParagraph"/>
              <w:spacing w:after="0"/>
              <w:rPr>
                <w:rFonts w:ascii="Calibri" w:hAnsi="Calibri" w:cs="Calibri"/>
                <w:sz w:val="18"/>
                <w:szCs w:val="18"/>
              </w:rPr>
            </w:pPr>
          </w:p>
        </w:tc>
      </w:tr>
    </w:tbl>
    <w:p w14:paraId="52902A00" w14:textId="77777777" w:rsidR="004311E3" w:rsidRDefault="004311E3" w:rsidP="005031F6">
      <w:pPr>
        <w:rPr>
          <w:rFonts w:ascii="Calibri" w:hAnsi="Calibri" w:cs="Calibri"/>
          <w:b/>
          <w:bCs/>
          <w:sz w:val="24"/>
          <w:szCs w:val="24"/>
        </w:rPr>
      </w:pPr>
    </w:p>
    <w:p w14:paraId="6E25B58D" w14:textId="77777777" w:rsidR="004311E3" w:rsidRDefault="004311E3" w:rsidP="005031F6">
      <w:pPr>
        <w:rPr>
          <w:rFonts w:ascii="Calibri" w:hAnsi="Calibri" w:cs="Calibri"/>
          <w:b/>
          <w:bCs/>
          <w:sz w:val="24"/>
          <w:szCs w:val="24"/>
        </w:rPr>
      </w:pPr>
    </w:p>
    <w:p w14:paraId="440BBF3E" w14:textId="2523CBD7" w:rsidR="00AA75A1" w:rsidRPr="005031F6" w:rsidRDefault="00AA75A1" w:rsidP="005031F6">
      <w:pPr>
        <w:rPr>
          <w:rFonts w:ascii="Calibri" w:hAnsi="Calibri" w:cs="Calibri"/>
          <w:b/>
          <w:bCs/>
          <w:sz w:val="24"/>
          <w:szCs w:val="24"/>
        </w:rPr>
      </w:pPr>
      <w:r w:rsidRPr="006A6399">
        <w:rPr>
          <w:rFonts w:ascii="Calibri" w:hAnsi="Calibri" w:cs="Calibri"/>
          <w:b/>
          <w:bCs/>
          <w:sz w:val="24"/>
          <w:szCs w:val="24"/>
        </w:rPr>
        <w:lastRenderedPageBreak/>
        <w:t xml:space="preserve">Research </w:t>
      </w:r>
      <w:r w:rsidR="002C6A5C">
        <w:rPr>
          <w:rFonts w:ascii="Calibri" w:hAnsi="Calibri" w:cs="Calibri"/>
          <w:b/>
          <w:bCs/>
          <w:sz w:val="24"/>
          <w:szCs w:val="24"/>
        </w:rPr>
        <w:t>l</w:t>
      </w:r>
      <w:r w:rsidRPr="005031F6">
        <w:rPr>
          <w:rFonts w:ascii="Calibri" w:hAnsi="Calibri" w:cs="Calibri"/>
          <w:b/>
          <w:bCs/>
          <w:sz w:val="24"/>
          <w:szCs w:val="24"/>
        </w:rPr>
        <w:t xml:space="preserve">imitations </w:t>
      </w:r>
    </w:p>
    <w:p w14:paraId="47F6CEB1" w14:textId="76EEA6FF" w:rsidR="00E61123" w:rsidRPr="005031F6" w:rsidRDefault="00AA75A1" w:rsidP="00A50D4F">
      <w:pPr>
        <w:spacing w:line="360" w:lineRule="auto"/>
        <w:rPr>
          <w:rFonts w:ascii="Calibri" w:hAnsi="Calibri" w:cs="Calibri"/>
          <w:sz w:val="24"/>
          <w:szCs w:val="24"/>
        </w:rPr>
      </w:pPr>
      <w:r w:rsidRPr="005031F6">
        <w:rPr>
          <w:rFonts w:ascii="Calibri" w:hAnsi="Calibri" w:cs="Calibri"/>
          <w:sz w:val="24"/>
          <w:szCs w:val="24"/>
        </w:rPr>
        <w:t xml:space="preserve">There were some limitations to the study’s achievements which I now address </w:t>
      </w:r>
      <w:r w:rsidR="007F39B5">
        <w:rPr>
          <w:rFonts w:ascii="Calibri" w:hAnsi="Calibri" w:cs="Calibri"/>
          <w:sz w:val="24"/>
          <w:szCs w:val="24"/>
        </w:rPr>
        <w:t xml:space="preserve">by making </w:t>
      </w:r>
      <w:r w:rsidR="004E722A">
        <w:rPr>
          <w:rFonts w:ascii="Calibri" w:hAnsi="Calibri" w:cs="Calibri"/>
          <w:sz w:val="24"/>
          <w:szCs w:val="24"/>
        </w:rPr>
        <w:t xml:space="preserve"> suggestions for </w:t>
      </w:r>
      <w:r w:rsidRPr="005031F6">
        <w:rPr>
          <w:rFonts w:ascii="Calibri" w:hAnsi="Calibri" w:cs="Calibri"/>
          <w:sz w:val="24"/>
          <w:szCs w:val="24"/>
        </w:rPr>
        <w:t>how the research could be improved.</w:t>
      </w:r>
      <w:r>
        <w:rPr>
          <w:rFonts w:ascii="Calibri" w:hAnsi="Calibri" w:cs="Calibri"/>
          <w:sz w:val="24"/>
          <w:szCs w:val="24"/>
        </w:rPr>
        <w:t xml:space="preserve"> The limitations identified concern</w:t>
      </w:r>
      <w:r w:rsidR="004E722A">
        <w:rPr>
          <w:rFonts w:ascii="Calibri" w:hAnsi="Calibri" w:cs="Calibri"/>
          <w:sz w:val="24"/>
          <w:szCs w:val="24"/>
        </w:rPr>
        <w:t xml:space="preserve"> sampling</w:t>
      </w:r>
      <w:r>
        <w:rPr>
          <w:rFonts w:ascii="Calibri" w:hAnsi="Calibri" w:cs="Calibri"/>
          <w:sz w:val="24"/>
          <w:szCs w:val="24"/>
        </w:rPr>
        <w:t>, recruitment, conceptual framework</w:t>
      </w:r>
      <w:r w:rsidR="00E04736">
        <w:rPr>
          <w:rFonts w:ascii="Calibri" w:hAnsi="Calibri" w:cs="Calibri"/>
          <w:sz w:val="24"/>
          <w:szCs w:val="24"/>
        </w:rPr>
        <w:t>, researcher bias and methodolo</w:t>
      </w:r>
      <w:r w:rsidR="00126EE6">
        <w:rPr>
          <w:rFonts w:ascii="Calibri" w:hAnsi="Calibri" w:cs="Calibri"/>
          <w:sz w:val="24"/>
          <w:szCs w:val="24"/>
        </w:rPr>
        <w:t>gy</w:t>
      </w:r>
      <w:r>
        <w:rPr>
          <w:rFonts w:ascii="Calibri" w:hAnsi="Calibri" w:cs="Calibri"/>
          <w:sz w:val="24"/>
          <w:szCs w:val="24"/>
        </w:rPr>
        <w:t>.</w:t>
      </w:r>
    </w:p>
    <w:p w14:paraId="550A7458" w14:textId="77777777" w:rsidR="00AA75A1" w:rsidRPr="00762365" w:rsidRDefault="00AA75A1" w:rsidP="00495434">
      <w:pPr>
        <w:numPr>
          <w:ilvl w:val="0"/>
          <w:numId w:val="7"/>
        </w:numPr>
        <w:spacing w:after="160" w:line="259" w:lineRule="auto"/>
        <w:rPr>
          <w:rFonts w:ascii="Calibri" w:hAnsi="Calibri" w:cs="Calibri"/>
          <w:b/>
          <w:bCs/>
          <w:sz w:val="24"/>
          <w:szCs w:val="24"/>
          <w:lang w:val="en-US"/>
        </w:rPr>
      </w:pPr>
      <w:r w:rsidRPr="00762365">
        <w:rPr>
          <w:rFonts w:ascii="Calibri" w:hAnsi="Calibri" w:cs="Calibri"/>
          <w:b/>
          <w:bCs/>
          <w:sz w:val="24"/>
          <w:szCs w:val="24"/>
          <w:lang w:val="en-US"/>
        </w:rPr>
        <w:t>Sampling</w:t>
      </w:r>
    </w:p>
    <w:p w14:paraId="0D1E4291" w14:textId="39B8C753" w:rsidR="00AA75A1" w:rsidRPr="005031F6" w:rsidRDefault="00AA75A1" w:rsidP="00BA15D2">
      <w:pPr>
        <w:spacing w:line="360" w:lineRule="auto"/>
        <w:rPr>
          <w:rFonts w:ascii="Calibri" w:hAnsi="Calibri" w:cs="Calibri"/>
          <w:sz w:val="24"/>
          <w:szCs w:val="24"/>
        </w:rPr>
      </w:pPr>
      <w:r>
        <w:rPr>
          <w:rFonts w:ascii="Calibri" w:hAnsi="Calibri" w:cs="Calibri"/>
          <w:sz w:val="24"/>
          <w:szCs w:val="24"/>
        </w:rPr>
        <w:t>This research was conducted on a small scale and f</w:t>
      </w:r>
      <w:r w:rsidRPr="005031F6">
        <w:rPr>
          <w:rFonts w:ascii="Calibri" w:hAnsi="Calibri" w:cs="Calibri"/>
          <w:sz w:val="24"/>
          <w:szCs w:val="24"/>
        </w:rPr>
        <w:t>or many educators my arguments</w:t>
      </w:r>
      <w:r>
        <w:rPr>
          <w:rFonts w:ascii="Calibri" w:hAnsi="Calibri" w:cs="Calibri"/>
          <w:sz w:val="24"/>
          <w:szCs w:val="24"/>
        </w:rPr>
        <w:t xml:space="preserve"> and</w:t>
      </w:r>
      <w:r w:rsidRPr="005031F6">
        <w:rPr>
          <w:rFonts w:ascii="Calibri" w:hAnsi="Calibri" w:cs="Calibri"/>
          <w:sz w:val="24"/>
          <w:szCs w:val="24"/>
        </w:rPr>
        <w:t xml:space="preserve"> findings</w:t>
      </w:r>
      <w:r>
        <w:rPr>
          <w:rFonts w:ascii="Calibri" w:hAnsi="Calibri" w:cs="Calibri"/>
          <w:sz w:val="24"/>
          <w:szCs w:val="24"/>
        </w:rPr>
        <w:t xml:space="preserve"> </w:t>
      </w:r>
      <w:r w:rsidRPr="005031F6">
        <w:rPr>
          <w:rFonts w:ascii="Calibri" w:hAnsi="Calibri" w:cs="Calibri"/>
          <w:sz w:val="24"/>
          <w:szCs w:val="24"/>
        </w:rPr>
        <w:t xml:space="preserve">may seem limited. </w:t>
      </w:r>
      <w:r>
        <w:rPr>
          <w:rFonts w:ascii="Calibri" w:hAnsi="Calibri" w:cs="Calibri"/>
          <w:sz w:val="24"/>
          <w:szCs w:val="24"/>
        </w:rPr>
        <w:t>T</w:t>
      </w:r>
      <w:r w:rsidRPr="005031F6">
        <w:rPr>
          <w:rFonts w:ascii="Calibri" w:hAnsi="Calibri" w:cs="Calibri"/>
          <w:sz w:val="24"/>
          <w:szCs w:val="24"/>
        </w:rPr>
        <w:t xml:space="preserve">he drive to recruit participants </w:t>
      </w:r>
      <w:r>
        <w:rPr>
          <w:rFonts w:ascii="Calibri" w:hAnsi="Calibri" w:cs="Calibri"/>
          <w:sz w:val="24"/>
          <w:szCs w:val="24"/>
        </w:rPr>
        <w:t xml:space="preserve">was full of obstacles (Chapter </w:t>
      </w:r>
      <w:r w:rsidR="006A186B">
        <w:rPr>
          <w:rFonts w:ascii="Calibri" w:hAnsi="Calibri" w:cs="Calibri"/>
          <w:sz w:val="24"/>
          <w:szCs w:val="24"/>
        </w:rPr>
        <w:t>Four</w:t>
      </w:r>
      <w:r>
        <w:rPr>
          <w:rFonts w:ascii="Calibri" w:hAnsi="Calibri" w:cs="Calibri"/>
          <w:sz w:val="24"/>
          <w:szCs w:val="24"/>
        </w:rPr>
        <w:t>) and</w:t>
      </w:r>
      <w:r w:rsidR="00F1708A">
        <w:rPr>
          <w:rFonts w:ascii="Calibri" w:hAnsi="Calibri" w:cs="Calibri"/>
          <w:sz w:val="24"/>
          <w:szCs w:val="24"/>
        </w:rPr>
        <w:t xml:space="preserve">, </w:t>
      </w:r>
      <w:r>
        <w:rPr>
          <w:rFonts w:ascii="Calibri" w:hAnsi="Calibri" w:cs="Calibri"/>
          <w:sz w:val="24"/>
          <w:szCs w:val="24"/>
        </w:rPr>
        <w:t>n</w:t>
      </w:r>
      <w:r w:rsidRPr="005031F6">
        <w:rPr>
          <w:rFonts w:ascii="Calibri" w:hAnsi="Calibri" w:cs="Calibri"/>
          <w:sz w:val="24"/>
          <w:szCs w:val="24"/>
        </w:rPr>
        <w:t xml:space="preserve">ow more attuned to these, </w:t>
      </w:r>
      <w:r w:rsidR="00F1708A">
        <w:rPr>
          <w:rFonts w:ascii="Calibri" w:hAnsi="Calibri" w:cs="Calibri"/>
          <w:sz w:val="24"/>
          <w:szCs w:val="24"/>
        </w:rPr>
        <w:t xml:space="preserve">prior to the commencement </w:t>
      </w:r>
      <w:r w:rsidR="001814E9">
        <w:rPr>
          <w:rFonts w:ascii="Calibri" w:hAnsi="Calibri" w:cs="Calibri"/>
          <w:sz w:val="24"/>
          <w:szCs w:val="24"/>
        </w:rPr>
        <w:t xml:space="preserve">of a research project </w:t>
      </w:r>
      <w:r w:rsidRPr="005031F6">
        <w:rPr>
          <w:rFonts w:ascii="Calibri" w:hAnsi="Calibri" w:cs="Calibri"/>
          <w:sz w:val="24"/>
          <w:szCs w:val="24"/>
        </w:rPr>
        <w:t xml:space="preserve">I would deliver presentations </w:t>
      </w:r>
      <w:r w:rsidRPr="005031F6">
        <w:rPr>
          <w:rFonts w:ascii="Calibri" w:hAnsi="Calibri" w:cs="Calibri"/>
          <w:i/>
          <w:iCs/>
          <w:sz w:val="24"/>
          <w:szCs w:val="24"/>
        </w:rPr>
        <w:t>in situ</w:t>
      </w:r>
      <w:r w:rsidRPr="005031F6">
        <w:rPr>
          <w:rFonts w:ascii="Calibri" w:hAnsi="Calibri" w:cs="Calibri"/>
          <w:sz w:val="24"/>
          <w:szCs w:val="24"/>
        </w:rPr>
        <w:t xml:space="preserve"> to trainee teachers as the personal touch </w:t>
      </w:r>
      <w:r>
        <w:rPr>
          <w:rFonts w:ascii="Calibri" w:hAnsi="Calibri" w:cs="Calibri"/>
          <w:sz w:val="24"/>
          <w:szCs w:val="24"/>
        </w:rPr>
        <w:t xml:space="preserve">was found to </w:t>
      </w:r>
      <w:r w:rsidRPr="005031F6">
        <w:rPr>
          <w:rFonts w:ascii="Calibri" w:hAnsi="Calibri" w:cs="Calibri"/>
          <w:sz w:val="24"/>
          <w:szCs w:val="24"/>
        </w:rPr>
        <w:t>yield a stronger response</w:t>
      </w:r>
      <w:r>
        <w:rPr>
          <w:rFonts w:ascii="Calibri" w:hAnsi="Calibri" w:cs="Calibri"/>
          <w:sz w:val="24"/>
          <w:szCs w:val="24"/>
        </w:rPr>
        <w:t xml:space="preserve"> from recruitment avenues</w:t>
      </w:r>
      <w:r w:rsidRPr="005031F6">
        <w:rPr>
          <w:rFonts w:ascii="Calibri" w:hAnsi="Calibri" w:cs="Calibri"/>
          <w:sz w:val="24"/>
          <w:szCs w:val="24"/>
        </w:rPr>
        <w:t>.</w:t>
      </w:r>
    </w:p>
    <w:p w14:paraId="5CEC6C0C" w14:textId="38FF6900" w:rsidR="00AA75A1" w:rsidRPr="005031F6" w:rsidRDefault="00AA75A1" w:rsidP="007E6D4D">
      <w:pPr>
        <w:spacing w:line="360" w:lineRule="auto"/>
        <w:rPr>
          <w:rFonts w:ascii="Calibri" w:hAnsi="Calibri" w:cs="Calibri"/>
          <w:sz w:val="24"/>
          <w:szCs w:val="24"/>
        </w:rPr>
      </w:pPr>
      <w:r>
        <w:rPr>
          <w:rFonts w:ascii="Calibri" w:hAnsi="Calibri" w:cs="Calibri"/>
          <w:sz w:val="24"/>
          <w:szCs w:val="24"/>
        </w:rPr>
        <w:t>T</w:t>
      </w:r>
      <w:r w:rsidRPr="005031F6">
        <w:rPr>
          <w:rFonts w:ascii="Calibri" w:hAnsi="Calibri" w:cs="Calibri"/>
          <w:sz w:val="24"/>
          <w:szCs w:val="24"/>
        </w:rPr>
        <w:t xml:space="preserve">his study does not reflect the experiences of a more culturally and ethnically diverse range of people. That said, two of the nine participants represented some cultural diversity in that they were non-native English speakers and their original teacher trainings were undertaken in Europe. </w:t>
      </w:r>
      <w:r>
        <w:rPr>
          <w:rFonts w:ascii="Calibri" w:hAnsi="Calibri" w:cs="Calibri"/>
          <w:sz w:val="24"/>
          <w:szCs w:val="24"/>
        </w:rPr>
        <w:t xml:space="preserve">To facilitate wider inclusivity and diversity a </w:t>
      </w:r>
      <w:r w:rsidRPr="005031F6">
        <w:rPr>
          <w:rFonts w:ascii="Calibri" w:hAnsi="Calibri" w:cs="Calibri"/>
          <w:sz w:val="24"/>
          <w:szCs w:val="24"/>
        </w:rPr>
        <w:t>similar project seek</w:t>
      </w:r>
      <w:r>
        <w:rPr>
          <w:rFonts w:ascii="Calibri" w:hAnsi="Calibri" w:cs="Calibri"/>
          <w:sz w:val="24"/>
          <w:szCs w:val="24"/>
        </w:rPr>
        <w:t>ing</w:t>
      </w:r>
      <w:r w:rsidRPr="005031F6">
        <w:rPr>
          <w:rFonts w:ascii="Calibri" w:hAnsi="Calibri" w:cs="Calibri"/>
          <w:sz w:val="24"/>
          <w:szCs w:val="24"/>
        </w:rPr>
        <w:t xml:space="preserve"> to draw out variations between class or gender, for example, or </w:t>
      </w:r>
      <w:r>
        <w:rPr>
          <w:rFonts w:ascii="Calibri" w:hAnsi="Calibri" w:cs="Calibri"/>
          <w:sz w:val="24"/>
          <w:szCs w:val="24"/>
        </w:rPr>
        <w:t xml:space="preserve">one that </w:t>
      </w:r>
      <w:r w:rsidRPr="005031F6">
        <w:rPr>
          <w:rFonts w:ascii="Calibri" w:hAnsi="Calibri" w:cs="Calibri"/>
          <w:sz w:val="24"/>
          <w:szCs w:val="24"/>
        </w:rPr>
        <w:t xml:space="preserve">adopts an intersectional approach would be beneficial (Davis, 2008). </w:t>
      </w:r>
      <w:r>
        <w:rPr>
          <w:rFonts w:ascii="Calibri" w:hAnsi="Calibri" w:cs="Calibri"/>
          <w:sz w:val="24"/>
          <w:szCs w:val="24"/>
        </w:rPr>
        <w:t xml:space="preserve">Furthermore, it would be </w:t>
      </w:r>
      <w:r w:rsidRPr="005031F6">
        <w:rPr>
          <w:rFonts w:ascii="Calibri" w:hAnsi="Calibri" w:cs="Calibri"/>
          <w:sz w:val="24"/>
          <w:szCs w:val="24"/>
        </w:rPr>
        <w:t xml:space="preserve">useful in future research to </w:t>
      </w:r>
      <w:r w:rsidR="00765959">
        <w:rPr>
          <w:rFonts w:ascii="Calibri" w:hAnsi="Calibri" w:cs="Calibri"/>
          <w:sz w:val="24"/>
          <w:szCs w:val="24"/>
        </w:rPr>
        <w:t>include</w:t>
      </w:r>
      <w:r w:rsidR="006A19FC">
        <w:rPr>
          <w:rFonts w:ascii="Calibri" w:hAnsi="Calibri" w:cs="Calibri"/>
          <w:sz w:val="24"/>
          <w:szCs w:val="24"/>
        </w:rPr>
        <w:t xml:space="preserve"> the</w:t>
      </w:r>
      <w:r w:rsidRPr="005031F6">
        <w:rPr>
          <w:rFonts w:ascii="Calibri" w:hAnsi="Calibri" w:cs="Calibri"/>
          <w:sz w:val="24"/>
          <w:szCs w:val="24"/>
        </w:rPr>
        <w:t xml:space="preserve"> lived experiences </w:t>
      </w:r>
      <w:r w:rsidR="006A19FC">
        <w:rPr>
          <w:rFonts w:ascii="Calibri" w:hAnsi="Calibri" w:cs="Calibri"/>
          <w:sz w:val="24"/>
          <w:szCs w:val="24"/>
        </w:rPr>
        <w:t xml:space="preserve">of </w:t>
      </w:r>
      <w:r w:rsidRPr="005031F6">
        <w:rPr>
          <w:rFonts w:ascii="Calibri" w:hAnsi="Calibri" w:cs="Calibri"/>
          <w:sz w:val="24"/>
          <w:szCs w:val="24"/>
        </w:rPr>
        <w:t>teachers teaching in the</w:t>
      </w:r>
      <w:r>
        <w:rPr>
          <w:rFonts w:ascii="Calibri" w:hAnsi="Calibri" w:cs="Calibri"/>
          <w:sz w:val="24"/>
          <w:szCs w:val="24"/>
        </w:rPr>
        <w:t xml:space="preserve"> science</w:t>
      </w:r>
      <w:r w:rsidR="0036075F">
        <w:rPr>
          <w:rFonts w:ascii="Calibri" w:hAnsi="Calibri" w:cs="Calibri"/>
          <w:sz w:val="24"/>
          <w:szCs w:val="24"/>
        </w:rPr>
        <w:t xml:space="preserve"> discipline</w:t>
      </w:r>
      <w:r w:rsidRPr="005031F6">
        <w:rPr>
          <w:rFonts w:ascii="Calibri" w:hAnsi="Calibri" w:cs="Calibri"/>
          <w:sz w:val="24"/>
          <w:szCs w:val="24"/>
        </w:rPr>
        <w:t xml:space="preserve">. The aim of such a project would </w:t>
      </w:r>
      <w:r w:rsidR="000D3234">
        <w:rPr>
          <w:rFonts w:ascii="Calibri" w:hAnsi="Calibri" w:cs="Calibri"/>
          <w:sz w:val="24"/>
          <w:szCs w:val="24"/>
        </w:rPr>
        <w:t xml:space="preserve">be </w:t>
      </w:r>
      <w:r w:rsidRPr="005031F6">
        <w:rPr>
          <w:rFonts w:ascii="Calibri" w:hAnsi="Calibri" w:cs="Calibri"/>
          <w:sz w:val="24"/>
          <w:szCs w:val="24"/>
        </w:rPr>
        <w:t>to explore variation</w:t>
      </w:r>
      <w:r w:rsidR="00FC0263">
        <w:rPr>
          <w:rFonts w:ascii="Calibri" w:hAnsi="Calibri" w:cs="Calibri"/>
          <w:sz w:val="24"/>
          <w:szCs w:val="24"/>
        </w:rPr>
        <w:t>s</w:t>
      </w:r>
      <w:r w:rsidRPr="005031F6">
        <w:rPr>
          <w:rFonts w:ascii="Calibri" w:hAnsi="Calibri" w:cs="Calibri"/>
          <w:sz w:val="24"/>
          <w:szCs w:val="24"/>
        </w:rPr>
        <w:t xml:space="preserve"> in</w:t>
      </w:r>
      <w:r w:rsidR="00F5636C">
        <w:rPr>
          <w:rFonts w:ascii="Calibri" w:hAnsi="Calibri" w:cs="Calibri"/>
          <w:sz w:val="24"/>
          <w:szCs w:val="24"/>
        </w:rPr>
        <w:t xml:space="preserve"> the dataset</w:t>
      </w:r>
      <w:r w:rsidRPr="005031F6">
        <w:rPr>
          <w:rFonts w:ascii="Calibri" w:hAnsi="Calibri" w:cs="Calibri"/>
          <w:sz w:val="24"/>
          <w:szCs w:val="24"/>
        </w:rPr>
        <w:t xml:space="preserve"> </w:t>
      </w:r>
      <w:r w:rsidR="002B1B42">
        <w:rPr>
          <w:rFonts w:ascii="Calibri" w:hAnsi="Calibri" w:cs="Calibri"/>
          <w:sz w:val="24"/>
          <w:szCs w:val="24"/>
        </w:rPr>
        <w:t xml:space="preserve">to expand on the </w:t>
      </w:r>
      <w:r w:rsidR="00825526">
        <w:rPr>
          <w:rFonts w:ascii="Calibri" w:hAnsi="Calibri" w:cs="Calibri"/>
          <w:sz w:val="24"/>
          <w:szCs w:val="24"/>
        </w:rPr>
        <w:t xml:space="preserve">current </w:t>
      </w:r>
      <w:r w:rsidRPr="005031F6">
        <w:rPr>
          <w:rFonts w:ascii="Calibri" w:hAnsi="Calibri" w:cs="Calibri"/>
          <w:sz w:val="24"/>
          <w:szCs w:val="24"/>
        </w:rPr>
        <w:t xml:space="preserve">findings. </w:t>
      </w:r>
    </w:p>
    <w:p w14:paraId="74F9EB1D" w14:textId="75B3C697" w:rsidR="00AA75A1" w:rsidRPr="00A81273" w:rsidRDefault="00AA75A1" w:rsidP="00495434">
      <w:pPr>
        <w:numPr>
          <w:ilvl w:val="0"/>
          <w:numId w:val="7"/>
        </w:numPr>
        <w:spacing w:after="160" w:line="259" w:lineRule="auto"/>
        <w:rPr>
          <w:rFonts w:ascii="Calibri" w:hAnsi="Calibri" w:cs="Calibri"/>
          <w:b/>
          <w:bCs/>
          <w:sz w:val="24"/>
          <w:szCs w:val="24"/>
        </w:rPr>
      </w:pPr>
      <w:r w:rsidRPr="005031F6">
        <w:rPr>
          <w:rFonts w:ascii="Calibri" w:hAnsi="Calibri" w:cs="Calibri"/>
          <w:sz w:val="24"/>
          <w:szCs w:val="24"/>
        </w:rPr>
        <w:t xml:space="preserve"> </w:t>
      </w:r>
      <w:r w:rsidRPr="00A81273">
        <w:rPr>
          <w:rFonts w:ascii="Calibri" w:hAnsi="Calibri" w:cs="Calibri"/>
          <w:b/>
          <w:bCs/>
          <w:sz w:val="24"/>
          <w:szCs w:val="24"/>
        </w:rPr>
        <w:t xml:space="preserve">Recruitment </w:t>
      </w:r>
      <w:r w:rsidR="00681252">
        <w:rPr>
          <w:rFonts w:ascii="Calibri" w:hAnsi="Calibri" w:cs="Calibri"/>
          <w:b/>
          <w:bCs/>
          <w:sz w:val="24"/>
          <w:szCs w:val="24"/>
        </w:rPr>
        <w:t>A</w:t>
      </w:r>
      <w:r w:rsidRPr="00A81273">
        <w:rPr>
          <w:rFonts w:ascii="Calibri" w:hAnsi="Calibri" w:cs="Calibri"/>
          <w:b/>
          <w:bCs/>
          <w:sz w:val="24"/>
          <w:szCs w:val="24"/>
        </w:rPr>
        <w:t>venues</w:t>
      </w:r>
    </w:p>
    <w:p w14:paraId="32BDA0D0" w14:textId="0C64EED6" w:rsidR="00AA75A1" w:rsidRPr="005031F6" w:rsidRDefault="00AA75A1" w:rsidP="002A0115">
      <w:pPr>
        <w:spacing w:line="360" w:lineRule="auto"/>
        <w:rPr>
          <w:rFonts w:ascii="Calibri" w:hAnsi="Calibri" w:cs="Calibri"/>
          <w:sz w:val="24"/>
          <w:szCs w:val="24"/>
        </w:rPr>
      </w:pPr>
      <w:r w:rsidRPr="00B25B2E">
        <w:rPr>
          <w:rFonts w:ascii="Calibri" w:hAnsi="Calibri" w:cs="Calibri"/>
          <w:sz w:val="24"/>
          <w:szCs w:val="24"/>
        </w:rPr>
        <w:t xml:space="preserve">The difficulty of recruitment was overcome by meeting recruitment </w:t>
      </w:r>
      <w:r>
        <w:rPr>
          <w:rFonts w:ascii="Calibri" w:hAnsi="Calibri" w:cs="Calibri"/>
          <w:sz w:val="24"/>
          <w:szCs w:val="24"/>
        </w:rPr>
        <w:t xml:space="preserve">gatekeepers and enablers </w:t>
      </w:r>
      <w:r w:rsidRPr="00B25B2E">
        <w:rPr>
          <w:rFonts w:ascii="Calibri" w:hAnsi="Calibri" w:cs="Calibri"/>
          <w:sz w:val="24"/>
          <w:szCs w:val="24"/>
        </w:rPr>
        <w:t xml:space="preserve">in person, </w:t>
      </w:r>
      <w:r>
        <w:rPr>
          <w:rFonts w:ascii="Calibri" w:hAnsi="Calibri" w:cs="Calibri"/>
          <w:sz w:val="24"/>
          <w:szCs w:val="24"/>
        </w:rPr>
        <w:t xml:space="preserve">and I have learnt that a cold calling approach to recruitment sources for a study that is deeply personal in nature requires a personal touch. </w:t>
      </w:r>
      <w:r w:rsidRPr="005031F6">
        <w:rPr>
          <w:rFonts w:ascii="Calibri" w:hAnsi="Calibri" w:cs="Calibri"/>
          <w:sz w:val="24"/>
          <w:szCs w:val="24"/>
        </w:rPr>
        <w:t>I am mindful that participant recruitment sources both had research interests in the affect domains which may have biased uptake of participants</w:t>
      </w:r>
      <w:r>
        <w:rPr>
          <w:rFonts w:ascii="Calibri" w:hAnsi="Calibri" w:cs="Calibri"/>
          <w:sz w:val="24"/>
          <w:szCs w:val="24"/>
        </w:rPr>
        <w:t xml:space="preserve">: one </w:t>
      </w:r>
      <w:r w:rsidRPr="005031F6">
        <w:rPr>
          <w:rFonts w:ascii="Calibri" w:hAnsi="Calibri" w:cs="Calibri"/>
          <w:sz w:val="24"/>
          <w:szCs w:val="24"/>
        </w:rPr>
        <w:t xml:space="preserve">taught restorative supervision and midwifery, and the other was a psychotherapist with a doctorate in education.  Although these recruitment avenues could limit demographic and ethnic diversity, this research does portray a rich array of lived experiences and demonstrates a level of complexity not visible within other studies that prioritise positivist methods. </w:t>
      </w:r>
    </w:p>
    <w:p w14:paraId="2FCF06FB" w14:textId="674C2082" w:rsidR="00AA75A1" w:rsidRPr="00A81273" w:rsidRDefault="00AA75A1" w:rsidP="00495434">
      <w:pPr>
        <w:numPr>
          <w:ilvl w:val="0"/>
          <w:numId w:val="7"/>
        </w:numPr>
        <w:spacing w:after="160" w:line="259" w:lineRule="auto"/>
        <w:rPr>
          <w:rFonts w:ascii="Calibri" w:hAnsi="Calibri" w:cs="Calibri"/>
          <w:b/>
          <w:bCs/>
          <w:sz w:val="24"/>
          <w:szCs w:val="24"/>
        </w:rPr>
      </w:pPr>
      <w:r w:rsidRPr="00A81273">
        <w:rPr>
          <w:rFonts w:ascii="Calibri" w:hAnsi="Calibri" w:cs="Calibri"/>
          <w:b/>
          <w:bCs/>
          <w:sz w:val="24"/>
          <w:szCs w:val="24"/>
        </w:rPr>
        <w:lastRenderedPageBreak/>
        <w:t xml:space="preserve">The </w:t>
      </w:r>
      <w:r w:rsidR="00681252">
        <w:rPr>
          <w:rFonts w:ascii="Calibri" w:hAnsi="Calibri" w:cs="Calibri"/>
          <w:b/>
          <w:bCs/>
          <w:sz w:val="24"/>
          <w:szCs w:val="24"/>
        </w:rPr>
        <w:t>C</w:t>
      </w:r>
      <w:r w:rsidRPr="00A81273">
        <w:rPr>
          <w:rFonts w:ascii="Calibri" w:hAnsi="Calibri" w:cs="Calibri"/>
          <w:b/>
          <w:bCs/>
          <w:sz w:val="24"/>
          <w:szCs w:val="24"/>
        </w:rPr>
        <w:t xml:space="preserve">onceptual </w:t>
      </w:r>
      <w:r w:rsidR="00681252">
        <w:rPr>
          <w:rFonts w:ascii="Calibri" w:hAnsi="Calibri" w:cs="Calibri"/>
          <w:b/>
          <w:bCs/>
          <w:sz w:val="24"/>
          <w:szCs w:val="24"/>
        </w:rPr>
        <w:t>F</w:t>
      </w:r>
      <w:r w:rsidRPr="00A81273">
        <w:rPr>
          <w:rFonts w:ascii="Calibri" w:hAnsi="Calibri" w:cs="Calibri"/>
          <w:b/>
          <w:bCs/>
          <w:sz w:val="24"/>
          <w:szCs w:val="24"/>
        </w:rPr>
        <w:t>ramework</w:t>
      </w:r>
    </w:p>
    <w:p w14:paraId="1B2C7ED6" w14:textId="77777777" w:rsidR="00035AF1" w:rsidRDefault="00AA75A1" w:rsidP="009C136F">
      <w:pPr>
        <w:spacing w:line="360" w:lineRule="auto"/>
        <w:rPr>
          <w:rFonts w:ascii="Calibri" w:hAnsi="Calibri" w:cs="Calibri"/>
          <w:sz w:val="24"/>
          <w:szCs w:val="24"/>
        </w:rPr>
      </w:pPr>
      <w:r w:rsidRPr="005031F6">
        <w:rPr>
          <w:rFonts w:ascii="Calibri" w:hAnsi="Calibri" w:cs="Calibri"/>
          <w:sz w:val="24"/>
          <w:szCs w:val="24"/>
        </w:rPr>
        <w:t>A depth pedagogy conceptual framework</w:t>
      </w:r>
      <w:r w:rsidRPr="00167546">
        <w:rPr>
          <w:rFonts w:ascii="Calibri" w:hAnsi="Calibri" w:cs="Calibri"/>
          <w:sz w:val="24"/>
          <w:szCs w:val="24"/>
        </w:rPr>
        <w:t xml:space="preserve"> seek</w:t>
      </w:r>
      <w:r>
        <w:rPr>
          <w:rFonts w:ascii="Calibri" w:hAnsi="Calibri" w:cs="Calibri"/>
          <w:sz w:val="24"/>
          <w:szCs w:val="24"/>
        </w:rPr>
        <w:t>ing</w:t>
      </w:r>
      <w:r w:rsidRPr="00167546">
        <w:rPr>
          <w:rFonts w:ascii="Calibri" w:hAnsi="Calibri" w:cs="Calibri"/>
          <w:sz w:val="24"/>
          <w:szCs w:val="24"/>
        </w:rPr>
        <w:t xml:space="preserve"> to </w:t>
      </w:r>
      <w:r w:rsidR="00A04D41">
        <w:rPr>
          <w:rFonts w:ascii="Calibri" w:hAnsi="Calibri" w:cs="Calibri"/>
          <w:sz w:val="24"/>
          <w:szCs w:val="24"/>
        </w:rPr>
        <w:t xml:space="preserve">inform and change </w:t>
      </w:r>
      <w:r w:rsidRPr="00167546">
        <w:rPr>
          <w:rFonts w:ascii="Calibri" w:hAnsi="Calibri" w:cs="Calibri"/>
          <w:sz w:val="24"/>
          <w:szCs w:val="24"/>
        </w:rPr>
        <w:t>public awareness</w:t>
      </w:r>
      <w:r w:rsidR="00A04D41">
        <w:rPr>
          <w:rFonts w:ascii="Calibri" w:hAnsi="Calibri" w:cs="Calibri"/>
          <w:sz w:val="24"/>
          <w:szCs w:val="24"/>
        </w:rPr>
        <w:t>,</w:t>
      </w:r>
      <w:r w:rsidRPr="00167546">
        <w:rPr>
          <w:rFonts w:ascii="Calibri" w:hAnsi="Calibri" w:cs="Calibri"/>
          <w:sz w:val="24"/>
          <w:szCs w:val="24"/>
        </w:rPr>
        <w:t xml:space="preserve"> and </w:t>
      </w:r>
      <w:r w:rsidR="00681252">
        <w:rPr>
          <w:rFonts w:ascii="Calibri" w:hAnsi="Calibri" w:cs="Calibri"/>
          <w:sz w:val="24"/>
          <w:szCs w:val="24"/>
        </w:rPr>
        <w:t xml:space="preserve">to understand </w:t>
      </w:r>
      <w:r w:rsidRPr="00167546">
        <w:rPr>
          <w:rFonts w:ascii="Calibri" w:hAnsi="Calibri" w:cs="Calibri"/>
          <w:sz w:val="24"/>
          <w:szCs w:val="24"/>
        </w:rPr>
        <w:t xml:space="preserve">key </w:t>
      </w:r>
      <w:r w:rsidR="00BE536A">
        <w:rPr>
          <w:rFonts w:ascii="Calibri" w:hAnsi="Calibri" w:cs="Calibri"/>
          <w:sz w:val="24"/>
          <w:szCs w:val="24"/>
        </w:rPr>
        <w:t>psychosocial</w:t>
      </w:r>
      <w:r w:rsidRPr="00167546">
        <w:rPr>
          <w:rFonts w:ascii="Calibri" w:hAnsi="Calibri" w:cs="Calibri"/>
          <w:sz w:val="24"/>
          <w:szCs w:val="24"/>
        </w:rPr>
        <w:t xml:space="preserve"> issues</w:t>
      </w:r>
      <w:r w:rsidRPr="005031F6">
        <w:rPr>
          <w:rFonts w:ascii="Calibri" w:hAnsi="Calibri" w:cs="Calibri"/>
          <w:sz w:val="24"/>
          <w:szCs w:val="24"/>
        </w:rPr>
        <w:t xml:space="preserve"> has enabled a closer examination of the micro-politics of well-being </w:t>
      </w:r>
      <w:r w:rsidR="00796E71">
        <w:rPr>
          <w:rFonts w:ascii="Calibri" w:hAnsi="Calibri" w:cs="Calibri"/>
          <w:sz w:val="24"/>
          <w:szCs w:val="24"/>
        </w:rPr>
        <w:t>concerns</w:t>
      </w:r>
      <w:r w:rsidR="00136597">
        <w:rPr>
          <w:rFonts w:ascii="Calibri" w:hAnsi="Calibri" w:cs="Calibri"/>
          <w:sz w:val="24"/>
          <w:szCs w:val="24"/>
        </w:rPr>
        <w:t xml:space="preserve"> for teachers, learners and researchers in HE</w:t>
      </w:r>
      <w:r>
        <w:rPr>
          <w:rFonts w:ascii="Calibri" w:hAnsi="Calibri" w:cs="Calibri"/>
          <w:sz w:val="24"/>
          <w:szCs w:val="24"/>
        </w:rPr>
        <w:t>.</w:t>
      </w:r>
      <w:r w:rsidRPr="005031F6">
        <w:rPr>
          <w:rFonts w:ascii="Calibri" w:hAnsi="Calibri" w:cs="Calibri"/>
          <w:sz w:val="24"/>
          <w:szCs w:val="24"/>
        </w:rPr>
        <w:t xml:space="preserve"> </w:t>
      </w:r>
      <w:r>
        <w:rPr>
          <w:rFonts w:ascii="Calibri" w:hAnsi="Calibri" w:cs="Calibri"/>
          <w:sz w:val="24"/>
          <w:szCs w:val="24"/>
        </w:rPr>
        <w:t xml:space="preserve">One of the consequences of employing a </w:t>
      </w:r>
      <w:r w:rsidRPr="005031F6">
        <w:rPr>
          <w:rFonts w:ascii="Calibri" w:hAnsi="Calibri" w:cs="Calibri"/>
          <w:sz w:val="24"/>
          <w:szCs w:val="24"/>
        </w:rPr>
        <w:t xml:space="preserve">depth pedagogy approach </w:t>
      </w:r>
      <w:r>
        <w:rPr>
          <w:rFonts w:ascii="Calibri" w:hAnsi="Calibri" w:cs="Calibri"/>
          <w:sz w:val="24"/>
          <w:szCs w:val="24"/>
        </w:rPr>
        <w:t xml:space="preserve">was </w:t>
      </w:r>
      <w:r w:rsidRPr="005031F6">
        <w:rPr>
          <w:rFonts w:ascii="Calibri" w:hAnsi="Calibri" w:cs="Calibri"/>
          <w:sz w:val="24"/>
          <w:szCs w:val="24"/>
        </w:rPr>
        <w:t xml:space="preserve">the political and emotional clime within HE </w:t>
      </w:r>
      <w:r>
        <w:rPr>
          <w:rFonts w:ascii="Calibri" w:hAnsi="Calibri" w:cs="Calibri"/>
          <w:sz w:val="24"/>
          <w:szCs w:val="24"/>
        </w:rPr>
        <w:t xml:space="preserve">has been co-implicated </w:t>
      </w:r>
      <w:r w:rsidRPr="005031F6">
        <w:rPr>
          <w:rFonts w:ascii="Calibri" w:hAnsi="Calibri" w:cs="Calibri"/>
          <w:sz w:val="24"/>
          <w:szCs w:val="24"/>
        </w:rPr>
        <w:t>in the lack of support for teachers</w:t>
      </w:r>
      <w:r>
        <w:rPr>
          <w:rFonts w:ascii="Calibri" w:hAnsi="Calibri" w:cs="Calibri"/>
          <w:sz w:val="24"/>
          <w:szCs w:val="24"/>
        </w:rPr>
        <w:t xml:space="preserve"> currently found to be a </w:t>
      </w:r>
      <w:r w:rsidRPr="005031F6">
        <w:rPr>
          <w:rFonts w:ascii="Calibri" w:hAnsi="Calibri" w:cs="Calibri"/>
          <w:sz w:val="24"/>
          <w:szCs w:val="24"/>
        </w:rPr>
        <w:t xml:space="preserve">procedural offering.  </w:t>
      </w:r>
      <w:r>
        <w:rPr>
          <w:rFonts w:ascii="Calibri" w:hAnsi="Calibri" w:cs="Calibri"/>
          <w:sz w:val="24"/>
          <w:szCs w:val="24"/>
        </w:rPr>
        <w:t xml:space="preserve">This is not </w:t>
      </w:r>
      <w:r w:rsidRPr="005031F6">
        <w:rPr>
          <w:rFonts w:ascii="Calibri" w:hAnsi="Calibri" w:cs="Calibri"/>
          <w:sz w:val="24"/>
          <w:szCs w:val="24"/>
        </w:rPr>
        <w:t>to place blame solely on the university system</w:t>
      </w:r>
      <w:r>
        <w:rPr>
          <w:rFonts w:ascii="Calibri" w:hAnsi="Calibri" w:cs="Calibri"/>
          <w:sz w:val="24"/>
          <w:szCs w:val="24"/>
        </w:rPr>
        <w:t>, r</w:t>
      </w:r>
      <w:r w:rsidRPr="005031F6">
        <w:rPr>
          <w:rFonts w:ascii="Calibri" w:hAnsi="Calibri" w:cs="Calibri"/>
          <w:sz w:val="24"/>
          <w:szCs w:val="24"/>
        </w:rPr>
        <w:t>ather I have argued that business practices operating within HE establishments compromise even the possibility of encouraging reflection</w:t>
      </w:r>
      <w:r>
        <w:rPr>
          <w:rFonts w:ascii="Calibri" w:hAnsi="Calibri" w:cs="Calibri"/>
          <w:sz w:val="24"/>
          <w:szCs w:val="24"/>
        </w:rPr>
        <w:t xml:space="preserve"> on teacher support</w:t>
      </w:r>
      <w:r w:rsidRPr="005031F6">
        <w:rPr>
          <w:rFonts w:ascii="Calibri" w:hAnsi="Calibri" w:cs="Calibri"/>
          <w:sz w:val="24"/>
          <w:szCs w:val="24"/>
        </w:rPr>
        <w:t xml:space="preserve">. </w:t>
      </w:r>
    </w:p>
    <w:p w14:paraId="344BA699" w14:textId="2135773F" w:rsidR="00AA75A1" w:rsidRPr="003A570F" w:rsidRDefault="00AA75A1" w:rsidP="009C136F">
      <w:pPr>
        <w:spacing w:line="360" w:lineRule="auto"/>
        <w:rPr>
          <w:rFonts w:ascii="Calibri" w:hAnsi="Calibri" w:cs="Calibri"/>
          <w:color w:val="EE0000"/>
          <w:sz w:val="24"/>
          <w:szCs w:val="24"/>
        </w:rPr>
      </w:pPr>
      <w:r w:rsidRPr="005031F6">
        <w:rPr>
          <w:rFonts w:ascii="Calibri" w:hAnsi="Calibri" w:cs="Calibri"/>
          <w:sz w:val="24"/>
          <w:szCs w:val="24"/>
        </w:rPr>
        <w:t>Th</w:t>
      </w:r>
      <w:r>
        <w:rPr>
          <w:rFonts w:ascii="Calibri" w:hAnsi="Calibri" w:cs="Calibri"/>
          <w:sz w:val="24"/>
          <w:szCs w:val="24"/>
        </w:rPr>
        <w:t xml:space="preserve">is </w:t>
      </w:r>
      <w:r w:rsidRPr="005031F6">
        <w:rPr>
          <w:rFonts w:ascii="Calibri" w:hAnsi="Calibri" w:cs="Calibri"/>
          <w:sz w:val="24"/>
          <w:szCs w:val="24"/>
        </w:rPr>
        <w:t>study argu</w:t>
      </w:r>
      <w:r>
        <w:rPr>
          <w:rFonts w:ascii="Calibri" w:hAnsi="Calibri" w:cs="Calibri"/>
          <w:sz w:val="24"/>
          <w:szCs w:val="24"/>
        </w:rPr>
        <w:t>es</w:t>
      </w:r>
      <w:r w:rsidRPr="005031F6">
        <w:rPr>
          <w:rFonts w:ascii="Calibri" w:hAnsi="Calibri" w:cs="Calibri"/>
          <w:sz w:val="24"/>
          <w:szCs w:val="24"/>
        </w:rPr>
        <w:t xml:space="preserve"> for increasing support provision for HE teachers and the promotion of a non-judgemental culture where support is not stigmatised. For this to be operationalised, elements of the business culture would need to be more open, trustworthy and relational</w:t>
      </w:r>
      <w:r>
        <w:rPr>
          <w:rFonts w:ascii="Calibri" w:hAnsi="Calibri" w:cs="Calibri"/>
          <w:sz w:val="24"/>
          <w:szCs w:val="24"/>
        </w:rPr>
        <w:t>. U</w:t>
      </w:r>
      <w:r w:rsidRPr="005031F6">
        <w:rPr>
          <w:rFonts w:ascii="Calibri" w:hAnsi="Calibri" w:cs="Calibri"/>
          <w:sz w:val="24"/>
          <w:szCs w:val="24"/>
        </w:rPr>
        <w:t>ntil that point teachers may not be able to</w:t>
      </w:r>
      <w:r w:rsidR="00280F6F">
        <w:rPr>
          <w:rFonts w:ascii="Calibri" w:hAnsi="Calibri" w:cs="Calibri"/>
          <w:sz w:val="24"/>
          <w:szCs w:val="24"/>
        </w:rPr>
        <w:t xml:space="preserve"> </w:t>
      </w:r>
      <w:r w:rsidR="00D975DC">
        <w:rPr>
          <w:rFonts w:ascii="Calibri" w:hAnsi="Calibri" w:cs="Calibri"/>
          <w:sz w:val="24"/>
          <w:szCs w:val="24"/>
        </w:rPr>
        <w:t xml:space="preserve">rely on </w:t>
      </w:r>
      <w:r w:rsidRPr="005031F6">
        <w:rPr>
          <w:rFonts w:ascii="Calibri" w:hAnsi="Calibri" w:cs="Calibri"/>
          <w:sz w:val="24"/>
          <w:szCs w:val="24"/>
        </w:rPr>
        <w:t xml:space="preserve">their employers for support. </w:t>
      </w:r>
      <w:r>
        <w:rPr>
          <w:rFonts w:ascii="Calibri" w:hAnsi="Calibri" w:cs="Calibri"/>
          <w:sz w:val="24"/>
          <w:szCs w:val="24"/>
        </w:rPr>
        <w:t xml:space="preserve">In this sense, a depth pedagogy framework enabled a powerful elicitation of what is missing in the political, emotional and business climes of universities. </w:t>
      </w:r>
    </w:p>
    <w:p w14:paraId="3FBDE6C1" w14:textId="77777777" w:rsidR="007A0210" w:rsidRDefault="00AA75A1" w:rsidP="009C136F">
      <w:pPr>
        <w:spacing w:line="360" w:lineRule="auto"/>
        <w:rPr>
          <w:rFonts w:ascii="Calibri" w:hAnsi="Calibri" w:cs="Calibri"/>
          <w:sz w:val="24"/>
          <w:szCs w:val="24"/>
        </w:rPr>
      </w:pPr>
      <w:r w:rsidRPr="005031F6">
        <w:rPr>
          <w:rFonts w:ascii="Calibri" w:hAnsi="Calibri" w:cs="Calibri"/>
          <w:sz w:val="24"/>
          <w:szCs w:val="24"/>
        </w:rPr>
        <w:t>The</w:t>
      </w:r>
      <w:r w:rsidR="00AC1A24">
        <w:rPr>
          <w:rFonts w:ascii="Calibri" w:hAnsi="Calibri" w:cs="Calibri"/>
          <w:sz w:val="24"/>
          <w:szCs w:val="24"/>
        </w:rPr>
        <w:t xml:space="preserve"> depth pedagogy</w:t>
      </w:r>
      <w:r w:rsidRPr="005031F6">
        <w:rPr>
          <w:rFonts w:ascii="Calibri" w:hAnsi="Calibri" w:cs="Calibri"/>
          <w:sz w:val="24"/>
          <w:szCs w:val="24"/>
        </w:rPr>
        <w:t xml:space="preserve"> conceptual framework has enabled a new </w:t>
      </w:r>
      <w:r w:rsidR="00264BE9">
        <w:rPr>
          <w:rFonts w:ascii="Calibri" w:hAnsi="Calibri" w:cs="Calibri"/>
          <w:sz w:val="24"/>
          <w:szCs w:val="24"/>
        </w:rPr>
        <w:t>approach to</w:t>
      </w:r>
      <w:r w:rsidRPr="005031F6">
        <w:rPr>
          <w:rFonts w:ascii="Calibri" w:hAnsi="Calibri" w:cs="Calibri"/>
          <w:sz w:val="24"/>
          <w:szCs w:val="24"/>
        </w:rPr>
        <w:t xml:space="preserve"> supervision, reflective practice, holding and </w:t>
      </w:r>
      <w:r w:rsidR="006646A9">
        <w:rPr>
          <w:rFonts w:ascii="Calibri" w:hAnsi="Calibri" w:cs="Calibri"/>
          <w:sz w:val="24"/>
          <w:szCs w:val="24"/>
        </w:rPr>
        <w:t xml:space="preserve">the </w:t>
      </w:r>
      <w:r w:rsidRPr="005031F6">
        <w:rPr>
          <w:rFonts w:ascii="Calibri" w:hAnsi="Calibri" w:cs="Calibri"/>
          <w:sz w:val="24"/>
          <w:szCs w:val="24"/>
        </w:rPr>
        <w:t>stories teachers can tell. A hero’s journey was reached through the schema of stories and storytelling</w:t>
      </w:r>
      <w:r>
        <w:rPr>
          <w:rFonts w:ascii="Calibri" w:hAnsi="Calibri" w:cs="Calibri"/>
          <w:sz w:val="24"/>
          <w:szCs w:val="24"/>
        </w:rPr>
        <w:t xml:space="preserve"> and </w:t>
      </w:r>
      <w:r w:rsidRPr="00766224">
        <w:rPr>
          <w:rFonts w:ascii="Calibri" w:hAnsi="Calibri" w:cs="Calibri"/>
          <w:sz w:val="24"/>
          <w:szCs w:val="24"/>
        </w:rPr>
        <w:t xml:space="preserve">was helpful in reading, identifying and tracking the arduous nature of </w:t>
      </w:r>
      <w:r>
        <w:rPr>
          <w:rFonts w:ascii="Calibri" w:hAnsi="Calibri" w:cs="Calibri"/>
          <w:sz w:val="24"/>
          <w:szCs w:val="24"/>
        </w:rPr>
        <w:t xml:space="preserve">teacher training journeys of three </w:t>
      </w:r>
      <w:r w:rsidRPr="005031F6">
        <w:rPr>
          <w:rFonts w:ascii="Calibri" w:hAnsi="Calibri" w:cs="Calibri"/>
          <w:sz w:val="24"/>
          <w:szCs w:val="24"/>
        </w:rPr>
        <w:t xml:space="preserve">adult returners. Where the model proved unsatisfactory was the application of the hero’s journey to all participants as not all had experienced </w:t>
      </w:r>
      <w:r w:rsidR="004A1BB7">
        <w:rPr>
          <w:rFonts w:ascii="Calibri" w:hAnsi="Calibri" w:cs="Calibri"/>
          <w:sz w:val="24"/>
          <w:szCs w:val="24"/>
        </w:rPr>
        <w:t xml:space="preserve">harrowing or arduous </w:t>
      </w:r>
      <w:r w:rsidRPr="005031F6">
        <w:rPr>
          <w:rFonts w:ascii="Calibri" w:hAnsi="Calibri" w:cs="Calibri"/>
          <w:sz w:val="24"/>
          <w:szCs w:val="24"/>
        </w:rPr>
        <w:t xml:space="preserve">difficulties. Furthermore, the </w:t>
      </w:r>
      <w:r w:rsidR="00C92889">
        <w:rPr>
          <w:rFonts w:ascii="Calibri" w:hAnsi="Calibri" w:cs="Calibri"/>
          <w:sz w:val="24"/>
          <w:szCs w:val="24"/>
        </w:rPr>
        <w:t xml:space="preserve">term </w:t>
      </w:r>
      <w:r w:rsidRPr="005031F6">
        <w:rPr>
          <w:rFonts w:ascii="Calibri" w:hAnsi="Calibri" w:cs="Calibri"/>
          <w:sz w:val="24"/>
          <w:szCs w:val="24"/>
        </w:rPr>
        <w:t>hero’s journey implies masculine qualities are needed by the hero</w:t>
      </w:r>
      <w:r w:rsidR="00C92889">
        <w:rPr>
          <w:rFonts w:ascii="Calibri" w:hAnsi="Calibri" w:cs="Calibri"/>
          <w:sz w:val="24"/>
          <w:szCs w:val="24"/>
        </w:rPr>
        <w:t>,</w:t>
      </w:r>
      <w:r w:rsidRPr="005031F6">
        <w:rPr>
          <w:rFonts w:ascii="Calibri" w:hAnsi="Calibri" w:cs="Calibri"/>
          <w:sz w:val="24"/>
          <w:szCs w:val="24"/>
        </w:rPr>
        <w:t xml:space="preserve"> when indeed feminine qualities of care were prominent in the relational qualities all the participants embodied. </w:t>
      </w:r>
    </w:p>
    <w:p w14:paraId="4B3F6D5A" w14:textId="4705ACAB" w:rsidR="00E26D9E" w:rsidRPr="001F74B8" w:rsidRDefault="00AA75A1" w:rsidP="009C136F">
      <w:pPr>
        <w:spacing w:line="360" w:lineRule="auto"/>
        <w:rPr>
          <w:rFonts w:ascii="Calibri" w:hAnsi="Calibri" w:cs="Calibri"/>
          <w:sz w:val="24"/>
          <w:szCs w:val="24"/>
          <w:lang w:val="en-US"/>
        </w:rPr>
      </w:pPr>
      <w:r w:rsidRPr="005031F6">
        <w:rPr>
          <w:rFonts w:ascii="Calibri" w:hAnsi="Calibri" w:cs="Calibri"/>
          <w:sz w:val="24"/>
          <w:szCs w:val="24"/>
        </w:rPr>
        <w:t>I would therefore propose a new model if future research were to be undertak</w:t>
      </w:r>
      <w:r>
        <w:rPr>
          <w:rFonts w:ascii="Calibri" w:hAnsi="Calibri" w:cs="Calibri"/>
          <w:sz w:val="24"/>
          <w:szCs w:val="24"/>
        </w:rPr>
        <w:t>en</w:t>
      </w:r>
      <w:r w:rsidRPr="005031F6">
        <w:rPr>
          <w:rFonts w:ascii="Calibri" w:hAnsi="Calibri" w:cs="Calibri"/>
          <w:sz w:val="24"/>
          <w:szCs w:val="24"/>
        </w:rPr>
        <w:t xml:space="preserve"> such as </w:t>
      </w:r>
      <w:r w:rsidRPr="005031F6">
        <w:rPr>
          <w:rFonts w:ascii="Calibri" w:hAnsi="Calibri" w:cs="Calibri"/>
          <w:sz w:val="24"/>
          <w:szCs w:val="24"/>
          <w:lang w:val="en-US"/>
        </w:rPr>
        <w:t>the heroine’s journey cycle (Murdock, 2020)</w:t>
      </w:r>
      <w:r>
        <w:rPr>
          <w:rFonts w:ascii="Calibri" w:hAnsi="Calibri" w:cs="Calibri"/>
          <w:sz w:val="24"/>
          <w:szCs w:val="24"/>
          <w:lang w:val="en-US"/>
        </w:rPr>
        <w:t xml:space="preserve">. This would be </w:t>
      </w:r>
      <w:r w:rsidRPr="005031F6">
        <w:rPr>
          <w:rFonts w:ascii="Calibri" w:hAnsi="Calibri" w:cs="Calibri"/>
          <w:sz w:val="24"/>
          <w:szCs w:val="24"/>
          <w:lang w:val="en-US"/>
        </w:rPr>
        <w:t>based on separation, initiation and return which values life cycles of the feminine from a perspective of an ethic of care</w:t>
      </w:r>
      <w:r>
        <w:rPr>
          <w:rFonts w:ascii="Calibri" w:hAnsi="Calibri" w:cs="Calibri"/>
          <w:sz w:val="24"/>
          <w:szCs w:val="24"/>
          <w:lang w:val="en-US"/>
        </w:rPr>
        <w:t xml:space="preserve"> (</w:t>
      </w:r>
      <w:r w:rsidR="00AB1ADC">
        <w:rPr>
          <w:rFonts w:ascii="Calibri" w:hAnsi="Calibri" w:cs="Calibri"/>
          <w:sz w:val="24"/>
          <w:szCs w:val="24"/>
          <w:lang w:val="en-US"/>
        </w:rPr>
        <w:t>ibid.</w:t>
      </w:r>
      <w:r>
        <w:rPr>
          <w:rFonts w:ascii="Calibri" w:hAnsi="Calibri" w:cs="Calibri"/>
          <w:sz w:val="24"/>
          <w:szCs w:val="24"/>
          <w:lang w:val="en-US"/>
        </w:rPr>
        <w:t xml:space="preserve">). </w:t>
      </w:r>
      <w:r w:rsidRPr="005031F6">
        <w:rPr>
          <w:rFonts w:ascii="Calibri" w:hAnsi="Calibri" w:cs="Calibri"/>
          <w:sz w:val="24"/>
          <w:szCs w:val="24"/>
          <w:lang w:val="en-US"/>
        </w:rPr>
        <w:t xml:space="preserve">I read the feminine as </w:t>
      </w:r>
      <w:r w:rsidRPr="005031F6">
        <w:rPr>
          <w:rFonts w:ascii="Calibri" w:hAnsi="Calibri" w:cs="Calibri"/>
          <w:i/>
          <w:iCs/>
          <w:sz w:val="24"/>
          <w:szCs w:val="24"/>
          <w:lang w:val="en-US"/>
        </w:rPr>
        <w:t>anima</w:t>
      </w:r>
      <w:r w:rsidRPr="005031F6">
        <w:rPr>
          <w:rFonts w:ascii="Calibri" w:hAnsi="Calibri" w:cs="Calibri"/>
          <w:sz w:val="24"/>
          <w:szCs w:val="24"/>
          <w:lang w:val="en-US"/>
        </w:rPr>
        <w:t xml:space="preserve"> (Jung, 1959), the caring principle, something lacking in the </w:t>
      </w:r>
      <w:r w:rsidRPr="005031F6">
        <w:rPr>
          <w:rFonts w:ascii="Calibri" w:hAnsi="Calibri" w:cs="Calibri"/>
          <w:i/>
          <w:iCs/>
          <w:sz w:val="24"/>
          <w:szCs w:val="24"/>
          <w:lang w:val="en-US"/>
        </w:rPr>
        <w:t>animus</w:t>
      </w:r>
      <w:r w:rsidRPr="005031F6">
        <w:rPr>
          <w:rFonts w:ascii="Calibri" w:hAnsi="Calibri" w:cs="Calibri"/>
          <w:sz w:val="24"/>
          <w:szCs w:val="24"/>
          <w:lang w:val="en-US"/>
        </w:rPr>
        <w:t xml:space="preserve"> (</w:t>
      </w:r>
      <w:r w:rsidR="00AB1ADC">
        <w:rPr>
          <w:rFonts w:ascii="Calibri" w:hAnsi="Calibri" w:cs="Calibri"/>
          <w:sz w:val="24"/>
          <w:szCs w:val="24"/>
          <w:lang w:val="en-US"/>
        </w:rPr>
        <w:t>ibid.</w:t>
      </w:r>
      <w:r w:rsidRPr="005031F6">
        <w:rPr>
          <w:rFonts w:ascii="Calibri" w:hAnsi="Calibri" w:cs="Calibri"/>
          <w:sz w:val="24"/>
          <w:szCs w:val="24"/>
          <w:lang w:val="en-US"/>
        </w:rPr>
        <w:t xml:space="preserve">), the masculine, procedural action-and-doing-and-accountability-and metrics-biased context of the university system.  Not wishing to delve too deeply into a male/female debate, my own quest for concepts sought a simplistic model that could be </w:t>
      </w:r>
      <w:r w:rsidRPr="005031F6">
        <w:rPr>
          <w:rFonts w:ascii="Calibri" w:hAnsi="Calibri" w:cs="Calibri"/>
          <w:sz w:val="24"/>
          <w:szCs w:val="24"/>
          <w:lang w:val="en-US"/>
        </w:rPr>
        <w:lastRenderedPageBreak/>
        <w:t>ubiquitously applied, and the Murdock model (2020) is a conceptual opportunity to hold in mind for future research.</w:t>
      </w:r>
    </w:p>
    <w:p w14:paraId="074F3C4B" w14:textId="0A78ABF1" w:rsidR="00AA75A1" w:rsidRPr="00A81273" w:rsidRDefault="00AA75A1" w:rsidP="00495434">
      <w:pPr>
        <w:numPr>
          <w:ilvl w:val="0"/>
          <w:numId w:val="7"/>
        </w:numPr>
        <w:spacing w:after="160" w:line="259" w:lineRule="auto"/>
        <w:rPr>
          <w:rFonts w:ascii="Calibri" w:hAnsi="Calibri" w:cs="Calibri"/>
          <w:b/>
          <w:bCs/>
          <w:sz w:val="24"/>
          <w:szCs w:val="24"/>
          <w:lang w:val="en-US"/>
        </w:rPr>
      </w:pPr>
      <w:r w:rsidRPr="00A81273">
        <w:rPr>
          <w:rFonts w:ascii="Calibri" w:hAnsi="Calibri" w:cs="Calibri"/>
          <w:b/>
          <w:bCs/>
          <w:sz w:val="24"/>
          <w:szCs w:val="24"/>
          <w:lang w:val="en-US"/>
        </w:rPr>
        <w:t xml:space="preserve">The Researcher and </w:t>
      </w:r>
      <w:r w:rsidR="00681252">
        <w:rPr>
          <w:rFonts w:ascii="Calibri" w:hAnsi="Calibri" w:cs="Calibri"/>
          <w:b/>
          <w:bCs/>
          <w:sz w:val="24"/>
          <w:szCs w:val="24"/>
          <w:lang w:val="en-US"/>
        </w:rPr>
        <w:t>Bias</w:t>
      </w:r>
    </w:p>
    <w:p w14:paraId="05C8B8FB" w14:textId="6B779DD9" w:rsidR="00AA75A1" w:rsidRDefault="00AA75A1" w:rsidP="00EC14BF">
      <w:pPr>
        <w:spacing w:line="360" w:lineRule="auto"/>
        <w:rPr>
          <w:rFonts w:ascii="Calibri" w:hAnsi="Calibri" w:cs="Calibri"/>
          <w:sz w:val="24"/>
          <w:szCs w:val="24"/>
          <w:lang w:val="en-US"/>
        </w:rPr>
      </w:pPr>
      <w:r>
        <w:rPr>
          <w:rFonts w:ascii="Calibri" w:hAnsi="Calibri" w:cs="Calibri"/>
          <w:sz w:val="24"/>
          <w:szCs w:val="24"/>
          <w:lang w:val="en-US"/>
        </w:rPr>
        <w:t xml:space="preserve">The </w:t>
      </w:r>
      <w:r w:rsidRPr="005031F6">
        <w:rPr>
          <w:rFonts w:ascii="Calibri" w:hAnsi="Calibri" w:cs="Calibri"/>
          <w:sz w:val="24"/>
          <w:szCs w:val="24"/>
          <w:lang w:val="en-US"/>
        </w:rPr>
        <w:t>epistemology, passion</w:t>
      </w:r>
      <w:r>
        <w:rPr>
          <w:rFonts w:ascii="Calibri" w:hAnsi="Calibri" w:cs="Calibri"/>
          <w:sz w:val="24"/>
          <w:szCs w:val="24"/>
          <w:lang w:val="en-US"/>
        </w:rPr>
        <w:t xml:space="preserve"> and motivations of the researcher are far from neutral, and I recognize that bias came into play when reading the data. For example, the difficult experiences of the three adult returners mirrored </w:t>
      </w:r>
      <w:r w:rsidR="006974A2">
        <w:rPr>
          <w:rFonts w:ascii="Calibri" w:hAnsi="Calibri" w:cs="Calibri"/>
          <w:sz w:val="24"/>
          <w:szCs w:val="24"/>
          <w:lang w:val="en-US"/>
        </w:rPr>
        <w:t xml:space="preserve">some of </w:t>
      </w:r>
      <w:r>
        <w:rPr>
          <w:rFonts w:ascii="Calibri" w:hAnsi="Calibri" w:cs="Calibri"/>
          <w:sz w:val="24"/>
          <w:szCs w:val="24"/>
          <w:lang w:val="en-US"/>
        </w:rPr>
        <w:t>my personal experiences as an adult returner. Continuous dialogue with my research supervisors ensured bias was minimized, boundaries upheld and equal attention given to all participants’ stories</w:t>
      </w:r>
      <w:r w:rsidRPr="005031F6">
        <w:rPr>
          <w:rFonts w:ascii="Calibri" w:hAnsi="Calibri" w:cs="Calibri"/>
          <w:sz w:val="24"/>
          <w:szCs w:val="24"/>
          <w:lang w:val="en-US"/>
        </w:rPr>
        <w:t xml:space="preserve">. </w:t>
      </w:r>
      <w:r w:rsidR="004D1CAC">
        <w:rPr>
          <w:rFonts w:ascii="Calibri" w:hAnsi="Calibri" w:cs="Calibri"/>
          <w:sz w:val="24"/>
          <w:szCs w:val="24"/>
          <w:lang w:val="en-US"/>
        </w:rPr>
        <w:t xml:space="preserve">Notably a </w:t>
      </w:r>
      <w:r w:rsidRPr="005031F6">
        <w:rPr>
          <w:rFonts w:ascii="Calibri" w:hAnsi="Calibri" w:cs="Calibri"/>
          <w:sz w:val="24"/>
          <w:szCs w:val="24"/>
          <w:lang w:val="en-US"/>
        </w:rPr>
        <w:t xml:space="preserve">limitation imposed </w:t>
      </w:r>
      <w:r>
        <w:rPr>
          <w:rFonts w:ascii="Calibri" w:hAnsi="Calibri" w:cs="Calibri"/>
          <w:sz w:val="24"/>
          <w:szCs w:val="24"/>
          <w:lang w:val="en-US"/>
        </w:rPr>
        <w:t xml:space="preserve">upon the research at the outset was that of </w:t>
      </w:r>
      <w:r w:rsidR="00EF1E1C">
        <w:rPr>
          <w:rFonts w:ascii="Calibri" w:hAnsi="Calibri" w:cs="Calibri"/>
          <w:sz w:val="24"/>
          <w:szCs w:val="24"/>
          <w:lang w:val="en-US"/>
        </w:rPr>
        <w:t xml:space="preserve">a </w:t>
      </w:r>
      <w:r>
        <w:rPr>
          <w:rFonts w:ascii="Calibri" w:hAnsi="Calibri" w:cs="Calibri"/>
          <w:sz w:val="24"/>
          <w:szCs w:val="24"/>
          <w:lang w:val="en-US"/>
        </w:rPr>
        <w:t xml:space="preserve">potential bias towards a psychotherapist conducting research. Changing </w:t>
      </w:r>
      <w:r w:rsidRPr="008245D9">
        <w:rPr>
          <w:rFonts w:ascii="Calibri" w:hAnsi="Calibri" w:cs="Calibri"/>
          <w:sz w:val="24"/>
          <w:szCs w:val="24"/>
          <w:lang w:val="en-US"/>
        </w:rPr>
        <w:t xml:space="preserve">attitudes towards the psychotherapy profession </w:t>
      </w:r>
      <w:r>
        <w:rPr>
          <w:rFonts w:ascii="Calibri" w:hAnsi="Calibri" w:cs="Calibri"/>
          <w:sz w:val="24"/>
          <w:szCs w:val="24"/>
          <w:lang w:val="en-US"/>
        </w:rPr>
        <w:t>is</w:t>
      </w:r>
      <w:r w:rsidRPr="008245D9">
        <w:rPr>
          <w:rFonts w:ascii="Calibri" w:hAnsi="Calibri" w:cs="Calibri"/>
          <w:sz w:val="24"/>
          <w:szCs w:val="24"/>
          <w:lang w:val="en-US"/>
        </w:rPr>
        <w:t xml:space="preserve"> not the role of a singular person</w:t>
      </w:r>
      <w:r>
        <w:rPr>
          <w:rFonts w:ascii="Calibri" w:hAnsi="Calibri" w:cs="Calibri"/>
          <w:sz w:val="24"/>
          <w:szCs w:val="24"/>
          <w:lang w:val="en-US"/>
        </w:rPr>
        <w:t xml:space="preserve"> and </w:t>
      </w:r>
      <w:r w:rsidRPr="008245D9">
        <w:rPr>
          <w:rFonts w:ascii="Calibri" w:hAnsi="Calibri" w:cs="Calibri"/>
          <w:sz w:val="24"/>
          <w:szCs w:val="24"/>
          <w:lang w:val="en-US"/>
        </w:rPr>
        <w:t>involves a collective endeavor</w:t>
      </w:r>
      <w:r>
        <w:rPr>
          <w:rFonts w:ascii="Calibri" w:hAnsi="Calibri" w:cs="Calibri"/>
          <w:sz w:val="24"/>
          <w:szCs w:val="24"/>
          <w:lang w:val="en-US"/>
        </w:rPr>
        <w:t xml:space="preserve"> to dispel any myths.</w:t>
      </w:r>
      <w:r w:rsidRPr="00343D9B">
        <w:rPr>
          <w:rFonts w:ascii="Calibri" w:hAnsi="Calibri" w:cs="Calibri"/>
          <w:sz w:val="24"/>
          <w:szCs w:val="24"/>
          <w:lang w:val="en-US"/>
        </w:rPr>
        <w:t xml:space="preserve"> </w:t>
      </w:r>
      <w:r>
        <w:rPr>
          <w:rFonts w:ascii="Calibri" w:hAnsi="Calibri" w:cs="Calibri"/>
          <w:sz w:val="24"/>
          <w:szCs w:val="24"/>
          <w:lang w:val="en-US"/>
        </w:rPr>
        <w:t xml:space="preserve">This study plays a part in the dispelling of </w:t>
      </w:r>
      <w:r w:rsidR="00F10B13">
        <w:rPr>
          <w:rFonts w:ascii="Calibri" w:hAnsi="Calibri" w:cs="Calibri"/>
          <w:sz w:val="24"/>
          <w:szCs w:val="24"/>
          <w:lang w:val="en-US"/>
        </w:rPr>
        <w:t>such</w:t>
      </w:r>
      <w:r>
        <w:rPr>
          <w:rFonts w:ascii="Calibri" w:hAnsi="Calibri" w:cs="Calibri"/>
          <w:sz w:val="24"/>
          <w:szCs w:val="24"/>
          <w:lang w:val="en-US"/>
        </w:rPr>
        <w:t xml:space="preserve"> myths. </w:t>
      </w:r>
    </w:p>
    <w:p w14:paraId="006D1D59" w14:textId="77777777" w:rsidR="00AA75A1" w:rsidRPr="005031F6" w:rsidRDefault="00AA75A1" w:rsidP="00EC14BF">
      <w:pPr>
        <w:spacing w:line="360" w:lineRule="auto"/>
        <w:rPr>
          <w:rFonts w:ascii="Calibri" w:hAnsi="Calibri" w:cs="Calibri"/>
          <w:sz w:val="24"/>
          <w:szCs w:val="24"/>
          <w:lang w:val="en-US"/>
        </w:rPr>
      </w:pPr>
      <w:r w:rsidRPr="00343D9B">
        <w:rPr>
          <w:rFonts w:ascii="Calibri" w:hAnsi="Calibri" w:cs="Calibri"/>
          <w:sz w:val="24"/>
          <w:szCs w:val="24"/>
          <w:lang w:val="en-US"/>
        </w:rPr>
        <w:t>What is not known is if the uptake of research was negatively impacted by being conducted by a psychotherapist.</w:t>
      </w:r>
      <w:r>
        <w:rPr>
          <w:rFonts w:ascii="Calibri" w:hAnsi="Calibri" w:cs="Calibri"/>
          <w:sz w:val="24"/>
          <w:szCs w:val="24"/>
          <w:lang w:val="en-US"/>
        </w:rPr>
        <w:t xml:space="preserve"> The mechanism of supervision in psychotherapeutic work forms part of mitigating against any potential boundary confusion or infringement, and the same applies to the role of research supervision. At no point in the research were these boundaries crossed. </w:t>
      </w:r>
    </w:p>
    <w:p w14:paraId="750BA097" w14:textId="77777777" w:rsidR="00AA75A1" w:rsidRPr="00A81273" w:rsidRDefault="00AA75A1" w:rsidP="00495434">
      <w:pPr>
        <w:numPr>
          <w:ilvl w:val="0"/>
          <w:numId w:val="7"/>
        </w:numPr>
        <w:spacing w:after="160" w:line="259" w:lineRule="auto"/>
        <w:rPr>
          <w:rFonts w:ascii="Calibri" w:hAnsi="Calibri" w:cs="Calibri"/>
          <w:b/>
          <w:bCs/>
          <w:sz w:val="24"/>
          <w:szCs w:val="24"/>
        </w:rPr>
      </w:pPr>
      <w:r w:rsidRPr="00A81273">
        <w:rPr>
          <w:rFonts w:ascii="Calibri" w:hAnsi="Calibri" w:cs="Calibri"/>
          <w:b/>
          <w:bCs/>
          <w:sz w:val="24"/>
          <w:szCs w:val="24"/>
        </w:rPr>
        <w:t>Methodology</w:t>
      </w:r>
    </w:p>
    <w:p w14:paraId="5A1CC913" w14:textId="13A3DEE1" w:rsidR="00AA75A1" w:rsidRDefault="00AA75A1" w:rsidP="00E20C82">
      <w:pPr>
        <w:spacing w:line="360" w:lineRule="auto"/>
        <w:rPr>
          <w:rFonts w:ascii="Calibri" w:hAnsi="Calibri" w:cs="Calibri"/>
          <w:sz w:val="24"/>
        </w:rPr>
      </w:pPr>
      <w:r>
        <w:rPr>
          <w:rFonts w:ascii="Calibri" w:hAnsi="Calibri" w:cs="Calibri"/>
          <w:sz w:val="24"/>
          <w:szCs w:val="24"/>
        </w:rPr>
        <w:t xml:space="preserve">The use of </w:t>
      </w:r>
      <w:r w:rsidRPr="005031F6">
        <w:rPr>
          <w:rFonts w:ascii="Calibri" w:hAnsi="Calibri" w:cs="Calibri"/>
          <w:sz w:val="24"/>
          <w:szCs w:val="24"/>
        </w:rPr>
        <w:t xml:space="preserve">narrative interviews </w:t>
      </w:r>
      <w:r>
        <w:rPr>
          <w:rFonts w:ascii="Calibri" w:hAnsi="Calibri" w:cs="Calibri"/>
          <w:sz w:val="24"/>
          <w:szCs w:val="24"/>
        </w:rPr>
        <w:t xml:space="preserve">was a powerful affirmative experience for most of the participants evidenced in their </w:t>
      </w:r>
      <w:r w:rsidR="00694C45">
        <w:rPr>
          <w:rFonts w:ascii="Calibri" w:hAnsi="Calibri" w:cs="Calibri"/>
          <w:sz w:val="24"/>
          <w:szCs w:val="24"/>
        </w:rPr>
        <w:t xml:space="preserve">reflections </w:t>
      </w:r>
      <w:r w:rsidR="00846FF9">
        <w:rPr>
          <w:rFonts w:ascii="Calibri" w:hAnsi="Calibri" w:cs="Calibri"/>
          <w:sz w:val="24"/>
          <w:szCs w:val="24"/>
        </w:rPr>
        <w:t xml:space="preserve">on taking part in the study </w:t>
      </w:r>
      <w:r>
        <w:rPr>
          <w:rFonts w:ascii="Calibri" w:hAnsi="Calibri" w:cs="Calibri"/>
          <w:sz w:val="24"/>
          <w:szCs w:val="24"/>
        </w:rPr>
        <w:t>at the end of the second interview (</w:t>
      </w:r>
      <w:r w:rsidR="00C70AA0">
        <w:rPr>
          <w:rFonts w:ascii="Calibri" w:hAnsi="Calibri" w:cs="Calibri"/>
          <w:sz w:val="24"/>
          <w:szCs w:val="24"/>
        </w:rPr>
        <w:t xml:space="preserve">Chapter </w:t>
      </w:r>
      <w:r w:rsidR="002B4318">
        <w:rPr>
          <w:rFonts w:ascii="Calibri" w:hAnsi="Calibri" w:cs="Calibri"/>
          <w:sz w:val="24"/>
          <w:szCs w:val="24"/>
        </w:rPr>
        <w:t>Six</w:t>
      </w:r>
      <w:r w:rsidR="00C70AA0">
        <w:rPr>
          <w:rFonts w:ascii="Calibri" w:hAnsi="Calibri" w:cs="Calibri"/>
          <w:sz w:val="24"/>
          <w:szCs w:val="24"/>
        </w:rPr>
        <w:t xml:space="preserve">, </w:t>
      </w:r>
      <w:r w:rsidR="00B535AC">
        <w:rPr>
          <w:rFonts w:ascii="Calibri" w:hAnsi="Calibri" w:cs="Calibri"/>
          <w:sz w:val="24"/>
          <w:szCs w:val="24"/>
        </w:rPr>
        <w:t>pp. 1</w:t>
      </w:r>
      <w:r w:rsidR="00694C45">
        <w:rPr>
          <w:rFonts w:ascii="Calibri" w:hAnsi="Calibri" w:cs="Calibri"/>
          <w:sz w:val="24"/>
          <w:szCs w:val="24"/>
        </w:rPr>
        <w:t>7</w:t>
      </w:r>
      <w:r w:rsidR="00FF4763">
        <w:rPr>
          <w:rFonts w:ascii="Calibri" w:hAnsi="Calibri" w:cs="Calibri"/>
          <w:sz w:val="24"/>
          <w:szCs w:val="24"/>
        </w:rPr>
        <w:t xml:space="preserve">4 - </w:t>
      </w:r>
      <w:r w:rsidR="00B535AC">
        <w:rPr>
          <w:rFonts w:ascii="Calibri" w:hAnsi="Calibri" w:cs="Calibri"/>
          <w:sz w:val="24"/>
          <w:szCs w:val="24"/>
        </w:rPr>
        <w:t>1</w:t>
      </w:r>
      <w:r w:rsidR="00694C45">
        <w:rPr>
          <w:rFonts w:ascii="Calibri" w:hAnsi="Calibri" w:cs="Calibri"/>
          <w:sz w:val="24"/>
          <w:szCs w:val="24"/>
        </w:rPr>
        <w:t>7</w:t>
      </w:r>
      <w:r w:rsidR="00FF4763">
        <w:rPr>
          <w:rFonts w:ascii="Calibri" w:hAnsi="Calibri" w:cs="Calibri"/>
          <w:sz w:val="24"/>
          <w:szCs w:val="24"/>
        </w:rPr>
        <w:t>6</w:t>
      </w:r>
      <w:r>
        <w:rPr>
          <w:rFonts w:ascii="Calibri" w:hAnsi="Calibri" w:cs="Calibri"/>
          <w:sz w:val="24"/>
          <w:szCs w:val="24"/>
        </w:rPr>
        <w:t xml:space="preserve">). However, reflecting biographically and telling a personal story </w:t>
      </w:r>
      <w:r w:rsidRPr="005031F6">
        <w:rPr>
          <w:rFonts w:ascii="Calibri" w:hAnsi="Calibri" w:cs="Calibri"/>
          <w:sz w:val="24"/>
          <w:szCs w:val="24"/>
        </w:rPr>
        <w:t xml:space="preserve">can </w:t>
      </w:r>
      <w:r>
        <w:rPr>
          <w:rFonts w:ascii="Calibri" w:hAnsi="Calibri" w:cs="Calibri"/>
          <w:sz w:val="24"/>
          <w:szCs w:val="24"/>
        </w:rPr>
        <w:t xml:space="preserve">be </w:t>
      </w:r>
      <w:r w:rsidRPr="005031F6">
        <w:rPr>
          <w:rFonts w:ascii="Calibri" w:hAnsi="Calibri" w:cs="Calibri"/>
          <w:sz w:val="24"/>
          <w:szCs w:val="24"/>
        </w:rPr>
        <w:t>trigger</w:t>
      </w:r>
      <w:r>
        <w:rPr>
          <w:rFonts w:ascii="Calibri" w:hAnsi="Calibri" w:cs="Calibri"/>
          <w:sz w:val="24"/>
          <w:szCs w:val="24"/>
        </w:rPr>
        <w:t xml:space="preserve">ing for some. Two participants reported that the interview process resulted in difficult past experiences being awoken. Despite all the judicious holding provided by an emotionally astute and aware researcher, contractual safeguarding </w:t>
      </w:r>
      <w:r w:rsidRPr="005031F6">
        <w:rPr>
          <w:rFonts w:ascii="Calibri" w:hAnsi="Calibri" w:cs="Calibri"/>
          <w:sz w:val="24"/>
          <w:szCs w:val="24"/>
        </w:rPr>
        <w:t xml:space="preserve">and signposting to </w:t>
      </w:r>
      <w:r>
        <w:rPr>
          <w:rFonts w:ascii="Calibri" w:hAnsi="Calibri" w:cs="Calibri"/>
          <w:sz w:val="24"/>
          <w:szCs w:val="24"/>
        </w:rPr>
        <w:t xml:space="preserve">support </w:t>
      </w:r>
      <w:r w:rsidRPr="005031F6">
        <w:rPr>
          <w:rFonts w:ascii="Calibri" w:hAnsi="Calibri" w:cs="Calibri"/>
          <w:sz w:val="24"/>
          <w:szCs w:val="24"/>
        </w:rPr>
        <w:t>services</w:t>
      </w:r>
      <w:r>
        <w:rPr>
          <w:rFonts w:ascii="Calibri" w:hAnsi="Calibri" w:cs="Calibri"/>
          <w:sz w:val="24"/>
          <w:szCs w:val="24"/>
        </w:rPr>
        <w:t xml:space="preserve"> in their geographical area, there was always a possibility that past experiences and feelings might come to the fore. As referred to in Chapter </w:t>
      </w:r>
      <w:r w:rsidR="006A186B">
        <w:rPr>
          <w:rFonts w:ascii="Calibri" w:hAnsi="Calibri" w:cs="Calibri"/>
          <w:sz w:val="24"/>
          <w:szCs w:val="24"/>
        </w:rPr>
        <w:t>Four</w:t>
      </w:r>
      <w:r>
        <w:rPr>
          <w:rFonts w:ascii="Calibri" w:hAnsi="Calibri" w:cs="Calibri"/>
          <w:sz w:val="24"/>
          <w:szCs w:val="24"/>
        </w:rPr>
        <w:t>,</w:t>
      </w:r>
      <w:r w:rsidRPr="003E2DB5">
        <w:rPr>
          <w:rFonts w:ascii="Calibri" w:hAnsi="Calibri" w:cs="Calibri"/>
          <w:sz w:val="24"/>
        </w:rPr>
        <w:t xml:space="preserve"> researchers conducting interviews need targeted interview training</w:t>
      </w:r>
      <w:r>
        <w:rPr>
          <w:rFonts w:ascii="Calibri" w:hAnsi="Calibri" w:cs="Calibri"/>
          <w:sz w:val="24"/>
        </w:rPr>
        <w:t xml:space="preserve"> which could address these matters specifically. </w:t>
      </w:r>
    </w:p>
    <w:p w14:paraId="1D5ACBD3" w14:textId="10390CE9" w:rsidR="00AA75A1" w:rsidRPr="005C170E" w:rsidRDefault="00AA75A1" w:rsidP="00E20C82">
      <w:pPr>
        <w:spacing w:line="360" w:lineRule="auto"/>
        <w:rPr>
          <w:rFonts w:ascii="Calibri" w:hAnsi="Calibri" w:cs="Calibri"/>
          <w:sz w:val="24"/>
          <w:szCs w:val="24"/>
        </w:rPr>
      </w:pPr>
      <w:r w:rsidRPr="005031F6">
        <w:rPr>
          <w:rFonts w:ascii="Calibri" w:hAnsi="Calibri" w:cs="Calibri"/>
          <w:sz w:val="24"/>
          <w:szCs w:val="24"/>
        </w:rPr>
        <w:t>Individuation</w:t>
      </w:r>
      <w:r>
        <w:rPr>
          <w:rFonts w:ascii="Calibri" w:hAnsi="Calibri" w:cs="Calibri"/>
          <w:sz w:val="24"/>
          <w:szCs w:val="24"/>
        </w:rPr>
        <w:t xml:space="preserve"> and a hero’s journey as a concept </w:t>
      </w:r>
      <w:r w:rsidRPr="005031F6">
        <w:rPr>
          <w:rFonts w:ascii="Calibri" w:hAnsi="Calibri" w:cs="Calibri"/>
          <w:sz w:val="24"/>
          <w:szCs w:val="24"/>
        </w:rPr>
        <w:t>could be applied to the interview trajectory in terms of how the researcher navigates the interviews</w:t>
      </w:r>
      <w:r>
        <w:rPr>
          <w:rFonts w:ascii="Calibri" w:hAnsi="Calibri" w:cs="Calibri"/>
          <w:sz w:val="24"/>
          <w:szCs w:val="24"/>
        </w:rPr>
        <w:t xml:space="preserve">, and what the interview process </w:t>
      </w:r>
      <w:r>
        <w:rPr>
          <w:rFonts w:ascii="Calibri" w:hAnsi="Calibri" w:cs="Calibri"/>
          <w:sz w:val="24"/>
          <w:szCs w:val="24"/>
        </w:rPr>
        <w:lastRenderedPageBreak/>
        <w:t xml:space="preserve">might evoke in them. In my case, I </w:t>
      </w:r>
      <w:r w:rsidR="006F3580">
        <w:rPr>
          <w:rFonts w:ascii="Calibri" w:hAnsi="Calibri" w:cs="Calibri"/>
          <w:sz w:val="24"/>
          <w:szCs w:val="24"/>
        </w:rPr>
        <w:t>debriefed and</w:t>
      </w:r>
      <w:r>
        <w:rPr>
          <w:rFonts w:ascii="Calibri" w:hAnsi="Calibri" w:cs="Calibri"/>
          <w:sz w:val="24"/>
          <w:szCs w:val="24"/>
        </w:rPr>
        <w:t xml:space="preserve"> discussed my thoughts and feelings in research supervision. Such d</w:t>
      </w:r>
      <w:r w:rsidRPr="005031F6">
        <w:rPr>
          <w:rFonts w:ascii="Calibri" w:hAnsi="Calibri" w:cs="Calibri"/>
          <w:sz w:val="24"/>
          <w:szCs w:val="24"/>
        </w:rPr>
        <w:t xml:space="preserve">ebriefing </w:t>
      </w:r>
      <w:r>
        <w:rPr>
          <w:rFonts w:ascii="Calibri" w:hAnsi="Calibri" w:cs="Calibri"/>
          <w:sz w:val="24"/>
          <w:szCs w:val="24"/>
        </w:rPr>
        <w:t xml:space="preserve">could be considered for participants as an ethical matter post the </w:t>
      </w:r>
      <w:r w:rsidR="004E0C7E">
        <w:rPr>
          <w:rFonts w:ascii="Calibri" w:hAnsi="Calibri" w:cs="Calibri"/>
          <w:sz w:val="24"/>
          <w:szCs w:val="24"/>
        </w:rPr>
        <w:t>interviews and</w:t>
      </w:r>
      <w:r>
        <w:rPr>
          <w:rFonts w:ascii="Calibri" w:hAnsi="Calibri" w:cs="Calibri"/>
          <w:sz w:val="24"/>
          <w:szCs w:val="24"/>
        </w:rPr>
        <w:t xml:space="preserve"> is yet to be more fully addressed in research protocols. </w:t>
      </w:r>
    </w:p>
    <w:p w14:paraId="3F4A2309" w14:textId="77777777" w:rsidR="00AA75A1" w:rsidRPr="00DD01B7" w:rsidRDefault="00AA75A1" w:rsidP="0018596B">
      <w:pPr>
        <w:rPr>
          <w:rFonts w:ascii="Calibri" w:hAnsi="Calibri" w:cs="Calibri"/>
          <w:b/>
          <w:bCs/>
          <w:sz w:val="24"/>
          <w:szCs w:val="24"/>
        </w:rPr>
      </w:pPr>
      <w:r w:rsidRPr="00DD01B7">
        <w:rPr>
          <w:rFonts w:ascii="Calibri" w:hAnsi="Calibri" w:cs="Calibri"/>
          <w:b/>
          <w:bCs/>
          <w:sz w:val="24"/>
          <w:szCs w:val="24"/>
        </w:rPr>
        <w:t>Dissemination</w:t>
      </w:r>
    </w:p>
    <w:p w14:paraId="1A2EF1C1" w14:textId="226E42E7" w:rsidR="00AA75A1" w:rsidRPr="0087673D" w:rsidRDefault="00AA75A1" w:rsidP="003E7370">
      <w:pPr>
        <w:spacing w:line="360" w:lineRule="auto"/>
        <w:rPr>
          <w:rFonts w:ascii="Calibri" w:hAnsi="Calibri" w:cs="Calibri"/>
          <w:color w:val="EE0000"/>
          <w:sz w:val="24"/>
          <w:szCs w:val="24"/>
        </w:rPr>
      </w:pPr>
      <w:r w:rsidRPr="00C154C9">
        <w:rPr>
          <w:rFonts w:ascii="Calibri" w:hAnsi="Calibri" w:cs="Calibri"/>
          <w:sz w:val="24"/>
          <w:szCs w:val="24"/>
        </w:rPr>
        <w:t>My intention is to disseminate the</w:t>
      </w:r>
      <w:r>
        <w:rPr>
          <w:rFonts w:ascii="Calibri" w:hAnsi="Calibri" w:cs="Calibri"/>
          <w:sz w:val="24"/>
          <w:szCs w:val="24"/>
        </w:rPr>
        <w:t xml:space="preserve"> findings with policy makers and curriculum designers on teacher training programmes </w:t>
      </w:r>
      <w:r w:rsidRPr="00C154C9">
        <w:rPr>
          <w:rFonts w:ascii="Calibri" w:hAnsi="Calibri" w:cs="Calibri"/>
          <w:sz w:val="24"/>
          <w:szCs w:val="24"/>
        </w:rPr>
        <w:t xml:space="preserve">in education departments in universities. The aim is </w:t>
      </w:r>
      <w:r>
        <w:rPr>
          <w:rFonts w:ascii="Calibri" w:hAnsi="Calibri" w:cs="Calibri"/>
          <w:sz w:val="24"/>
          <w:szCs w:val="24"/>
        </w:rPr>
        <w:t xml:space="preserve">to </w:t>
      </w:r>
      <w:r w:rsidRPr="00C154C9">
        <w:rPr>
          <w:rFonts w:ascii="Calibri" w:hAnsi="Calibri" w:cs="Calibri"/>
          <w:sz w:val="24"/>
          <w:szCs w:val="24"/>
        </w:rPr>
        <w:t xml:space="preserve">inform practice and to work with teaching professionals to coproduce a policy briefing note and set of teaching and teacher resources. Further dissemination will </w:t>
      </w:r>
      <w:r w:rsidR="00274022">
        <w:rPr>
          <w:rFonts w:ascii="Calibri" w:hAnsi="Calibri" w:cs="Calibri"/>
          <w:sz w:val="24"/>
          <w:szCs w:val="24"/>
        </w:rPr>
        <w:t xml:space="preserve">hopefully </w:t>
      </w:r>
      <w:r w:rsidRPr="00C154C9">
        <w:rPr>
          <w:rFonts w:ascii="Calibri" w:hAnsi="Calibri" w:cs="Calibri"/>
          <w:sz w:val="24"/>
          <w:szCs w:val="24"/>
        </w:rPr>
        <w:t xml:space="preserve">take place in </w:t>
      </w:r>
      <w:r>
        <w:rPr>
          <w:rFonts w:ascii="Calibri" w:hAnsi="Calibri" w:cs="Calibri"/>
          <w:sz w:val="24"/>
          <w:szCs w:val="24"/>
        </w:rPr>
        <w:t xml:space="preserve">teaching </w:t>
      </w:r>
      <w:r w:rsidRPr="00C154C9">
        <w:rPr>
          <w:rFonts w:ascii="Calibri" w:hAnsi="Calibri" w:cs="Calibri"/>
          <w:sz w:val="24"/>
          <w:szCs w:val="24"/>
        </w:rPr>
        <w:t xml:space="preserve">and mental health </w:t>
      </w:r>
      <w:r w:rsidR="004376D1" w:rsidRPr="00C154C9">
        <w:rPr>
          <w:rFonts w:ascii="Calibri" w:hAnsi="Calibri" w:cs="Calibri"/>
          <w:sz w:val="24"/>
          <w:szCs w:val="24"/>
        </w:rPr>
        <w:t>conferences,</w:t>
      </w:r>
      <w:r w:rsidR="0017272A">
        <w:rPr>
          <w:rFonts w:ascii="Calibri" w:hAnsi="Calibri" w:cs="Calibri"/>
          <w:sz w:val="24"/>
          <w:szCs w:val="24"/>
        </w:rPr>
        <w:t xml:space="preserve"> </w:t>
      </w:r>
      <w:r w:rsidR="000E45D2">
        <w:rPr>
          <w:rFonts w:ascii="Calibri" w:hAnsi="Calibri" w:cs="Calibri"/>
          <w:sz w:val="24"/>
          <w:szCs w:val="24"/>
        </w:rPr>
        <w:t>and these avenues are currently being explored</w:t>
      </w:r>
      <w:r w:rsidR="00274022">
        <w:rPr>
          <w:rFonts w:ascii="Calibri" w:hAnsi="Calibri" w:cs="Calibri"/>
          <w:sz w:val="24"/>
          <w:szCs w:val="24"/>
        </w:rPr>
        <w:t>.</w:t>
      </w:r>
      <w:r>
        <w:rPr>
          <w:rFonts w:ascii="Calibri" w:hAnsi="Calibri" w:cs="Calibri"/>
          <w:sz w:val="24"/>
          <w:szCs w:val="24"/>
        </w:rPr>
        <w:t xml:space="preserve"> Currently </w:t>
      </w:r>
      <w:r w:rsidRPr="00C154C9">
        <w:rPr>
          <w:rFonts w:ascii="Calibri" w:hAnsi="Calibri" w:cs="Calibri"/>
          <w:sz w:val="24"/>
          <w:szCs w:val="24"/>
        </w:rPr>
        <w:t xml:space="preserve">dissemination confines itself to small scale changes implemented by the participants of this study, some of whom have voiced the desire to pass their learning forward at </w:t>
      </w:r>
      <w:r>
        <w:rPr>
          <w:rFonts w:ascii="Calibri" w:hAnsi="Calibri" w:cs="Calibri"/>
          <w:sz w:val="24"/>
          <w:szCs w:val="24"/>
        </w:rPr>
        <w:t xml:space="preserve">a </w:t>
      </w:r>
      <w:r w:rsidRPr="00C154C9">
        <w:rPr>
          <w:rFonts w:ascii="Calibri" w:hAnsi="Calibri" w:cs="Calibri"/>
          <w:sz w:val="24"/>
          <w:szCs w:val="24"/>
        </w:rPr>
        <w:t>local level. As alluded to throughout this study, culture does not change quickly and a grass roots approach to change is preferable to a singular “one size fits all” approach.</w:t>
      </w:r>
      <w:r>
        <w:rPr>
          <w:rFonts w:ascii="Calibri" w:hAnsi="Calibri" w:cs="Calibri"/>
          <w:sz w:val="24"/>
          <w:szCs w:val="24"/>
        </w:rPr>
        <w:t xml:space="preserve"> </w:t>
      </w:r>
    </w:p>
    <w:p w14:paraId="15FD38A8" w14:textId="77777777" w:rsidR="00AA75A1" w:rsidRDefault="00AA75A1" w:rsidP="006B13D5">
      <w:pPr>
        <w:rPr>
          <w:rFonts w:ascii="Calibri" w:hAnsi="Calibri" w:cs="Calibri"/>
          <w:b/>
          <w:bCs/>
          <w:sz w:val="24"/>
          <w:szCs w:val="24"/>
          <w:lang w:val="en-US"/>
        </w:rPr>
      </w:pPr>
      <w:r>
        <w:rPr>
          <w:rFonts w:ascii="Calibri" w:hAnsi="Calibri" w:cs="Calibri"/>
          <w:b/>
          <w:bCs/>
          <w:sz w:val="24"/>
          <w:szCs w:val="24"/>
          <w:lang w:val="en-US"/>
        </w:rPr>
        <w:t>R</w:t>
      </w:r>
      <w:r w:rsidRPr="00910A2E">
        <w:rPr>
          <w:rFonts w:ascii="Calibri" w:hAnsi="Calibri" w:cs="Calibri"/>
          <w:b/>
          <w:bCs/>
          <w:sz w:val="24"/>
          <w:szCs w:val="24"/>
          <w:lang w:val="en-US"/>
        </w:rPr>
        <w:t>eflections on futu</w:t>
      </w:r>
      <w:r>
        <w:rPr>
          <w:rFonts w:ascii="Calibri" w:hAnsi="Calibri" w:cs="Calibri"/>
          <w:b/>
          <w:bCs/>
          <w:sz w:val="24"/>
          <w:szCs w:val="24"/>
          <w:lang w:val="en-US"/>
        </w:rPr>
        <w:t>re explorations</w:t>
      </w:r>
    </w:p>
    <w:p w14:paraId="24BD03C7" w14:textId="043BB7CD" w:rsidR="00833504" w:rsidRDefault="00AA75A1" w:rsidP="007E1C6C">
      <w:pPr>
        <w:spacing w:line="360" w:lineRule="auto"/>
        <w:rPr>
          <w:rFonts w:ascii="Calibri" w:hAnsi="Calibri" w:cs="Calibri"/>
          <w:sz w:val="24"/>
          <w:szCs w:val="24"/>
        </w:rPr>
      </w:pPr>
      <w:r>
        <w:rPr>
          <w:rFonts w:ascii="Calibri" w:hAnsi="Calibri" w:cs="Calibri"/>
          <w:sz w:val="24"/>
          <w:szCs w:val="24"/>
        </w:rPr>
        <w:t xml:space="preserve">As with any researcher who ventures into a specific research terrain, </w:t>
      </w:r>
      <w:r w:rsidRPr="00BE5A00">
        <w:rPr>
          <w:rFonts w:ascii="Calibri" w:hAnsi="Calibri" w:cs="Calibri"/>
          <w:sz w:val="24"/>
          <w:szCs w:val="24"/>
        </w:rPr>
        <w:t xml:space="preserve">some salient </w:t>
      </w:r>
      <w:r>
        <w:rPr>
          <w:rFonts w:ascii="Calibri" w:hAnsi="Calibri" w:cs="Calibri"/>
          <w:sz w:val="24"/>
          <w:szCs w:val="24"/>
        </w:rPr>
        <w:t xml:space="preserve">new pathways </w:t>
      </w:r>
      <w:r w:rsidRPr="00FA3CA1">
        <w:rPr>
          <w:rFonts w:ascii="Calibri" w:hAnsi="Calibri" w:cs="Calibri"/>
          <w:sz w:val="24"/>
          <w:szCs w:val="24"/>
        </w:rPr>
        <w:t>suddenly make themselves known in the form of further questions, gaps and areas of research.</w:t>
      </w:r>
      <w:r w:rsidRPr="008E3135">
        <w:rPr>
          <w:rFonts w:ascii="Calibri" w:hAnsi="Calibri" w:cs="Calibri"/>
          <w:color w:val="EE0000"/>
          <w:sz w:val="24"/>
          <w:szCs w:val="24"/>
        </w:rPr>
        <w:t xml:space="preserve"> </w:t>
      </w:r>
      <w:r w:rsidRPr="00C817A2">
        <w:rPr>
          <w:rFonts w:ascii="Calibri" w:hAnsi="Calibri" w:cs="Calibri"/>
          <w:sz w:val="24"/>
          <w:szCs w:val="24"/>
        </w:rPr>
        <w:t xml:space="preserve">According to Greene (1995): “The search must be ongoing; the end can never be quite known” </w:t>
      </w:r>
      <w:r w:rsidRPr="00C057C1">
        <w:rPr>
          <w:rFonts w:ascii="Calibri" w:hAnsi="Calibri" w:cs="Calibri"/>
          <w:sz w:val="24"/>
          <w:szCs w:val="24"/>
        </w:rPr>
        <w:t>(p.15)</w:t>
      </w:r>
      <w:r w:rsidRPr="00C817A2">
        <w:rPr>
          <w:rFonts w:ascii="Calibri" w:hAnsi="Calibri" w:cs="Calibri"/>
          <w:sz w:val="24"/>
          <w:szCs w:val="24"/>
        </w:rPr>
        <w:t xml:space="preserve"> and for the moment these </w:t>
      </w:r>
      <w:r w:rsidRPr="00562B9F">
        <w:rPr>
          <w:rFonts w:ascii="Calibri" w:hAnsi="Calibri" w:cs="Calibri"/>
          <w:sz w:val="24"/>
          <w:szCs w:val="24"/>
        </w:rPr>
        <w:t xml:space="preserve">new areas </w:t>
      </w:r>
      <w:r>
        <w:rPr>
          <w:rFonts w:ascii="Calibri" w:hAnsi="Calibri" w:cs="Calibri"/>
          <w:sz w:val="24"/>
          <w:szCs w:val="24"/>
        </w:rPr>
        <w:t xml:space="preserve">remain on hold and </w:t>
      </w:r>
      <w:r w:rsidR="00F56D2D">
        <w:rPr>
          <w:rFonts w:ascii="Calibri" w:hAnsi="Calibri" w:cs="Calibri"/>
          <w:sz w:val="24"/>
          <w:szCs w:val="24"/>
        </w:rPr>
        <w:t xml:space="preserve">will </w:t>
      </w:r>
      <w:r w:rsidRPr="00562B9F">
        <w:rPr>
          <w:rFonts w:ascii="Calibri" w:hAnsi="Calibri" w:cs="Calibri"/>
          <w:sz w:val="24"/>
          <w:szCs w:val="24"/>
        </w:rPr>
        <w:t xml:space="preserve">be explored </w:t>
      </w:r>
      <w:r>
        <w:rPr>
          <w:rFonts w:ascii="Calibri" w:hAnsi="Calibri" w:cs="Calibri"/>
          <w:sz w:val="24"/>
          <w:szCs w:val="24"/>
        </w:rPr>
        <w:t xml:space="preserve">in the future. Table </w:t>
      </w:r>
      <w:r w:rsidR="00D610C1">
        <w:rPr>
          <w:rFonts w:ascii="Calibri" w:hAnsi="Calibri" w:cs="Calibri"/>
          <w:sz w:val="24"/>
          <w:szCs w:val="24"/>
        </w:rPr>
        <w:t>19</w:t>
      </w:r>
      <w:r w:rsidR="0048444D">
        <w:rPr>
          <w:rFonts w:ascii="Calibri" w:hAnsi="Calibri" w:cs="Calibri"/>
          <w:sz w:val="24"/>
          <w:szCs w:val="24"/>
        </w:rPr>
        <w:t xml:space="preserve"> (p.221)</w:t>
      </w:r>
      <w:r>
        <w:rPr>
          <w:rFonts w:ascii="Calibri" w:hAnsi="Calibri" w:cs="Calibri"/>
          <w:sz w:val="24"/>
          <w:szCs w:val="24"/>
        </w:rPr>
        <w:t xml:space="preserve"> delineates what was found in this study and gaps in knowledge as reflection points for future operationalisation</w:t>
      </w:r>
      <w:r w:rsidRPr="00BE5A00">
        <w:rPr>
          <w:rFonts w:ascii="Calibri" w:hAnsi="Calibri" w:cs="Calibri"/>
          <w:sz w:val="24"/>
          <w:szCs w:val="24"/>
        </w:rPr>
        <w:t>:</w:t>
      </w:r>
    </w:p>
    <w:p w14:paraId="58972262" w14:textId="77777777" w:rsidR="006007B8" w:rsidRDefault="006007B8" w:rsidP="007E1C6C">
      <w:pPr>
        <w:spacing w:line="360" w:lineRule="auto"/>
        <w:rPr>
          <w:rFonts w:ascii="Calibri" w:hAnsi="Calibri" w:cs="Calibri"/>
          <w:sz w:val="24"/>
          <w:szCs w:val="24"/>
        </w:rPr>
      </w:pPr>
    </w:p>
    <w:p w14:paraId="0CCAA59F" w14:textId="77777777" w:rsidR="006007B8" w:rsidRDefault="006007B8" w:rsidP="007E1C6C">
      <w:pPr>
        <w:spacing w:line="360" w:lineRule="auto"/>
        <w:rPr>
          <w:rFonts w:ascii="Calibri" w:hAnsi="Calibri" w:cs="Calibri"/>
          <w:sz w:val="24"/>
          <w:szCs w:val="24"/>
        </w:rPr>
      </w:pPr>
    </w:p>
    <w:p w14:paraId="2506D132" w14:textId="77777777" w:rsidR="006007B8" w:rsidRDefault="006007B8" w:rsidP="007E1C6C">
      <w:pPr>
        <w:spacing w:line="360" w:lineRule="auto"/>
        <w:rPr>
          <w:rFonts w:ascii="Calibri" w:hAnsi="Calibri" w:cs="Calibri"/>
          <w:sz w:val="24"/>
          <w:szCs w:val="24"/>
        </w:rPr>
      </w:pPr>
    </w:p>
    <w:p w14:paraId="7EE61784" w14:textId="77777777" w:rsidR="006007B8" w:rsidRDefault="006007B8" w:rsidP="007E1C6C">
      <w:pPr>
        <w:spacing w:line="360" w:lineRule="auto"/>
        <w:rPr>
          <w:rFonts w:ascii="Calibri" w:hAnsi="Calibri" w:cs="Calibri"/>
          <w:sz w:val="24"/>
          <w:szCs w:val="24"/>
        </w:rPr>
      </w:pPr>
    </w:p>
    <w:p w14:paraId="4E366EBF" w14:textId="77777777" w:rsidR="00123622" w:rsidRDefault="00123622" w:rsidP="007E1C6C">
      <w:pPr>
        <w:spacing w:line="360" w:lineRule="auto"/>
        <w:rPr>
          <w:rFonts w:ascii="Calibri" w:hAnsi="Calibri" w:cs="Calibri"/>
          <w:sz w:val="24"/>
          <w:szCs w:val="24"/>
        </w:rPr>
      </w:pPr>
    </w:p>
    <w:p w14:paraId="4A8A9BB1" w14:textId="77777777" w:rsidR="00123622" w:rsidRDefault="00123622" w:rsidP="007E1C6C">
      <w:pPr>
        <w:spacing w:line="360" w:lineRule="auto"/>
        <w:rPr>
          <w:rFonts w:ascii="Calibri" w:hAnsi="Calibri" w:cs="Calibri"/>
          <w:sz w:val="24"/>
          <w:szCs w:val="24"/>
        </w:rPr>
      </w:pPr>
    </w:p>
    <w:p w14:paraId="507B4E68" w14:textId="77777777" w:rsidR="00123622" w:rsidRPr="00B91FD1" w:rsidRDefault="00123622" w:rsidP="007E1C6C">
      <w:pPr>
        <w:spacing w:line="360" w:lineRule="auto"/>
        <w:rPr>
          <w:rFonts w:ascii="Calibri" w:hAnsi="Calibri" w:cs="Calibri"/>
          <w:sz w:val="24"/>
          <w:szCs w:val="24"/>
        </w:rPr>
      </w:pPr>
    </w:p>
    <w:p w14:paraId="1579A2D5" w14:textId="361DA6FB" w:rsidR="00AA75A1" w:rsidRPr="00D610C1" w:rsidRDefault="00AA75A1" w:rsidP="001B620D">
      <w:pPr>
        <w:ind w:left="720" w:firstLine="720"/>
        <w:rPr>
          <w:rFonts w:ascii="Calibri" w:hAnsi="Calibri" w:cs="Calibri"/>
          <w:i/>
          <w:iCs/>
          <w:sz w:val="24"/>
          <w:szCs w:val="24"/>
        </w:rPr>
      </w:pPr>
      <w:r w:rsidRPr="00D610C1">
        <w:rPr>
          <w:rFonts w:ascii="Calibri" w:hAnsi="Calibri" w:cs="Calibri"/>
          <w:i/>
          <w:iCs/>
          <w:sz w:val="24"/>
          <w:szCs w:val="24"/>
        </w:rPr>
        <w:lastRenderedPageBreak/>
        <w:t xml:space="preserve">Table </w:t>
      </w:r>
      <w:r w:rsidR="00D610C1" w:rsidRPr="00D610C1">
        <w:rPr>
          <w:rFonts w:ascii="Calibri" w:hAnsi="Calibri" w:cs="Calibri"/>
          <w:i/>
          <w:iCs/>
          <w:sz w:val="24"/>
          <w:szCs w:val="24"/>
        </w:rPr>
        <w:t>19</w:t>
      </w:r>
      <w:r w:rsidRPr="00D610C1">
        <w:rPr>
          <w:rFonts w:ascii="Calibri" w:hAnsi="Calibri" w:cs="Calibri"/>
          <w:i/>
          <w:iCs/>
          <w:sz w:val="24"/>
          <w:szCs w:val="24"/>
        </w:rPr>
        <w:t>: Information found, and information yet to be explored</w:t>
      </w:r>
    </w:p>
    <w:tbl>
      <w:tblPr>
        <w:tblStyle w:val="TableGrid"/>
        <w:tblW w:w="9209" w:type="dxa"/>
        <w:tblLook w:val="04A0" w:firstRow="1" w:lastRow="0" w:firstColumn="1" w:lastColumn="0" w:noHBand="0" w:noVBand="1"/>
      </w:tblPr>
      <w:tblGrid>
        <w:gridCol w:w="1129"/>
        <w:gridCol w:w="3828"/>
        <w:gridCol w:w="4252"/>
      </w:tblGrid>
      <w:tr w:rsidR="00AA75A1" w:rsidRPr="00816C56" w14:paraId="6C46EBDB" w14:textId="77777777" w:rsidTr="00EF7FC6">
        <w:tc>
          <w:tcPr>
            <w:tcW w:w="1129" w:type="dxa"/>
          </w:tcPr>
          <w:p w14:paraId="76688331" w14:textId="77777777" w:rsidR="00AA75A1" w:rsidRPr="007E1C6C" w:rsidRDefault="00AA75A1" w:rsidP="00816C56">
            <w:pPr>
              <w:spacing w:after="160" w:line="259" w:lineRule="auto"/>
              <w:rPr>
                <w:rFonts w:ascii="Calibri" w:hAnsi="Calibri" w:cs="Calibri"/>
                <w:b/>
                <w:bCs/>
              </w:rPr>
            </w:pPr>
            <w:r w:rsidRPr="007E1C6C">
              <w:rPr>
                <w:rFonts w:ascii="Calibri" w:hAnsi="Calibri" w:cs="Calibri"/>
                <w:b/>
                <w:bCs/>
              </w:rPr>
              <w:t>Themes identified</w:t>
            </w:r>
          </w:p>
        </w:tc>
        <w:tc>
          <w:tcPr>
            <w:tcW w:w="3828" w:type="dxa"/>
          </w:tcPr>
          <w:p w14:paraId="227DE963" w14:textId="77777777" w:rsidR="00AA75A1" w:rsidRPr="007E1C6C" w:rsidRDefault="00AA75A1" w:rsidP="00816C56">
            <w:pPr>
              <w:spacing w:after="160" w:line="259" w:lineRule="auto"/>
              <w:rPr>
                <w:rFonts w:ascii="Calibri" w:hAnsi="Calibri" w:cs="Calibri"/>
                <w:b/>
                <w:bCs/>
              </w:rPr>
            </w:pPr>
            <w:r w:rsidRPr="007E1C6C">
              <w:rPr>
                <w:rFonts w:ascii="Calibri" w:hAnsi="Calibri" w:cs="Calibri"/>
                <w:b/>
                <w:bCs/>
              </w:rPr>
              <w:t>What is known: the findings</w:t>
            </w:r>
          </w:p>
        </w:tc>
        <w:tc>
          <w:tcPr>
            <w:tcW w:w="4252" w:type="dxa"/>
          </w:tcPr>
          <w:p w14:paraId="536F34BC" w14:textId="77777777" w:rsidR="00AA75A1" w:rsidRPr="007E1C6C" w:rsidRDefault="00AA75A1" w:rsidP="00816C56">
            <w:pPr>
              <w:spacing w:after="160" w:line="259" w:lineRule="auto"/>
              <w:rPr>
                <w:rFonts w:ascii="Calibri" w:hAnsi="Calibri" w:cs="Calibri"/>
                <w:b/>
                <w:bCs/>
              </w:rPr>
            </w:pPr>
            <w:r w:rsidRPr="007E1C6C">
              <w:rPr>
                <w:rFonts w:ascii="Calibri" w:hAnsi="Calibri" w:cs="Calibri"/>
                <w:b/>
                <w:bCs/>
              </w:rPr>
              <w:t>What is not known: future explorations</w:t>
            </w:r>
          </w:p>
        </w:tc>
      </w:tr>
      <w:tr w:rsidR="00AA75A1" w:rsidRPr="007E1C6C" w14:paraId="63D43E6C" w14:textId="77777777" w:rsidTr="00EF7FC6">
        <w:trPr>
          <w:trHeight w:val="3072"/>
        </w:trPr>
        <w:tc>
          <w:tcPr>
            <w:tcW w:w="1129" w:type="dxa"/>
          </w:tcPr>
          <w:p w14:paraId="77D32F69"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Into the Woods</w:t>
            </w:r>
          </w:p>
        </w:tc>
        <w:tc>
          <w:tcPr>
            <w:tcW w:w="3828" w:type="dxa"/>
          </w:tcPr>
          <w:p w14:paraId="7BCEBCE9" w14:textId="2B1A4E24"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Three adult returners experienced hero’s journeys whilst attending teacher trainings. Reasons cited: not enough support, lack of understanding, expecting the journey to be easier, pressures of working whi</w:t>
            </w:r>
            <w:r w:rsidR="00834408" w:rsidRPr="007E1C6C">
              <w:rPr>
                <w:rFonts w:ascii="Calibri" w:hAnsi="Calibri" w:cs="Calibri"/>
                <w:sz w:val="18"/>
                <w:szCs w:val="18"/>
              </w:rPr>
              <w:t>l</w:t>
            </w:r>
            <w:r w:rsidRPr="007E1C6C">
              <w:rPr>
                <w:rFonts w:ascii="Calibri" w:hAnsi="Calibri" w:cs="Calibri"/>
                <w:sz w:val="18"/>
                <w:szCs w:val="18"/>
              </w:rPr>
              <w:t xml:space="preserve">st learning, not enough attention given to their needs, methods </w:t>
            </w:r>
            <w:r w:rsidR="00935D31">
              <w:rPr>
                <w:rFonts w:ascii="Calibri" w:hAnsi="Calibri" w:cs="Calibri"/>
                <w:sz w:val="18"/>
                <w:szCs w:val="18"/>
              </w:rPr>
              <w:t xml:space="preserve"> were </w:t>
            </w:r>
            <w:r w:rsidRPr="007E1C6C">
              <w:rPr>
                <w:rFonts w:ascii="Calibri" w:hAnsi="Calibri" w:cs="Calibri"/>
                <w:sz w:val="18"/>
                <w:szCs w:val="18"/>
              </w:rPr>
              <w:t xml:space="preserve">inadequate and trainers </w:t>
            </w:r>
            <w:r w:rsidR="006E6AB7">
              <w:rPr>
                <w:rFonts w:ascii="Calibri" w:hAnsi="Calibri" w:cs="Calibri"/>
                <w:sz w:val="18"/>
                <w:szCs w:val="18"/>
              </w:rPr>
              <w:t xml:space="preserve">were </w:t>
            </w:r>
            <w:r w:rsidRPr="007E1C6C">
              <w:rPr>
                <w:rFonts w:ascii="Calibri" w:hAnsi="Calibri" w:cs="Calibri"/>
                <w:sz w:val="18"/>
                <w:szCs w:val="18"/>
              </w:rPr>
              <w:t>not practising</w:t>
            </w:r>
            <w:r w:rsidR="006E6AB7">
              <w:rPr>
                <w:rFonts w:ascii="Calibri" w:hAnsi="Calibri" w:cs="Calibri"/>
                <w:sz w:val="18"/>
                <w:szCs w:val="18"/>
              </w:rPr>
              <w:t>/modelling</w:t>
            </w:r>
            <w:r w:rsidRPr="007E1C6C">
              <w:rPr>
                <w:rFonts w:ascii="Calibri" w:hAnsi="Calibri" w:cs="Calibri"/>
                <w:sz w:val="18"/>
                <w:szCs w:val="18"/>
              </w:rPr>
              <w:t xml:space="preserve"> what they taught</w:t>
            </w:r>
          </w:p>
          <w:p w14:paraId="45323AE5" w14:textId="2A0D27B6"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These teachers transmuted their difficulties into a strong focus on improving the welfare of their students and helping </w:t>
            </w:r>
            <w:r w:rsidR="00B14FB0">
              <w:rPr>
                <w:rFonts w:ascii="Calibri" w:hAnsi="Calibri" w:cs="Calibri"/>
                <w:sz w:val="18"/>
                <w:szCs w:val="18"/>
              </w:rPr>
              <w:t>their</w:t>
            </w:r>
            <w:r w:rsidRPr="007E1C6C">
              <w:rPr>
                <w:rFonts w:ascii="Calibri" w:hAnsi="Calibri" w:cs="Calibri"/>
                <w:sz w:val="18"/>
                <w:szCs w:val="18"/>
              </w:rPr>
              <w:t xml:space="preserve"> students understand their learning journeys</w:t>
            </w:r>
          </w:p>
        </w:tc>
        <w:tc>
          <w:tcPr>
            <w:tcW w:w="4252" w:type="dxa"/>
          </w:tcPr>
          <w:p w14:paraId="330A2D99"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Why were these three teachers unable to access support from the university?</w:t>
            </w:r>
          </w:p>
          <w:p w14:paraId="28840839"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How did their arduous journeys transmute? </w:t>
            </w:r>
          </w:p>
          <w:p w14:paraId="6C3C2AAD"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What facilitated their endurance as students?</w:t>
            </w:r>
          </w:p>
          <w:p w14:paraId="5B3E22FC"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What additional support might have helped them?</w:t>
            </w:r>
          </w:p>
          <w:p w14:paraId="79D10C5D"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Would they have accessed teaching supervision had this been offered?</w:t>
            </w:r>
          </w:p>
        </w:tc>
      </w:tr>
      <w:tr w:rsidR="00AA75A1" w:rsidRPr="007E1C6C" w14:paraId="7561B989" w14:textId="77777777" w:rsidTr="00EF7FC6">
        <w:tc>
          <w:tcPr>
            <w:tcW w:w="1129" w:type="dxa"/>
          </w:tcPr>
          <w:p w14:paraId="606BB223" w14:textId="39EB12BB"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Mirror</w:t>
            </w:r>
            <w:r w:rsidR="008462F2">
              <w:rPr>
                <w:rFonts w:ascii="Calibri" w:hAnsi="Calibri" w:cs="Calibri"/>
                <w:sz w:val="18"/>
                <w:szCs w:val="18"/>
              </w:rPr>
              <w:t xml:space="preserve">, </w:t>
            </w:r>
            <w:r w:rsidRPr="007E1C6C">
              <w:rPr>
                <w:rFonts w:ascii="Calibri" w:hAnsi="Calibri" w:cs="Calibri"/>
                <w:sz w:val="18"/>
                <w:szCs w:val="18"/>
              </w:rPr>
              <w:t>Mirror on the Wall</w:t>
            </w:r>
          </w:p>
        </w:tc>
        <w:tc>
          <w:tcPr>
            <w:tcW w:w="3828" w:type="dxa"/>
          </w:tcPr>
          <w:p w14:paraId="1E9DE10D" w14:textId="6514C8B9"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For all the participants reflective practice was in the main not taught in a way that clarified its function, purpose and operationalisation. Without using the term restorative, participants all valued reflecting with trusted others </w:t>
            </w:r>
            <w:r w:rsidRPr="007E1C6C">
              <w:rPr>
                <w:rFonts w:ascii="Calibri" w:hAnsi="Calibri" w:cs="Calibri"/>
                <w:i/>
                <w:iCs/>
                <w:sz w:val="18"/>
                <w:szCs w:val="18"/>
              </w:rPr>
              <w:t>informally</w:t>
            </w:r>
            <w:r w:rsidRPr="007E1C6C">
              <w:rPr>
                <w:rFonts w:ascii="Calibri" w:hAnsi="Calibri" w:cs="Calibri"/>
                <w:sz w:val="18"/>
                <w:szCs w:val="18"/>
              </w:rPr>
              <w:t xml:space="preserve">. Reflection deepened their understanding of their learning and </w:t>
            </w:r>
            <w:r w:rsidR="00C57692" w:rsidRPr="007E1C6C">
              <w:rPr>
                <w:rFonts w:ascii="Calibri" w:hAnsi="Calibri" w:cs="Calibri"/>
                <w:sz w:val="18"/>
                <w:szCs w:val="18"/>
              </w:rPr>
              <w:t>work</w:t>
            </w:r>
            <w:r w:rsidR="00C57692">
              <w:rPr>
                <w:rFonts w:ascii="Calibri" w:hAnsi="Calibri" w:cs="Calibri"/>
                <w:sz w:val="18"/>
                <w:szCs w:val="18"/>
              </w:rPr>
              <w:t xml:space="preserve"> and</w:t>
            </w:r>
            <w:r w:rsidRPr="007E1C6C">
              <w:rPr>
                <w:rFonts w:ascii="Calibri" w:hAnsi="Calibri" w:cs="Calibri"/>
                <w:sz w:val="18"/>
                <w:szCs w:val="18"/>
              </w:rPr>
              <w:t xml:space="preserve"> was utilised as a teaching improvement tool to process dilemmas and new ideas. Participants with experience of reflective practice in previous allied healthcare roles were able to draw upon their knowledge of it and continued with this practice</w:t>
            </w:r>
          </w:p>
        </w:tc>
        <w:tc>
          <w:tcPr>
            <w:tcW w:w="4252" w:type="dxa"/>
          </w:tcPr>
          <w:p w14:paraId="29CF7EA0"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Might these teachers have engaged in formalised learning support groups to reflect on their practice during their training and beyond?</w:t>
            </w:r>
          </w:p>
          <w:p w14:paraId="18397DDE"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Could reflective practice function as a restorative mechanism, or safeguarding tool?</w:t>
            </w:r>
          </w:p>
          <w:p w14:paraId="709E7AE6" w14:textId="00E5F96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How might reflective practice evolve for </w:t>
            </w:r>
            <w:r w:rsidR="00C32BAD">
              <w:rPr>
                <w:rFonts w:ascii="Calibri" w:hAnsi="Calibri" w:cs="Calibri"/>
                <w:sz w:val="18"/>
                <w:szCs w:val="18"/>
              </w:rPr>
              <w:t>teachers</w:t>
            </w:r>
            <w:r w:rsidRPr="007E1C6C">
              <w:rPr>
                <w:rFonts w:ascii="Calibri" w:hAnsi="Calibri" w:cs="Calibri"/>
                <w:sz w:val="18"/>
                <w:szCs w:val="18"/>
              </w:rPr>
              <w:t xml:space="preserve"> and their students within the university curricula?</w:t>
            </w:r>
          </w:p>
          <w:p w14:paraId="0ADDADD0"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How do the participants feel about reflective practice spaces being offered to them in a more formalised offering such as pedagogic supervision?</w:t>
            </w:r>
          </w:p>
        </w:tc>
      </w:tr>
      <w:tr w:rsidR="00AA75A1" w:rsidRPr="007E1C6C" w14:paraId="42AD66FB" w14:textId="77777777" w:rsidTr="00EF7FC6">
        <w:tc>
          <w:tcPr>
            <w:tcW w:w="1129" w:type="dxa"/>
          </w:tcPr>
          <w:p w14:paraId="4117A6B8" w14:textId="739B1110"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Guardian of the </w:t>
            </w:r>
            <w:r w:rsidR="00F34872">
              <w:rPr>
                <w:rFonts w:ascii="Calibri" w:hAnsi="Calibri" w:cs="Calibri"/>
                <w:sz w:val="18"/>
                <w:szCs w:val="18"/>
              </w:rPr>
              <w:t>T</w:t>
            </w:r>
            <w:r w:rsidRPr="007E1C6C">
              <w:rPr>
                <w:rFonts w:ascii="Calibri" w:hAnsi="Calibri" w:cs="Calibri"/>
                <w:sz w:val="18"/>
                <w:szCs w:val="18"/>
              </w:rPr>
              <w:t>hreshold</w:t>
            </w:r>
          </w:p>
        </w:tc>
        <w:tc>
          <w:tcPr>
            <w:tcW w:w="3828" w:type="dxa"/>
          </w:tcPr>
          <w:p w14:paraId="4363B4B0" w14:textId="5733C24A"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All participants identified something, or someone who supported them emotionally in their teaching work; their guardian/s. Trust was named as a key factor in their support mechanisms </w:t>
            </w:r>
          </w:p>
          <w:p w14:paraId="6317A797" w14:textId="77777777" w:rsidR="00AA75A1" w:rsidRPr="007E1C6C" w:rsidRDefault="00AA75A1" w:rsidP="00816C56">
            <w:pPr>
              <w:spacing w:after="160" w:line="259" w:lineRule="auto"/>
              <w:rPr>
                <w:rFonts w:ascii="Calibri" w:hAnsi="Calibri" w:cs="Calibri"/>
                <w:sz w:val="18"/>
                <w:szCs w:val="18"/>
              </w:rPr>
            </w:pPr>
          </w:p>
        </w:tc>
        <w:tc>
          <w:tcPr>
            <w:tcW w:w="4252" w:type="dxa"/>
          </w:tcPr>
          <w:p w14:paraId="1D853C07"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How might the concept of holding be operationalised without the trainee or qualified teacher feeling infantalised?</w:t>
            </w:r>
          </w:p>
          <w:p w14:paraId="1B5C88CD"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What factors caused some teachers to mistrust some colleagues or the institution?</w:t>
            </w:r>
          </w:p>
          <w:p w14:paraId="47F8D30D"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What do these participants feel about a resilience narrative and do they think it permeates education establishment and practices? </w:t>
            </w:r>
          </w:p>
          <w:p w14:paraId="2FC56481"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Is there an expectation that they should just be able to learn, and what prevented them from stating their needs?</w:t>
            </w:r>
          </w:p>
        </w:tc>
      </w:tr>
      <w:tr w:rsidR="00AA75A1" w:rsidRPr="007E1C6C" w14:paraId="7DB19EB3" w14:textId="77777777" w:rsidTr="00C32513">
        <w:trPr>
          <w:trHeight w:val="2668"/>
        </w:trPr>
        <w:tc>
          <w:tcPr>
            <w:tcW w:w="1129" w:type="dxa"/>
          </w:tcPr>
          <w:p w14:paraId="115474EB"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The Return</w:t>
            </w:r>
          </w:p>
        </w:tc>
        <w:tc>
          <w:tcPr>
            <w:tcW w:w="3828" w:type="dxa"/>
          </w:tcPr>
          <w:p w14:paraId="701604A7"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The operationalising of a holding model was seen as limited by some, and a helpful springboard for further reflections on personal support by others. </w:t>
            </w:r>
          </w:p>
          <w:p w14:paraId="5B9B2945" w14:textId="77B1725D"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Reflecting on their biographical journeys and being held throughout whilst doing so served to remind participants of the tools they used that helped them in their practice, the donors that supported them, the conditions required for reflection to be actualised and the importance of being held</w:t>
            </w:r>
          </w:p>
        </w:tc>
        <w:tc>
          <w:tcPr>
            <w:tcW w:w="4252" w:type="dxa"/>
          </w:tcPr>
          <w:p w14:paraId="6A8B3200" w14:textId="38B13E9D"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 xml:space="preserve">How might suspicion </w:t>
            </w:r>
            <w:r w:rsidR="00F74850">
              <w:rPr>
                <w:rFonts w:ascii="Calibri" w:hAnsi="Calibri" w:cs="Calibri"/>
                <w:sz w:val="18"/>
                <w:szCs w:val="18"/>
              </w:rPr>
              <w:t xml:space="preserve">and mistrust </w:t>
            </w:r>
            <w:r w:rsidR="00DB7C50">
              <w:rPr>
                <w:rFonts w:ascii="Calibri" w:hAnsi="Calibri" w:cs="Calibri"/>
                <w:sz w:val="18"/>
                <w:szCs w:val="18"/>
              </w:rPr>
              <w:t xml:space="preserve">of holding or support mechanisms </w:t>
            </w:r>
            <w:r w:rsidRPr="007E1C6C">
              <w:rPr>
                <w:rFonts w:ascii="Calibri" w:hAnsi="Calibri" w:cs="Calibri"/>
                <w:sz w:val="18"/>
                <w:szCs w:val="18"/>
              </w:rPr>
              <w:t xml:space="preserve">be addressed locally and in the wider community? Can </w:t>
            </w:r>
            <w:r w:rsidR="00DB7C50">
              <w:rPr>
                <w:rFonts w:ascii="Calibri" w:hAnsi="Calibri" w:cs="Calibri"/>
                <w:sz w:val="18"/>
                <w:szCs w:val="18"/>
              </w:rPr>
              <w:t>they</w:t>
            </w:r>
            <w:r w:rsidRPr="007E1C6C">
              <w:rPr>
                <w:rFonts w:ascii="Calibri" w:hAnsi="Calibri" w:cs="Calibri"/>
                <w:sz w:val="18"/>
                <w:szCs w:val="18"/>
              </w:rPr>
              <w:t xml:space="preserve"> be?</w:t>
            </w:r>
          </w:p>
          <w:p w14:paraId="15722508" w14:textId="1A9FBBDE"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Should it be? Is there a need?</w:t>
            </w:r>
          </w:p>
          <w:p w14:paraId="384D047A" w14:textId="77777777" w:rsidR="00AA75A1" w:rsidRPr="007E1C6C" w:rsidRDefault="00AA75A1" w:rsidP="00816C56">
            <w:pPr>
              <w:spacing w:after="160" w:line="259" w:lineRule="auto"/>
              <w:rPr>
                <w:rFonts w:ascii="Calibri" w:hAnsi="Calibri" w:cs="Calibri"/>
                <w:sz w:val="18"/>
                <w:szCs w:val="18"/>
              </w:rPr>
            </w:pPr>
            <w:r w:rsidRPr="007E1C6C">
              <w:rPr>
                <w:rFonts w:ascii="Calibri" w:hAnsi="Calibri" w:cs="Calibri"/>
                <w:sz w:val="18"/>
                <w:szCs w:val="18"/>
              </w:rPr>
              <w:t>What tangible benefit is there to reflecting on a professional journey? Might this be received as navel gazing and unnecessary?</w:t>
            </w:r>
          </w:p>
        </w:tc>
      </w:tr>
    </w:tbl>
    <w:p w14:paraId="1311DF9B" w14:textId="77777777" w:rsidR="00AA75A1" w:rsidRPr="004A7D13" w:rsidRDefault="00AA75A1" w:rsidP="006B13D5">
      <w:pPr>
        <w:rPr>
          <w:rFonts w:ascii="Calibri" w:hAnsi="Calibri" w:cs="Calibri"/>
          <w:b/>
          <w:bCs/>
          <w:sz w:val="24"/>
          <w:szCs w:val="24"/>
        </w:rPr>
      </w:pPr>
      <w:r w:rsidRPr="004A7D13">
        <w:rPr>
          <w:rFonts w:ascii="Calibri" w:hAnsi="Calibri" w:cs="Calibri"/>
          <w:b/>
          <w:bCs/>
          <w:sz w:val="24"/>
          <w:szCs w:val="24"/>
        </w:rPr>
        <w:lastRenderedPageBreak/>
        <w:t>Further considerations</w:t>
      </w:r>
    </w:p>
    <w:p w14:paraId="2FBBE985" w14:textId="2EE3C2D6" w:rsidR="00AA75A1" w:rsidRDefault="00AA75A1" w:rsidP="001B4DF8">
      <w:pPr>
        <w:spacing w:line="360" w:lineRule="auto"/>
        <w:rPr>
          <w:rFonts w:ascii="Calibri" w:hAnsi="Calibri" w:cs="Calibri"/>
          <w:sz w:val="24"/>
          <w:szCs w:val="24"/>
        </w:rPr>
      </w:pPr>
      <w:r w:rsidRPr="00EB0757">
        <w:rPr>
          <w:rFonts w:ascii="Calibri" w:hAnsi="Calibri" w:cs="Calibri"/>
          <w:sz w:val="24"/>
          <w:szCs w:val="24"/>
        </w:rPr>
        <w:t xml:space="preserve">From </w:t>
      </w:r>
      <w:r w:rsidR="00886D2C">
        <w:rPr>
          <w:rFonts w:ascii="Calibri" w:hAnsi="Calibri" w:cs="Calibri"/>
          <w:sz w:val="24"/>
          <w:szCs w:val="24"/>
        </w:rPr>
        <w:t xml:space="preserve">a critical </w:t>
      </w:r>
      <w:r>
        <w:rPr>
          <w:rFonts w:ascii="Calibri" w:hAnsi="Calibri" w:cs="Calibri"/>
          <w:sz w:val="24"/>
          <w:szCs w:val="24"/>
        </w:rPr>
        <w:t>examination</w:t>
      </w:r>
      <w:r w:rsidRPr="00EB0757">
        <w:rPr>
          <w:rFonts w:ascii="Calibri" w:hAnsi="Calibri" w:cs="Calibri"/>
          <w:sz w:val="24"/>
          <w:szCs w:val="24"/>
        </w:rPr>
        <w:t xml:space="preserve"> of the seminal literature, </w:t>
      </w:r>
      <w:r w:rsidR="00886D2C">
        <w:rPr>
          <w:rFonts w:ascii="Calibri" w:hAnsi="Calibri" w:cs="Calibri"/>
          <w:sz w:val="24"/>
          <w:szCs w:val="24"/>
        </w:rPr>
        <w:t>findings and analysis</w:t>
      </w:r>
      <w:r w:rsidRPr="00EB0757">
        <w:rPr>
          <w:rFonts w:ascii="Calibri" w:hAnsi="Calibri" w:cs="Calibri"/>
          <w:sz w:val="24"/>
          <w:szCs w:val="24"/>
        </w:rPr>
        <w:t>, this study identif</w:t>
      </w:r>
      <w:r>
        <w:rPr>
          <w:rFonts w:ascii="Calibri" w:hAnsi="Calibri" w:cs="Calibri"/>
          <w:sz w:val="24"/>
          <w:szCs w:val="24"/>
        </w:rPr>
        <w:t>ied</w:t>
      </w:r>
      <w:r w:rsidRPr="00EB0757">
        <w:rPr>
          <w:rFonts w:ascii="Calibri" w:hAnsi="Calibri" w:cs="Calibri"/>
          <w:sz w:val="24"/>
          <w:szCs w:val="24"/>
        </w:rPr>
        <w:t xml:space="preserve"> what teachers might need in their training, their work and their working environment</w:t>
      </w:r>
      <w:r w:rsidR="007A31D9">
        <w:rPr>
          <w:rFonts w:ascii="Calibri" w:hAnsi="Calibri" w:cs="Calibri"/>
          <w:sz w:val="24"/>
          <w:szCs w:val="24"/>
        </w:rPr>
        <w:t>,</w:t>
      </w:r>
      <w:r w:rsidRPr="00EB0757">
        <w:rPr>
          <w:rFonts w:ascii="Calibri" w:hAnsi="Calibri" w:cs="Calibri"/>
          <w:sz w:val="24"/>
          <w:szCs w:val="24"/>
        </w:rPr>
        <w:t xml:space="preserve"> and has suggested areas for improvement and future research.</w:t>
      </w:r>
      <w:r>
        <w:rPr>
          <w:rFonts w:ascii="Calibri" w:hAnsi="Calibri" w:cs="Calibri"/>
          <w:sz w:val="24"/>
          <w:szCs w:val="24"/>
        </w:rPr>
        <w:t xml:space="preserve"> </w:t>
      </w:r>
      <w:r w:rsidRPr="00910A2E">
        <w:rPr>
          <w:rFonts w:ascii="Calibri" w:hAnsi="Calibri" w:cs="Calibri"/>
          <w:sz w:val="24"/>
          <w:szCs w:val="24"/>
        </w:rPr>
        <w:t xml:space="preserve">This thesis has made apparent that </w:t>
      </w:r>
      <w:r>
        <w:rPr>
          <w:rFonts w:ascii="Calibri" w:hAnsi="Calibri" w:cs="Calibri"/>
          <w:sz w:val="24"/>
          <w:szCs w:val="24"/>
        </w:rPr>
        <w:t xml:space="preserve">the </w:t>
      </w:r>
      <w:r w:rsidRPr="00910A2E">
        <w:rPr>
          <w:rFonts w:ascii="Calibri" w:hAnsi="Calibri" w:cs="Calibri"/>
          <w:sz w:val="24"/>
          <w:szCs w:val="24"/>
        </w:rPr>
        <w:t xml:space="preserve">relationship between teachers and their </w:t>
      </w:r>
      <w:r w:rsidRPr="004966BA">
        <w:rPr>
          <w:rFonts w:ascii="Calibri" w:hAnsi="Calibri" w:cs="Calibri"/>
          <w:sz w:val="24"/>
          <w:szCs w:val="24"/>
        </w:rPr>
        <w:t>places of employ is multifaceted and deserves more focus than the current literature has to offer.</w:t>
      </w:r>
      <w:r w:rsidR="002443AF">
        <w:rPr>
          <w:rFonts w:ascii="Calibri" w:hAnsi="Calibri" w:cs="Calibri"/>
          <w:sz w:val="24"/>
          <w:szCs w:val="24"/>
        </w:rPr>
        <w:t xml:space="preserve"> </w:t>
      </w:r>
      <w:r w:rsidR="00901A4D">
        <w:rPr>
          <w:rFonts w:ascii="Calibri" w:hAnsi="Calibri" w:cs="Calibri"/>
          <w:sz w:val="24"/>
          <w:szCs w:val="24"/>
          <w:lang w:val="en-US"/>
        </w:rPr>
        <w:t xml:space="preserve">More </w:t>
      </w:r>
      <w:r w:rsidRPr="004966BA">
        <w:rPr>
          <w:rFonts w:ascii="Calibri" w:hAnsi="Calibri" w:cs="Calibri"/>
          <w:sz w:val="24"/>
          <w:szCs w:val="24"/>
        </w:rPr>
        <w:t>research into the</w:t>
      </w:r>
      <w:r w:rsidR="00D54B9A">
        <w:rPr>
          <w:rFonts w:ascii="Calibri" w:hAnsi="Calibri" w:cs="Calibri"/>
          <w:sz w:val="24"/>
          <w:szCs w:val="24"/>
        </w:rPr>
        <w:t>se relational</w:t>
      </w:r>
      <w:r w:rsidRPr="004966BA">
        <w:rPr>
          <w:rFonts w:ascii="Calibri" w:hAnsi="Calibri" w:cs="Calibri"/>
          <w:sz w:val="24"/>
          <w:szCs w:val="24"/>
        </w:rPr>
        <w:t xml:space="preserve"> complexities is therefore necessary as further exploration</w:t>
      </w:r>
      <w:r>
        <w:rPr>
          <w:rFonts w:ascii="Calibri" w:hAnsi="Calibri" w:cs="Calibri"/>
          <w:sz w:val="24"/>
          <w:szCs w:val="24"/>
        </w:rPr>
        <w:t>s could build on the findings of this study. It was apparent that participants who had experienced difficulties in their teacher trainings had found a way of successfully crossing the threshold into teaching work. A shadow project could be conducted focussing on why some participants might leave teacher trainings when encountering obstacles, although this may be difficult to operationalise due to their having left the university system.</w:t>
      </w:r>
    </w:p>
    <w:p w14:paraId="56FA4D3C" w14:textId="7F67A573" w:rsidR="00AA75A1" w:rsidRPr="005B4354" w:rsidRDefault="00AA75A1" w:rsidP="00A56AD6">
      <w:pPr>
        <w:rPr>
          <w:rFonts w:ascii="Calibri" w:hAnsi="Calibri" w:cs="Calibri"/>
          <w:b/>
          <w:bCs/>
          <w:sz w:val="24"/>
          <w:szCs w:val="24"/>
        </w:rPr>
      </w:pPr>
      <w:r w:rsidRPr="005B4354">
        <w:rPr>
          <w:rFonts w:ascii="Calibri" w:hAnsi="Calibri" w:cs="Calibri"/>
          <w:b/>
          <w:bCs/>
          <w:sz w:val="24"/>
          <w:szCs w:val="24"/>
        </w:rPr>
        <w:t>The final curtain</w:t>
      </w:r>
    </w:p>
    <w:p w14:paraId="01FA4C0D" w14:textId="4DA44467" w:rsidR="00081E9D" w:rsidRPr="00551AAF" w:rsidRDefault="00AA75A1" w:rsidP="00551AAF">
      <w:pPr>
        <w:spacing w:line="360" w:lineRule="auto"/>
        <w:rPr>
          <w:rFonts w:ascii="Calibri" w:eastAsia="Calibri" w:hAnsi="Calibri" w:cs="Times New Roman"/>
          <w:sz w:val="24"/>
          <w:szCs w:val="24"/>
          <w:lang w:val="en-US"/>
        </w:rPr>
      </w:pPr>
      <w:r>
        <w:rPr>
          <w:rFonts w:ascii="Calibri" w:eastAsia="Calibri" w:hAnsi="Calibri" w:cs="Times New Roman"/>
          <w:sz w:val="24"/>
          <w:szCs w:val="24"/>
          <w:lang w:val="en-US"/>
        </w:rPr>
        <w:t xml:space="preserve">At the heart of this research praxis were core principles of compassion, ethical practice and care for the participants who gave so generously of their </w:t>
      </w:r>
      <w:r w:rsidR="00042887">
        <w:rPr>
          <w:rFonts w:ascii="Calibri" w:eastAsia="Calibri" w:hAnsi="Calibri" w:cs="Times New Roman"/>
          <w:sz w:val="24"/>
          <w:szCs w:val="24"/>
          <w:lang w:val="en-US"/>
        </w:rPr>
        <w:t>time and</w:t>
      </w:r>
      <w:r>
        <w:rPr>
          <w:rFonts w:ascii="Calibri" w:eastAsia="Calibri" w:hAnsi="Calibri" w:cs="Times New Roman"/>
          <w:sz w:val="24"/>
          <w:szCs w:val="24"/>
          <w:lang w:val="en-US"/>
        </w:rPr>
        <w:t xml:space="preserve"> were so passionate about their work.</w:t>
      </w:r>
      <w:r w:rsidRPr="00EE4EF8">
        <w:rPr>
          <w:rFonts w:ascii="Calibri" w:eastAsia="Calibri" w:hAnsi="Calibri" w:cs="Times New Roman"/>
          <w:sz w:val="24"/>
          <w:szCs w:val="24"/>
        </w:rPr>
        <w:t xml:space="preserve"> All participants reported being excited to see a researcher focusing on their experiences and well-being</w:t>
      </w:r>
      <w:r w:rsidR="00A74A06">
        <w:rPr>
          <w:rFonts w:ascii="Calibri" w:eastAsia="Calibri" w:hAnsi="Calibri" w:cs="Times New Roman"/>
          <w:sz w:val="24"/>
          <w:szCs w:val="24"/>
        </w:rPr>
        <w:t>,</w:t>
      </w:r>
      <w:r w:rsidR="00A972DA">
        <w:rPr>
          <w:rFonts w:ascii="Calibri" w:eastAsia="Calibri" w:hAnsi="Calibri" w:cs="Times New Roman"/>
          <w:sz w:val="24"/>
          <w:szCs w:val="24"/>
        </w:rPr>
        <w:t xml:space="preserve"> and </w:t>
      </w:r>
      <w:r>
        <w:rPr>
          <w:rFonts w:ascii="Calibri" w:eastAsia="Calibri" w:hAnsi="Calibri" w:cs="Times New Roman"/>
          <w:sz w:val="24"/>
          <w:szCs w:val="24"/>
          <w:lang w:val="en-US"/>
        </w:rPr>
        <w:t xml:space="preserve">I feel extremely privileged to have been entrusted to be the holder of </w:t>
      </w:r>
      <w:r w:rsidR="00A972DA">
        <w:rPr>
          <w:rFonts w:ascii="Calibri" w:eastAsia="Calibri" w:hAnsi="Calibri" w:cs="Times New Roman"/>
          <w:sz w:val="24"/>
          <w:szCs w:val="24"/>
          <w:lang w:val="en-US"/>
        </w:rPr>
        <w:t xml:space="preserve">their </w:t>
      </w:r>
      <w:r>
        <w:rPr>
          <w:rFonts w:ascii="Calibri" w:eastAsia="Calibri" w:hAnsi="Calibri" w:cs="Times New Roman"/>
          <w:sz w:val="24"/>
          <w:szCs w:val="24"/>
          <w:lang w:val="en-US"/>
        </w:rPr>
        <w:t>stories.</w:t>
      </w:r>
      <w:r w:rsidR="00B74537">
        <w:rPr>
          <w:rFonts w:ascii="Calibri" w:eastAsia="Calibri" w:hAnsi="Calibri" w:cs="Times New Roman"/>
          <w:sz w:val="24"/>
          <w:szCs w:val="24"/>
          <w:lang w:val="en-US"/>
        </w:rPr>
        <w:t xml:space="preserve"> </w:t>
      </w:r>
      <w:r>
        <w:rPr>
          <w:rFonts w:ascii="Calibri" w:eastAsia="Calibri" w:hAnsi="Calibri" w:cs="Times New Roman"/>
          <w:sz w:val="24"/>
          <w:szCs w:val="24"/>
          <w:lang w:val="en-US"/>
        </w:rPr>
        <w:t xml:space="preserve">As such it seems fitting that </w:t>
      </w:r>
      <w:r w:rsidR="00412FF1">
        <w:rPr>
          <w:rFonts w:ascii="Calibri" w:eastAsia="Calibri" w:hAnsi="Calibri" w:cs="Times New Roman"/>
          <w:sz w:val="24"/>
          <w:szCs w:val="24"/>
          <w:lang w:val="en-US"/>
        </w:rPr>
        <w:t xml:space="preserve">in the closing moments </w:t>
      </w:r>
      <w:r w:rsidR="00607A66">
        <w:rPr>
          <w:rFonts w:ascii="Calibri" w:eastAsia="Calibri" w:hAnsi="Calibri" w:cs="Times New Roman"/>
          <w:sz w:val="24"/>
          <w:szCs w:val="24"/>
          <w:lang w:val="en-US"/>
        </w:rPr>
        <w:t xml:space="preserve">of this </w:t>
      </w:r>
      <w:r w:rsidR="00843E37">
        <w:rPr>
          <w:rFonts w:ascii="Calibri" w:eastAsia="Calibri" w:hAnsi="Calibri" w:cs="Times New Roman"/>
          <w:sz w:val="24"/>
          <w:szCs w:val="24"/>
          <w:lang w:val="en-US"/>
        </w:rPr>
        <w:t>study,</w:t>
      </w:r>
      <w:r w:rsidR="00607A66">
        <w:rPr>
          <w:rFonts w:ascii="Calibri" w:eastAsia="Calibri" w:hAnsi="Calibri" w:cs="Times New Roman"/>
          <w:sz w:val="24"/>
          <w:szCs w:val="24"/>
          <w:lang w:val="en-US"/>
        </w:rPr>
        <w:t xml:space="preserve"> </w:t>
      </w:r>
      <w:r w:rsidR="00C15065">
        <w:rPr>
          <w:rFonts w:ascii="Calibri" w:eastAsia="Calibri" w:hAnsi="Calibri" w:cs="Times New Roman"/>
          <w:sz w:val="24"/>
          <w:szCs w:val="24"/>
          <w:lang w:val="en-US"/>
        </w:rPr>
        <w:t>I express</w:t>
      </w:r>
      <w:r>
        <w:rPr>
          <w:rFonts w:ascii="Calibri" w:eastAsia="Calibri" w:hAnsi="Calibri" w:cs="Times New Roman"/>
          <w:sz w:val="24"/>
          <w:szCs w:val="24"/>
          <w:lang w:val="en-US"/>
        </w:rPr>
        <w:t xml:space="preserve"> my sincere gratitude to</w:t>
      </w:r>
      <w:r w:rsidR="0094132E">
        <w:rPr>
          <w:rFonts w:ascii="Calibri" w:eastAsia="Calibri" w:hAnsi="Calibri" w:cs="Times New Roman"/>
          <w:sz w:val="24"/>
          <w:szCs w:val="24"/>
          <w:lang w:val="en-US"/>
        </w:rPr>
        <w:t xml:space="preserve"> </w:t>
      </w:r>
      <w:r>
        <w:rPr>
          <w:rFonts w:ascii="Calibri" w:eastAsia="Calibri" w:hAnsi="Calibri" w:cs="Times New Roman"/>
          <w:sz w:val="24"/>
          <w:szCs w:val="24"/>
          <w:lang w:val="en-US"/>
        </w:rPr>
        <w:t xml:space="preserve">the </w:t>
      </w:r>
      <w:r w:rsidR="00C950CA">
        <w:rPr>
          <w:rFonts w:ascii="Calibri" w:eastAsia="Calibri" w:hAnsi="Calibri" w:cs="Times New Roman"/>
          <w:sz w:val="24"/>
          <w:szCs w:val="24"/>
          <w:lang w:val="en-US"/>
        </w:rPr>
        <w:t xml:space="preserve">nine </w:t>
      </w:r>
      <w:r>
        <w:rPr>
          <w:rFonts w:ascii="Calibri" w:eastAsia="Calibri" w:hAnsi="Calibri" w:cs="Times New Roman"/>
          <w:sz w:val="24"/>
          <w:szCs w:val="24"/>
          <w:lang w:val="en-US"/>
        </w:rPr>
        <w:t>participants who entrusted me with their stories</w:t>
      </w:r>
      <w:r w:rsidR="006B3BFA">
        <w:rPr>
          <w:rFonts w:ascii="Calibri" w:eastAsia="Calibri" w:hAnsi="Calibri" w:cs="Times New Roman"/>
          <w:sz w:val="24"/>
          <w:szCs w:val="24"/>
          <w:lang w:val="en-US"/>
        </w:rPr>
        <w:t xml:space="preserve">; </w:t>
      </w:r>
      <w:r>
        <w:rPr>
          <w:rFonts w:ascii="Calibri" w:eastAsia="Calibri" w:hAnsi="Calibri" w:cs="Times New Roman"/>
          <w:sz w:val="24"/>
          <w:szCs w:val="24"/>
          <w:lang w:val="en-US"/>
        </w:rPr>
        <w:t xml:space="preserve">I hope I have done </w:t>
      </w:r>
      <w:r w:rsidR="00C941D8">
        <w:rPr>
          <w:rFonts w:ascii="Calibri" w:eastAsia="Calibri" w:hAnsi="Calibri" w:cs="Times New Roman"/>
          <w:sz w:val="24"/>
          <w:szCs w:val="24"/>
          <w:lang w:val="en-US"/>
        </w:rPr>
        <w:t xml:space="preserve">their experiences </w:t>
      </w:r>
      <w:r>
        <w:rPr>
          <w:rFonts w:ascii="Calibri" w:eastAsia="Calibri" w:hAnsi="Calibri" w:cs="Times New Roman"/>
          <w:sz w:val="24"/>
          <w:szCs w:val="24"/>
          <w:lang w:val="en-US"/>
        </w:rPr>
        <w:t>justice by shining a light on matters that they, and I, care so deeply about.</w:t>
      </w:r>
      <w:r w:rsidR="00C941D8">
        <w:rPr>
          <w:rFonts w:ascii="Calibri" w:eastAsia="Calibri" w:hAnsi="Calibri" w:cs="Times New Roman"/>
          <w:sz w:val="24"/>
          <w:szCs w:val="24"/>
          <w:lang w:val="en-US"/>
        </w:rPr>
        <w:t xml:space="preserve"> A</w:t>
      </w:r>
      <w:r w:rsidR="00B74537">
        <w:rPr>
          <w:rFonts w:ascii="Calibri" w:eastAsia="Calibri" w:hAnsi="Calibri" w:cs="Times New Roman"/>
          <w:sz w:val="24"/>
          <w:szCs w:val="24"/>
          <w:lang w:val="en-US"/>
        </w:rPr>
        <w:t xml:space="preserve"> closing comment follows </w:t>
      </w:r>
      <w:r w:rsidR="00042887">
        <w:rPr>
          <w:rFonts w:ascii="Calibri" w:eastAsia="Calibri" w:hAnsi="Calibri" w:cs="Times New Roman"/>
          <w:sz w:val="24"/>
          <w:szCs w:val="24"/>
          <w:lang w:val="en-US"/>
        </w:rPr>
        <w:t>the</w:t>
      </w:r>
      <w:r w:rsidR="0094132E">
        <w:rPr>
          <w:rFonts w:ascii="Calibri" w:eastAsia="Calibri" w:hAnsi="Calibri" w:cs="Times New Roman"/>
          <w:sz w:val="24"/>
          <w:szCs w:val="24"/>
          <w:lang w:val="en-US"/>
        </w:rPr>
        <w:t xml:space="preserve"> </w:t>
      </w:r>
      <w:r w:rsidR="00042887" w:rsidRPr="00243747">
        <w:rPr>
          <w:rFonts w:ascii="Calibri" w:eastAsia="Calibri" w:hAnsi="Calibri" w:cs="Times New Roman"/>
          <w:i/>
          <w:iCs/>
          <w:sz w:val="24"/>
          <w:szCs w:val="24"/>
          <w:lang w:val="en-US"/>
        </w:rPr>
        <w:t>Confessio Amantis</w:t>
      </w:r>
      <w:r w:rsidR="00042887">
        <w:rPr>
          <w:rFonts w:ascii="Calibri" w:eastAsia="Calibri" w:hAnsi="Calibri" w:cs="Times New Roman"/>
          <w:sz w:val="24"/>
          <w:szCs w:val="24"/>
          <w:lang w:val="en-US"/>
        </w:rPr>
        <w:t xml:space="preserve"> </w:t>
      </w:r>
      <w:r w:rsidR="00243747">
        <w:rPr>
          <w:rFonts w:ascii="Calibri" w:eastAsia="Calibri" w:hAnsi="Calibri" w:cs="Times New Roman"/>
          <w:sz w:val="24"/>
          <w:szCs w:val="24"/>
          <w:lang w:val="en-US"/>
        </w:rPr>
        <w:t xml:space="preserve">poem </w:t>
      </w:r>
      <w:r w:rsidR="00607A66">
        <w:rPr>
          <w:rFonts w:ascii="Calibri" w:eastAsia="Calibri" w:hAnsi="Calibri" w:cs="Times New Roman"/>
          <w:sz w:val="24"/>
          <w:szCs w:val="24"/>
          <w:lang w:val="en-US"/>
        </w:rPr>
        <w:t>(</w:t>
      </w:r>
      <w:r w:rsidR="00843E37">
        <w:rPr>
          <w:rFonts w:ascii="Calibri" w:eastAsia="Calibri" w:hAnsi="Calibri" w:cs="Times New Roman"/>
          <w:sz w:val="24"/>
          <w:szCs w:val="24"/>
          <w:lang w:val="en-US"/>
        </w:rPr>
        <w:t>Gower, 1390)</w:t>
      </w:r>
      <w:r w:rsidR="0094132E">
        <w:rPr>
          <w:rFonts w:ascii="Calibri" w:eastAsia="Calibri" w:hAnsi="Calibri" w:cs="Times New Roman"/>
          <w:sz w:val="24"/>
          <w:szCs w:val="24"/>
          <w:lang w:val="en-US"/>
        </w:rPr>
        <w:t>:</w:t>
      </w:r>
    </w:p>
    <w:p w14:paraId="44E9131E" w14:textId="3538CB37" w:rsidR="009F154F" w:rsidRPr="009F154F" w:rsidRDefault="009F154F" w:rsidP="00754472">
      <w:pPr>
        <w:spacing w:line="360" w:lineRule="auto"/>
        <w:ind w:left="2880" w:firstLine="720"/>
        <w:jc w:val="both"/>
        <w:rPr>
          <w:rFonts w:ascii="Calibri" w:eastAsia="Calibri" w:hAnsi="Calibri" w:cs="Times New Roman"/>
          <w:b/>
          <w:bCs/>
          <w:sz w:val="24"/>
          <w:szCs w:val="24"/>
          <w:lang w:val="en-US"/>
        </w:rPr>
      </w:pPr>
      <w:r w:rsidRPr="009F154F">
        <w:rPr>
          <w:rFonts w:ascii="Calibri" w:eastAsia="Calibri" w:hAnsi="Calibri" w:cs="Times New Roman"/>
          <w:b/>
          <w:bCs/>
          <w:sz w:val="24"/>
          <w:szCs w:val="24"/>
          <w:lang w:val="en-US"/>
        </w:rPr>
        <w:t>Confessio Amantis</w:t>
      </w:r>
    </w:p>
    <w:p w14:paraId="3C8F4D4D" w14:textId="77777777"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For want of a nail the shoe was lost;</w:t>
      </w:r>
    </w:p>
    <w:p w14:paraId="60954FEC" w14:textId="168EF2E6"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For want of a shoe the horse was lost;</w:t>
      </w:r>
    </w:p>
    <w:p w14:paraId="5B27FF7A" w14:textId="77777777"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For want of a horse the rider was lost;</w:t>
      </w:r>
    </w:p>
    <w:p w14:paraId="2880D6FE" w14:textId="05093182"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For want of a rider the battle was lost;</w:t>
      </w:r>
    </w:p>
    <w:p w14:paraId="71C4A8C9" w14:textId="77777777"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For want of a battle the kingdom was lost;</w:t>
      </w:r>
    </w:p>
    <w:p w14:paraId="208C110C" w14:textId="4CBCF46F" w:rsidR="009F154F" w:rsidRPr="009F154F" w:rsidRDefault="009F154F" w:rsidP="00754472">
      <w:pPr>
        <w:ind w:left="2160" w:firstLine="720"/>
        <w:jc w:val="both"/>
        <w:rPr>
          <w:rFonts w:ascii="Calibri" w:eastAsia="Calibri" w:hAnsi="Calibri" w:cs="Times New Roman"/>
          <w:sz w:val="24"/>
          <w:szCs w:val="24"/>
          <w:lang w:val="en-US"/>
        </w:rPr>
      </w:pPr>
      <w:r w:rsidRPr="009F154F">
        <w:rPr>
          <w:rFonts w:ascii="Calibri" w:eastAsia="Calibri" w:hAnsi="Calibri" w:cs="Times New Roman"/>
          <w:sz w:val="24"/>
          <w:szCs w:val="24"/>
          <w:lang w:val="en-US"/>
        </w:rPr>
        <w:t>And all for the want of a horse-shoe nail.</w:t>
      </w:r>
    </w:p>
    <w:p w14:paraId="66F7BF7D" w14:textId="13A19867" w:rsidR="008430BC" w:rsidRPr="00AB114D" w:rsidRDefault="009F154F" w:rsidP="00AB114D">
      <w:pPr>
        <w:ind w:left="2880" w:firstLine="720"/>
        <w:jc w:val="both"/>
        <w:rPr>
          <w:rFonts w:ascii="Calibri" w:eastAsia="Calibri" w:hAnsi="Calibri" w:cs="Times New Roman"/>
          <w:lang w:val="en-US"/>
        </w:rPr>
      </w:pPr>
      <w:r w:rsidRPr="009F154F">
        <w:rPr>
          <w:rFonts w:ascii="Calibri" w:eastAsia="Calibri" w:hAnsi="Calibri" w:cs="Times New Roman"/>
          <w:lang w:val="en-US"/>
        </w:rPr>
        <w:t>(John Gower, 1390)</w:t>
      </w:r>
    </w:p>
    <w:p w14:paraId="6E5B8DC8" w14:textId="0C7E04E3" w:rsidR="00130D70" w:rsidRPr="00130D70" w:rsidRDefault="00130D70" w:rsidP="00130D70">
      <w:pPr>
        <w:spacing w:line="360" w:lineRule="auto"/>
        <w:rPr>
          <w:rFonts w:ascii="Calibri" w:eastAsia="Calibri" w:hAnsi="Calibri" w:cs="Times New Roman"/>
          <w:sz w:val="24"/>
          <w:szCs w:val="24"/>
          <w:lang w:val="en-US"/>
        </w:rPr>
      </w:pPr>
      <w:r w:rsidRPr="00130D70">
        <w:rPr>
          <w:rFonts w:ascii="Calibri" w:eastAsia="Calibri" w:hAnsi="Calibri" w:cs="Times New Roman"/>
          <w:sz w:val="24"/>
          <w:szCs w:val="24"/>
          <w:lang w:val="en-US"/>
        </w:rPr>
        <w:lastRenderedPageBreak/>
        <w:t xml:space="preserve">My final hope is that this research story goes beyond the aperture story stage (Pinkola-Estes, 1992), that the shutter opens wider to let in more light, for the lack of attention to </w:t>
      </w:r>
      <w:r w:rsidR="00F1572E">
        <w:rPr>
          <w:rFonts w:ascii="Calibri" w:eastAsia="Calibri" w:hAnsi="Calibri" w:cs="Times New Roman"/>
          <w:sz w:val="24"/>
          <w:szCs w:val="24"/>
          <w:lang w:val="en-US"/>
        </w:rPr>
        <w:t xml:space="preserve">the </w:t>
      </w:r>
      <w:r w:rsidRPr="00130D70">
        <w:rPr>
          <w:rFonts w:ascii="Calibri" w:eastAsia="Calibri" w:hAnsi="Calibri" w:cs="Times New Roman"/>
          <w:sz w:val="24"/>
          <w:szCs w:val="24"/>
          <w:lang w:val="en-US"/>
        </w:rPr>
        <w:t xml:space="preserve">emotional lives </w:t>
      </w:r>
      <w:r w:rsidR="00F1572E">
        <w:rPr>
          <w:rFonts w:ascii="Calibri" w:eastAsia="Calibri" w:hAnsi="Calibri" w:cs="Times New Roman"/>
          <w:sz w:val="24"/>
          <w:szCs w:val="24"/>
          <w:lang w:val="en-US"/>
        </w:rPr>
        <w:t xml:space="preserve">of teachers </w:t>
      </w:r>
      <w:r w:rsidRPr="00130D70">
        <w:rPr>
          <w:rFonts w:ascii="Calibri" w:eastAsia="Calibri" w:hAnsi="Calibri" w:cs="Times New Roman"/>
          <w:sz w:val="24"/>
          <w:szCs w:val="24"/>
          <w:lang w:val="en-US"/>
        </w:rPr>
        <w:t>can result in arduous battles, and all for the want of “holding” (Winnicott, 1965, pp.43 - 44)</w:t>
      </w:r>
      <w:r w:rsidR="00AB114D">
        <w:rPr>
          <w:rFonts w:ascii="Calibri" w:eastAsia="Calibri" w:hAnsi="Calibri" w:cs="Times New Roman"/>
          <w:sz w:val="24"/>
          <w:szCs w:val="24"/>
          <w:lang w:val="en-US"/>
        </w:rPr>
        <w:t>.</w:t>
      </w:r>
    </w:p>
    <w:p w14:paraId="495B257F" w14:textId="77777777" w:rsidR="00130D70" w:rsidRPr="00130D70" w:rsidRDefault="00130D70" w:rsidP="00130D70">
      <w:pPr>
        <w:spacing w:line="360" w:lineRule="auto"/>
        <w:rPr>
          <w:rFonts w:ascii="Calibri" w:eastAsia="Calibri" w:hAnsi="Calibri" w:cs="Times New Roman"/>
          <w:sz w:val="56"/>
          <w:szCs w:val="56"/>
          <w:lang w:val="en-US"/>
        </w:rPr>
      </w:pPr>
    </w:p>
    <w:p w14:paraId="6A3D9E00" w14:textId="77777777" w:rsidR="008430BC" w:rsidRDefault="008430BC" w:rsidP="00661B79">
      <w:pPr>
        <w:spacing w:line="360" w:lineRule="auto"/>
        <w:rPr>
          <w:rFonts w:ascii="Calibri" w:eastAsia="Calibri" w:hAnsi="Calibri" w:cs="Times New Roman"/>
          <w:sz w:val="56"/>
          <w:szCs w:val="56"/>
        </w:rPr>
      </w:pPr>
    </w:p>
    <w:p w14:paraId="6A80DCE3" w14:textId="77777777" w:rsidR="00874E6C" w:rsidRPr="004376D1" w:rsidRDefault="00874E6C" w:rsidP="00661B79">
      <w:pPr>
        <w:spacing w:line="360" w:lineRule="auto"/>
        <w:rPr>
          <w:rFonts w:ascii="Calibri" w:eastAsia="Calibri" w:hAnsi="Calibri" w:cs="Times New Roman"/>
          <w:sz w:val="56"/>
          <w:szCs w:val="56"/>
        </w:rPr>
      </w:pPr>
    </w:p>
    <w:p w14:paraId="7FFEDAE5" w14:textId="77777777" w:rsidR="00BE5765" w:rsidRPr="00874E6C" w:rsidRDefault="00BE5765" w:rsidP="008927BB">
      <w:pPr>
        <w:spacing w:after="0" w:line="360" w:lineRule="auto"/>
        <w:ind w:left="2880"/>
        <w:rPr>
          <w:rFonts w:ascii="Calibri" w:eastAsia="Calibri" w:hAnsi="Calibri" w:cs="Times New Roman"/>
          <w:color w:val="000000"/>
          <w:sz w:val="56"/>
          <w:szCs w:val="56"/>
        </w:rPr>
      </w:pPr>
    </w:p>
    <w:p w14:paraId="6F207228" w14:textId="77777777" w:rsidR="00BE5765" w:rsidRPr="00A62E50" w:rsidRDefault="00BE5765">
      <w:pPr>
        <w:rPr>
          <w:rFonts w:ascii="Calibri" w:hAnsi="Calibri" w:cs="Calibri"/>
          <w:sz w:val="24"/>
          <w:szCs w:val="24"/>
        </w:rPr>
      </w:pPr>
    </w:p>
    <w:p w14:paraId="0849D07D" w14:textId="77777777" w:rsidR="007921B1" w:rsidRDefault="007921B1" w:rsidP="006740B3">
      <w:pPr>
        <w:rPr>
          <w:sz w:val="24"/>
          <w:szCs w:val="24"/>
          <w:u w:val="single"/>
        </w:rPr>
      </w:pPr>
    </w:p>
    <w:p w14:paraId="5224289C" w14:textId="77777777" w:rsidR="007921B1" w:rsidRDefault="007921B1" w:rsidP="006740B3">
      <w:pPr>
        <w:rPr>
          <w:sz w:val="24"/>
          <w:szCs w:val="24"/>
          <w:u w:val="single"/>
        </w:rPr>
      </w:pPr>
    </w:p>
    <w:p w14:paraId="57386249" w14:textId="77777777" w:rsidR="007E1C6C" w:rsidRDefault="007E1C6C" w:rsidP="00701260">
      <w:pPr>
        <w:rPr>
          <w:rFonts w:cstheme="minorHAnsi"/>
          <w:sz w:val="56"/>
          <w:szCs w:val="56"/>
        </w:rPr>
      </w:pPr>
    </w:p>
    <w:p w14:paraId="42073378" w14:textId="77777777" w:rsidR="003F1E02" w:rsidRDefault="003F1E02" w:rsidP="00B91FD1">
      <w:pPr>
        <w:rPr>
          <w:rFonts w:cstheme="minorHAnsi"/>
          <w:sz w:val="56"/>
          <w:szCs w:val="56"/>
        </w:rPr>
      </w:pPr>
    </w:p>
    <w:p w14:paraId="36417A3F" w14:textId="77777777" w:rsidR="00440276" w:rsidRDefault="001C7CA5" w:rsidP="00490828">
      <w:pPr>
        <w:ind w:left="2160" w:firstLine="720"/>
        <w:rPr>
          <w:rFonts w:cstheme="minorHAnsi"/>
          <w:sz w:val="56"/>
          <w:szCs w:val="56"/>
        </w:rPr>
      </w:pPr>
      <w:r>
        <w:rPr>
          <w:rFonts w:cstheme="minorHAnsi"/>
          <w:sz w:val="56"/>
          <w:szCs w:val="56"/>
        </w:rPr>
        <w:t xml:space="preserve"> </w:t>
      </w:r>
      <w:r w:rsidR="001811D7">
        <w:rPr>
          <w:rFonts w:cstheme="minorHAnsi"/>
          <w:sz w:val="56"/>
          <w:szCs w:val="56"/>
        </w:rPr>
        <w:t xml:space="preserve"> </w:t>
      </w:r>
    </w:p>
    <w:p w14:paraId="357C56FB" w14:textId="77777777" w:rsidR="00440276" w:rsidRDefault="00440276" w:rsidP="00490828">
      <w:pPr>
        <w:ind w:left="2160" w:firstLine="720"/>
        <w:rPr>
          <w:rFonts w:cstheme="minorHAnsi"/>
          <w:sz w:val="56"/>
          <w:szCs w:val="56"/>
        </w:rPr>
      </w:pPr>
    </w:p>
    <w:p w14:paraId="6A8442E1" w14:textId="77777777" w:rsidR="00440276" w:rsidRDefault="00440276" w:rsidP="00490828">
      <w:pPr>
        <w:ind w:left="2160" w:firstLine="720"/>
        <w:rPr>
          <w:rFonts w:cstheme="minorHAnsi"/>
          <w:sz w:val="56"/>
          <w:szCs w:val="56"/>
        </w:rPr>
      </w:pPr>
    </w:p>
    <w:p w14:paraId="6E5582B0" w14:textId="77777777" w:rsidR="00440276" w:rsidRDefault="00440276" w:rsidP="00490828">
      <w:pPr>
        <w:ind w:left="2160" w:firstLine="720"/>
        <w:rPr>
          <w:rFonts w:cstheme="minorHAnsi"/>
          <w:sz w:val="56"/>
          <w:szCs w:val="56"/>
        </w:rPr>
      </w:pPr>
    </w:p>
    <w:p w14:paraId="0D0E533F" w14:textId="77777777" w:rsidR="00440276" w:rsidRDefault="00440276" w:rsidP="00490828">
      <w:pPr>
        <w:ind w:left="2160" w:firstLine="720"/>
        <w:rPr>
          <w:rFonts w:cstheme="minorHAnsi"/>
          <w:sz w:val="56"/>
          <w:szCs w:val="56"/>
        </w:rPr>
      </w:pPr>
    </w:p>
    <w:p w14:paraId="7E5705AF" w14:textId="77777777" w:rsidR="00440276" w:rsidRDefault="00440276" w:rsidP="00490828">
      <w:pPr>
        <w:ind w:left="2160" w:firstLine="720"/>
        <w:rPr>
          <w:rFonts w:cstheme="minorHAnsi"/>
          <w:sz w:val="56"/>
          <w:szCs w:val="56"/>
        </w:rPr>
      </w:pPr>
    </w:p>
    <w:p w14:paraId="757A1655" w14:textId="77777777" w:rsidR="00440276" w:rsidRDefault="00440276" w:rsidP="00490828">
      <w:pPr>
        <w:ind w:left="2160" w:firstLine="720"/>
        <w:rPr>
          <w:rFonts w:cstheme="minorHAnsi"/>
          <w:sz w:val="56"/>
          <w:szCs w:val="56"/>
        </w:rPr>
      </w:pPr>
    </w:p>
    <w:p w14:paraId="0CE1B9C7" w14:textId="77777777" w:rsidR="00440276" w:rsidRDefault="00440276" w:rsidP="00490828">
      <w:pPr>
        <w:ind w:left="2160" w:firstLine="720"/>
        <w:rPr>
          <w:rFonts w:cstheme="minorHAnsi"/>
          <w:sz w:val="56"/>
          <w:szCs w:val="56"/>
        </w:rPr>
      </w:pPr>
    </w:p>
    <w:p w14:paraId="14CAB67D" w14:textId="77777777" w:rsidR="00440276" w:rsidRDefault="00440276" w:rsidP="00490828">
      <w:pPr>
        <w:ind w:left="2160" w:firstLine="720"/>
        <w:rPr>
          <w:rFonts w:cstheme="minorHAnsi"/>
          <w:sz w:val="56"/>
          <w:szCs w:val="56"/>
        </w:rPr>
      </w:pPr>
    </w:p>
    <w:p w14:paraId="5E7ADCA6" w14:textId="4AA0C5A2" w:rsidR="007921B1" w:rsidRPr="00FA6175" w:rsidRDefault="001C7CA5" w:rsidP="00490828">
      <w:pPr>
        <w:ind w:left="2160" w:firstLine="720"/>
        <w:rPr>
          <w:rFonts w:cstheme="minorHAnsi"/>
          <w:sz w:val="56"/>
          <w:szCs w:val="56"/>
        </w:rPr>
      </w:pPr>
      <w:r>
        <w:rPr>
          <w:rFonts w:cstheme="minorHAnsi"/>
          <w:sz w:val="56"/>
          <w:szCs w:val="56"/>
        </w:rPr>
        <w:t xml:space="preserve"> </w:t>
      </w:r>
      <w:r w:rsidR="00375F7A" w:rsidRPr="00FA6175">
        <w:rPr>
          <w:rFonts w:cstheme="minorHAnsi"/>
          <w:sz w:val="56"/>
          <w:szCs w:val="56"/>
        </w:rPr>
        <w:t>Afterword</w:t>
      </w:r>
    </w:p>
    <w:p w14:paraId="1CB51808" w14:textId="77777777" w:rsidR="007921B1" w:rsidRDefault="007921B1" w:rsidP="006740B3">
      <w:pPr>
        <w:rPr>
          <w:sz w:val="24"/>
          <w:szCs w:val="24"/>
          <w:u w:val="single"/>
        </w:rPr>
      </w:pPr>
    </w:p>
    <w:p w14:paraId="2767226B" w14:textId="77777777" w:rsidR="007921B1" w:rsidRDefault="007921B1" w:rsidP="006740B3">
      <w:pPr>
        <w:rPr>
          <w:sz w:val="24"/>
          <w:szCs w:val="24"/>
          <w:u w:val="single"/>
        </w:rPr>
      </w:pPr>
    </w:p>
    <w:p w14:paraId="2CAB2D4E" w14:textId="77777777" w:rsidR="007921B1" w:rsidRDefault="007921B1" w:rsidP="006740B3">
      <w:pPr>
        <w:rPr>
          <w:sz w:val="24"/>
          <w:szCs w:val="24"/>
          <w:u w:val="single"/>
        </w:rPr>
      </w:pPr>
    </w:p>
    <w:p w14:paraId="1A0E0A12" w14:textId="77777777" w:rsidR="007921B1" w:rsidRDefault="007921B1" w:rsidP="006740B3">
      <w:pPr>
        <w:rPr>
          <w:sz w:val="24"/>
          <w:szCs w:val="24"/>
          <w:u w:val="single"/>
        </w:rPr>
      </w:pPr>
    </w:p>
    <w:p w14:paraId="01C3EC89" w14:textId="77777777" w:rsidR="007921B1" w:rsidRDefault="007921B1" w:rsidP="006740B3">
      <w:pPr>
        <w:rPr>
          <w:sz w:val="24"/>
          <w:szCs w:val="24"/>
          <w:u w:val="single"/>
        </w:rPr>
      </w:pPr>
    </w:p>
    <w:p w14:paraId="7E297E05" w14:textId="77777777" w:rsidR="007921B1" w:rsidRDefault="007921B1" w:rsidP="006740B3">
      <w:pPr>
        <w:rPr>
          <w:sz w:val="24"/>
          <w:szCs w:val="24"/>
          <w:u w:val="single"/>
        </w:rPr>
      </w:pPr>
    </w:p>
    <w:p w14:paraId="627EEC07" w14:textId="77777777" w:rsidR="008C75C1" w:rsidRDefault="008C75C1" w:rsidP="006740B3">
      <w:pPr>
        <w:rPr>
          <w:sz w:val="24"/>
          <w:szCs w:val="24"/>
          <w:u w:val="single"/>
        </w:rPr>
      </w:pPr>
    </w:p>
    <w:p w14:paraId="1E297006" w14:textId="77777777" w:rsidR="008C75C1" w:rsidRDefault="008C75C1" w:rsidP="006740B3">
      <w:pPr>
        <w:rPr>
          <w:sz w:val="24"/>
          <w:szCs w:val="24"/>
          <w:u w:val="single"/>
        </w:rPr>
      </w:pPr>
    </w:p>
    <w:p w14:paraId="35A7BB70" w14:textId="77777777" w:rsidR="002569FE" w:rsidRDefault="002569FE" w:rsidP="006740B3">
      <w:pPr>
        <w:rPr>
          <w:sz w:val="24"/>
          <w:szCs w:val="24"/>
          <w:u w:val="single"/>
        </w:rPr>
      </w:pPr>
    </w:p>
    <w:p w14:paraId="5211437C" w14:textId="77777777" w:rsidR="002569FE" w:rsidRDefault="002569FE" w:rsidP="006740B3">
      <w:pPr>
        <w:rPr>
          <w:sz w:val="24"/>
          <w:szCs w:val="24"/>
          <w:u w:val="single"/>
        </w:rPr>
      </w:pPr>
    </w:p>
    <w:p w14:paraId="7C883B5E" w14:textId="77777777" w:rsidR="002569FE" w:rsidRDefault="002569FE" w:rsidP="006740B3">
      <w:pPr>
        <w:rPr>
          <w:sz w:val="24"/>
          <w:szCs w:val="24"/>
          <w:u w:val="single"/>
        </w:rPr>
      </w:pPr>
    </w:p>
    <w:p w14:paraId="58926140" w14:textId="77777777" w:rsidR="002569FE" w:rsidRDefault="002569FE" w:rsidP="006740B3">
      <w:pPr>
        <w:rPr>
          <w:sz w:val="24"/>
          <w:szCs w:val="24"/>
          <w:u w:val="single"/>
        </w:rPr>
      </w:pPr>
    </w:p>
    <w:p w14:paraId="46682D69" w14:textId="77777777" w:rsidR="002569FE" w:rsidRDefault="002569FE" w:rsidP="006740B3">
      <w:pPr>
        <w:rPr>
          <w:sz w:val="24"/>
          <w:szCs w:val="24"/>
          <w:u w:val="single"/>
        </w:rPr>
      </w:pPr>
    </w:p>
    <w:p w14:paraId="67D336D9" w14:textId="77777777" w:rsidR="00440276" w:rsidRDefault="00440276" w:rsidP="006740B3">
      <w:pPr>
        <w:rPr>
          <w:sz w:val="24"/>
          <w:szCs w:val="24"/>
          <w:u w:val="single"/>
        </w:rPr>
      </w:pPr>
    </w:p>
    <w:p w14:paraId="76236ED1" w14:textId="77777777" w:rsidR="00440276" w:rsidRDefault="00440276" w:rsidP="006740B3">
      <w:pPr>
        <w:rPr>
          <w:sz w:val="24"/>
          <w:szCs w:val="24"/>
          <w:u w:val="single"/>
        </w:rPr>
      </w:pPr>
    </w:p>
    <w:p w14:paraId="41D5C80C" w14:textId="77777777" w:rsidR="00AB114D" w:rsidRDefault="00AB114D" w:rsidP="006740B3">
      <w:pPr>
        <w:rPr>
          <w:sz w:val="24"/>
          <w:szCs w:val="24"/>
          <w:u w:val="single"/>
        </w:rPr>
      </w:pPr>
    </w:p>
    <w:p w14:paraId="4EE6399D" w14:textId="77777777" w:rsidR="002569FE" w:rsidRDefault="002569FE" w:rsidP="006740B3">
      <w:pPr>
        <w:rPr>
          <w:sz w:val="24"/>
          <w:szCs w:val="24"/>
          <w:u w:val="single"/>
        </w:rPr>
      </w:pPr>
    </w:p>
    <w:p w14:paraId="4D8562A3" w14:textId="5601E585" w:rsidR="007921B1" w:rsidRDefault="00800F74" w:rsidP="00691181">
      <w:pPr>
        <w:ind w:left="2880" w:firstLine="720"/>
        <w:rPr>
          <w:rFonts w:ascii="Calibri" w:hAnsi="Calibri" w:cs="Calibri"/>
          <w:b/>
          <w:bCs/>
          <w:sz w:val="24"/>
          <w:szCs w:val="24"/>
        </w:rPr>
      </w:pPr>
      <w:r w:rsidRPr="00800F74">
        <w:rPr>
          <w:rFonts w:ascii="Calibri" w:hAnsi="Calibri" w:cs="Calibri"/>
          <w:b/>
          <w:bCs/>
          <w:sz w:val="24"/>
          <w:szCs w:val="24"/>
        </w:rPr>
        <w:lastRenderedPageBreak/>
        <w:t>Open to change</w:t>
      </w:r>
    </w:p>
    <w:p w14:paraId="00D02DF1" w14:textId="77777777" w:rsidR="00FC3BFD" w:rsidRDefault="00FC3BFD" w:rsidP="00FC3BFD">
      <w:pPr>
        <w:spacing w:line="360" w:lineRule="auto"/>
        <w:ind w:left="720" w:firstLine="720"/>
        <w:rPr>
          <w:rFonts w:ascii="Calibri" w:hAnsi="Calibri" w:cs="Calibri"/>
          <w:sz w:val="24"/>
          <w:szCs w:val="24"/>
        </w:rPr>
      </w:pPr>
    </w:p>
    <w:p w14:paraId="1B2DF13C" w14:textId="40EA8A80" w:rsidR="00800F74" w:rsidRDefault="003176AC" w:rsidP="00691181">
      <w:pPr>
        <w:spacing w:line="360" w:lineRule="auto"/>
        <w:ind w:left="1440" w:firstLine="720"/>
        <w:rPr>
          <w:rFonts w:ascii="Calibri" w:hAnsi="Calibri" w:cs="Calibri"/>
          <w:sz w:val="24"/>
          <w:szCs w:val="24"/>
        </w:rPr>
      </w:pPr>
      <w:r>
        <w:rPr>
          <w:rFonts w:ascii="Calibri" w:hAnsi="Calibri" w:cs="Calibri"/>
          <w:sz w:val="24"/>
          <w:szCs w:val="24"/>
        </w:rPr>
        <w:t>Out from this rock, wind-worn, rain-ra</w:t>
      </w:r>
      <w:r w:rsidR="00C359B4">
        <w:rPr>
          <w:rFonts w:ascii="Calibri" w:hAnsi="Calibri" w:cs="Calibri"/>
          <w:sz w:val="24"/>
          <w:szCs w:val="24"/>
        </w:rPr>
        <w:t>zed</w:t>
      </w:r>
    </w:p>
    <w:p w14:paraId="400D8E77" w14:textId="46C14FF6" w:rsidR="00C359B4" w:rsidRDefault="00C359B4" w:rsidP="00691181">
      <w:pPr>
        <w:spacing w:line="360" w:lineRule="auto"/>
        <w:ind w:left="1440" w:firstLine="720"/>
        <w:rPr>
          <w:rFonts w:ascii="Calibri" w:hAnsi="Calibri" w:cs="Calibri"/>
          <w:sz w:val="24"/>
          <w:szCs w:val="24"/>
        </w:rPr>
      </w:pPr>
      <w:r>
        <w:rPr>
          <w:rFonts w:ascii="Calibri" w:hAnsi="Calibri" w:cs="Calibri"/>
          <w:sz w:val="24"/>
          <w:szCs w:val="24"/>
        </w:rPr>
        <w:t>The Buddha stares into the bludgeoning storm;</w:t>
      </w:r>
    </w:p>
    <w:p w14:paraId="134E6618" w14:textId="2B498E58" w:rsidR="00C359B4" w:rsidRDefault="00E82194" w:rsidP="00691181">
      <w:pPr>
        <w:spacing w:line="360" w:lineRule="auto"/>
        <w:ind w:left="1440" w:firstLine="720"/>
        <w:rPr>
          <w:rFonts w:ascii="Calibri" w:hAnsi="Calibri" w:cs="Calibri"/>
          <w:sz w:val="24"/>
          <w:szCs w:val="24"/>
        </w:rPr>
      </w:pPr>
      <w:r>
        <w:rPr>
          <w:rFonts w:ascii="Calibri" w:hAnsi="Calibri" w:cs="Calibri"/>
          <w:sz w:val="24"/>
          <w:szCs w:val="24"/>
        </w:rPr>
        <w:t>The shrub</w:t>
      </w:r>
      <w:r w:rsidR="00A606B1">
        <w:rPr>
          <w:rFonts w:ascii="Calibri" w:hAnsi="Calibri" w:cs="Calibri"/>
          <w:sz w:val="24"/>
          <w:szCs w:val="24"/>
        </w:rPr>
        <w:t>’</w:t>
      </w:r>
      <w:r>
        <w:rPr>
          <w:rFonts w:ascii="Calibri" w:hAnsi="Calibri" w:cs="Calibri"/>
          <w:sz w:val="24"/>
          <w:szCs w:val="24"/>
        </w:rPr>
        <w:t>s</w:t>
      </w:r>
      <w:r w:rsidR="00A606B1">
        <w:rPr>
          <w:rFonts w:ascii="Calibri" w:hAnsi="Calibri" w:cs="Calibri"/>
          <w:sz w:val="24"/>
          <w:szCs w:val="24"/>
        </w:rPr>
        <w:t xml:space="preserve"> </w:t>
      </w:r>
      <w:r>
        <w:rPr>
          <w:rFonts w:ascii="Calibri" w:hAnsi="Calibri" w:cs="Calibri"/>
          <w:sz w:val="24"/>
          <w:szCs w:val="24"/>
        </w:rPr>
        <w:t>roots crack open the dome of his mind;</w:t>
      </w:r>
    </w:p>
    <w:p w14:paraId="527EE846" w14:textId="03B0FFA4" w:rsidR="00E82194" w:rsidRDefault="00E82194" w:rsidP="00691181">
      <w:pPr>
        <w:spacing w:line="360" w:lineRule="auto"/>
        <w:ind w:left="1440" w:firstLine="720"/>
        <w:rPr>
          <w:rFonts w:ascii="Calibri" w:hAnsi="Calibri" w:cs="Calibri"/>
          <w:sz w:val="24"/>
          <w:szCs w:val="24"/>
        </w:rPr>
      </w:pPr>
      <w:r>
        <w:rPr>
          <w:rFonts w:ascii="Calibri" w:hAnsi="Calibri" w:cs="Calibri"/>
          <w:sz w:val="24"/>
          <w:szCs w:val="24"/>
        </w:rPr>
        <w:t>The husks, bursting</w:t>
      </w:r>
      <w:r w:rsidR="00477096">
        <w:rPr>
          <w:rFonts w:ascii="Calibri" w:hAnsi="Calibri" w:cs="Calibri"/>
          <w:sz w:val="24"/>
          <w:szCs w:val="24"/>
        </w:rPr>
        <w:t>, break his woman’s smile:</w:t>
      </w:r>
    </w:p>
    <w:p w14:paraId="55B4D1DB" w14:textId="58490DDF" w:rsidR="00477096" w:rsidRDefault="00477096" w:rsidP="00691181">
      <w:pPr>
        <w:spacing w:line="360" w:lineRule="auto"/>
        <w:ind w:left="1440" w:firstLine="720"/>
        <w:rPr>
          <w:rFonts w:ascii="Calibri" w:hAnsi="Calibri" w:cs="Calibri"/>
          <w:sz w:val="24"/>
          <w:szCs w:val="24"/>
        </w:rPr>
      </w:pPr>
      <w:r>
        <w:rPr>
          <w:rFonts w:ascii="Calibri" w:hAnsi="Calibri" w:cs="Calibri"/>
          <w:sz w:val="24"/>
          <w:szCs w:val="24"/>
        </w:rPr>
        <w:t>The death of the Buddha! And all patriarchs!</w:t>
      </w:r>
    </w:p>
    <w:p w14:paraId="4CAC3E7F" w14:textId="36F5D4EA" w:rsidR="00477096" w:rsidRDefault="000B3B86" w:rsidP="00691181">
      <w:pPr>
        <w:spacing w:line="360" w:lineRule="auto"/>
        <w:ind w:left="1440" w:firstLine="720"/>
        <w:rPr>
          <w:rFonts w:ascii="Calibri" w:hAnsi="Calibri" w:cs="Calibri"/>
          <w:sz w:val="24"/>
          <w:szCs w:val="24"/>
        </w:rPr>
      </w:pPr>
      <w:r>
        <w:rPr>
          <w:rFonts w:ascii="Calibri" w:hAnsi="Calibri" w:cs="Calibri"/>
          <w:sz w:val="24"/>
          <w:szCs w:val="24"/>
        </w:rPr>
        <w:t>Yet he’s composed; more tranquil now than when</w:t>
      </w:r>
    </w:p>
    <w:p w14:paraId="64BCBBD6" w14:textId="400A4E59" w:rsidR="000B3B86" w:rsidRDefault="000B3B86" w:rsidP="00691181">
      <w:pPr>
        <w:spacing w:line="360" w:lineRule="auto"/>
        <w:ind w:left="1440" w:firstLine="720"/>
        <w:rPr>
          <w:rFonts w:ascii="Calibri" w:hAnsi="Calibri" w:cs="Calibri"/>
          <w:sz w:val="24"/>
          <w:szCs w:val="24"/>
        </w:rPr>
      </w:pPr>
      <w:r>
        <w:rPr>
          <w:rFonts w:ascii="Calibri" w:hAnsi="Calibri" w:cs="Calibri"/>
          <w:sz w:val="24"/>
          <w:szCs w:val="24"/>
        </w:rPr>
        <w:t>His maker hacked him from intractable stone</w:t>
      </w:r>
      <w:r w:rsidR="00E25403">
        <w:rPr>
          <w:rFonts w:ascii="Calibri" w:hAnsi="Calibri" w:cs="Calibri"/>
          <w:sz w:val="24"/>
          <w:szCs w:val="24"/>
        </w:rPr>
        <w:t>.</w:t>
      </w:r>
    </w:p>
    <w:p w14:paraId="6C081BCB" w14:textId="7CA357C1" w:rsidR="00E25403" w:rsidRDefault="00E25403" w:rsidP="00691181">
      <w:pPr>
        <w:spacing w:line="360" w:lineRule="auto"/>
        <w:ind w:left="1440" w:firstLine="720"/>
        <w:rPr>
          <w:rFonts w:ascii="Calibri" w:hAnsi="Calibri" w:cs="Calibri"/>
          <w:sz w:val="24"/>
          <w:szCs w:val="24"/>
        </w:rPr>
      </w:pPr>
      <w:r>
        <w:rPr>
          <w:rFonts w:ascii="Calibri" w:hAnsi="Calibri" w:cs="Calibri"/>
          <w:sz w:val="24"/>
          <w:szCs w:val="24"/>
        </w:rPr>
        <w:t>Soon blue butterflies will flit before him;</w:t>
      </w:r>
    </w:p>
    <w:p w14:paraId="1009926A" w14:textId="01CE381C" w:rsidR="00E25403" w:rsidRDefault="00E25403" w:rsidP="00691181">
      <w:pPr>
        <w:spacing w:line="360" w:lineRule="auto"/>
        <w:ind w:left="1440" w:firstLine="720"/>
        <w:rPr>
          <w:rFonts w:ascii="Calibri" w:hAnsi="Calibri" w:cs="Calibri"/>
          <w:sz w:val="24"/>
          <w:szCs w:val="24"/>
        </w:rPr>
      </w:pPr>
      <w:r>
        <w:rPr>
          <w:rFonts w:ascii="Calibri" w:hAnsi="Calibri" w:cs="Calibri"/>
          <w:sz w:val="24"/>
          <w:szCs w:val="24"/>
        </w:rPr>
        <w:t>And ants will crawl across those worn eye-lids</w:t>
      </w:r>
      <w:r w:rsidR="00836A79">
        <w:rPr>
          <w:rFonts w:ascii="Calibri" w:hAnsi="Calibri" w:cs="Calibri"/>
          <w:sz w:val="24"/>
          <w:szCs w:val="24"/>
        </w:rPr>
        <w:t>;</w:t>
      </w:r>
    </w:p>
    <w:p w14:paraId="6389067D" w14:textId="200DC568" w:rsidR="00836A79" w:rsidRDefault="00836A79" w:rsidP="00691181">
      <w:pPr>
        <w:spacing w:line="360" w:lineRule="auto"/>
        <w:ind w:left="1440" w:firstLine="720"/>
        <w:rPr>
          <w:rFonts w:ascii="Calibri" w:hAnsi="Calibri" w:cs="Calibri"/>
          <w:sz w:val="24"/>
          <w:szCs w:val="24"/>
        </w:rPr>
      </w:pPr>
      <w:r>
        <w:rPr>
          <w:rFonts w:ascii="Calibri" w:hAnsi="Calibri" w:cs="Calibri"/>
          <w:sz w:val="24"/>
          <w:szCs w:val="24"/>
        </w:rPr>
        <w:t>By his shoulders the leaves will burst their calyx</w:t>
      </w:r>
    </w:p>
    <w:p w14:paraId="7914B4E5" w14:textId="3EEDB94D" w:rsidR="00836A79" w:rsidRDefault="00836A79" w:rsidP="00691181">
      <w:pPr>
        <w:spacing w:line="360" w:lineRule="auto"/>
        <w:ind w:left="1440" w:firstLine="720"/>
        <w:rPr>
          <w:rFonts w:ascii="Calibri" w:hAnsi="Calibri" w:cs="Calibri"/>
          <w:sz w:val="24"/>
          <w:szCs w:val="24"/>
        </w:rPr>
      </w:pPr>
      <w:r>
        <w:rPr>
          <w:rFonts w:ascii="Calibri" w:hAnsi="Calibri" w:cs="Calibri"/>
          <w:sz w:val="24"/>
          <w:szCs w:val="24"/>
        </w:rPr>
        <w:t>And unfold. Gree</w:t>
      </w:r>
      <w:r w:rsidR="00FC3BFD">
        <w:rPr>
          <w:rFonts w:ascii="Calibri" w:hAnsi="Calibri" w:cs="Calibri"/>
          <w:sz w:val="24"/>
          <w:szCs w:val="24"/>
        </w:rPr>
        <w:t>n</w:t>
      </w:r>
      <w:r>
        <w:rPr>
          <w:rFonts w:ascii="Calibri" w:hAnsi="Calibri" w:cs="Calibri"/>
          <w:sz w:val="24"/>
          <w:szCs w:val="24"/>
        </w:rPr>
        <w:t>. Yellow</w:t>
      </w:r>
      <w:r w:rsidR="00C52A12">
        <w:rPr>
          <w:rFonts w:ascii="Calibri" w:hAnsi="Calibri" w:cs="Calibri"/>
          <w:sz w:val="24"/>
          <w:szCs w:val="24"/>
        </w:rPr>
        <w:t>. Shrivel. And fade.</w:t>
      </w:r>
    </w:p>
    <w:p w14:paraId="07D5FBCD" w14:textId="520A1FFD" w:rsidR="00C52A12" w:rsidRDefault="00C52A12" w:rsidP="00691181">
      <w:pPr>
        <w:spacing w:line="360" w:lineRule="auto"/>
        <w:ind w:left="1440" w:firstLine="720"/>
        <w:rPr>
          <w:rFonts w:ascii="Calibri" w:hAnsi="Calibri" w:cs="Calibri"/>
          <w:sz w:val="24"/>
          <w:szCs w:val="24"/>
        </w:rPr>
      </w:pPr>
      <w:r>
        <w:rPr>
          <w:rFonts w:ascii="Calibri" w:hAnsi="Calibri" w:cs="Calibri"/>
          <w:sz w:val="24"/>
          <w:szCs w:val="24"/>
        </w:rPr>
        <w:t>Beneath his gaze our lives betray themselves:</w:t>
      </w:r>
    </w:p>
    <w:p w14:paraId="0A5BDA2D" w14:textId="7A849916" w:rsidR="00C52A12" w:rsidRDefault="00C52A12" w:rsidP="00691181">
      <w:pPr>
        <w:spacing w:line="360" w:lineRule="auto"/>
        <w:ind w:left="1440" w:firstLine="720"/>
        <w:rPr>
          <w:rFonts w:ascii="Calibri" w:hAnsi="Calibri" w:cs="Calibri"/>
          <w:sz w:val="24"/>
          <w:szCs w:val="24"/>
        </w:rPr>
      </w:pPr>
      <w:r>
        <w:rPr>
          <w:rFonts w:ascii="Calibri" w:hAnsi="Calibri" w:cs="Calibri"/>
          <w:sz w:val="24"/>
          <w:szCs w:val="24"/>
        </w:rPr>
        <w:t>Broken, open to change. And the world turns</w:t>
      </w:r>
    </w:p>
    <w:p w14:paraId="7335E5F4" w14:textId="6027599B" w:rsidR="00FC3BFD" w:rsidRDefault="00FC3BFD" w:rsidP="00691181">
      <w:pPr>
        <w:spacing w:line="360" w:lineRule="auto"/>
        <w:ind w:left="1440" w:firstLine="720"/>
        <w:rPr>
          <w:rFonts w:ascii="Calibri" w:hAnsi="Calibri" w:cs="Calibri"/>
          <w:sz w:val="24"/>
          <w:szCs w:val="24"/>
        </w:rPr>
      </w:pPr>
      <w:r>
        <w:rPr>
          <w:rFonts w:ascii="Calibri" w:hAnsi="Calibri" w:cs="Calibri"/>
          <w:sz w:val="24"/>
          <w:szCs w:val="24"/>
        </w:rPr>
        <w:t>And turns. The light burns. And the light burns.</w:t>
      </w:r>
    </w:p>
    <w:p w14:paraId="46E4AFC6" w14:textId="77777777" w:rsidR="00FC3BFD" w:rsidRDefault="00FC3BFD" w:rsidP="00FC3BFD">
      <w:pPr>
        <w:spacing w:line="360" w:lineRule="auto"/>
        <w:rPr>
          <w:rFonts w:ascii="Calibri" w:hAnsi="Calibri" w:cs="Calibri"/>
          <w:sz w:val="24"/>
          <w:szCs w:val="24"/>
        </w:rPr>
      </w:pPr>
    </w:p>
    <w:p w14:paraId="5BCFD012" w14:textId="0672ECD9" w:rsidR="00FC3BFD" w:rsidRPr="00DF3245" w:rsidRDefault="00FC3BFD" w:rsidP="00DF3245">
      <w:pPr>
        <w:ind w:left="720" w:firstLine="720"/>
        <w:rPr>
          <w:rFonts w:ascii="Calibri" w:hAnsi="Calibri" w:cs="Calibri"/>
        </w:rPr>
      </w:pPr>
      <w:r w:rsidRPr="00DF3245">
        <w:rPr>
          <w:rFonts w:ascii="Calibri" w:hAnsi="Calibri" w:cs="Calibri"/>
        </w:rPr>
        <w:t xml:space="preserve">(Peter Abbs, 1995, </w:t>
      </w:r>
      <w:r w:rsidRPr="00DF3245">
        <w:rPr>
          <w:rFonts w:ascii="Calibri" w:hAnsi="Calibri" w:cs="Calibri"/>
          <w:i/>
          <w:iCs/>
        </w:rPr>
        <w:t>Personae and Other Selected Poems</w:t>
      </w:r>
      <w:r w:rsidRPr="00DF3245">
        <w:rPr>
          <w:rFonts w:ascii="Calibri" w:hAnsi="Calibri" w:cs="Calibri"/>
        </w:rPr>
        <w:t>, p.109)</w:t>
      </w:r>
    </w:p>
    <w:p w14:paraId="769C17B8" w14:textId="77777777" w:rsidR="007921B1" w:rsidRDefault="007921B1" w:rsidP="006740B3">
      <w:pPr>
        <w:rPr>
          <w:sz w:val="24"/>
          <w:szCs w:val="24"/>
          <w:u w:val="single"/>
        </w:rPr>
      </w:pPr>
    </w:p>
    <w:p w14:paraId="033E6A18" w14:textId="77777777" w:rsidR="007921B1" w:rsidRDefault="007921B1" w:rsidP="006740B3">
      <w:pPr>
        <w:rPr>
          <w:sz w:val="24"/>
          <w:szCs w:val="24"/>
          <w:u w:val="single"/>
        </w:rPr>
      </w:pPr>
    </w:p>
    <w:p w14:paraId="14066943" w14:textId="77777777" w:rsidR="007921B1" w:rsidRDefault="007921B1" w:rsidP="006740B3">
      <w:pPr>
        <w:rPr>
          <w:sz w:val="24"/>
          <w:szCs w:val="24"/>
          <w:u w:val="single"/>
        </w:rPr>
      </w:pPr>
    </w:p>
    <w:p w14:paraId="1D29ABB7" w14:textId="77777777" w:rsidR="007921B1" w:rsidRDefault="007921B1" w:rsidP="006740B3">
      <w:pPr>
        <w:rPr>
          <w:sz w:val="24"/>
          <w:szCs w:val="24"/>
          <w:u w:val="single"/>
        </w:rPr>
      </w:pPr>
    </w:p>
    <w:p w14:paraId="2AC83504" w14:textId="77777777" w:rsidR="007921B1" w:rsidRDefault="007921B1" w:rsidP="006740B3">
      <w:pPr>
        <w:rPr>
          <w:sz w:val="24"/>
          <w:szCs w:val="24"/>
          <w:u w:val="single"/>
        </w:rPr>
      </w:pPr>
    </w:p>
    <w:p w14:paraId="476CF4B7" w14:textId="77777777" w:rsidR="003F1E02" w:rsidRDefault="003F1E02" w:rsidP="003F1E02">
      <w:pPr>
        <w:rPr>
          <w:sz w:val="56"/>
          <w:szCs w:val="56"/>
        </w:rPr>
      </w:pPr>
    </w:p>
    <w:p w14:paraId="02BD09C0" w14:textId="77777777" w:rsidR="003F1E02" w:rsidRDefault="003F1E02" w:rsidP="003F1E02">
      <w:pPr>
        <w:rPr>
          <w:sz w:val="56"/>
          <w:szCs w:val="56"/>
        </w:rPr>
      </w:pPr>
    </w:p>
    <w:p w14:paraId="0F4A1BF2" w14:textId="77777777" w:rsidR="003F1E02" w:rsidRDefault="003F1E02" w:rsidP="003F1E02">
      <w:pPr>
        <w:rPr>
          <w:sz w:val="56"/>
          <w:szCs w:val="56"/>
        </w:rPr>
      </w:pPr>
    </w:p>
    <w:p w14:paraId="1C68BF1B" w14:textId="77777777" w:rsidR="003F1E02" w:rsidRDefault="003F1E02" w:rsidP="003F1E02">
      <w:pPr>
        <w:rPr>
          <w:sz w:val="56"/>
          <w:szCs w:val="56"/>
        </w:rPr>
      </w:pPr>
    </w:p>
    <w:p w14:paraId="1409B6B1" w14:textId="77777777" w:rsidR="003F1E02" w:rsidRDefault="003F1E02" w:rsidP="003F1E02">
      <w:pPr>
        <w:rPr>
          <w:sz w:val="56"/>
          <w:szCs w:val="56"/>
        </w:rPr>
      </w:pPr>
    </w:p>
    <w:p w14:paraId="7AECC9D3" w14:textId="77777777" w:rsidR="003F1E02" w:rsidRDefault="003F1E02" w:rsidP="003F1E02">
      <w:pPr>
        <w:rPr>
          <w:sz w:val="56"/>
          <w:szCs w:val="56"/>
        </w:rPr>
      </w:pPr>
    </w:p>
    <w:p w14:paraId="6B91FFE7" w14:textId="11383652" w:rsidR="00DC464B" w:rsidRPr="007E2BD5" w:rsidRDefault="00C15065" w:rsidP="00C42450">
      <w:pPr>
        <w:ind w:left="2160" w:firstLine="720"/>
        <w:rPr>
          <w:sz w:val="56"/>
          <w:szCs w:val="56"/>
        </w:rPr>
      </w:pPr>
      <w:r>
        <w:rPr>
          <w:sz w:val="56"/>
          <w:szCs w:val="56"/>
        </w:rPr>
        <w:t xml:space="preserve">  </w:t>
      </w:r>
      <w:r w:rsidR="00815E4D" w:rsidRPr="007E2BD5">
        <w:rPr>
          <w:sz w:val="56"/>
          <w:szCs w:val="56"/>
        </w:rPr>
        <w:t>References</w:t>
      </w:r>
    </w:p>
    <w:p w14:paraId="0AA80B9B" w14:textId="77777777" w:rsidR="00DC464B" w:rsidRDefault="00DC464B" w:rsidP="006740B3">
      <w:pPr>
        <w:rPr>
          <w:sz w:val="24"/>
          <w:szCs w:val="24"/>
          <w:u w:val="single"/>
        </w:rPr>
      </w:pPr>
    </w:p>
    <w:p w14:paraId="6D6D6419" w14:textId="77777777" w:rsidR="00DC464B" w:rsidRDefault="00DC464B" w:rsidP="006740B3">
      <w:pPr>
        <w:rPr>
          <w:sz w:val="24"/>
          <w:szCs w:val="24"/>
          <w:u w:val="single"/>
        </w:rPr>
      </w:pPr>
    </w:p>
    <w:p w14:paraId="32FD0EC6" w14:textId="77777777" w:rsidR="00DC464B" w:rsidRDefault="00DC464B" w:rsidP="006740B3">
      <w:pPr>
        <w:rPr>
          <w:sz w:val="24"/>
          <w:szCs w:val="24"/>
          <w:u w:val="single"/>
        </w:rPr>
      </w:pPr>
    </w:p>
    <w:p w14:paraId="137B331E" w14:textId="77777777" w:rsidR="00DC464B" w:rsidRDefault="00DC464B" w:rsidP="006740B3">
      <w:pPr>
        <w:rPr>
          <w:sz w:val="24"/>
          <w:szCs w:val="24"/>
          <w:u w:val="single"/>
        </w:rPr>
      </w:pPr>
    </w:p>
    <w:p w14:paraId="4CAC7816" w14:textId="77777777" w:rsidR="00DC464B" w:rsidRDefault="00DC464B" w:rsidP="006740B3">
      <w:pPr>
        <w:rPr>
          <w:sz w:val="24"/>
          <w:szCs w:val="24"/>
          <w:u w:val="single"/>
        </w:rPr>
      </w:pPr>
    </w:p>
    <w:p w14:paraId="685905B8" w14:textId="77777777" w:rsidR="00DC464B" w:rsidRDefault="00DC464B" w:rsidP="006740B3">
      <w:pPr>
        <w:rPr>
          <w:sz w:val="24"/>
          <w:szCs w:val="24"/>
          <w:u w:val="single"/>
        </w:rPr>
      </w:pPr>
    </w:p>
    <w:p w14:paraId="5B37AB73" w14:textId="77777777" w:rsidR="00DC464B" w:rsidRDefault="00DC464B" w:rsidP="006740B3">
      <w:pPr>
        <w:rPr>
          <w:sz w:val="24"/>
          <w:szCs w:val="24"/>
          <w:u w:val="single"/>
        </w:rPr>
      </w:pPr>
    </w:p>
    <w:p w14:paraId="3D1275CF" w14:textId="77777777" w:rsidR="00DC464B" w:rsidRDefault="00DC464B" w:rsidP="006740B3">
      <w:pPr>
        <w:rPr>
          <w:sz w:val="24"/>
          <w:szCs w:val="24"/>
          <w:u w:val="single"/>
        </w:rPr>
      </w:pPr>
    </w:p>
    <w:p w14:paraId="587670A8" w14:textId="77777777" w:rsidR="00DC464B" w:rsidRDefault="00DC464B" w:rsidP="006740B3">
      <w:pPr>
        <w:rPr>
          <w:sz w:val="24"/>
          <w:szCs w:val="24"/>
          <w:u w:val="single"/>
        </w:rPr>
      </w:pPr>
    </w:p>
    <w:p w14:paraId="10D6A30D" w14:textId="77777777" w:rsidR="00DC464B" w:rsidRDefault="00DC464B" w:rsidP="006740B3">
      <w:pPr>
        <w:rPr>
          <w:sz w:val="24"/>
          <w:szCs w:val="24"/>
          <w:u w:val="single"/>
        </w:rPr>
      </w:pPr>
    </w:p>
    <w:p w14:paraId="7EDA1C38" w14:textId="77777777" w:rsidR="00157825" w:rsidRDefault="00157825" w:rsidP="006740B3">
      <w:pPr>
        <w:rPr>
          <w:sz w:val="24"/>
          <w:szCs w:val="24"/>
          <w:u w:val="single"/>
        </w:rPr>
      </w:pPr>
    </w:p>
    <w:p w14:paraId="75490B55" w14:textId="77777777" w:rsidR="00490828" w:rsidRDefault="00490828" w:rsidP="006740B3">
      <w:pPr>
        <w:rPr>
          <w:sz w:val="24"/>
          <w:szCs w:val="24"/>
          <w:u w:val="single"/>
        </w:rPr>
      </w:pPr>
    </w:p>
    <w:p w14:paraId="7E5A9E83" w14:textId="77777777" w:rsidR="00490828" w:rsidRDefault="00490828" w:rsidP="006740B3">
      <w:pPr>
        <w:rPr>
          <w:sz w:val="24"/>
          <w:szCs w:val="24"/>
          <w:u w:val="single"/>
        </w:rPr>
      </w:pPr>
    </w:p>
    <w:p w14:paraId="0F470368" w14:textId="77777777" w:rsidR="00691181" w:rsidRDefault="00691181" w:rsidP="006740B3">
      <w:pPr>
        <w:rPr>
          <w:sz w:val="24"/>
          <w:szCs w:val="24"/>
          <w:u w:val="single"/>
        </w:rPr>
      </w:pPr>
    </w:p>
    <w:p w14:paraId="2032B90F" w14:textId="77777777" w:rsidR="00157825" w:rsidRDefault="00157825" w:rsidP="006740B3">
      <w:pPr>
        <w:rPr>
          <w:sz w:val="24"/>
          <w:szCs w:val="24"/>
          <w:u w:val="single"/>
        </w:rPr>
      </w:pPr>
    </w:p>
    <w:p w14:paraId="6B6896D9" w14:textId="77777777" w:rsidR="00DC464B" w:rsidRDefault="00DC464B" w:rsidP="006740B3">
      <w:pPr>
        <w:rPr>
          <w:sz w:val="24"/>
          <w:szCs w:val="24"/>
          <w:u w:val="single"/>
        </w:rPr>
      </w:pPr>
    </w:p>
    <w:p w14:paraId="74E13930" w14:textId="5648929E" w:rsidR="00640A2D" w:rsidRPr="00E84F9F" w:rsidRDefault="00640A2D" w:rsidP="0016709E">
      <w:pPr>
        <w:ind w:left="720" w:hanging="720"/>
        <w:rPr>
          <w:b/>
          <w:bCs/>
          <w:sz w:val="28"/>
          <w:szCs w:val="28"/>
        </w:rPr>
      </w:pPr>
      <w:r w:rsidRPr="00E84F9F">
        <w:rPr>
          <w:b/>
          <w:bCs/>
          <w:sz w:val="28"/>
          <w:szCs w:val="28"/>
        </w:rPr>
        <w:lastRenderedPageBreak/>
        <w:t>References</w:t>
      </w:r>
    </w:p>
    <w:p w14:paraId="39EF1773" w14:textId="77777777" w:rsidR="00470F63" w:rsidRDefault="00470F63" w:rsidP="00B67976">
      <w:pPr>
        <w:spacing w:line="360" w:lineRule="auto"/>
        <w:ind w:left="833" w:hanging="720"/>
        <w:rPr>
          <w:bCs/>
          <w:sz w:val="24"/>
          <w:szCs w:val="24"/>
        </w:rPr>
      </w:pPr>
    </w:p>
    <w:p w14:paraId="5552ECFF" w14:textId="6942922F" w:rsidR="00640A2D" w:rsidRPr="00452C80" w:rsidRDefault="00640A2D" w:rsidP="00B67976">
      <w:pPr>
        <w:spacing w:line="360" w:lineRule="auto"/>
        <w:ind w:left="833" w:hanging="720"/>
        <w:rPr>
          <w:bCs/>
          <w:sz w:val="24"/>
          <w:szCs w:val="24"/>
        </w:rPr>
      </w:pPr>
      <w:r w:rsidRPr="00452C80">
        <w:rPr>
          <w:bCs/>
          <w:sz w:val="24"/>
          <w:szCs w:val="24"/>
        </w:rPr>
        <w:t xml:space="preserve">Abbs, P. (1995) </w:t>
      </w:r>
      <w:r w:rsidRPr="00452C80">
        <w:rPr>
          <w:bCs/>
          <w:i/>
          <w:iCs/>
          <w:sz w:val="24"/>
          <w:szCs w:val="24"/>
        </w:rPr>
        <w:t>Personae and other selected poems</w:t>
      </w:r>
      <w:r w:rsidRPr="00452C80">
        <w:rPr>
          <w:bCs/>
          <w:sz w:val="24"/>
          <w:szCs w:val="24"/>
        </w:rPr>
        <w:t>. London: Skoob Books Publishing Ltd.</w:t>
      </w:r>
    </w:p>
    <w:p w14:paraId="695AD6AA" w14:textId="77777777" w:rsidR="00640A2D" w:rsidRPr="00452C80" w:rsidRDefault="00640A2D" w:rsidP="00B67976">
      <w:pPr>
        <w:spacing w:line="360" w:lineRule="auto"/>
        <w:ind w:left="833" w:hanging="720"/>
        <w:rPr>
          <w:bCs/>
          <w:sz w:val="24"/>
          <w:szCs w:val="24"/>
        </w:rPr>
      </w:pPr>
      <w:r w:rsidRPr="00452C80">
        <w:rPr>
          <w:bCs/>
          <w:sz w:val="24"/>
          <w:szCs w:val="24"/>
        </w:rPr>
        <w:t xml:space="preserve">Abbs, P. (2003) </w:t>
      </w:r>
      <w:r w:rsidRPr="00452C80">
        <w:rPr>
          <w:bCs/>
          <w:i/>
          <w:iCs/>
          <w:sz w:val="24"/>
          <w:szCs w:val="24"/>
        </w:rPr>
        <w:t>Against the Flow: Education, the arts and postmodern culture</w:t>
      </w:r>
      <w:r w:rsidRPr="00452C80">
        <w:rPr>
          <w:bCs/>
          <w:sz w:val="24"/>
          <w:szCs w:val="24"/>
        </w:rPr>
        <w:t>. London: Routledge Falmer.</w:t>
      </w:r>
    </w:p>
    <w:p w14:paraId="5CEA2467" w14:textId="3123C316" w:rsidR="00640A2D" w:rsidRPr="00452C80" w:rsidRDefault="00640A2D" w:rsidP="00B67976">
      <w:pPr>
        <w:spacing w:line="360" w:lineRule="auto"/>
        <w:ind w:left="833" w:hanging="720"/>
        <w:rPr>
          <w:sz w:val="24"/>
          <w:szCs w:val="24"/>
        </w:rPr>
      </w:pPr>
      <w:r w:rsidRPr="00452C80">
        <w:rPr>
          <w:sz w:val="24"/>
          <w:szCs w:val="24"/>
        </w:rPr>
        <w:t>Abercrombie, M.</w:t>
      </w:r>
      <w:r w:rsidR="005A7466">
        <w:rPr>
          <w:sz w:val="24"/>
          <w:szCs w:val="24"/>
        </w:rPr>
        <w:t xml:space="preserve"> </w:t>
      </w:r>
      <w:r w:rsidRPr="00452C80">
        <w:rPr>
          <w:sz w:val="24"/>
          <w:szCs w:val="24"/>
        </w:rPr>
        <w:t>L.</w:t>
      </w:r>
      <w:r w:rsidR="005A7466">
        <w:rPr>
          <w:sz w:val="24"/>
          <w:szCs w:val="24"/>
        </w:rPr>
        <w:t xml:space="preserve"> </w:t>
      </w:r>
      <w:r w:rsidRPr="00452C80">
        <w:rPr>
          <w:sz w:val="24"/>
          <w:szCs w:val="24"/>
        </w:rPr>
        <w:t xml:space="preserve">J. (1969) </w:t>
      </w:r>
      <w:r w:rsidRPr="00452C80">
        <w:rPr>
          <w:i/>
          <w:iCs/>
          <w:sz w:val="24"/>
          <w:szCs w:val="24"/>
        </w:rPr>
        <w:t>The Anatomy of Judgement</w:t>
      </w:r>
      <w:r w:rsidRPr="00452C80">
        <w:rPr>
          <w:sz w:val="24"/>
          <w:szCs w:val="24"/>
        </w:rPr>
        <w:t xml:space="preserve">. London: Pelican books. </w:t>
      </w:r>
    </w:p>
    <w:p w14:paraId="1D836BCC" w14:textId="4CC47DDF" w:rsidR="00640A2D" w:rsidRPr="00452C80" w:rsidRDefault="00640A2D" w:rsidP="00B67976">
      <w:pPr>
        <w:spacing w:line="360" w:lineRule="auto"/>
        <w:ind w:left="833" w:hanging="720"/>
        <w:rPr>
          <w:sz w:val="24"/>
          <w:szCs w:val="24"/>
        </w:rPr>
      </w:pPr>
      <w:r w:rsidRPr="00452C80">
        <w:rPr>
          <w:sz w:val="24"/>
          <w:szCs w:val="24"/>
        </w:rPr>
        <w:t>Abercrombie, M.</w:t>
      </w:r>
      <w:r w:rsidR="005A7466">
        <w:rPr>
          <w:sz w:val="24"/>
          <w:szCs w:val="24"/>
        </w:rPr>
        <w:t xml:space="preserve"> </w:t>
      </w:r>
      <w:r w:rsidRPr="00452C80">
        <w:rPr>
          <w:sz w:val="24"/>
          <w:szCs w:val="24"/>
        </w:rPr>
        <w:t>L.</w:t>
      </w:r>
      <w:r w:rsidR="005A7466">
        <w:rPr>
          <w:sz w:val="24"/>
          <w:szCs w:val="24"/>
        </w:rPr>
        <w:t xml:space="preserve"> </w:t>
      </w:r>
      <w:r w:rsidRPr="00452C80">
        <w:rPr>
          <w:sz w:val="24"/>
          <w:szCs w:val="24"/>
        </w:rPr>
        <w:t xml:space="preserve">J. (1993) </w:t>
      </w:r>
      <w:r w:rsidRPr="00452C80">
        <w:rPr>
          <w:i/>
          <w:iCs/>
          <w:sz w:val="24"/>
          <w:szCs w:val="24"/>
        </w:rPr>
        <w:t>The Human Nature of Learning.</w:t>
      </w:r>
      <w:r w:rsidRPr="00452C80">
        <w:rPr>
          <w:sz w:val="24"/>
          <w:szCs w:val="24"/>
        </w:rPr>
        <w:t xml:space="preserve"> Buckingham: SHRE and Open University Press.  </w:t>
      </w:r>
    </w:p>
    <w:p w14:paraId="55CB258F" w14:textId="7723F0C1" w:rsidR="00640A2D" w:rsidRPr="00452C80" w:rsidRDefault="00640A2D" w:rsidP="00B67976">
      <w:pPr>
        <w:spacing w:line="360" w:lineRule="auto"/>
        <w:ind w:left="833" w:hanging="720"/>
        <w:rPr>
          <w:sz w:val="24"/>
          <w:szCs w:val="24"/>
        </w:rPr>
      </w:pPr>
      <w:r w:rsidRPr="00452C80">
        <w:rPr>
          <w:sz w:val="24"/>
          <w:szCs w:val="24"/>
        </w:rPr>
        <w:t xml:space="preserve">Abou Assali, M., </w:t>
      </w:r>
      <w:r w:rsidR="005A7466">
        <w:rPr>
          <w:sz w:val="24"/>
          <w:szCs w:val="24"/>
        </w:rPr>
        <w:t>and</w:t>
      </w:r>
      <w:r w:rsidRPr="00452C80">
        <w:rPr>
          <w:sz w:val="24"/>
          <w:szCs w:val="24"/>
        </w:rPr>
        <w:t xml:space="preserve"> Al Abdouli, K. (2024) Unleashing the power of Teacher’s Well-being and Selfcare. </w:t>
      </w:r>
      <w:r w:rsidRPr="00452C80">
        <w:rPr>
          <w:i/>
          <w:iCs/>
          <w:sz w:val="24"/>
          <w:szCs w:val="24"/>
        </w:rPr>
        <w:t>Research Journal in Advanced Humanities,</w:t>
      </w:r>
      <w:r w:rsidRPr="00452C80">
        <w:rPr>
          <w:sz w:val="24"/>
          <w:szCs w:val="24"/>
        </w:rPr>
        <w:t xml:space="preserve"> </w:t>
      </w:r>
      <w:r w:rsidRPr="00671CA2">
        <w:rPr>
          <w:b/>
          <w:bCs/>
          <w:sz w:val="24"/>
          <w:szCs w:val="24"/>
        </w:rPr>
        <w:t>5</w:t>
      </w:r>
      <w:r w:rsidRPr="00452C80">
        <w:rPr>
          <w:sz w:val="24"/>
          <w:szCs w:val="24"/>
        </w:rPr>
        <w:t xml:space="preserve">(1): pp.262-274. </w:t>
      </w:r>
      <w:hyperlink r:id="rId88" w:history="1">
        <w:r w:rsidR="00E81B72" w:rsidRPr="00E81B72">
          <w:rPr>
            <w:rFonts w:ascii="Calibri" w:eastAsia="Calibri" w:hAnsi="Calibri" w:cs="Times New Roman"/>
            <w:color w:val="0563C1"/>
            <w:sz w:val="24"/>
            <w:szCs w:val="24"/>
            <w:u w:val="single"/>
          </w:rPr>
          <w:t>https://doi.org/10.58256/3nrd9d62</w:t>
        </w:r>
      </w:hyperlink>
    </w:p>
    <w:p w14:paraId="7FD46539" w14:textId="02DC0362" w:rsidR="00640A2D" w:rsidRPr="00452C80" w:rsidRDefault="00640A2D" w:rsidP="00B67976">
      <w:pPr>
        <w:spacing w:line="360" w:lineRule="auto"/>
        <w:ind w:left="833" w:hanging="720"/>
        <w:rPr>
          <w:sz w:val="24"/>
          <w:szCs w:val="24"/>
        </w:rPr>
      </w:pPr>
      <w:r w:rsidRPr="00452C80">
        <w:rPr>
          <w:sz w:val="24"/>
          <w:szCs w:val="24"/>
        </w:rPr>
        <w:t>Adams, J., Hillier-Brown, F.</w:t>
      </w:r>
      <w:r w:rsidR="005A7466">
        <w:rPr>
          <w:sz w:val="24"/>
          <w:szCs w:val="24"/>
        </w:rPr>
        <w:t xml:space="preserve"> </w:t>
      </w:r>
      <w:r w:rsidRPr="00452C80">
        <w:rPr>
          <w:sz w:val="24"/>
          <w:szCs w:val="24"/>
        </w:rPr>
        <w:t>C., Moore, H.</w:t>
      </w:r>
      <w:r w:rsidR="005A7466">
        <w:rPr>
          <w:sz w:val="24"/>
          <w:szCs w:val="24"/>
        </w:rPr>
        <w:t xml:space="preserve"> </w:t>
      </w:r>
      <w:r w:rsidRPr="00452C80">
        <w:rPr>
          <w:sz w:val="24"/>
          <w:szCs w:val="24"/>
        </w:rPr>
        <w:t>J., Lake, A.</w:t>
      </w:r>
      <w:r w:rsidR="005A7466">
        <w:rPr>
          <w:sz w:val="24"/>
          <w:szCs w:val="24"/>
        </w:rPr>
        <w:t xml:space="preserve"> </w:t>
      </w:r>
      <w:r w:rsidRPr="00452C80">
        <w:rPr>
          <w:sz w:val="24"/>
          <w:szCs w:val="24"/>
        </w:rPr>
        <w:t>A., </w:t>
      </w:r>
      <w:hyperlink r:id="rId89" w:history="1">
        <w:r w:rsidRPr="00452C80">
          <w:rPr>
            <w:rStyle w:val="Hyperlink"/>
            <w:color w:val="auto"/>
            <w:sz w:val="24"/>
            <w:szCs w:val="24"/>
          </w:rPr>
          <w:t xml:space="preserve"> </w:t>
        </w:r>
        <w:r w:rsidRPr="005631BF">
          <w:rPr>
            <w:rStyle w:val="Hyperlink"/>
            <w:color w:val="auto"/>
            <w:sz w:val="24"/>
            <w:szCs w:val="24"/>
            <w:u w:val="none"/>
          </w:rPr>
          <w:t>Araujo-Soares</w:t>
        </w:r>
      </w:hyperlink>
      <w:r w:rsidRPr="00452C80">
        <w:rPr>
          <w:sz w:val="24"/>
          <w:szCs w:val="24"/>
        </w:rPr>
        <w:t xml:space="preserve">, V., White, M., and </w:t>
      </w:r>
      <w:hyperlink r:id="rId90" w:history="1">
        <w:r w:rsidRPr="005A7466">
          <w:rPr>
            <w:rStyle w:val="Hyperlink"/>
            <w:color w:val="auto"/>
            <w:sz w:val="24"/>
            <w:szCs w:val="24"/>
            <w:u w:val="none"/>
          </w:rPr>
          <w:t>Summerbell</w:t>
        </w:r>
      </w:hyperlink>
      <w:r w:rsidRPr="005A7466">
        <w:rPr>
          <w:sz w:val="24"/>
          <w:szCs w:val="24"/>
        </w:rPr>
        <w:t>,</w:t>
      </w:r>
      <w:r w:rsidRPr="00452C80">
        <w:rPr>
          <w:sz w:val="24"/>
          <w:szCs w:val="24"/>
        </w:rPr>
        <w:t xml:space="preserve"> C.</w:t>
      </w:r>
      <w:r w:rsidRPr="00452C80">
        <w:rPr>
          <w:sz w:val="24"/>
          <w:szCs w:val="24"/>
          <w:vertAlign w:val="superscript"/>
        </w:rPr>
        <w:t xml:space="preserve">. </w:t>
      </w:r>
      <w:r w:rsidRPr="00452C80">
        <w:rPr>
          <w:sz w:val="24"/>
          <w:szCs w:val="24"/>
        </w:rPr>
        <w:t>(2016) Searching and synthesising ‘grey literature’ and ‘grey information’ in public health: critical reflections on three case studies. </w:t>
      </w:r>
      <w:r w:rsidRPr="00452C80">
        <w:rPr>
          <w:i/>
          <w:iCs/>
          <w:sz w:val="24"/>
          <w:szCs w:val="24"/>
        </w:rPr>
        <w:t>Systematic Reviews,</w:t>
      </w:r>
      <w:r w:rsidRPr="00452C80">
        <w:rPr>
          <w:sz w:val="24"/>
          <w:szCs w:val="24"/>
        </w:rPr>
        <w:t> </w:t>
      </w:r>
      <w:r w:rsidRPr="00452C80">
        <w:rPr>
          <w:b/>
          <w:bCs/>
          <w:sz w:val="24"/>
          <w:szCs w:val="24"/>
        </w:rPr>
        <w:t>5</w:t>
      </w:r>
      <w:r w:rsidRPr="00452C80">
        <w:rPr>
          <w:sz w:val="24"/>
          <w:szCs w:val="24"/>
        </w:rPr>
        <w:t xml:space="preserve">(164): pp.1-11. </w:t>
      </w:r>
      <w:hyperlink r:id="rId91" w:tgtFrame="_blank" w:history="1">
        <w:r w:rsidR="005306EE" w:rsidRPr="005306EE">
          <w:rPr>
            <w:rFonts w:ascii="Calibri" w:eastAsia="Calibri" w:hAnsi="Calibri" w:cs="Times New Roman"/>
            <w:color w:val="0563C1"/>
            <w:sz w:val="24"/>
            <w:szCs w:val="24"/>
            <w:u w:val="single"/>
          </w:rPr>
          <w:t>https://dx.doi.org/10.1186/s13643-016-0337-y</w:t>
        </w:r>
      </w:hyperlink>
    </w:p>
    <w:p w14:paraId="7700154E" w14:textId="77777777" w:rsidR="00640A2D" w:rsidRPr="00452C80" w:rsidRDefault="00640A2D" w:rsidP="00B67976">
      <w:pPr>
        <w:spacing w:line="360" w:lineRule="auto"/>
        <w:ind w:left="833" w:hanging="720"/>
        <w:rPr>
          <w:sz w:val="24"/>
          <w:szCs w:val="24"/>
        </w:rPr>
      </w:pPr>
      <w:r w:rsidRPr="00452C80">
        <w:rPr>
          <w:sz w:val="24"/>
          <w:szCs w:val="24"/>
        </w:rPr>
        <w:t xml:space="preserve">Ahmed, S. (2021) </w:t>
      </w:r>
      <w:r w:rsidRPr="00452C80">
        <w:rPr>
          <w:i/>
          <w:iCs/>
          <w:sz w:val="24"/>
          <w:szCs w:val="24"/>
        </w:rPr>
        <w:t>Complaint!</w:t>
      </w:r>
      <w:r w:rsidRPr="00452C80">
        <w:rPr>
          <w:sz w:val="24"/>
          <w:szCs w:val="24"/>
        </w:rPr>
        <w:t xml:space="preserve"> Durham and London: Duke University Press.</w:t>
      </w:r>
    </w:p>
    <w:p w14:paraId="593E4732" w14:textId="3530F381" w:rsidR="00640A2D" w:rsidRPr="00452C80" w:rsidRDefault="00640A2D" w:rsidP="00B67976">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Ainsworth, S. and Oldfield, J. (2019) Quantifying teacher resilience: Context matters. </w:t>
      </w:r>
      <w:r w:rsidRPr="00452C80">
        <w:rPr>
          <w:rFonts w:ascii="Calibri" w:eastAsia="Aptos" w:hAnsi="Calibri" w:cs="Calibri"/>
          <w:i/>
          <w:iCs/>
          <w:kern w:val="2"/>
          <w:sz w:val="24"/>
          <w:szCs w:val="24"/>
          <w14:ligatures w14:val="standardContextual"/>
        </w:rPr>
        <w:t>Teaching and Teacher Education</w:t>
      </w:r>
      <w:r w:rsidRPr="00452C80">
        <w:rPr>
          <w:rFonts w:ascii="Calibri" w:eastAsia="Aptos" w:hAnsi="Calibri" w:cs="Calibri"/>
          <w:kern w:val="2"/>
          <w:sz w:val="24"/>
          <w:szCs w:val="24"/>
          <w14:ligatures w14:val="standardContextual"/>
        </w:rPr>
        <w:t>, 82: pp.117–128.</w:t>
      </w:r>
      <w:r w:rsidRPr="00452C80">
        <w:t xml:space="preserve"> </w:t>
      </w:r>
      <w:hyperlink r:id="rId92" w:tgtFrame="_blank" w:tooltip="Persistent link using digital object identifier" w:history="1">
        <w:r w:rsidR="00A52414" w:rsidRPr="00A52414">
          <w:rPr>
            <w:rFonts w:ascii="Calibri" w:eastAsia="Aptos" w:hAnsi="Calibri" w:cs="Calibri"/>
            <w:color w:val="0563C1"/>
            <w:kern w:val="2"/>
            <w:sz w:val="24"/>
            <w:szCs w:val="24"/>
            <w:u w:val="single"/>
            <w14:ligatures w14:val="standardContextual"/>
          </w:rPr>
          <w:t>https://doi.org/10.1016/j.tate.2019.03.012</w:t>
        </w:r>
      </w:hyperlink>
    </w:p>
    <w:p w14:paraId="7FF93F2E" w14:textId="654D78C0" w:rsidR="00640A2D" w:rsidRPr="00452C80" w:rsidRDefault="00640A2D" w:rsidP="00B67976">
      <w:pPr>
        <w:spacing w:line="360" w:lineRule="auto"/>
        <w:ind w:left="833" w:hanging="720"/>
        <w:rPr>
          <w:sz w:val="24"/>
          <w:szCs w:val="24"/>
        </w:rPr>
      </w:pPr>
      <w:r w:rsidRPr="00452C80">
        <w:rPr>
          <w:sz w:val="24"/>
          <w:szCs w:val="24"/>
        </w:rPr>
        <w:t xml:space="preserve">Alila, S., Maatta, K., and Uusiautti, S. (2016) How Does Supervision Support Inclusive Teacher hood? </w:t>
      </w:r>
      <w:r w:rsidRPr="00452C80">
        <w:rPr>
          <w:i/>
          <w:iCs/>
          <w:sz w:val="24"/>
          <w:szCs w:val="24"/>
        </w:rPr>
        <w:t>International Electronic Journal of Elementary Education,</w:t>
      </w:r>
      <w:r w:rsidRPr="00452C80">
        <w:rPr>
          <w:sz w:val="24"/>
          <w:szCs w:val="24"/>
        </w:rPr>
        <w:t xml:space="preserve"> </w:t>
      </w:r>
      <w:r w:rsidRPr="00452C80">
        <w:rPr>
          <w:b/>
          <w:bCs/>
          <w:sz w:val="24"/>
          <w:szCs w:val="24"/>
        </w:rPr>
        <w:t>8</w:t>
      </w:r>
      <w:r w:rsidRPr="00452C80">
        <w:rPr>
          <w:sz w:val="24"/>
          <w:szCs w:val="24"/>
        </w:rPr>
        <w:t xml:space="preserve">(3): pp.351-362. </w:t>
      </w:r>
      <w:hyperlink r:id="rId93" w:history="1">
        <w:r w:rsidR="00917C11" w:rsidRPr="00917C11">
          <w:rPr>
            <w:rFonts w:ascii="Calibri" w:eastAsia="Calibri" w:hAnsi="Calibri" w:cs="Times New Roman"/>
            <w:color w:val="0563C1"/>
            <w:sz w:val="24"/>
            <w:szCs w:val="24"/>
            <w:u w:val="single"/>
          </w:rPr>
          <w:t>https://files.eric.ed.gov/fulltext/EJ1096523.pdf</w:t>
        </w:r>
      </w:hyperlink>
    </w:p>
    <w:p w14:paraId="353E6FEA" w14:textId="73FF575A" w:rsidR="00640A2D" w:rsidRPr="00452C80" w:rsidRDefault="00640A2D" w:rsidP="00B67976">
      <w:pPr>
        <w:spacing w:line="360" w:lineRule="auto"/>
        <w:ind w:left="833" w:hanging="720"/>
        <w:rPr>
          <w:bCs/>
          <w:sz w:val="24"/>
          <w:szCs w:val="24"/>
        </w:rPr>
      </w:pPr>
      <w:r w:rsidRPr="00452C80">
        <w:rPr>
          <w:bCs/>
          <w:sz w:val="24"/>
          <w:szCs w:val="24"/>
        </w:rPr>
        <w:t xml:space="preserve">Alonso, A. (1985) </w:t>
      </w:r>
      <w:r w:rsidRPr="00452C80">
        <w:rPr>
          <w:bCs/>
          <w:i/>
          <w:iCs/>
          <w:sz w:val="24"/>
          <w:szCs w:val="24"/>
        </w:rPr>
        <w:t>The Quiet Profession: Supervisors of psychotherapy</w:t>
      </w:r>
      <w:r w:rsidRPr="00452C80">
        <w:rPr>
          <w:bCs/>
          <w:sz w:val="24"/>
          <w:szCs w:val="24"/>
        </w:rPr>
        <w:t>. New York: Macmillan.</w:t>
      </w:r>
    </w:p>
    <w:p w14:paraId="37583634" w14:textId="7E20441A" w:rsidR="00640A2D" w:rsidRPr="00452C80" w:rsidRDefault="00640A2D" w:rsidP="00B67976">
      <w:pPr>
        <w:spacing w:line="360" w:lineRule="auto"/>
        <w:ind w:left="833" w:hanging="720"/>
        <w:rPr>
          <w:bCs/>
          <w:sz w:val="24"/>
          <w:szCs w:val="24"/>
        </w:rPr>
      </w:pPr>
      <w:r w:rsidRPr="00452C80">
        <w:rPr>
          <w:bCs/>
          <w:sz w:val="24"/>
          <w:szCs w:val="24"/>
        </w:rPr>
        <w:t xml:space="preserve">Alshenqeeti, H. (2014) Interviewing as a Data Collection Method: A critical review. </w:t>
      </w:r>
      <w:r w:rsidRPr="00452C80">
        <w:rPr>
          <w:bCs/>
          <w:i/>
          <w:iCs/>
          <w:sz w:val="24"/>
          <w:szCs w:val="24"/>
        </w:rPr>
        <w:t>English Linguistics Research</w:t>
      </w:r>
      <w:r w:rsidRPr="00452C80">
        <w:rPr>
          <w:bCs/>
          <w:sz w:val="24"/>
          <w:szCs w:val="24"/>
        </w:rPr>
        <w:t xml:space="preserve">, </w:t>
      </w:r>
      <w:r w:rsidRPr="00452C80">
        <w:rPr>
          <w:b/>
          <w:sz w:val="24"/>
          <w:szCs w:val="24"/>
        </w:rPr>
        <w:t>3</w:t>
      </w:r>
      <w:r w:rsidRPr="00452C80">
        <w:rPr>
          <w:bCs/>
          <w:sz w:val="24"/>
          <w:szCs w:val="24"/>
        </w:rPr>
        <w:t>(1): pp.39-45.</w:t>
      </w:r>
      <w:r w:rsidR="00064E38" w:rsidRPr="00064E38">
        <w:rPr>
          <w:rFonts w:ascii="Calibri" w:eastAsia="Calibri" w:hAnsi="Calibri" w:cs="Times New Roman"/>
        </w:rPr>
        <w:t xml:space="preserve"> </w:t>
      </w:r>
      <w:hyperlink r:id="rId94" w:history="1">
        <w:r w:rsidR="00064E38" w:rsidRPr="00064E38">
          <w:rPr>
            <w:rFonts w:ascii="Calibri" w:eastAsia="Calibri" w:hAnsi="Calibri" w:cs="Times New Roman"/>
            <w:bCs/>
            <w:color w:val="0563C1"/>
            <w:sz w:val="24"/>
            <w:szCs w:val="24"/>
            <w:u w:val="single"/>
          </w:rPr>
          <w:t>https://doi.org/10.5430/elr.v3n1p39</w:t>
        </w:r>
      </w:hyperlink>
      <w:r w:rsidR="00917C11" w:rsidRPr="00452C80">
        <w:rPr>
          <w:bCs/>
          <w:sz w:val="24"/>
          <w:szCs w:val="24"/>
        </w:rPr>
        <w:t xml:space="preserve"> </w:t>
      </w:r>
    </w:p>
    <w:p w14:paraId="619F2067" w14:textId="2ADEF46F" w:rsidR="00640A2D" w:rsidRPr="00452C80" w:rsidRDefault="00A96A53" w:rsidP="00B67976">
      <w:pPr>
        <w:spacing w:line="360" w:lineRule="auto"/>
        <w:ind w:left="833" w:hanging="720"/>
        <w:rPr>
          <w:sz w:val="24"/>
          <w:szCs w:val="24"/>
        </w:rPr>
      </w:pPr>
      <w:r>
        <w:rPr>
          <w:sz w:val="24"/>
          <w:szCs w:val="24"/>
        </w:rPr>
        <w:lastRenderedPageBreak/>
        <w:t xml:space="preserve"> </w:t>
      </w:r>
      <w:r w:rsidR="00640A2D" w:rsidRPr="00452C80">
        <w:rPr>
          <w:sz w:val="24"/>
          <w:szCs w:val="24"/>
        </w:rPr>
        <w:t>Andersen, R., Holm, A., and Côté, J. E. (2021) The student mental health crisis: Assessing psychiatric and developmental explanatory models. </w:t>
      </w:r>
      <w:r w:rsidR="00640A2D" w:rsidRPr="00452C80">
        <w:rPr>
          <w:i/>
          <w:iCs/>
          <w:sz w:val="24"/>
          <w:szCs w:val="24"/>
        </w:rPr>
        <w:t xml:space="preserve">Journal of Adolescence, </w:t>
      </w:r>
      <w:r w:rsidR="00640A2D" w:rsidRPr="00700904">
        <w:rPr>
          <w:sz w:val="24"/>
          <w:szCs w:val="24"/>
        </w:rPr>
        <w:t>86</w:t>
      </w:r>
      <w:r w:rsidR="00640A2D" w:rsidRPr="00452C80">
        <w:rPr>
          <w:sz w:val="24"/>
          <w:szCs w:val="24"/>
        </w:rPr>
        <w:t>: pp. 101–114.</w:t>
      </w:r>
      <w:r w:rsidR="00064E38" w:rsidRPr="00452C80">
        <w:rPr>
          <w:sz w:val="24"/>
          <w:szCs w:val="24"/>
        </w:rPr>
        <w:t xml:space="preserve"> </w:t>
      </w:r>
      <w:r w:rsidR="00C073E5" w:rsidRPr="00C073E5">
        <w:rPr>
          <w:rFonts w:ascii="Calibri" w:eastAsia="Calibri" w:hAnsi="Calibri" w:cs="Times New Roman"/>
          <w:color w:val="C00000"/>
          <w:sz w:val="24"/>
          <w:szCs w:val="24"/>
        </w:rPr>
        <w:t> </w:t>
      </w:r>
      <w:hyperlink r:id="rId95" w:tgtFrame="_blank" w:history="1">
        <w:r w:rsidR="00C073E5" w:rsidRPr="00C073E5">
          <w:rPr>
            <w:rFonts w:ascii="Calibri" w:eastAsia="Calibri" w:hAnsi="Calibri" w:cs="Times New Roman"/>
            <w:color w:val="0563C1"/>
            <w:sz w:val="24"/>
            <w:szCs w:val="24"/>
            <w:u w:val="single"/>
          </w:rPr>
          <w:t>https://doi.org/10.1016/j.adolescence.2020.12.004</w:t>
        </w:r>
      </w:hyperlink>
    </w:p>
    <w:p w14:paraId="4B0AD7EA" w14:textId="465411C7" w:rsidR="00086F0E" w:rsidRPr="00576E82" w:rsidRDefault="00A96A53" w:rsidP="00576E82">
      <w:pPr>
        <w:spacing w:line="360" w:lineRule="auto"/>
        <w:ind w:left="833" w:hanging="720"/>
        <w:rPr>
          <w:bCs/>
          <w:i/>
          <w:iCs/>
          <w:sz w:val="24"/>
          <w:szCs w:val="24"/>
        </w:rPr>
      </w:pPr>
      <w:r>
        <w:rPr>
          <w:bCs/>
          <w:sz w:val="24"/>
          <w:szCs w:val="24"/>
        </w:rPr>
        <w:t xml:space="preserve"> </w:t>
      </w:r>
      <w:r w:rsidR="00086F0E" w:rsidRPr="00086F0E">
        <w:rPr>
          <w:bCs/>
          <w:sz w:val="24"/>
          <w:szCs w:val="24"/>
        </w:rPr>
        <w:t xml:space="preserve">Anderson, C. and Kirkpatrick, S. (2016) Narrative Interviewing. </w:t>
      </w:r>
      <w:r w:rsidR="00086F0E" w:rsidRPr="00086F0E">
        <w:rPr>
          <w:bCs/>
          <w:i/>
          <w:iCs/>
          <w:sz w:val="24"/>
          <w:szCs w:val="24"/>
        </w:rPr>
        <w:t>International Journal of Clinical Pharmacy</w:t>
      </w:r>
      <w:r w:rsidR="00086F0E" w:rsidRPr="00086F0E">
        <w:rPr>
          <w:bCs/>
          <w:sz w:val="24"/>
          <w:szCs w:val="24"/>
        </w:rPr>
        <w:t xml:space="preserve">, </w:t>
      </w:r>
      <w:r w:rsidR="00086F0E" w:rsidRPr="00086F0E">
        <w:rPr>
          <w:b/>
          <w:bCs/>
          <w:sz w:val="24"/>
          <w:szCs w:val="24"/>
        </w:rPr>
        <w:t>38</w:t>
      </w:r>
      <w:r w:rsidR="00086F0E" w:rsidRPr="00086F0E">
        <w:rPr>
          <w:bCs/>
          <w:sz w:val="24"/>
          <w:szCs w:val="24"/>
        </w:rPr>
        <w:t xml:space="preserve">: pp.631-634. </w:t>
      </w:r>
      <w:hyperlink r:id="rId96" w:history="1">
        <w:r w:rsidR="00086F0E" w:rsidRPr="00086F0E">
          <w:rPr>
            <w:rStyle w:val="Hyperlink"/>
            <w:bCs/>
            <w:sz w:val="24"/>
            <w:szCs w:val="24"/>
          </w:rPr>
          <w:t>https://doi.org/10.1007/s11096-015-0222-0</w:t>
        </w:r>
      </w:hyperlink>
    </w:p>
    <w:p w14:paraId="30AB0428" w14:textId="223AD5C3" w:rsidR="00640A2D" w:rsidRPr="00452C80" w:rsidRDefault="00A96A53" w:rsidP="00B67976">
      <w:pPr>
        <w:spacing w:line="360" w:lineRule="auto"/>
        <w:ind w:left="833" w:hanging="720"/>
        <w:rPr>
          <w:bCs/>
          <w:sz w:val="24"/>
          <w:szCs w:val="24"/>
        </w:rPr>
      </w:pPr>
      <w:r>
        <w:rPr>
          <w:bCs/>
          <w:sz w:val="24"/>
          <w:szCs w:val="24"/>
        </w:rPr>
        <w:t xml:space="preserve"> </w:t>
      </w:r>
      <w:r w:rsidR="00640A2D" w:rsidRPr="00452C80">
        <w:rPr>
          <w:bCs/>
          <w:sz w:val="24"/>
          <w:szCs w:val="24"/>
        </w:rPr>
        <w:t>Anderson, H. (2007)</w:t>
      </w:r>
      <w:r w:rsidR="003B0595">
        <w:rPr>
          <w:bCs/>
          <w:sz w:val="24"/>
          <w:szCs w:val="24"/>
        </w:rPr>
        <w:t xml:space="preserve"> </w:t>
      </w:r>
      <w:r w:rsidR="00640A2D" w:rsidRPr="00452C80">
        <w:rPr>
          <w:bCs/>
          <w:sz w:val="24"/>
          <w:szCs w:val="24"/>
        </w:rPr>
        <w:t>The heart and spirit of collaborative therapy: The philosophical stance</w:t>
      </w:r>
      <w:r w:rsidR="00F31905">
        <w:rPr>
          <w:bCs/>
          <w:sz w:val="24"/>
          <w:szCs w:val="24"/>
        </w:rPr>
        <w:t xml:space="preserve"> </w:t>
      </w:r>
      <w:r w:rsidR="00640A2D" w:rsidRPr="00452C80">
        <w:rPr>
          <w:bCs/>
          <w:sz w:val="24"/>
          <w:szCs w:val="24"/>
        </w:rPr>
        <w:t>- “A way of being” in relationship and conversation. In</w:t>
      </w:r>
      <w:r w:rsidR="00825F86">
        <w:rPr>
          <w:bCs/>
          <w:sz w:val="24"/>
          <w:szCs w:val="24"/>
        </w:rPr>
        <w:t>:</w:t>
      </w:r>
      <w:r w:rsidR="00640A2D" w:rsidRPr="00452C80">
        <w:rPr>
          <w:bCs/>
          <w:sz w:val="24"/>
          <w:szCs w:val="24"/>
        </w:rPr>
        <w:t xml:space="preserve"> H. Anderson and G.D. Gerhart (eds)</w:t>
      </w:r>
      <w:r w:rsidR="00A659B8">
        <w:rPr>
          <w:bCs/>
          <w:sz w:val="24"/>
          <w:szCs w:val="24"/>
        </w:rPr>
        <w:t>,</w:t>
      </w:r>
      <w:r w:rsidR="00640A2D" w:rsidRPr="00452C80">
        <w:rPr>
          <w:bCs/>
          <w:sz w:val="24"/>
          <w:szCs w:val="24"/>
        </w:rPr>
        <w:t xml:space="preserve"> </w:t>
      </w:r>
      <w:r w:rsidR="00640A2D" w:rsidRPr="00452C80">
        <w:rPr>
          <w:bCs/>
          <w:i/>
          <w:iCs/>
          <w:sz w:val="24"/>
          <w:szCs w:val="24"/>
        </w:rPr>
        <w:t xml:space="preserve">Collaborative Therapy: Relationships and conversations that make a difference. </w:t>
      </w:r>
      <w:r w:rsidR="00640A2D" w:rsidRPr="00452C80">
        <w:rPr>
          <w:bCs/>
          <w:sz w:val="24"/>
          <w:szCs w:val="24"/>
        </w:rPr>
        <w:t>New York: Routledge.</w:t>
      </w:r>
    </w:p>
    <w:p w14:paraId="2BCB4C39" w14:textId="7D2EE765" w:rsidR="00640A2D" w:rsidRPr="00452C80" w:rsidRDefault="00D34655" w:rsidP="00DB1F87">
      <w:pPr>
        <w:spacing w:line="360" w:lineRule="auto"/>
        <w:ind w:left="720" w:hanging="720"/>
        <w:rPr>
          <w:sz w:val="24"/>
          <w:szCs w:val="24"/>
        </w:rPr>
      </w:pPr>
      <w:r>
        <w:rPr>
          <w:sz w:val="24"/>
          <w:szCs w:val="24"/>
        </w:rPr>
        <w:t xml:space="preserve">  </w:t>
      </w:r>
      <w:r w:rsidR="00640A2D" w:rsidRPr="00452C80">
        <w:rPr>
          <w:sz w:val="24"/>
          <w:szCs w:val="24"/>
        </w:rPr>
        <w:t xml:space="preserve">Anderson, M., and Taylor, H. (2008) </w:t>
      </w:r>
      <w:r w:rsidR="00640A2D" w:rsidRPr="00452C80">
        <w:rPr>
          <w:i/>
          <w:iCs/>
          <w:sz w:val="24"/>
          <w:szCs w:val="24"/>
        </w:rPr>
        <w:t>Sociology: Understanding a Diverse Society</w:t>
      </w:r>
      <w:r w:rsidR="00640A2D" w:rsidRPr="00452C80">
        <w:rPr>
          <w:sz w:val="24"/>
          <w:szCs w:val="24"/>
        </w:rPr>
        <w:t xml:space="preserve">. Belmont, CA: Thomson Wadsworth. </w:t>
      </w:r>
    </w:p>
    <w:p w14:paraId="4929D2AF" w14:textId="35F759C9" w:rsidR="00640A2D" w:rsidRPr="00452C80" w:rsidRDefault="00A01A82" w:rsidP="00DB1F87">
      <w:pPr>
        <w:spacing w:line="360" w:lineRule="auto"/>
        <w:ind w:left="720" w:hanging="720"/>
        <w:jc w:val="both"/>
        <w:rPr>
          <w:sz w:val="24"/>
          <w:szCs w:val="24"/>
        </w:rPr>
      </w:pPr>
      <w:r>
        <w:rPr>
          <w:sz w:val="24"/>
          <w:szCs w:val="24"/>
        </w:rPr>
        <w:t xml:space="preserve">  </w:t>
      </w:r>
      <w:r w:rsidR="00640A2D" w:rsidRPr="00452C80">
        <w:rPr>
          <w:sz w:val="24"/>
          <w:szCs w:val="24"/>
        </w:rPr>
        <w:t xml:space="preserve">Andrews, B., and Wilding, J. M. (2004) The Relation of Depression and Anxiety to Life-stress and Achievement in Students. </w:t>
      </w:r>
      <w:r w:rsidR="00640A2D" w:rsidRPr="00452C80">
        <w:rPr>
          <w:i/>
          <w:iCs/>
          <w:sz w:val="24"/>
          <w:szCs w:val="24"/>
        </w:rPr>
        <w:t>British Journal of Psychology</w:t>
      </w:r>
      <w:r w:rsidR="00640A2D" w:rsidRPr="00452C80">
        <w:rPr>
          <w:sz w:val="24"/>
          <w:szCs w:val="24"/>
        </w:rPr>
        <w:t xml:space="preserve">, </w:t>
      </w:r>
      <w:r w:rsidR="00640A2D" w:rsidRPr="00452C80">
        <w:rPr>
          <w:b/>
          <w:bCs/>
          <w:sz w:val="24"/>
          <w:szCs w:val="24"/>
        </w:rPr>
        <w:t>95</w:t>
      </w:r>
      <w:r w:rsidR="00640A2D" w:rsidRPr="00452C80">
        <w:rPr>
          <w:sz w:val="24"/>
          <w:szCs w:val="24"/>
        </w:rPr>
        <w:t xml:space="preserve">(4): pp.509– 521. </w:t>
      </w:r>
      <w:hyperlink r:id="rId97" w:history="1">
        <w:r w:rsidR="00080CE5" w:rsidRPr="00F50C14">
          <w:rPr>
            <w:rStyle w:val="Hyperlink"/>
            <w:rFonts w:ascii="Calibri" w:eastAsia="Calibri" w:hAnsi="Calibri" w:cs="Times New Roman"/>
            <w:sz w:val="24"/>
            <w:szCs w:val="24"/>
          </w:rPr>
          <w:t>https://doi.org/10.1348/0007126042369802</w:t>
        </w:r>
      </w:hyperlink>
      <w:r w:rsidR="00640A2D" w:rsidRPr="00452C80">
        <w:rPr>
          <w:sz w:val="24"/>
          <w:szCs w:val="24"/>
        </w:rPr>
        <w:t xml:space="preserve"> </w:t>
      </w:r>
    </w:p>
    <w:p w14:paraId="6484510C" w14:textId="0B701311" w:rsidR="00640A2D" w:rsidRPr="00452C80" w:rsidRDefault="00A01A82" w:rsidP="00DB1F87">
      <w:pPr>
        <w:spacing w:line="360" w:lineRule="auto"/>
        <w:ind w:left="720" w:hanging="720"/>
        <w:jc w:val="both"/>
        <w:rPr>
          <w:rFonts w:ascii="Calibri" w:eastAsia="Calibri" w:hAnsi="Calibri" w:cs="Times New Roman"/>
          <w:sz w:val="24"/>
          <w:szCs w:val="24"/>
        </w:rPr>
      </w:pPr>
      <w:r>
        <w:rPr>
          <w:rFonts w:ascii="Calibri" w:eastAsia="Calibri" w:hAnsi="Calibri" w:cs="Times New Roman"/>
          <w:sz w:val="24"/>
          <w:szCs w:val="24"/>
        </w:rPr>
        <w:t xml:space="preserve"> </w:t>
      </w:r>
      <w:r w:rsidR="00D34655">
        <w:rPr>
          <w:rFonts w:ascii="Calibri" w:eastAsia="Calibri" w:hAnsi="Calibri" w:cs="Times New Roman"/>
          <w:sz w:val="24"/>
          <w:szCs w:val="24"/>
        </w:rPr>
        <w:t xml:space="preserve"> </w:t>
      </w:r>
      <w:r w:rsidR="00640A2D" w:rsidRPr="00452C80">
        <w:rPr>
          <w:rFonts w:ascii="Calibri" w:eastAsia="Calibri" w:hAnsi="Calibri" w:cs="Times New Roman"/>
          <w:sz w:val="24"/>
          <w:szCs w:val="24"/>
        </w:rPr>
        <w:t>Anninos</w:t>
      </w:r>
      <w:r w:rsidR="005A7466">
        <w:rPr>
          <w:rFonts w:ascii="Calibri" w:eastAsia="Calibri" w:hAnsi="Calibri" w:cs="Times New Roman"/>
          <w:sz w:val="24"/>
          <w:szCs w:val="24"/>
        </w:rPr>
        <w:t>,</w:t>
      </w:r>
      <w:r w:rsidR="00057614">
        <w:rPr>
          <w:rFonts w:ascii="Calibri" w:eastAsia="Calibri" w:hAnsi="Calibri" w:cs="Times New Roman"/>
          <w:sz w:val="24"/>
          <w:szCs w:val="24"/>
        </w:rPr>
        <w:t xml:space="preserve"> L. </w:t>
      </w:r>
      <w:r w:rsidR="00612EDB">
        <w:rPr>
          <w:rFonts w:ascii="Calibri" w:eastAsia="Calibri" w:hAnsi="Calibri" w:cs="Times New Roman"/>
          <w:sz w:val="24"/>
          <w:szCs w:val="24"/>
        </w:rPr>
        <w:t>N. (2007) The archetype of excellence in universities and TQ</w:t>
      </w:r>
      <w:r w:rsidR="004B7549">
        <w:rPr>
          <w:rFonts w:ascii="Calibri" w:eastAsia="Calibri" w:hAnsi="Calibri" w:cs="Times New Roman"/>
          <w:sz w:val="24"/>
          <w:szCs w:val="24"/>
        </w:rPr>
        <w:t xml:space="preserve">M. </w:t>
      </w:r>
      <w:r w:rsidR="004B7549" w:rsidRPr="00322676">
        <w:rPr>
          <w:rFonts w:ascii="Calibri" w:eastAsia="Calibri" w:hAnsi="Calibri" w:cs="Times New Roman"/>
          <w:i/>
          <w:iCs/>
          <w:sz w:val="24"/>
          <w:szCs w:val="24"/>
        </w:rPr>
        <w:t>Management</w:t>
      </w:r>
      <w:r w:rsidR="00322676" w:rsidRPr="00322676">
        <w:rPr>
          <w:rFonts w:ascii="Calibri" w:eastAsia="Calibri" w:hAnsi="Calibri" w:cs="Times New Roman"/>
          <w:i/>
          <w:iCs/>
          <w:sz w:val="24"/>
          <w:szCs w:val="24"/>
        </w:rPr>
        <w:t xml:space="preserve"> </w:t>
      </w:r>
      <w:r w:rsidR="00DF4066">
        <w:rPr>
          <w:rFonts w:ascii="Calibri" w:eastAsia="Calibri" w:hAnsi="Calibri" w:cs="Times New Roman"/>
          <w:i/>
          <w:iCs/>
          <w:sz w:val="24"/>
          <w:szCs w:val="24"/>
        </w:rPr>
        <w:t xml:space="preserve">  </w:t>
      </w:r>
      <w:r w:rsidR="004B7549" w:rsidRPr="00322676">
        <w:rPr>
          <w:rFonts w:ascii="Calibri" w:eastAsia="Calibri" w:hAnsi="Calibri" w:cs="Times New Roman"/>
          <w:i/>
          <w:iCs/>
          <w:sz w:val="24"/>
          <w:szCs w:val="24"/>
        </w:rPr>
        <w:t>History</w:t>
      </w:r>
      <w:r w:rsidR="004B7549">
        <w:rPr>
          <w:rFonts w:ascii="Calibri" w:eastAsia="Calibri" w:hAnsi="Calibri" w:cs="Times New Roman"/>
          <w:sz w:val="24"/>
          <w:szCs w:val="24"/>
        </w:rPr>
        <w:t xml:space="preserve">, </w:t>
      </w:r>
      <w:r w:rsidR="004B7549" w:rsidRPr="00322676">
        <w:rPr>
          <w:rFonts w:ascii="Calibri" w:eastAsia="Calibri" w:hAnsi="Calibri" w:cs="Times New Roman"/>
          <w:b/>
          <w:bCs/>
          <w:sz w:val="24"/>
          <w:szCs w:val="24"/>
        </w:rPr>
        <w:t>13</w:t>
      </w:r>
      <w:r w:rsidR="004B7549">
        <w:rPr>
          <w:rFonts w:ascii="Calibri" w:eastAsia="Calibri" w:hAnsi="Calibri" w:cs="Times New Roman"/>
          <w:sz w:val="24"/>
          <w:szCs w:val="24"/>
        </w:rPr>
        <w:t>(4): pp.</w:t>
      </w:r>
      <w:r w:rsidR="00162777">
        <w:rPr>
          <w:rFonts w:ascii="Calibri" w:eastAsia="Calibri" w:hAnsi="Calibri" w:cs="Times New Roman"/>
          <w:sz w:val="24"/>
          <w:szCs w:val="24"/>
        </w:rPr>
        <w:t>307-321.</w:t>
      </w:r>
      <w:r w:rsidR="00322676">
        <w:rPr>
          <w:rFonts w:ascii="Calibri" w:eastAsia="Calibri" w:hAnsi="Calibri" w:cs="Times New Roman"/>
          <w:sz w:val="24"/>
          <w:szCs w:val="24"/>
        </w:rPr>
        <w:t xml:space="preserve"> </w:t>
      </w:r>
      <w:hyperlink r:id="rId98" w:history="1">
        <w:r w:rsidR="00322676" w:rsidRPr="009E6B34">
          <w:rPr>
            <w:rStyle w:val="Hyperlink"/>
            <w:rFonts w:ascii="Calibri" w:eastAsia="Calibri" w:hAnsi="Calibri" w:cs="Times New Roman"/>
            <w:sz w:val="24"/>
            <w:szCs w:val="24"/>
          </w:rPr>
          <w:t>https://doi.org/10.1108/17511340710819561</w:t>
        </w:r>
      </w:hyperlink>
    </w:p>
    <w:p w14:paraId="43263285" w14:textId="659832F0" w:rsidR="00640A2D" w:rsidRPr="00452C80" w:rsidRDefault="00D34655" w:rsidP="00DB1F87">
      <w:pPr>
        <w:spacing w:line="360" w:lineRule="auto"/>
        <w:ind w:left="720" w:hanging="720"/>
        <w:jc w:val="both"/>
        <w:rPr>
          <w:sz w:val="24"/>
          <w:szCs w:val="24"/>
        </w:rPr>
      </w:pPr>
      <w:r>
        <w:rPr>
          <w:sz w:val="24"/>
          <w:szCs w:val="24"/>
        </w:rPr>
        <w:t xml:space="preserve"> </w:t>
      </w:r>
      <w:r w:rsidR="00A01A82">
        <w:rPr>
          <w:sz w:val="24"/>
          <w:szCs w:val="24"/>
        </w:rPr>
        <w:t xml:space="preserve"> </w:t>
      </w:r>
      <w:r w:rsidR="00640A2D" w:rsidRPr="00452C80">
        <w:rPr>
          <w:sz w:val="24"/>
          <w:szCs w:val="24"/>
        </w:rPr>
        <w:t>Archard, P. J., O'Reilly, M., and Sommantico, M. (2024) Free association and qualitative research interviewing: perspectives and applications. </w:t>
      </w:r>
      <w:r w:rsidR="00640A2D" w:rsidRPr="00452C80">
        <w:rPr>
          <w:i/>
          <w:iCs/>
          <w:sz w:val="24"/>
          <w:szCs w:val="24"/>
        </w:rPr>
        <w:t>Qualitative Research Journal</w:t>
      </w:r>
      <w:r w:rsidR="00640A2D" w:rsidRPr="00452C80">
        <w:rPr>
          <w:sz w:val="24"/>
          <w:szCs w:val="24"/>
        </w:rPr>
        <w:t xml:space="preserve">, </w:t>
      </w:r>
      <w:r w:rsidR="00640A2D" w:rsidRPr="00452C80">
        <w:rPr>
          <w:b/>
          <w:bCs/>
          <w:sz w:val="24"/>
          <w:szCs w:val="24"/>
        </w:rPr>
        <w:t>24</w:t>
      </w:r>
      <w:r w:rsidR="00640A2D" w:rsidRPr="00452C80">
        <w:rPr>
          <w:sz w:val="24"/>
          <w:szCs w:val="24"/>
        </w:rPr>
        <w:t>(5): pp. 643-654. </w:t>
      </w:r>
      <w:r w:rsidR="004355CB" w:rsidRPr="00452C80">
        <w:rPr>
          <w:sz w:val="24"/>
          <w:szCs w:val="24"/>
        </w:rPr>
        <w:t xml:space="preserve"> </w:t>
      </w:r>
      <w:hyperlink r:id="rId99" w:tooltip="DOI: https://doi.org/10.1108/QRJ-10-2023-0149" w:history="1">
        <w:r w:rsidR="003F78BF" w:rsidRPr="003F78BF">
          <w:rPr>
            <w:rFonts w:ascii="Calibri" w:eastAsia="Calibri" w:hAnsi="Calibri" w:cs="Times New Roman"/>
            <w:color w:val="0563C1"/>
            <w:sz w:val="24"/>
            <w:szCs w:val="24"/>
            <w:u w:val="single"/>
          </w:rPr>
          <w:t>https://doi.org/10.1108/QRJ-10-2023-0149</w:t>
        </w:r>
      </w:hyperlink>
    </w:p>
    <w:p w14:paraId="2B6CE724" w14:textId="1565DB7F" w:rsidR="00640A2D" w:rsidRPr="00452C80" w:rsidRDefault="00640A2D" w:rsidP="00B67976">
      <w:pPr>
        <w:spacing w:line="360" w:lineRule="auto"/>
        <w:ind w:left="833" w:hanging="720"/>
        <w:jc w:val="both"/>
        <w:rPr>
          <w:sz w:val="24"/>
          <w:szCs w:val="24"/>
        </w:rPr>
      </w:pPr>
      <w:r w:rsidRPr="00452C80">
        <w:rPr>
          <w:sz w:val="24"/>
          <w:szCs w:val="24"/>
        </w:rPr>
        <w:t xml:space="preserve">Archer, M. </w:t>
      </w:r>
      <w:r w:rsidR="00341D53">
        <w:rPr>
          <w:sz w:val="24"/>
          <w:szCs w:val="24"/>
        </w:rPr>
        <w:t xml:space="preserve">(ed) </w:t>
      </w:r>
      <w:r w:rsidRPr="00452C80">
        <w:rPr>
          <w:sz w:val="24"/>
          <w:szCs w:val="24"/>
        </w:rPr>
        <w:t xml:space="preserve">(2010) </w:t>
      </w:r>
      <w:r w:rsidRPr="00452C80">
        <w:rPr>
          <w:i/>
          <w:iCs/>
          <w:sz w:val="24"/>
          <w:szCs w:val="24"/>
        </w:rPr>
        <w:t xml:space="preserve">Conversations about Reflexivity. </w:t>
      </w:r>
      <w:r w:rsidRPr="00452C80">
        <w:rPr>
          <w:sz w:val="24"/>
          <w:szCs w:val="24"/>
        </w:rPr>
        <w:t>London: Routledge.</w:t>
      </w:r>
    </w:p>
    <w:p w14:paraId="0BEC2D38" w14:textId="017CF8BD" w:rsidR="00640A2D" w:rsidRPr="00452C80" w:rsidRDefault="00640A2D" w:rsidP="00B67976">
      <w:pPr>
        <w:spacing w:line="360" w:lineRule="auto"/>
        <w:ind w:left="833" w:hanging="720"/>
        <w:jc w:val="both"/>
        <w:rPr>
          <w:sz w:val="24"/>
          <w:szCs w:val="24"/>
        </w:rPr>
      </w:pPr>
      <w:r w:rsidRPr="00452C80">
        <w:rPr>
          <w:sz w:val="24"/>
          <w:szCs w:val="24"/>
        </w:rPr>
        <w:t xml:space="preserve">Arum, R., and Roska, J. (2011) </w:t>
      </w:r>
      <w:r w:rsidRPr="00452C80">
        <w:rPr>
          <w:i/>
          <w:iCs/>
          <w:sz w:val="24"/>
          <w:szCs w:val="24"/>
        </w:rPr>
        <w:t>Academically Adrift: Limited Learning on College Campuses</w:t>
      </w:r>
      <w:r w:rsidRPr="00452C80">
        <w:rPr>
          <w:sz w:val="24"/>
          <w:szCs w:val="24"/>
        </w:rPr>
        <w:t xml:space="preserve">. </w:t>
      </w:r>
      <w:r w:rsidR="004F20D7">
        <w:rPr>
          <w:sz w:val="24"/>
          <w:szCs w:val="24"/>
        </w:rPr>
        <w:t xml:space="preserve"> </w:t>
      </w:r>
      <w:r w:rsidRPr="00452C80">
        <w:rPr>
          <w:sz w:val="24"/>
          <w:szCs w:val="24"/>
        </w:rPr>
        <w:t>Chicago: University of Chicago Press.</w:t>
      </w:r>
    </w:p>
    <w:p w14:paraId="7E8F6859" w14:textId="59E17854" w:rsidR="00640A2D" w:rsidRPr="00452C80" w:rsidRDefault="00640A2D" w:rsidP="00B67976">
      <w:pPr>
        <w:spacing w:line="360" w:lineRule="auto"/>
        <w:ind w:left="833" w:hanging="720"/>
        <w:jc w:val="both"/>
        <w:rPr>
          <w:sz w:val="24"/>
          <w:szCs w:val="24"/>
        </w:rPr>
      </w:pPr>
      <w:r w:rsidRPr="00452C80">
        <w:rPr>
          <w:sz w:val="24"/>
          <w:szCs w:val="24"/>
        </w:rPr>
        <w:t>Ary, D., Jacobs, L.</w:t>
      </w:r>
      <w:r w:rsidR="005A7466">
        <w:rPr>
          <w:sz w:val="24"/>
          <w:szCs w:val="24"/>
        </w:rPr>
        <w:t xml:space="preserve"> </w:t>
      </w:r>
      <w:r w:rsidRPr="00452C80">
        <w:rPr>
          <w:sz w:val="24"/>
          <w:szCs w:val="24"/>
        </w:rPr>
        <w:t>C., Sorensen Irvine, C.</w:t>
      </w:r>
      <w:r w:rsidR="005A7466">
        <w:rPr>
          <w:sz w:val="24"/>
          <w:szCs w:val="24"/>
        </w:rPr>
        <w:t xml:space="preserve"> </w:t>
      </w:r>
      <w:r w:rsidRPr="00452C80">
        <w:rPr>
          <w:sz w:val="24"/>
          <w:szCs w:val="24"/>
        </w:rPr>
        <w:t>K., and Walker, D. (2018</w:t>
      </w:r>
      <w:r w:rsidRPr="00452C80">
        <w:rPr>
          <w:i/>
          <w:iCs/>
          <w:sz w:val="24"/>
          <w:szCs w:val="24"/>
        </w:rPr>
        <w:t>)</w:t>
      </w:r>
      <w:r w:rsidR="00700BE2">
        <w:rPr>
          <w:i/>
          <w:iCs/>
          <w:sz w:val="24"/>
          <w:szCs w:val="24"/>
        </w:rPr>
        <w:t xml:space="preserve"> </w:t>
      </w:r>
      <w:r w:rsidRPr="00452C80">
        <w:rPr>
          <w:i/>
          <w:iCs/>
          <w:sz w:val="24"/>
          <w:szCs w:val="24"/>
        </w:rPr>
        <w:t xml:space="preserve"> Introduction to Research in Education</w:t>
      </w:r>
      <w:r w:rsidRPr="00452C80">
        <w:rPr>
          <w:sz w:val="24"/>
          <w:szCs w:val="24"/>
        </w:rPr>
        <w:t xml:space="preserve"> (10th edition). Boston: Cengage.</w:t>
      </w:r>
    </w:p>
    <w:p w14:paraId="5EA32893" w14:textId="71696348" w:rsidR="00640A2D" w:rsidRPr="00452C80" w:rsidRDefault="00640A2D" w:rsidP="00B67976">
      <w:pPr>
        <w:spacing w:line="360" w:lineRule="auto"/>
        <w:ind w:left="833" w:hanging="720"/>
        <w:jc w:val="both"/>
        <w:rPr>
          <w:bCs/>
          <w:sz w:val="24"/>
          <w:szCs w:val="24"/>
        </w:rPr>
      </w:pPr>
      <w:r w:rsidRPr="00452C80">
        <w:rPr>
          <w:bCs/>
          <w:sz w:val="24"/>
          <w:szCs w:val="24"/>
        </w:rPr>
        <w:t>Ashcroft, K., and Foreman- Peck, E.</w:t>
      </w:r>
      <w:r w:rsidR="00B94400">
        <w:rPr>
          <w:bCs/>
          <w:sz w:val="24"/>
          <w:szCs w:val="24"/>
        </w:rPr>
        <w:t xml:space="preserve"> </w:t>
      </w:r>
      <w:r w:rsidRPr="00452C80">
        <w:rPr>
          <w:bCs/>
          <w:sz w:val="24"/>
          <w:szCs w:val="24"/>
        </w:rPr>
        <w:t xml:space="preserve">L. (1994) </w:t>
      </w:r>
      <w:r w:rsidRPr="00452C80">
        <w:rPr>
          <w:bCs/>
          <w:i/>
          <w:sz w:val="24"/>
          <w:szCs w:val="24"/>
        </w:rPr>
        <w:t xml:space="preserve">Managing Teaching and Learning in Further and </w:t>
      </w:r>
      <w:r w:rsidRPr="00452C80">
        <w:rPr>
          <w:bCs/>
          <w:i/>
          <w:sz w:val="24"/>
          <w:szCs w:val="24"/>
        </w:rPr>
        <w:tab/>
        <w:t>Higher Education</w:t>
      </w:r>
      <w:r w:rsidRPr="00452C80">
        <w:rPr>
          <w:bCs/>
          <w:sz w:val="24"/>
          <w:szCs w:val="24"/>
        </w:rPr>
        <w:t>. London: The Falmer Press.</w:t>
      </w:r>
    </w:p>
    <w:p w14:paraId="3F87F8A9" w14:textId="77777777" w:rsidR="00640A2D" w:rsidRPr="00452C80" w:rsidRDefault="00640A2D" w:rsidP="00B67976">
      <w:pPr>
        <w:spacing w:line="360" w:lineRule="auto"/>
        <w:ind w:left="833" w:hanging="720"/>
        <w:jc w:val="both"/>
        <w:rPr>
          <w:sz w:val="24"/>
          <w:szCs w:val="24"/>
        </w:rPr>
      </w:pPr>
      <w:r w:rsidRPr="00452C80">
        <w:rPr>
          <w:sz w:val="24"/>
          <w:szCs w:val="24"/>
        </w:rPr>
        <w:lastRenderedPageBreak/>
        <w:t xml:space="preserve">Ashwin, P. (2015) </w:t>
      </w:r>
      <w:r w:rsidRPr="00452C80">
        <w:rPr>
          <w:i/>
          <w:iCs/>
          <w:sz w:val="24"/>
          <w:szCs w:val="24"/>
        </w:rPr>
        <w:t>Reflective Teaching in Higher Education</w:t>
      </w:r>
      <w:r w:rsidRPr="00452C80">
        <w:rPr>
          <w:sz w:val="24"/>
          <w:szCs w:val="24"/>
        </w:rPr>
        <w:t>. London: Bloomsbury Academic, Bloomsbury Publishing plc.</w:t>
      </w:r>
    </w:p>
    <w:p w14:paraId="5E5B4156" w14:textId="0F702148" w:rsidR="00640A2D" w:rsidRPr="008410EE" w:rsidRDefault="00640A2D" w:rsidP="008410EE">
      <w:pPr>
        <w:spacing w:line="360" w:lineRule="auto"/>
        <w:ind w:left="833" w:hanging="720"/>
        <w:jc w:val="both"/>
        <w:rPr>
          <w:rFonts w:ascii="Calibri" w:eastAsia="Calibri" w:hAnsi="Calibri" w:cs="Times New Roman"/>
          <w:bCs/>
          <w:color w:val="00B0F0"/>
          <w:sz w:val="24"/>
          <w:szCs w:val="24"/>
        </w:rPr>
      </w:pPr>
      <w:r w:rsidRPr="00452C80">
        <w:rPr>
          <w:sz w:val="24"/>
          <w:szCs w:val="24"/>
        </w:rPr>
        <w:t xml:space="preserve">Aslett, L. (2024) </w:t>
      </w:r>
      <w:r w:rsidRPr="00452C80">
        <w:rPr>
          <w:i/>
          <w:iCs/>
          <w:sz w:val="24"/>
          <w:szCs w:val="24"/>
        </w:rPr>
        <w:t>The Case for Teacher Led Reflective Supervision in Schools</w:t>
      </w:r>
      <w:r w:rsidRPr="00452C80">
        <w:rPr>
          <w:sz w:val="24"/>
          <w:szCs w:val="24"/>
        </w:rPr>
        <w:t xml:space="preserve">. </w:t>
      </w:r>
      <w:r w:rsidRPr="00452C80">
        <w:rPr>
          <w:bCs/>
          <w:sz w:val="24"/>
          <w:szCs w:val="24"/>
        </w:rPr>
        <w:t>Doctor of Professional Practice Thesis submission at the University of Northampton, 2024.</w:t>
      </w:r>
      <w:r w:rsidR="003F78BF">
        <w:t xml:space="preserve"> </w:t>
      </w:r>
      <w:hyperlink r:id="rId100" w:history="1">
        <w:r w:rsidR="0088760C" w:rsidRPr="0019278B">
          <w:rPr>
            <w:rStyle w:val="Hyperlink"/>
            <w:rFonts w:ascii="Calibri" w:eastAsia="Calibri" w:hAnsi="Calibri" w:cs="Times New Roman"/>
            <w:bCs/>
            <w:sz w:val="24"/>
            <w:szCs w:val="24"/>
          </w:rPr>
          <w:t>https://pure.northampton.ac.uk/ws/portafiles/portal/81792534/Aslett_Linda_2025_The_Case_for_Teacher_Led_Reflective_Supervision_in_Schools.pdf</w:t>
        </w:r>
      </w:hyperlink>
      <w:r w:rsidR="003F78BF" w:rsidRPr="00452C80">
        <w:rPr>
          <w:bCs/>
          <w:sz w:val="24"/>
          <w:szCs w:val="24"/>
        </w:rPr>
        <w:t xml:space="preserve"> </w:t>
      </w:r>
      <w:r w:rsidR="0088760C">
        <w:rPr>
          <w:bCs/>
          <w:sz w:val="24"/>
          <w:szCs w:val="24"/>
        </w:rPr>
        <w:t>[Accessed 12th January 2025]</w:t>
      </w:r>
    </w:p>
    <w:p w14:paraId="3B11B2AB" w14:textId="39D226ED" w:rsidR="00640A2D" w:rsidRPr="00452C80" w:rsidRDefault="00640A2D" w:rsidP="00B67976">
      <w:pPr>
        <w:spacing w:line="360" w:lineRule="auto"/>
        <w:ind w:left="833" w:hanging="720"/>
        <w:jc w:val="both"/>
        <w:rPr>
          <w:sz w:val="24"/>
          <w:szCs w:val="24"/>
        </w:rPr>
      </w:pPr>
      <w:r w:rsidRPr="00452C80">
        <w:rPr>
          <w:sz w:val="24"/>
          <w:szCs w:val="24"/>
        </w:rPr>
        <w:t>Auerbach, R. P., Mortier, P., Bruffaerts, R., Alonso, J., Benjet, C., Cuijpers, P., Demyttenaere, K., Ebert, D. D., Green, J. G., Hasking, P., Murray, E., Nock, M. K., Pinder-Amaker, S., Sampson, N. A., Stein, D. J., Vilagut, G., Zaslavsky, A. M., Kessler, R. C., and WHO WMH-ICS Collaborators (2018) WHO World Mental Health Surveys International College Student Project: Prevalence and Distribution of Mental Disorders.</w:t>
      </w:r>
      <w:r w:rsidRPr="00452C80">
        <w:t xml:space="preserve"> </w:t>
      </w:r>
      <w:r w:rsidRPr="00452C80">
        <w:rPr>
          <w:i/>
          <w:iCs/>
          <w:sz w:val="24"/>
          <w:szCs w:val="24"/>
        </w:rPr>
        <w:t>Journal of Abnormal Psychology</w:t>
      </w:r>
      <w:r w:rsidRPr="00452C80">
        <w:rPr>
          <w:sz w:val="24"/>
          <w:szCs w:val="24"/>
        </w:rPr>
        <w:t xml:space="preserve">, </w:t>
      </w:r>
      <w:r w:rsidRPr="00452C80">
        <w:rPr>
          <w:b/>
          <w:bCs/>
          <w:sz w:val="24"/>
          <w:szCs w:val="24"/>
        </w:rPr>
        <w:t>127</w:t>
      </w:r>
      <w:r w:rsidRPr="00452C80">
        <w:rPr>
          <w:sz w:val="24"/>
          <w:szCs w:val="24"/>
        </w:rPr>
        <w:t xml:space="preserve">(7): pp.623– 638. </w:t>
      </w:r>
      <w:hyperlink r:id="rId101" w:history="1">
        <w:r w:rsidR="00AD534F" w:rsidRPr="00AD534F">
          <w:rPr>
            <w:rFonts w:ascii="Calibri" w:eastAsia="Calibri" w:hAnsi="Calibri" w:cs="Times New Roman"/>
            <w:color w:val="0563C1"/>
            <w:sz w:val="24"/>
            <w:szCs w:val="24"/>
            <w:u w:val="single"/>
          </w:rPr>
          <w:t>http://dx.doi.org/10.1037/abn0000362</w:t>
        </w:r>
      </w:hyperlink>
    </w:p>
    <w:p w14:paraId="31002B4E" w14:textId="722FC31D" w:rsidR="00640A2D" w:rsidRPr="00452C80" w:rsidRDefault="00640A2D" w:rsidP="00B67976">
      <w:pPr>
        <w:spacing w:line="360" w:lineRule="auto"/>
        <w:ind w:left="833" w:hanging="720"/>
        <w:jc w:val="both"/>
        <w:rPr>
          <w:sz w:val="24"/>
          <w:szCs w:val="24"/>
        </w:rPr>
      </w:pPr>
      <w:r w:rsidRPr="00452C80">
        <w:rPr>
          <w:sz w:val="24"/>
          <w:szCs w:val="24"/>
        </w:rPr>
        <w:t xml:space="preserve">Austin, E. J., Saklofske, D. H., and Mastoras, S. M. (2010) Emotional Intelligence, Coping and Exam-related stress in Canadian Undergraduate Students. </w:t>
      </w:r>
      <w:r w:rsidRPr="00452C80">
        <w:rPr>
          <w:i/>
          <w:iCs/>
          <w:sz w:val="24"/>
          <w:szCs w:val="24"/>
        </w:rPr>
        <w:t>Australian Journal of Psychology</w:t>
      </w:r>
      <w:r w:rsidRPr="00452C80">
        <w:rPr>
          <w:sz w:val="24"/>
          <w:szCs w:val="24"/>
        </w:rPr>
        <w:t xml:space="preserve">, </w:t>
      </w:r>
      <w:r w:rsidRPr="00452C80">
        <w:rPr>
          <w:b/>
          <w:bCs/>
          <w:sz w:val="24"/>
          <w:szCs w:val="24"/>
        </w:rPr>
        <w:t>62</w:t>
      </w:r>
      <w:r w:rsidRPr="00452C80">
        <w:rPr>
          <w:sz w:val="24"/>
          <w:szCs w:val="24"/>
        </w:rPr>
        <w:t>(1): pp. 42– 50.</w:t>
      </w:r>
      <w:r w:rsidRPr="00452C80">
        <w:t xml:space="preserve"> </w:t>
      </w:r>
      <w:hyperlink r:id="rId102" w:tgtFrame="_blank" w:history="1">
        <w:r w:rsidR="00234BE7" w:rsidRPr="00234BE7">
          <w:rPr>
            <w:rFonts w:ascii="Calibri" w:eastAsia="Calibri" w:hAnsi="Calibri" w:cs="Times New Roman"/>
            <w:color w:val="0563C1"/>
            <w:sz w:val="24"/>
            <w:szCs w:val="24"/>
            <w:u w:val="single"/>
          </w:rPr>
          <w:t>https://doi.org/10.1080/00049530903312899</w:t>
        </w:r>
      </w:hyperlink>
    </w:p>
    <w:p w14:paraId="6E8A195D" w14:textId="11EEAA43" w:rsidR="00640A2D" w:rsidRPr="00BF0AE6" w:rsidRDefault="00640A2D" w:rsidP="00BF0AE6">
      <w:pPr>
        <w:spacing w:line="360" w:lineRule="auto"/>
        <w:ind w:left="833" w:hanging="720"/>
        <w:jc w:val="both"/>
        <w:rPr>
          <w:sz w:val="24"/>
          <w:szCs w:val="24"/>
        </w:rPr>
      </w:pPr>
      <w:r w:rsidRPr="00452C80">
        <w:rPr>
          <w:sz w:val="24"/>
          <w:szCs w:val="24"/>
        </w:rPr>
        <w:t xml:space="preserve">Avis, J. (2005) Beyond Performativity: Reflections on Activist Professionalism and the Labour </w:t>
      </w:r>
      <w:r w:rsidR="00511E7F">
        <w:rPr>
          <w:sz w:val="24"/>
          <w:szCs w:val="24"/>
        </w:rPr>
        <w:t>Process in Further Education,</w:t>
      </w:r>
      <w:r w:rsidR="00480B24">
        <w:rPr>
          <w:sz w:val="24"/>
          <w:szCs w:val="24"/>
        </w:rPr>
        <w:t xml:space="preserve"> </w:t>
      </w:r>
      <w:r w:rsidR="00511E7F" w:rsidRPr="00BF0AE6">
        <w:rPr>
          <w:i/>
          <w:iCs/>
          <w:sz w:val="24"/>
          <w:szCs w:val="24"/>
        </w:rPr>
        <w:t>Journal</w:t>
      </w:r>
      <w:r w:rsidR="00480B24">
        <w:rPr>
          <w:i/>
          <w:iCs/>
          <w:sz w:val="24"/>
          <w:szCs w:val="24"/>
        </w:rPr>
        <w:t xml:space="preserve"> </w:t>
      </w:r>
      <w:r w:rsidR="00511E7F" w:rsidRPr="00BF0AE6">
        <w:rPr>
          <w:i/>
          <w:iCs/>
          <w:sz w:val="24"/>
          <w:szCs w:val="24"/>
        </w:rPr>
        <w:t>of Education Polic</w:t>
      </w:r>
      <w:r w:rsidR="00BF0AE6" w:rsidRPr="00BF0AE6">
        <w:rPr>
          <w:i/>
          <w:iCs/>
          <w:sz w:val="24"/>
          <w:szCs w:val="24"/>
        </w:rPr>
        <w:t>y</w:t>
      </w:r>
      <w:r w:rsidR="00BF0AE6">
        <w:rPr>
          <w:sz w:val="24"/>
          <w:szCs w:val="24"/>
        </w:rPr>
        <w:t xml:space="preserve">, </w:t>
      </w:r>
      <w:r w:rsidRPr="00452C80">
        <w:rPr>
          <w:b/>
          <w:bCs/>
          <w:sz w:val="24"/>
          <w:szCs w:val="24"/>
        </w:rPr>
        <w:t>20</w:t>
      </w:r>
      <w:r w:rsidRPr="00452C80">
        <w:rPr>
          <w:sz w:val="24"/>
          <w:szCs w:val="24"/>
        </w:rPr>
        <w:t>(2):pp.209-22.</w:t>
      </w:r>
      <w:r w:rsidRPr="00452C80">
        <w:rPr>
          <w:rFonts w:ascii="Open Sans" w:eastAsia="Times New Roman" w:hAnsi="Open Sans" w:cs="Open Sans"/>
          <w:sz w:val="20"/>
          <w:szCs w:val="20"/>
          <w:lang w:eastAsia="en-GB"/>
        </w:rPr>
        <w:t xml:space="preserve"> </w:t>
      </w:r>
      <w:hyperlink r:id="rId103" w:history="1">
        <w:r w:rsidR="00080CE5" w:rsidRPr="00080CE5">
          <w:rPr>
            <w:rFonts w:ascii="Calibri" w:eastAsia="Calibri" w:hAnsi="Calibri" w:cs="Times New Roman"/>
            <w:color w:val="0563C1"/>
            <w:sz w:val="24"/>
            <w:szCs w:val="24"/>
            <w:u w:val="single"/>
          </w:rPr>
          <w:t>https://doi.org/10.1080/0268093052000341403</w:t>
        </w:r>
      </w:hyperlink>
    </w:p>
    <w:p w14:paraId="563ED35A" w14:textId="2D07F5C1" w:rsidR="00640A2D" w:rsidRPr="00452C80" w:rsidRDefault="00640A2D" w:rsidP="00B67976">
      <w:pPr>
        <w:spacing w:line="360" w:lineRule="auto"/>
        <w:ind w:left="833" w:hanging="720"/>
        <w:jc w:val="both"/>
        <w:rPr>
          <w:sz w:val="24"/>
          <w:szCs w:val="24"/>
        </w:rPr>
      </w:pPr>
      <w:r w:rsidRPr="00452C80">
        <w:rPr>
          <w:sz w:val="24"/>
          <w:szCs w:val="24"/>
        </w:rPr>
        <w:t>Bainbridge, A.</w:t>
      </w:r>
      <w:r w:rsidR="006B7D17">
        <w:rPr>
          <w:sz w:val="24"/>
          <w:szCs w:val="24"/>
        </w:rPr>
        <w:t xml:space="preserve"> </w:t>
      </w:r>
      <w:r w:rsidRPr="00452C80">
        <w:rPr>
          <w:sz w:val="24"/>
          <w:szCs w:val="24"/>
        </w:rPr>
        <w:t>and West, L. (2012) In:</w:t>
      </w:r>
      <w:r w:rsidR="00BA7569">
        <w:rPr>
          <w:sz w:val="24"/>
          <w:szCs w:val="24"/>
        </w:rPr>
        <w:t xml:space="preserve"> </w:t>
      </w:r>
      <w:r w:rsidR="00BA7569" w:rsidRPr="00BA7569">
        <w:rPr>
          <w:sz w:val="24"/>
          <w:szCs w:val="24"/>
        </w:rPr>
        <w:t>Alan Bainbridge and Lyndon West (eds)</w:t>
      </w:r>
      <w:r w:rsidR="00BA7569">
        <w:rPr>
          <w:sz w:val="24"/>
          <w:szCs w:val="24"/>
        </w:rPr>
        <w:t>,</w:t>
      </w:r>
      <w:r w:rsidRPr="00452C80">
        <w:rPr>
          <w:sz w:val="24"/>
          <w:szCs w:val="24"/>
        </w:rPr>
        <w:t xml:space="preserve"> </w:t>
      </w:r>
      <w:r w:rsidRPr="00452C80">
        <w:rPr>
          <w:i/>
          <w:iCs/>
          <w:sz w:val="24"/>
          <w:szCs w:val="24"/>
        </w:rPr>
        <w:t>Psychoanalysis in Education: Minding a Gap</w:t>
      </w:r>
      <w:r w:rsidRPr="00452C80">
        <w:rPr>
          <w:sz w:val="24"/>
          <w:szCs w:val="24"/>
        </w:rPr>
        <w:t>. Alan Bainbridge and Lyndon West. London: Karnac books Ltd.</w:t>
      </w:r>
    </w:p>
    <w:p w14:paraId="433EF691" w14:textId="62FBEA55" w:rsidR="00640A2D" w:rsidRPr="00452C80" w:rsidRDefault="00640A2D" w:rsidP="00B67976">
      <w:pPr>
        <w:spacing w:line="360" w:lineRule="auto"/>
        <w:ind w:left="833" w:hanging="720"/>
        <w:jc w:val="both"/>
        <w:rPr>
          <w:sz w:val="24"/>
          <w:szCs w:val="24"/>
        </w:rPr>
      </w:pPr>
      <w:r w:rsidRPr="00452C80">
        <w:rPr>
          <w:sz w:val="24"/>
          <w:szCs w:val="24"/>
        </w:rPr>
        <w:t xml:space="preserve">Bainbridge, A., Reid, H., and Del Negro, G. (2019) Towards a virtuosity of school leadership: clinical support and supervision as professional learning. </w:t>
      </w:r>
      <w:r w:rsidRPr="00452C80">
        <w:rPr>
          <w:i/>
          <w:iCs/>
          <w:sz w:val="24"/>
          <w:szCs w:val="24"/>
        </w:rPr>
        <w:t>Professional Development in Education</w:t>
      </w:r>
      <w:r w:rsidRPr="00452C80">
        <w:rPr>
          <w:sz w:val="24"/>
          <w:szCs w:val="24"/>
        </w:rPr>
        <w:t>: pp.1-13.</w:t>
      </w:r>
      <w:r w:rsidRPr="00452C80">
        <w:t xml:space="preserve"> </w:t>
      </w:r>
      <w:hyperlink r:id="rId104" w:history="1">
        <w:r w:rsidR="00CF5AAF" w:rsidRPr="00CF5AAF">
          <w:rPr>
            <w:rFonts w:ascii="Calibri" w:eastAsia="Calibri" w:hAnsi="Calibri" w:cs="Times New Roman"/>
            <w:color w:val="0563C1"/>
            <w:sz w:val="24"/>
            <w:szCs w:val="24"/>
            <w:u w:val="single"/>
          </w:rPr>
          <w:t>https://10.1080/19415257.2019.1700152</w:t>
        </w:r>
      </w:hyperlink>
    </w:p>
    <w:p w14:paraId="6185EE78" w14:textId="3286B556" w:rsidR="00640A2D" w:rsidRPr="00452C80" w:rsidRDefault="00640A2D" w:rsidP="00B67976">
      <w:pPr>
        <w:spacing w:line="360" w:lineRule="auto"/>
        <w:ind w:left="833" w:hanging="720"/>
        <w:jc w:val="both"/>
        <w:rPr>
          <w:sz w:val="24"/>
          <w:szCs w:val="24"/>
        </w:rPr>
      </w:pPr>
      <w:r w:rsidRPr="00452C80">
        <w:rPr>
          <w:sz w:val="24"/>
          <w:szCs w:val="24"/>
        </w:rPr>
        <w:t xml:space="preserve">Baird, B., Murray, R., Seale, B., Foot, C., and Perry, C. (2015) </w:t>
      </w:r>
      <w:r w:rsidRPr="00452C80">
        <w:rPr>
          <w:i/>
          <w:iCs/>
          <w:sz w:val="24"/>
          <w:szCs w:val="24"/>
        </w:rPr>
        <w:t>For the King’s Fund: Midwifery Regulation in the United Kingdom</w:t>
      </w:r>
      <w:r w:rsidRPr="00452C80">
        <w:rPr>
          <w:sz w:val="24"/>
          <w:szCs w:val="24"/>
        </w:rPr>
        <w:t>. Report commissioned by the Nursing and Midwifery Council, 2015.</w:t>
      </w:r>
      <w:r w:rsidR="003432F1" w:rsidRPr="003432F1">
        <w:rPr>
          <w:rFonts w:ascii="Calibri" w:eastAsia="Calibri" w:hAnsi="Calibri" w:cs="Times New Roman"/>
          <w:color w:val="C00000"/>
          <w:sz w:val="24"/>
          <w:szCs w:val="24"/>
        </w:rPr>
        <w:t xml:space="preserve"> </w:t>
      </w:r>
      <w:hyperlink r:id="rId105" w:history="1">
        <w:r w:rsidR="003432F1" w:rsidRPr="003432F1">
          <w:rPr>
            <w:rFonts w:ascii="Calibri" w:eastAsia="Calibri" w:hAnsi="Calibri" w:cs="Times New Roman"/>
            <w:color w:val="0563C1"/>
            <w:sz w:val="24"/>
            <w:szCs w:val="24"/>
            <w:u w:val="single"/>
          </w:rPr>
          <w:t>https://tinyurl.com/ycxyajmz</w:t>
        </w:r>
      </w:hyperlink>
      <w:r w:rsidRPr="00452C80">
        <w:rPr>
          <w:sz w:val="24"/>
          <w:szCs w:val="24"/>
        </w:rPr>
        <w:t xml:space="preserve"> </w:t>
      </w:r>
    </w:p>
    <w:p w14:paraId="6A1A4A9B" w14:textId="77777777" w:rsidR="00640A2D" w:rsidRPr="00452C80" w:rsidRDefault="00640A2D" w:rsidP="00B67976">
      <w:pPr>
        <w:spacing w:line="360" w:lineRule="auto"/>
        <w:ind w:left="833" w:hanging="720"/>
        <w:jc w:val="both"/>
        <w:rPr>
          <w:sz w:val="24"/>
          <w:szCs w:val="24"/>
        </w:rPr>
      </w:pPr>
      <w:r w:rsidRPr="00452C80">
        <w:rPr>
          <w:sz w:val="24"/>
          <w:szCs w:val="24"/>
        </w:rPr>
        <w:lastRenderedPageBreak/>
        <w:t xml:space="preserve">Bakshi, H., Downing, J., Osborne, M., and Schneider, P. (2017) </w:t>
      </w:r>
      <w:r w:rsidRPr="00452C80">
        <w:rPr>
          <w:i/>
          <w:iCs/>
          <w:sz w:val="24"/>
          <w:szCs w:val="24"/>
        </w:rPr>
        <w:t>The Future of UK Skills: Employment in 2030</w:t>
      </w:r>
      <w:r w:rsidRPr="00452C80">
        <w:rPr>
          <w:sz w:val="24"/>
          <w:szCs w:val="24"/>
        </w:rPr>
        <w:t>. London: Pearson and NESTA.</w:t>
      </w:r>
    </w:p>
    <w:p w14:paraId="0DAD146C" w14:textId="63611CBF" w:rsidR="00640A2D" w:rsidRPr="00452C80" w:rsidRDefault="00640A2D" w:rsidP="00B67976">
      <w:pPr>
        <w:spacing w:line="360" w:lineRule="auto"/>
        <w:ind w:left="833" w:hanging="720"/>
        <w:jc w:val="both"/>
        <w:rPr>
          <w:sz w:val="24"/>
          <w:szCs w:val="24"/>
        </w:rPr>
      </w:pPr>
      <w:r w:rsidRPr="00452C80">
        <w:rPr>
          <w:sz w:val="24"/>
          <w:szCs w:val="24"/>
        </w:rPr>
        <w:t>Ball, S.</w:t>
      </w:r>
      <w:r w:rsidR="006B7D17">
        <w:rPr>
          <w:sz w:val="24"/>
          <w:szCs w:val="24"/>
        </w:rPr>
        <w:t xml:space="preserve"> </w:t>
      </w:r>
      <w:r w:rsidRPr="00452C80">
        <w:rPr>
          <w:sz w:val="24"/>
          <w:szCs w:val="24"/>
        </w:rPr>
        <w:t xml:space="preserve">J. (2012) </w:t>
      </w:r>
      <w:r w:rsidRPr="00452C80">
        <w:rPr>
          <w:i/>
          <w:iCs/>
          <w:sz w:val="24"/>
          <w:szCs w:val="24"/>
        </w:rPr>
        <w:t>Foucault, Power and Education</w:t>
      </w:r>
      <w:r w:rsidRPr="00452C80">
        <w:rPr>
          <w:sz w:val="24"/>
          <w:szCs w:val="24"/>
        </w:rPr>
        <w:t>. London: Routledge.</w:t>
      </w:r>
    </w:p>
    <w:p w14:paraId="43F52D3B" w14:textId="45460E9D" w:rsidR="00640A2D" w:rsidRPr="00452C80" w:rsidRDefault="00640A2D" w:rsidP="00671CA2">
      <w:pPr>
        <w:spacing w:line="360" w:lineRule="auto"/>
        <w:ind w:left="833" w:hanging="720"/>
        <w:jc w:val="both"/>
        <w:rPr>
          <w:bCs/>
          <w:sz w:val="24"/>
          <w:szCs w:val="24"/>
        </w:rPr>
      </w:pPr>
      <w:r w:rsidRPr="00452C80">
        <w:rPr>
          <w:bCs/>
          <w:sz w:val="24"/>
          <w:szCs w:val="24"/>
        </w:rPr>
        <w:t>Ball, S.</w:t>
      </w:r>
      <w:r w:rsidR="006B7D17">
        <w:rPr>
          <w:bCs/>
          <w:sz w:val="24"/>
          <w:szCs w:val="24"/>
        </w:rPr>
        <w:t xml:space="preserve"> </w:t>
      </w:r>
      <w:r w:rsidRPr="00452C80">
        <w:rPr>
          <w:bCs/>
          <w:sz w:val="24"/>
          <w:szCs w:val="24"/>
        </w:rPr>
        <w:t>J.,</w:t>
      </w:r>
      <w:r w:rsidR="00F04619">
        <w:rPr>
          <w:bCs/>
          <w:sz w:val="24"/>
          <w:szCs w:val="24"/>
        </w:rPr>
        <w:t xml:space="preserve"> </w:t>
      </w:r>
      <w:r w:rsidRPr="00452C80">
        <w:rPr>
          <w:bCs/>
          <w:sz w:val="24"/>
          <w:szCs w:val="24"/>
        </w:rPr>
        <w:t>and Olmedo, A. (2013) Care</w:t>
      </w:r>
      <w:r w:rsidR="00F04619">
        <w:rPr>
          <w:bCs/>
          <w:sz w:val="24"/>
          <w:szCs w:val="24"/>
        </w:rPr>
        <w:t xml:space="preserve"> </w:t>
      </w:r>
      <w:r w:rsidRPr="00452C80">
        <w:rPr>
          <w:bCs/>
          <w:sz w:val="24"/>
          <w:szCs w:val="24"/>
        </w:rPr>
        <w:t>of the Self: Resistance and Subjectivity Under Neoliberal</w:t>
      </w:r>
      <w:r w:rsidR="00671CA2">
        <w:rPr>
          <w:bCs/>
          <w:sz w:val="24"/>
          <w:szCs w:val="24"/>
        </w:rPr>
        <w:t xml:space="preserve"> </w:t>
      </w:r>
      <w:r w:rsidRPr="00452C80">
        <w:rPr>
          <w:bCs/>
          <w:sz w:val="24"/>
          <w:szCs w:val="24"/>
        </w:rPr>
        <w:t>Governmentalities.</w:t>
      </w:r>
      <w:r w:rsidR="00671CA2">
        <w:rPr>
          <w:bCs/>
          <w:sz w:val="24"/>
          <w:szCs w:val="24"/>
        </w:rPr>
        <w:t xml:space="preserve"> </w:t>
      </w:r>
      <w:r w:rsidRPr="00452C80">
        <w:rPr>
          <w:bCs/>
          <w:i/>
          <w:iCs/>
          <w:sz w:val="24"/>
          <w:szCs w:val="24"/>
        </w:rPr>
        <w:t>Critical Studies in Education</w:t>
      </w:r>
      <w:r w:rsidRPr="00452C80">
        <w:rPr>
          <w:bCs/>
          <w:sz w:val="24"/>
          <w:szCs w:val="24"/>
        </w:rPr>
        <w:t xml:space="preserve">, </w:t>
      </w:r>
      <w:r w:rsidRPr="00452C80">
        <w:rPr>
          <w:b/>
          <w:sz w:val="24"/>
          <w:szCs w:val="24"/>
        </w:rPr>
        <w:t>54</w:t>
      </w:r>
      <w:r w:rsidRPr="00452C80">
        <w:rPr>
          <w:bCs/>
          <w:sz w:val="24"/>
          <w:szCs w:val="24"/>
        </w:rPr>
        <w:t xml:space="preserve">: pp. 85-96. </w:t>
      </w:r>
      <w:hyperlink r:id="rId106" w:history="1">
        <w:r w:rsidR="00713D76" w:rsidRPr="00713D76">
          <w:rPr>
            <w:rFonts w:ascii="Calibri" w:eastAsia="Calibri" w:hAnsi="Calibri" w:cs="Times New Roman"/>
            <w:bCs/>
            <w:color w:val="0563C1"/>
            <w:sz w:val="24"/>
            <w:szCs w:val="24"/>
            <w:u w:val="single"/>
          </w:rPr>
          <w:t>https://dx.doi.org/10.1080/17508487.2013.740678</w:t>
        </w:r>
      </w:hyperlink>
      <w:r w:rsidR="00713D76" w:rsidRPr="00713D76">
        <w:rPr>
          <w:rFonts w:ascii="Calibri" w:eastAsia="Calibri" w:hAnsi="Calibri" w:cs="Times New Roman"/>
          <w:bCs/>
          <w:color w:val="00B0F0"/>
          <w:sz w:val="24"/>
          <w:szCs w:val="24"/>
        </w:rPr>
        <w:t>.</w:t>
      </w:r>
    </w:p>
    <w:p w14:paraId="2FD4FA8A" w14:textId="03B53A66" w:rsidR="00640A2D" w:rsidRPr="00452C80" w:rsidRDefault="00640A2D" w:rsidP="00B67976">
      <w:pPr>
        <w:spacing w:line="360" w:lineRule="auto"/>
        <w:ind w:left="833" w:hanging="720"/>
        <w:rPr>
          <w:sz w:val="24"/>
          <w:szCs w:val="24"/>
        </w:rPr>
      </w:pPr>
      <w:r w:rsidRPr="00452C80">
        <w:rPr>
          <w:sz w:val="24"/>
          <w:szCs w:val="24"/>
        </w:rPr>
        <w:t xml:space="preserve">Ballard, G., and Morissette, A. N. (1995) Ironic in Jagged Little Pill (Album). Songwriters Glen Ballard and Alanis Nadine Morissette. Vanhurst Place Music, Arlovol Music, Songs of Universal Inc. </w:t>
      </w:r>
      <w:hyperlink r:id="rId107" w:history="1">
        <w:r w:rsidR="00AF33A8" w:rsidRPr="00AF33A8">
          <w:rPr>
            <w:rFonts w:ascii="Calibri" w:eastAsia="Calibri" w:hAnsi="Calibri" w:cs="Times New Roman"/>
            <w:color w:val="0563C1"/>
            <w:sz w:val="24"/>
            <w:szCs w:val="24"/>
            <w:u w:val="single"/>
          </w:rPr>
          <w:t>https://youtube.com/watch?v=YR3y69ooFP8</w:t>
        </w:r>
      </w:hyperlink>
    </w:p>
    <w:p w14:paraId="189C4C43" w14:textId="32204B81" w:rsidR="00640A2D" w:rsidRPr="00452C80" w:rsidRDefault="00640A2D" w:rsidP="00B67976">
      <w:pPr>
        <w:spacing w:line="360" w:lineRule="auto"/>
        <w:ind w:left="833" w:hanging="720"/>
        <w:rPr>
          <w:sz w:val="24"/>
          <w:szCs w:val="24"/>
        </w:rPr>
      </w:pPr>
      <w:r w:rsidRPr="00452C80">
        <w:rPr>
          <w:sz w:val="24"/>
          <w:szCs w:val="24"/>
        </w:rPr>
        <w:t xml:space="preserve">Bamber, P. (2008) Evaluating Lecturer Development Programmes: Received Wisdom or Self-knowledge? </w:t>
      </w:r>
      <w:r w:rsidRPr="00452C80">
        <w:rPr>
          <w:i/>
          <w:iCs/>
          <w:sz w:val="24"/>
          <w:szCs w:val="24"/>
        </w:rPr>
        <w:t>International Journal for Academic Development</w:t>
      </w:r>
      <w:r w:rsidRPr="00452C80">
        <w:rPr>
          <w:sz w:val="24"/>
          <w:szCs w:val="24"/>
        </w:rPr>
        <w:t xml:space="preserve">, </w:t>
      </w:r>
      <w:r w:rsidRPr="00452C80">
        <w:rPr>
          <w:b/>
          <w:bCs/>
          <w:sz w:val="24"/>
          <w:szCs w:val="24"/>
        </w:rPr>
        <w:t>13</w:t>
      </w:r>
      <w:r w:rsidRPr="00452C80">
        <w:rPr>
          <w:sz w:val="24"/>
          <w:szCs w:val="24"/>
        </w:rPr>
        <w:t>(2): pp. 107-116.</w:t>
      </w:r>
      <w:r w:rsidRPr="00452C80">
        <w:rPr>
          <w:rFonts w:ascii="Open Sans" w:eastAsia="Times New Roman" w:hAnsi="Open Sans" w:cs="Open Sans"/>
          <w:sz w:val="20"/>
          <w:szCs w:val="20"/>
          <w:lang w:eastAsia="en-GB"/>
        </w:rPr>
        <w:t xml:space="preserve"> </w:t>
      </w:r>
      <w:hyperlink r:id="rId108" w:history="1">
        <w:r w:rsidR="00AB4D10" w:rsidRPr="00AB4D10">
          <w:rPr>
            <w:rFonts w:ascii="Calibri" w:eastAsia="Calibri" w:hAnsi="Calibri" w:cs="Times New Roman"/>
            <w:color w:val="0563C1"/>
            <w:sz w:val="24"/>
            <w:szCs w:val="24"/>
            <w:u w:val="single"/>
          </w:rPr>
          <w:t>https://doi.org/10.1080/13601440802076541</w:t>
        </w:r>
      </w:hyperlink>
    </w:p>
    <w:p w14:paraId="3F266ECC" w14:textId="77777777" w:rsidR="00640A2D" w:rsidRPr="00452C80" w:rsidRDefault="00640A2D" w:rsidP="00B67976">
      <w:pPr>
        <w:spacing w:line="360" w:lineRule="auto"/>
        <w:ind w:left="833" w:hanging="720"/>
        <w:rPr>
          <w:sz w:val="24"/>
          <w:szCs w:val="24"/>
        </w:rPr>
      </w:pPr>
      <w:r w:rsidRPr="00452C80">
        <w:rPr>
          <w:sz w:val="24"/>
          <w:szCs w:val="24"/>
        </w:rPr>
        <w:t xml:space="preserve">Barnett, R. (2005) </w:t>
      </w:r>
      <w:r w:rsidRPr="00452C80">
        <w:rPr>
          <w:i/>
          <w:iCs/>
          <w:sz w:val="24"/>
          <w:szCs w:val="24"/>
        </w:rPr>
        <w:t>Reshaping the University: New Relationships between Research, Scholarship and Teaching</w:t>
      </w:r>
      <w:r w:rsidRPr="00452C80">
        <w:rPr>
          <w:sz w:val="24"/>
          <w:szCs w:val="24"/>
        </w:rPr>
        <w:t>. Berkshire: Open University Press.</w:t>
      </w:r>
    </w:p>
    <w:p w14:paraId="40755463" w14:textId="77777777" w:rsidR="00640A2D" w:rsidRPr="00452C80" w:rsidRDefault="00640A2D" w:rsidP="00AB4D10">
      <w:pPr>
        <w:spacing w:line="360" w:lineRule="auto"/>
        <w:ind w:left="833" w:hanging="720"/>
        <w:rPr>
          <w:sz w:val="24"/>
          <w:szCs w:val="24"/>
        </w:rPr>
      </w:pPr>
      <w:bookmarkStart w:id="94" w:name="_Hlk191114966"/>
      <w:r w:rsidRPr="00452C80">
        <w:rPr>
          <w:sz w:val="24"/>
          <w:szCs w:val="24"/>
        </w:rPr>
        <w:t xml:space="preserve">Barnett, R. (2011) </w:t>
      </w:r>
      <w:bookmarkEnd w:id="94"/>
      <w:r w:rsidRPr="00452C80">
        <w:rPr>
          <w:sz w:val="24"/>
          <w:szCs w:val="24"/>
        </w:rPr>
        <w:t xml:space="preserve">The Marketised University: Defending the Indefensible. In </w:t>
      </w:r>
      <w:r w:rsidRPr="00452C80">
        <w:rPr>
          <w:i/>
          <w:iCs/>
          <w:sz w:val="24"/>
          <w:szCs w:val="24"/>
        </w:rPr>
        <w:t>The Marketisation of Higher Education and the Student as Customer</w:t>
      </w:r>
      <w:r w:rsidRPr="00452C80">
        <w:rPr>
          <w:sz w:val="24"/>
          <w:szCs w:val="24"/>
        </w:rPr>
        <w:t>, Mike Molesworth, Richard Scullion and Elizabeth Nixon (Eds.). London: Routledge.</w:t>
      </w:r>
    </w:p>
    <w:p w14:paraId="1D826956" w14:textId="63208E85" w:rsidR="00FC5E17" w:rsidRPr="00FC5E17" w:rsidRDefault="00640A2D" w:rsidP="00FC5E17">
      <w:pPr>
        <w:spacing w:line="360" w:lineRule="auto"/>
        <w:ind w:left="833" w:hanging="720"/>
        <w:rPr>
          <w:rFonts w:ascii="Calibri" w:eastAsia="Calibri" w:hAnsi="Calibri" w:cs="Times New Roman"/>
          <w:color w:val="FF0000"/>
          <w:sz w:val="24"/>
          <w:szCs w:val="24"/>
        </w:rPr>
      </w:pPr>
      <w:r w:rsidRPr="00452C80">
        <w:rPr>
          <w:rFonts w:ascii="Calibri" w:eastAsia="Calibri" w:hAnsi="Calibri" w:cs="Times New Roman"/>
          <w:sz w:val="24"/>
          <w:szCs w:val="24"/>
        </w:rPr>
        <w:t xml:space="preserve">Barnett, R. (2011a) Learning about learning: a conundrum and a possible resolution. </w:t>
      </w:r>
      <w:r w:rsidRPr="00452C80">
        <w:rPr>
          <w:rFonts w:ascii="Calibri" w:eastAsia="Calibri" w:hAnsi="Calibri" w:cs="Times New Roman"/>
          <w:i/>
          <w:iCs/>
          <w:sz w:val="24"/>
          <w:szCs w:val="24"/>
        </w:rPr>
        <w:t>London Review of Education</w:t>
      </w:r>
      <w:r w:rsidRPr="00452C80">
        <w:rPr>
          <w:rFonts w:ascii="Calibri" w:eastAsia="Calibri" w:hAnsi="Calibri" w:cs="Times New Roman"/>
          <w:sz w:val="24"/>
          <w:szCs w:val="24"/>
        </w:rPr>
        <w:t xml:space="preserve">, </w:t>
      </w:r>
      <w:r w:rsidRPr="00452C80">
        <w:rPr>
          <w:rFonts w:ascii="Calibri" w:eastAsia="Calibri" w:hAnsi="Calibri" w:cs="Times New Roman"/>
          <w:b/>
          <w:bCs/>
          <w:sz w:val="24"/>
          <w:szCs w:val="24"/>
        </w:rPr>
        <w:t>9</w:t>
      </w:r>
      <w:r w:rsidRPr="00452C80">
        <w:rPr>
          <w:rFonts w:ascii="Calibri" w:eastAsia="Calibri" w:hAnsi="Calibri" w:cs="Times New Roman"/>
          <w:sz w:val="24"/>
          <w:szCs w:val="24"/>
        </w:rPr>
        <w:t>(1), March 2011: pp. 5–13</w:t>
      </w:r>
      <w:r w:rsidR="006D43BB">
        <w:rPr>
          <w:rFonts w:ascii="Calibri" w:eastAsia="Calibri" w:hAnsi="Calibri" w:cs="Times New Roman"/>
          <w:sz w:val="24"/>
          <w:szCs w:val="24"/>
        </w:rPr>
        <w:t>.</w:t>
      </w:r>
      <w:r w:rsidR="00FC5E17" w:rsidRPr="00FC5E17">
        <w:rPr>
          <w:rFonts w:ascii="Calibri" w:eastAsia="Calibri" w:hAnsi="Calibri" w:cs="Times New Roman"/>
        </w:rPr>
        <w:t xml:space="preserve"> </w:t>
      </w:r>
      <w:hyperlink r:id="rId109" w:history="1">
        <w:r w:rsidR="00FC5E17" w:rsidRPr="00FC5E17">
          <w:rPr>
            <w:rFonts w:ascii="Calibri" w:eastAsia="Calibri" w:hAnsi="Calibri" w:cs="Times New Roman"/>
            <w:color w:val="0563C1"/>
            <w:sz w:val="24"/>
            <w:szCs w:val="24"/>
            <w:u w:val="single"/>
          </w:rPr>
          <w:t>https://efaidnbmnnnibpcajpcglclefindmkaj/https://journals.uclpress.co.uk/lre/article/2562/galley/16756/view</w:t>
        </w:r>
      </w:hyperlink>
    </w:p>
    <w:p w14:paraId="76D2FD74" w14:textId="77777777" w:rsidR="00640A2D" w:rsidRPr="00452C80" w:rsidRDefault="00640A2D" w:rsidP="000B6146">
      <w:pPr>
        <w:spacing w:line="360" w:lineRule="auto"/>
        <w:ind w:left="833" w:hanging="720"/>
        <w:rPr>
          <w:sz w:val="24"/>
          <w:szCs w:val="24"/>
        </w:rPr>
      </w:pPr>
      <w:r w:rsidRPr="00452C80">
        <w:rPr>
          <w:sz w:val="24"/>
          <w:szCs w:val="24"/>
        </w:rPr>
        <w:t xml:space="preserve">Bartle, D., and Eloquin, X. (2021) Psychoanalysis and Educational Psychology: Context, theory and Challenges. </w:t>
      </w:r>
      <w:r w:rsidRPr="00452C80">
        <w:rPr>
          <w:bCs/>
          <w:sz w:val="24"/>
          <w:szCs w:val="24"/>
        </w:rPr>
        <w:t xml:space="preserve">In C. Arnold, D. Bartle, and X. Eloquin (Eds.) </w:t>
      </w:r>
      <w:r w:rsidRPr="00452C80">
        <w:rPr>
          <w:bCs/>
          <w:i/>
          <w:iCs/>
          <w:sz w:val="24"/>
          <w:szCs w:val="24"/>
        </w:rPr>
        <w:t>Learning from the Unconscious: Psychoanalytical Approaches in Educational Psychology.</w:t>
      </w:r>
      <w:r w:rsidRPr="00452C80">
        <w:rPr>
          <w:bCs/>
          <w:sz w:val="24"/>
          <w:szCs w:val="24"/>
        </w:rPr>
        <w:t xml:space="preserve"> London: Karnac Books.</w:t>
      </w:r>
    </w:p>
    <w:p w14:paraId="21B5A22C" w14:textId="2E3A1FAC" w:rsidR="0094314B" w:rsidRDefault="00640A2D" w:rsidP="00AB4D10">
      <w:pPr>
        <w:spacing w:line="360" w:lineRule="auto"/>
        <w:ind w:left="833" w:hanging="720"/>
        <w:rPr>
          <w:sz w:val="24"/>
          <w:szCs w:val="24"/>
        </w:rPr>
      </w:pPr>
      <w:r w:rsidRPr="00452C80">
        <w:rPr>
          <w:sz w:val="24"/>
          <w:szCs w:val="24"/>
        </w:rPr>
        <w:t xml:space="preserve">Bartle, K. (2023) </w:t>
      </w:r>
      <w:r w:rsidRPr="00452C80">
        <w:rPr>
          <w:i/>
          <w:iCs/>
          <w:sz w:val="24"/>
          <w:szCs w:val="24"/>
        </w:rPr>
        <w:t>It’s Personal and it’s Professional: Supervision in Education, Part 4</w:t>
      </w:r>
      <w:r w:rsidRPr="00452C80">
        <w:rPr>
          <w:sz w:val="24"/>
          <w:szCs w:val="24"/>
        </w:rPr>
        <w:t xml:space="preserve"> [Blog].</w:t>
      </w:r>
      <w:r w:rsidR="0086367B" w:rsidRPr="0086367B">
        <w:t xml:space="preserve"> </w:t>
      </w:r>
      <w:hyperlink r:id="rId110" w:anchor=":~:text=This%20is%20the%20first%20of,of%20those%20working%20in%20education" w:history="1">
        <w:r w:rsidR="0094314B" w:rsidRPr="009E6B34">
          <w:rPr>
            <w:rStyle w:val="Hyperlink"/>
            <w:sz w:val="24"/>
            <w:szCs w:val="24"/>
          </w:rPr>
          <w:t>https://dailygenius.wordpress.com/2023/09/01/supervision-in-education-part-1-</w:t>
        </w:r>
        <w:r w:rsidR="0094314B" w:rsidRPr="009E6B34">
          <w:rPr>
            <w:rStyle w:val="Hyperlink"/>
            <w:sz w:val="24"/>
            <w:szCs w:val="24"/>
          </w:rPr>
          <w:lastRenderedPageBreak/>
          <w:t>why-it-is-needed/#:~:text=This%20is%20the%20first%20of,of%20those%20working%20in%20education</w:t>
        </w:r>
      </w:hyperlink>
      <w:r w:rsidR="0086367B" w:rsidRPr="0086367B">
        <w:rPr>
          <w:sz w:val="24"/>
          <w:szCs w:val="24"/>
        </w:rPr>
        <w:t>.</w:t>
      </w:r>
    </w:p>
    <w:p w14:paraId="4AB9C55F" w14:textId="5EE95605" w:rsidR="00640A2D" w:rsidRPr="0094314B" w:rsidRDefault="00640A2D" w:rsidP="0094314B">
      <w:pPr>
        <w:spacing w:line="360" w:lineRule="auto"/>
        <w:ind w:left="833" w:hanging="720"/>
        <w:rPr>
          <w:sz w:val="24"/>
          <w:szCs w:val="24"/>
        </w:rPr>
      </w:pPr>
      <w:r w:rsidRPr="00452C80">
        <w:t xml:space="preserve"> </w:t>
      </w:r>
      <w:r w:rsidRPr="00452C80">
        <w:rPr>
          <w:rFonts w:eastAsia="Aptos" w:cstheme="minorHAnsi"/>
          <w:kern w:val="2"/>
          <w:sz w:val="24"/>
          <w:szCs w:val="24"/>
          <w14:ligatures w14:val="standardContextual"/>
        </w:rPr>
        <w:t>Bauer, J., McAdams, D.</w:t>
      </w:r>
      <w:r w:rsidR="00774127">
        <w:rPr>
          <w:rFonts w:eastAsia="Aptos" w:cstheme="minorHAnsi"/>
          <w:kern w:val="2"/>
          <w:sz w:val="24"/>
          <w:szCs w:val="24"/>
          <w14:ligatures w14:val="standardContextual"/>
        </w:rPr>
        <w:t>,</w:t>
      </w:r>
      <w:r w:rsidRPr="00452C80">
        <w:rPr>
          <w:rFonts w:eastAsia="Aptos" w:cstheme="minorHAnsi"/>
          <w:kern w:val="2"/>
          <w:sz w:val="24"/>
          <w:szCs w:val="24"/>
          <w14:ligatures w14:val="standardContextual"/>
        </w:rPr>
        <w:t xml:space="preserve"> and Pals, J. (2008) Narrative identity and eudaimonic well-being. </w:t>
      </w:r>
      <w:r w:rsidRPr="00452C80">
        <w:rPr>
          <w:rFonts w:eastAsia="Aptos" w:cstheme="minorHAnsi"/>
          <w:i/>
          <w:iCs/>
          <w:kern w:val="2"/>
          <w:sz w:val="24"/>
          <w:szCs w:val="24"/>
          <w14:ligatures w14:val="standardContextual"/>
        </w:rPr>
        <w:t>Journal of Happiness Studies</w:t>
      </w:r>
      <w:r w:rsidRPr="00452C80">
        <w:rPr>
          <w:rFonts w:eastAsia="Aptos" w:cstheme="minorHAnsi"/>
          <w:kern w:val="2"/>
          <w:sz w:val="24"/>
          <w:szCs w:val="24"/>
          <w14:ligatures w14:val="standardContextual"/>
        </w:rPr>
        <w:t xml:space="preserve">, </w:t>
      </w:r>
      <w:r w:rsidRPr="00452C80">
        <w:rPr>
          <w:rFonts w:eastAsia="Aptos" w:cstheme="minorHAnsi"/>
          <w:b/>
          <w:bCs/>
          <w:kern w:val="2"/>
          <w:sz w:val="24"/>
          <w:szCs w:val="24"/>
          <w14:ligatures w14:val="standardContextual"/>
        </w:rPr>
        <w:t>9</w:t>
      </w:r>
      <w:r w:rsidRPr="00452C80">
        <w:rPr>
          <w:rFonts w:eastAsia="Aptos" w:cstheme="minorHAnsi"/>
          <w:kern w:val="2"/>
          <w:sz w:val="24"/>
          <w:szCs w:val="24"/>
          <w14:ligatures w14:val="standardContextual"/>
        </w:rPr>
        <w:t>(1): pp.81–104.</w:t>
      </w:r>
      <w:r w:rsidRPr="00452C80">
        <w:rPr>
          <w:rFonts w:cstheme="minorHAnsi"/>
          <w:sz w:val="24"/>
          <w:szCs w:val="24"/>
          <w:shd w:val="clear" w:color="auto" w:fill="FFFFFF"/>
        </w:rPr>
        <w:t xml:space="preserve"> </w:t>
      </w:r>
      <w:hyperlink r:id="rId111" w:history="1">
        <w:r w:rsidR="00460791" w:rsidRPr="00460791">
          <w:rPr>
            <w:rFonts w:ascii="Calibri" w:eastAsia="Calibri" w:hAnsi="Calibri" w:cs="Calibri"/>
            <w:color w:val="0563C1"/>
            <w:sz w:val="24"/>
            <w:szCs w:val="24"/>
            <w:u w:val="single"/>
            <w:shd w:val="clear" w:color="auto" w:fill="FFFFFF"/>
          </w:rPr>
          <w:t>https://</w:t>
        </w:r>
        <w:r w:rsidR="00460791" w:rsidRPr="00460791">
          <w:rPr>
            <w:rFonts w:ascii="Calibri" w:eastAsia="Aptos" w:hAnsi="Calibri" w:cs="Calibri"/>
            <w:color w:val="0563C1"/>
            <w:kern w:val="2"/>
            <w:sz w:val="24"/>
            <w:szCs w:val="24"/>
            <w:u w:val="single"/>
            <w14:ligatures w14:val="standardContextual"/>
          </w:rPr>
          <w:t>10.1007/s10902-006-9021-6</w:t>
        </w:r>
      </w:hyperlink>
    </w:p>
    <w:p w14:paraId="53D5A8C6" w14:textId="77777777" w:rsidR="00640A2D" w:rsidRPr="00452C80" w:rsidRDefault="00640A2D" w:rsidP="00AB4D10">
      <w:pPr>
        <w:spacing w:line="360" w:lineRule="auto"/>
        <w:ind w:left="833" w:hanging="720"/>
        <w:rPr>
          <w:sz w:val="24"/>
          <w:szCs w:val="24"/>
        </w:rPr>
      </w:pPr>
      <w:r w:rsidRPr="00452C80">
        <w:rPr>
          <w:sz w:val="24"/>
          <w:szCs w:val="24"/>
        </w:rPr>
        <w:t xml:space="preserve">Baumfield , V., Hall, E., and Wall, K. (2008) </w:t>
      </w:r>
      <w:r w:rsidRPr="00452C80">
        <w:rPr>
          <w:i/>
          <w:iCs/>
          <w:sz w:val="24"/>
          <w:szCs w:val="24"/>
        </w:rPr>
        <w:t>Action Research in the Classroom</w:t>
      </w:r>
      <w:r w:rsidRPr="00452C80">
        <w:rPr>
          <w:sz w:val="24"/>
          <w:szCs w:val="24"/>
        </w:rPr>
        <w:t>. London: Sage Publications.</w:t>
      </w:r>
    </w:p>
    <w:p w14:paraId="5D8D599F" w14:textId="77777777" w:rsidR="00B343B5" w:rsidRPr="00B343B5" w:rsidRDefault="00640A2D" w:rsidP="00B343B5">
      <w:pPr>
        <w:spacing w:line="360" w:lineRule="auto"/>
        <w:ind w:left="833" w:hanging="720"/>
        <w:rPr>
          <w:rFonts w:ascii="Calibri" w:eastAsia="Calibri" w:hAnsi="Calibri" w:cs="Times New Roman"/>
          <w:bCs/>
          <w:color w:val="C00000"/>
          <w:sz w:val="24"/>
          <w:szCs w:val="24"/>
        </w:rPr>
      </w:pPr>
      <w:r w:rsidRPr="00452C80">
        <w:rPr>
          <w:bCs/>
          <w:sz w:val="24"/>
          <w:szCs w:val="24"/>
        </w:rPr>
        <w:t>Beale, C. (2021) Magical thinking and moral injury: exclusion culture in psychiatry. </w:t>
      </w:r>
      <w:r w:rsidRPr="00452C80">
        <w:rPr>
          <w:bCs/>
          <w:i/>
          <w:iCs/>
          <w:sz w:val="24"/>
          <w:szCs w:val="24"/>
        </w:rPr>
        <w:t>British Journal of Psychiatry Bulletin</w:t>
      </w:r>
      <w:r w:rsidRPr="00452C80">
        <w:rPr>
          <w:bCs/>
          <w:sz w:val="24"/>
          <w:szCs w:val="24"/>
        </w:rPr>
        <w:t>, </w:t>
      </w:r>
      <w:r w:rsidRPr="00671CA2">
        <w:rPr>
          <w:b/>
          <w:sz w:val="24"/>
          <w:szCs w:val="24"/>
        </w:rPr>
        <w:t>46</w:t>
      </w:r>
      <w:r w:rsidRPr="00671CA2">
        <w:rPr>
          <w:bCs/>
          <w:sz w:val="24"/>
          <w:szCs w:val="24"/>
        </w:rPr>
        <w:t>(</w:t>
      </w:r>
      <w:r w:rsidRPr="00452C80">
        <w:rPr>
          <w:bCs/>
          <w:sz w:val="24"/>
          <w:szCs w:val="24"/>
        </w:rPr>
        <w:t>1</w:t>
      </w:r>
      <w:r w:rsidR="008F11EB" w:rsidRPr="00452C80">
        <w:rPr>
          <w:bCs/>
          <w:sz w:val="24"/>
          <w:szCs w:val="24"/>
        </w:rPr>
        <w:t>): pp.</w:t>
      </w:r>
      <w:r w:rsidR="000A23B5" w:rsidRPr="00452C80">
        <w:rPr>
          <w:bCs/>
          <w:sz w:val="24"/>
          <w:szCs w:val="24"/>
        </w:rPr>
        <w:t>16-19</w:t>
      </w:r>
      <w:r w:rsidR="00710828">
        <w:rPr>
          <w:bCs/>
          <w:sz w:val="24"/>
          <w:szCs w:val="24"/>
        </w:rPr>
        <w:t>.</w:t>
      </w:r>
      <w:r w:rsidRPr="00452C80">
        <w:rPr>
          <w:bCs/>
          <w:sz w:val="24"/>
          <w:szCs w:val="24"/>
        </w:rPr>
        <w:t xml:space="preserve"> </w:t>
      </w:r>
      <w:hyperlink r:id="rId112" w:anchor="article" w:tgtFrame="xrefwindow" w:history="1">
        <w:r w:rsidR="00B343B5" w:rsidRPr="00B343B5">
          <w:rPr>
            <w:rFonts w:ascii="Calibri" w:eastAsia="Calibri" w:hAnsi="Calibri" w:cs="Times New Roman"/>
            <w:bCs/>
            <w:color w:val="0563C1"/>
            <w:sz w:val="24"/>
            <w:szCs w:val="24"/>
            <w:u w:val="single"/>
          </w:rPr>
          <w:t>https://www.cambridge.org/core/journals/bjpsych-bulletin/article/magical-thinking-and-moral-injury-exclusion-culture-in-psychiatry/E41B47079D935213DCC074A03A351712#article</w:t>
        </w:r>
      </w:hyperlink>
    </w:p>
    <w:p w14:paraId="0E472130" w14:textId="34077C31" w:rsidR="00640A2D" w:rsidRPr="00452C80" w:rsidRDefault="005D6CFB" w:rsidP="005D6CFB">
      <w:pPr>
        <w:spacing w:line="360" w:lineRule="auto"/>
        <w:ind w:left="833" w:hanging="720"/>
        <w:rPr>
          <w:bCs/>
          <w:sz w:val="24"/>
          <w:szCs w:val="24"/>
        </w:rPr>
      </w:pPr>
      <w:r>
        <w:rPr>
          <w:bCs/>
          <w:sz w:val="24"/>
          <w:szCs w:val="24"/>
        </w:rPr>
        <w:t xml:space="preserve">  </w:t>
      </w:r>
      <w:r w:rsidR="00640A2D" w:rsidRPr="00452C80">
        <w:rPr>
          <w:bCs/>
          <w:sz w:val="24"/>
          <w:szCs w:val="24"/>
        </w:rPr>
        <w:t xml:space="preserve">Beard, C., and Wilson, J. P. (2002) Ingredients for Effective Learning: The </w:t>
      </w:r>
      <w:r w:rsidRPr="00452C80">
        <w:rPr>
          <w:bCs/>
          <w:sz w:val="24"/>
          <w:szCs w:val="24"/>
        </w:rPr>
        <w:t xml:space="preserve">Learning </w:t>
      </w:r>
      <w:r>
        <w:rPr>
          <w:bCs/>
          <w:sz w:val="24"/>
          <w:szCs w:val="24"/>
        </w:rPr>
        <w:t>Combination</w:t>
      </w:r>
      <w:r w:rsidR="00640A2D" w:rsidRPr="00452C80">
        <w:rPr>
          <w:bCs/>
          <w:sz w:val="24"/>
          <w:szCs w:val="24"/>
        </w:rPr>
        <w:t xml:space="preserve"> Lock. In</w:t>
      </w:r>
      <w:r w:rsidR="007B6BB7">
        <w:rPr>
          <w:bCs/>
          <w:sz w:val="24"/>
          <w:szCs w:val="24"/>
        </w:rPr>
        <w:t>:</w:t>
      </w:r>
      <w:r w:rsidR="00640A2D" w:rsidRPr="00452C80">
        <w:rPr>
          <w:bCs/>
          <w:sz w:val="24"/>
          <w:szCs w:val="24"/>
        </w:rPr>
        <w:t xml:space="preserve"> P. Hartley, A. Woods, and M. Pill (eds)</w:t>
      </w:r>
      <w:r w:rsidR="00995C94">
        <w:rPr>
          <w:bCs/>
          <w:sz w:val="24"/>
          <w:szCs w:val="24"/>
        </w:rPr>
        <w:t>,</w:t>
      </w:r>
      <w:r w:rsidR="00640A2D" w:rsidRPr="00452C80">
        <w:rPr>
          <w:bCs/>
          <w:sz w:val="24"/>
          <w:szCs w:val="24"/>
        </w:rPr>
        <w:t xml:space="preserve"> </w:t>
      </w:r>
      <w:r w:rsidR="00640A2D" w:rsidRPr="00452C80">
        <w:rPr>
          <w:bCs/>
          <w:i/>
          <w:iCs/>
          <w:sz w:val="24"/>
          <w:szCs w:val="24"/>
        </w:rPr>
        <w:t>Enhancing Teaching in Higher Education: New Approaches for Improving Student Learning.</w:t>
      </w:r>
      <w:r w:rsidR="00640A2D" w:rsidRPr="00452C80">
        <w:rPr>
          <w:bCs/>
          <w:sz w:val="24"/>
          <w:szCs w:val="24"/>
        </w:rPr>
        <w:t xml:space="preserve"> Abingdon, Oxon: Routledge.</w:t>
      </w:r>
    </w:p>
    <w:p w14:paraId="26A990CC" w14:textId="24FFB022" w:rsidR="00BD126F" w:rsidRPr="00BD126F" w:rsidRDefault="00640A2D" w:rsidP="00BD126F">
      <w:pPr>
        <w:spacing w:line="360" w:lineRule="auto"/>
        <w:ind w:left="833" w:hanging="720"/>
      </w:pPr>
      <w:r w:rsidRPr="00452C80">
        <w:rPr>
          <w:bCs/>
          <w:sz w:val="24"/>
          <w:szCs w:val="24"/>
        </w:rPr>
        <w:t xml:space="preserve">Beddoe, L. (2010) Surveillance or Reflection: Professional Supervision in ‘The Risk Society’. </w:t>
      </w:r>
      <w:r w:rsidRPr="00452C80">
        <w:rPr>
          <w:bCs/>
          <w:i/>
          <w:iCs/>
          <w:sz w:val="24"/>
          <w:szCs w:val="24"/>
        </w:rPr>
        <w:t>The British Journal of Social Work</w:t>
      </w:r>
      <w:r w:rsidRPr="00452C80">
        <w:rPr>
          <w:bCs/>
          <w:sz w:val="24"/>
          <w:szCs w:val="24"/>
        </w:rPr>
        <w:t xml:space="preserve">, </w:t>
      </w:r>
      <w:r w:rsidRPr="00452C80">
        <w:rPr>
          <w:b/>
          <w:sz w:val="24"/>
          <w:szCs w:val="24"/>
        </w:rPr>
        <w:t>40</w:t>
      </w:r>
      <w:r w:rsidRPr="00452C80">
        <w:rPr>
          <w:bCs/>
          <w:sz w:val="24"/>
          <w:szCs w:val="24"/>
        </w:rPr>
        <w:t>(4): pp.1279-1296.</w:t>
      </w:r>
      <w:r w:rsidRPr="00452C80">
        <w:t xml:space="preserve"> </w:t>
      </w:r>
      <w:hyperlink r:id="rId113" w:history="1">
        <w:r w:rsidR="00BD126F" w:rsidRPr="00BD126F">
          <w:rPr>
            <w:rFonts w:ascii="Calibri" w:eastAsia="Calibri" w:hAnsi="Calibri" w:cs="Times New Roman"/>
            <w:bCs/>
            <w:color w:val="0563C1"/>
            <w:sz w:val="24"/>
            <w:szCs w:val="24"/>
            <w:u w:val="single"/>
          </w:rPr>
          <w:t>https://doi.org/10.1093/bjsw/bcq018</w:t>
        </w:r>
      </w:hyperlink>
      <w:r w:rsidR="00BD126F">
        <w:tab/>
      </w:r>
    </w:p>
    <w:p w14:paraId="3FF5C2F8" w14:textId="1BFD51D5" w:rsidR="00640A2D" w:rsidRPr="00452C80" w:rsidRDefault="00640A2D" w:rsidP="00AB4D10">
      <w:pPr>
        <w:spacing w:line="360" w:lineRule="auto"/>
        <w:ind w:left="833" w:hanging="720"/>
        <w:rPr>
          <w:bCs/>
          <w:sz w:val="24"/>
          <w:szCs w:val="24"/>
        </w:rPr>
      </w:pPr>
      <w:r w:rsidRPr="00452C80">
        <w:rPr>
          <w:bCs/>
          <w:sz w:val="24"/>
          <w:szCs w:val="24"/>
        </w:rPr>
        <w:t xml:space="preserve">Beiter, R., Nash, R., McCrady, M., Rhoades, D., Linscomb, M., Clarahan, M., and Sammut, S. (2015) The Prevalence and Correlates of Depression, Anxiety, and Stress in a Sample of College Students. </w:t>
      </w:r>
      <w:r w:rsidRPr="00452C80">
        <w:rPr>
          <w:bCs/>
          <w:i/>
          <w:iCs/>
          <w:sz w:val="24"/>
          <w:szCs w:val="24"/>
        </w:rPr>
        <w:t>Journal of Affective Disorders</w:t>
      </w:r>
      <w:r w:rsidRPr="00452C80">
        <w:rPr>
          <w:bCs/>
          <w:sz w:val="24"/>
          <w:szCs w:val="24"/>
        </w:rPr>
        <w:t xml:space="preserve">, </w:t>
      </w:r>
      <w:r w:rsidRPr="00452C80">
        <w:rPr>
          <w:sz w:val="24"/>
          <w:szCs w:val="24"/>
        </w:rPr>
        <w:t>173</w:t>
      </w:r>
      <w:r w:rsidRPr="00452C80">
        <w:rPr>
          <w:bCs/>
          <w:sz w:val="24"/>
          <w:szCs w:val="24"/>
        </w:rPr>
        <w:t xml:space="preserve">: pp. 90– 96.  </w:t>
      </w:r>
      <w:hyperlink r:id="rId114" w:history="1">
        <w:r w:rsidR="007D4031" w:rsidRPr="007D4031">
          <w:rPr>
            <w:rFonts w:ascii="Calibri" w:eastAsia="Calibri" w:hAnsi="Calibri" w:cs="Times New Roman"/>
            <w:bCs/>
            <w:color w:val="0563C1"/>
            <w:sz w:val="24"/>
            <w:szCs w:val="24"/>
            <w:u w:val="single"/>
          </w:rPr>
          <w:t>https://doi.org/10.1016/j.jad.2014.10.054</w:t>
        </w:r>
      </w:hyperlink>
    </w:p>
    <w:p w14:paraId="4FCC022F" w14:textId="3895E0DF" w:rsidR="00640A2D" w:rsidRPr="00452C80" w:rsidRDefault="00640A2D" w:rsidP="00AB4D10">
      <w:pPr>
        <w:spacing w:line="360" w:lineRule="auto"/>
        <w:ind w:left="833" w:hanging="720"/>
        <w:rPr>
          <w:bCs/>
          <w:sz w:val="24"/>
          <w:szCs w:val="24"/>
        </w:rPr>
      </w:pPr>
      <w:r w:rsidRPr="00452C80">
        <w:rPr>
          <w:bCs/>
          <w:sz w:val="24"/>
          <w:szCs w:val="24"/>
        </w:rPr>
        <w:t xml:space="preserve">Bell, N. J., Wieling, E., and Watson, W. (2007) Narrative Processes of Identity Construction: Micro Indicators of Developmental Patterns Following Transition to University. </w:t>
      </w:r>
      <w:r w:rsidRPr="00452C80">
        <w:rPr>
          <w:bCs/>
          <w:i/>
          <w:iCs/>
          <w:sz w:val="24"/>
          <w:szCs w:val="24"/>
        </w:rPr>
        <w:t>Identity: An International Journal of Theory and Research</w:t>
      </w:r>
      <w:r w:rsidRPr="00452C80">
        <w:rPr>
          <w:bCs/>
          <w:sz w:val="24"/>
          <w:szCs w:val="24"/>
        </w:rPr>
        <w:t xml:space="preserve">, </w:t>
      </w:r>
      <w:r w:rsidRPr="00452C80">
        <w:rPr>
          <w:b/>
          <w:sz w:val="24"/>
          <w:szCs w:val="24"/>
        </w:rPr>
        <w:t>7</w:t>
      </w:r>
      <w:r w:rsidRPr="00452C80">
        <w:rPr>
          <w:bCs/>
          <w:sz w:val="24"/>
          <w:szCs w:val="24"/>
        </w:rPr>
        <w:t>(1): pp.1-26.</w:t>
      </w:r>
      <w:r w:rsidRPr="00452C80">
        <w:rPr>
          <w:rFonts w:ascii="Open Sans" w:eastAsia="Times New Roman" w:hAnsi="Open Sans" w:cs="Open Sans"/>
          <w:sz w:val="20"/>
          <w:szCs w:val="20"/>
          <w:lang w:eastAsia="en-GB"/>
        </w:rPr>
        <w:t xml:space="preserve"> </w:t>
      </w:r>
      <w:hyperlink r:id="rId115" w:history="1">
        <w:r w:rsidR="008272FC" w:rsidRPr="008272FC">
          <w:rPr>
            <w:rFonts w:ascii="Calibri" w:eastAsia="Calibri" w:hAnsi="Calibri" w:cs="Times New Roman"/>
            <w:bCs/>
            <w:color w:val="0563C1"/>
            <w:sz w:val="24"/>
            <w:szCs w:val="24"/>
            <w:u w:val="single"/>
          </w:rPr>
          <w:t>https://doi.org/10.1080/15283480701319559</w:t>
        </w:r>
      </w:hyperlink>
    </w:p>
    <w:p w14:paraId="607CA8A7" w14:textId="54EFDAD5" w:rsidR="00640A2D" w:rsidRPr="00452C80" w:rsidRDefault="00640A2D" w:rsidP="00AB4D10">
      <w:pPr>
        <w:spacing w:line="360" w:lineRule="auto"/>
        <w:ind w:left="833" w:hanging="720"/>
        <w:rPr>
          <w:bCs/>
          <w:sz w:val="24"/>
          <w:szCs w:val="24"/>
        </w:rPr>
      </w:pPr>
      <w:r w:rsidRPr="00452C80">
        <w:rPr>
          <w:bCs/>
          <w:sz w:val="24"/>
          <w:szCs w:val="24"/>
        </w:rPr>
        <w:lastRenderedPageBreak/>
        <w:t xml:space="preserve">Belloni, M., Carrino, L., and Meschi, E. (2022) The impact of working conditions on mental health: Novel evidence from the UK. </w:t>
      </w:r>
      <w:hyperlink r:id="rId116" w:tooltip="Go to Labour Economics on ScienceDirect" w:history="1">
        <w:r w:rsidRPr="00212672">
          <w:rPr>
            <w:rStyle w:val="Hyperlink"/>
            <w:bCs/>
            <w:i/>
            <w:iCs/>
            <w:color w:val="auto"/>
            <w:sz w:val="24"/>
            <w:szCs w:val="24"/>
            <w:u w:val="none"/>
          </w:rPr>
          <w:t>Labour Economics</w:t>
        </w:r>
      </w:hyperlink>
      <w:r w:rsidRPr="00452C80">
        <w:rPr>
          <w:bCs/>
          <w:i/>
          <w:iCs/>
          <w:sz w:val="24"/>
          <w:szCs w:val="24"/>
        </w:rPr>
        <w:t>,</w:t>
      </w:r>
      <w:r w:rsidRPr="00452C80">
        <w:rPr>
          <w:bCs/>
          <w:sz w:val="24"/>
          <w:szCs w:val="24"/>
        </w:rPr>
        <w:t xml:space="preserve"> 76 (June 2022): pp.1-45. </w:t>
      </w:r>
      <w:hyperlink r:id="rId117" w:history="1">
        <w:r w:rsidR="002A5F54" w:rsidRPr="002A5F54">
          <w:rPr>
            <w:rFonts w:ascii="Calibri" w:eastAsia="Calibri" w:hAnsi="Calibri" w:cs="Times New Roman"/>
            <w:bCs/>
            <w:color w:val="0563C1"/>
            <w:sz w:val="24"/>
            <w:szCs w:val="24"/>
            <w:u w:val="single"/>
          </w:rPr>
          <w:t>https://doi.org/10.1016/j.labeco.2022.102176</w:t>
        </w:r>
      </w:hyperlink>
    </w:p>
    <w:p w14:paraId="295EF7DE" w14:textId="77777777" w:rsidR="00640A2D" w:rsidRPr="00452C80" w:rsidRDefault="00640A2D" w:rsidP="00AB4D10">
      <w:pPr>
        <w:spacing w:line="360" w:lineRule="auto"/>
        <w:ind w:left="833" w:hanging="720"/>
        <w:rPr>
          <w:bCs/>
          <w:sz w:val="24"/>
          <w:szCs w:val="24"/>
        </w:rPr>
      </w:pPr>
      <w:r w:rsidRPr="00452C80">
        <w:rPr>
          <w:bCs/>
          <w:sz w:val="24"/>
          <w:szCs w:val="24"/>
        </w:rPr>
        <w:t xml:space="preserve">Benjamin, J. (1990) </w:t>
      </w:r>
      <w:r w:rsidRPr="00452C80">
        <w:rPr>
          <w:bCs/>
          <w:i/>
          <w:iCs/>
          <w:sz w:val="24"/>
          <w:szCs w:val="24"/>
        </w:rPr>
        <w:t>The Bonds of Love: Psychoanalysis, Feminism and the Problem of Domination</w:t>
      </w:r>
      <w:r w:rsidRPr="00452C80">
        <w:rPr>
          <w:bCs/>
          <w:sz w:val="24"/>
          <w:szCs w:val="24"/>
        </w:rPr>
        <w:t>. London: Virago.</w:t>
      </w:r>
    </w:p>
    <w:p w14:paraId="29EF8FB5" w14:textId="6723AAE6" w:rsidR="00640A2D" w:rsidRPr="00452C80" w:rsidRDefault="00640A2D" w:rsidP="00AB4D10">
      <w:pPr>
        <w:spacing w:line="360" w:lineRule="auto"/>
        <w:ind w:left="833" w:hanging="720"/>
        <w:rPr>
          <w:bCs/>
          <w:sz w:val="24"/>
          <w:szCs w:val="24"/>
        </w:rPr>
      </w:pPr>
      <w:r w:rsidRPr="00452C80">
        <w:rPr>
          <w:bCs/>
          <w:sz w:val="24"/>
          <w:szCs w:val="24"/>
        </w:rPr>
        <w:t xml:space="preserve">Berggren, I., and Severinsson, E. (2010) The State of the Science of Clinical Supervision in Europe. In:  J. Cutcliffe, K., Hyrkäs, and J. Fowler (eds.) </w:t>
      </w:r>
      <w:r w:rsidRPr="00452C80">
        <w:rPr>
          <w:bCs/>
          <w:i/>
          <w:iCs/>
          <w:sz w:val="24"/>
          <w:szCs w:val="24"/>
        </w:rPr>
        <w:t>Routledge Handbook of Clinical Supervision: Fundamental International Themes,</w:t>
      </w:r>
      <w:r w:rsidRPr="00452C80">
        <w:rPr>
          <w:bCs/>
          <w:sz w:val="24"/>
          <w:szCs w:val="24"/>
        </w:rPr>
        <w:t xml:space="preserve"> pp. 327-337. Abingdon, Oxon UK: Routledge.</w:t>
      </w:r>
    </w:p>
    <w:p w14:paraId="6668E579" w14:textId="77777777" w:rsidR="00640A2D" w:rsidRPr="00452C80" w:rsidRDefault="00640A2D" w:rsidP="00AB4D10">
      <w:pPr>
        <w:spacing w:line="360" w:lineRule="auto"/>
        <w:ind w:left="833" w:hanging="720"/>
        <w:rPr>
          <w:bCs/>
          <w:sz w:val="24"/>
          <w:szCs w:val="24"/>
        </w:rPr>
      </w:pPr>
      <w:r w:rsidRPr="00452C80">
        <w:rPr>
          <w:bCs/>
          <w:sz w:val="24"/>
          <w:szCs w:val="24"/>
        </w:rPr>
        <w:t xml:space="preserve">Berman, M. (1981) </w:t>
      </w:r>
      <w:r w:rsidRPr="00452C80">
        <w:rPr>
          <w:bCs/>
          <w:i/>
          <w:iCs/>
          <w:sz w:val="24"/>
          <w:szCs w:val="24"/>
        </w:rPr>
        <w:t>The Reenchantment of the World.</w:t>
      </w:r>
      <w:r w:rsidRPr="00452C80">
        <w:rPr>
          <w:bCs/>
          <w:sz w:val="24"/>
          <w:szCs w:val="24"/>
        </w:rPr>
        <w:t xml:space="preserve"> New York: Cornell University Press.</w:t>
      </w:r>
    </w:p>
    <w:p w14:paraId="6138412D" w14:textId="6111C8A0" w:rsidR="00640A2D" w:rsidRDefault="00640A2D" w:rsidP="00AB4D10">
      <w:pPr>
        <w:spacing w:line="360" w:lineRule="auto"/>
        <w:ind w:left="833" w:hanging="720"/>
        <w:rPr>
          <w:bCs/>
          <w:sz w:val="24"/>
          <w:szCs w:val="24"/>
        </w:rPr>
      </w:pPr>
      <w:r w:rsidRPr="00452C80">
        <w:rPr>
          <w:bCs/>
          <w:sz w:val="24"/>
          <w:szCs w:val="24"/>
        </w:rPr>
        <w:t xml:space="preserve">Bernstein, B. (1970) Education Cannot Compensate for Society. </w:t>
      </w:r>
      <w:r w:rsidRPr="00452C80">
        <w:rPr>
          <w:bCs/>
          <w:i/>
          <w:iCs/>
          <w:sz w:val="24"/>
          <w:szCs w:val="24"/>
        </w:rPr>
        <w:t>New Society,</w:t>
      </w:r>
      <w:r w:rsidRPr="00452C80">
        <w:rPr>
          <w:bCs/>
          <w:sz w:val="24"/>
          <w:szCs w:val="24"/>
        </w:rPr>
        <w:t xml:space="preserve"> </w:t>
      </w:r>
      <w:r w:rsidR="00580538">
        <w:rPr>
          <w:b/>
          <w:bCs/>
          <w:sz w:val="24"/>
          <w:szCs w:val="24"/>
        </w:rPr>
        <w:t>38</w:t>
      </w:r>
      <w:r w:rsidR="005923C1">
        <w:rPr>
          <w:bCs/>
          <w:sz w:val="24"/>
          <w:szCs w:val="24"/>
        </w:rPr>
        <w:t xml:space="preserve"> </w:t>
      </w:r>
      <w:r w:rsidRPr="00452C80">
        <w:rPr>
          <w:bCs/>
          <w:sz w:val="24"/>
          <w:szCs w:val="24"/>
        </w:rPr>
        <w:t>(387): pp.344-347.</w:t>
      </w:r>
      <w:r w:rsidR="00BD6F7F" w:rsidRPr="00BD6F7F">
        <w:t xml:space="preserve"> </w:t>
      </w:r>
      <w:hyperlink r:id="rId118" w:anchor=":~:text=Bernstein%2C%20B.%20(1970).%20Education%20cannot%20compensate%20for%20society%20(pp.%20344%2D347).%20London%3A%20New%20Society%2C%2038" w:history="1">
        <w:r w:rsidR="00580538" w:rsidRPr="00295513">
          <w:rPr>
            <w:rStyle w:val="Hyperlink"/>
            <w:bCs/>
            <w:sz w:val="24"/>
            <w:szCs w:val="24"/>
          </w:rPr>
          <w:t>https://www.scirp.org/reference/referencespapers?referenceid=1055520#:~:text=Bernstein%2C%20B.%20(1970).%20Education%20cannot%20compensate%20for%20society%20(pp.%20344%2D347).%20London%3A%20New%20Society%2C%2038</w:t>
        </w:r>
      </w:hyperlink>
    </w:p>
    <w:p w14:paraId="46293C9B" w14:textId="5E601963" w:rsidR="00640A2D" w:rsidRPr="00452C80" w:rsidRDefault="00640A2D" w:rsidP="009E0023">
      <w:pPr>
        <w:spacing w:line="360" w:lineRule="auto"/>
        <w:ind w:left="720" w:hanging="720"/>
        <w:rPr>
          <w:bCs/>
          <w:sz w:val="24"/>
          <w:szCs w:val="24"/>
        </w:rPr>
      </w:pPr>
      <w:r w:rsidRPr="00452C80">
        <w:rPr>
          <w:bCs/>
          <w:sz w:val="24"/>
          <w:szCs w:val="24"/>
        </w:rPr>
        <w:t>Berry, K., and Cassidy, S. (2013) Emotional Labour in University Lecturers: Considerations</w:t>
      </w:r>
      <w:r w:rsidR="0063193B">
        <w:rPr>
          <w:bCs/>
          <w:sz w:val="24"/>
          <w:szCs w:val="24"/>
        </w:rPr>
        <w:t xml:space="preserve"> </w:t>
      </w:r>
      <w:r w:rsidR="006367F7">
        <w:rPr>
          <w:bCs/>
          <w:sz w:val="24"/>
          <w:szCs w:val="24"/>
        </w:rPr>
        <w:t xml:space="preserve">   </w:t>
      </w:r>
      <w:r w:rsidRPr="00452C80">
        <w:rPr>
          <w:bCs/>
          <w:sz w:val="24"/>
          <w:szCs w:val="24"/>
        </w:rPr>
        <w:t>for Higher Education Institutions. </w:t>
      </w:r>
      <w:r w:rsidRPr="00452C80">
        <w:rPr>
          <w:bCs/>
          <w:i/>
          <w:iCs/>
          <w:sz w:val="24"/>
          <w:szCs w:val="24"/>
        </w:rPr>
        <w:t xml:space="preserve">Journal of Curriculum and Teaching, </w:t>
      </w:r>
      <w:r w:rsidRPr="00452C80">
        <w:rPr>
          <w:bCs/>
          <w:sz w:val="24"/>
          <w:szCs w:val="24"/>
        </w:rPr>
        <w:t>2: pp.22-36.</w:t>
      </w:r>
      <w:r w:rsidRPr="00452C80">
        <w:rPr>
          <w:bCs/>
          <w:sz w:val="24"/>
          <w:szCs w:val="24"/>
        </w:rPr>
        <w:br/>
      </w:r>
      <w:hyperlink r:id="rId119" w:history="1">
        <w:r w:rsidR="00D4025F" w:rsidRPr="00D4025F">
          <w:rPr>
            <w:rFonts w:ascii="Calibri" w:eastAsia="Calibri" w:hAnsi="Calibri" w:cs="Times New Roman"/>
            <w:bCs/>
            <w:color w:val="0563C1"/>
            <w:sz w:val="24"/>
            <w:szCs w:val="24"/>
            <w:u w:val="single"/>
          </w:rPr>
          <w:t>https://doi.org/10.5430/jct.v2n2p22</w:t>
        </w:r>
      </w:hyperlink>
    </w:p>
    <w:p w14:paraId="3706D74F" w14:textId="2085659D" w:rsidR="00640A2D" w:rsidRPr="00452C80" w:rsidRDefault="00640A2D" w:rsidP="00AB4D10">
      <w:pPr>
        <w:spacing w:line="360" w:lineRule="auto"/>
        <w:ind w:left="833" w:hanging="720"/>
        <w:rPr>
          <w:bCs/>
          <w:sz w:val="24"/>
          <w:szCs w:val="24"/>
        </w:rPr>
      </w:pPr>
      <w:r w:rsidRPr="00452C80">
        <w:rPr>
          <w:bCs/>
          <w:sz w:val="24"/>
          <w:szCs w:val="24"/>
        </w:rPr>
        <w:t xml:space="preserve">Bettelheim, B. (1972) Psychotherapy and Psychopedagogy. </w:t>
      </w:r>
      <w:r w:rsidRPr="00452C80">
        <w:rPr>
          <w:bCs/>
          <w:i/>
          <w:iCs/>
          <w:sz w:val="24"/>
          <w:szCs w:val="24"/>
        </w:rPr>
        <w:t>Psychotherapy and Psychosomatics</w:t>
      </w:r>
      <w:r w:rsidRPr="00452C80">
        <w:rPr>
          <w:bCs/>
          <w:sz w:val="24"/>
          <w:szCs w:val="24"/>
        </w:rPr>
        <w:t xml:space="preserve">, </w:t>
      </w:r>
      <w:r w:rsidRPr="00452C80">
        <w:rPr>
          <w:b/>
          <w:bCs/>
          <w:sz w:val="24"/>
          <w:szCs w:val="24"/>
        </w:rPr>
        <w:t>20</w:t>
      </w:r>
      <w:r w:rsidRPr="00671CA2">
        <w:rPr>
          <w:sz w:val="24"/>
          <w:szCs w:val="24"/>
        </w:rPr>
        <w:t>(</w:t>
      </w:r>
      <w:r w:rsidRPr="00452C80">
        <w:rPr>
          <w:sz w:val="24"/>
          <w:szCs w:val="24"/>
        </w:rPr>
        <w:t>1</w:t>
      </w:r>
      <w:r w:rsidR="005923C1">
        <w:rPr>
          <w:sz w:val="24"/>
          <w:szCs w:val="24"/>
        </w:rPr>
        <w:t>-</w:t>
      </w:r>
      <w:r w:rsidRPr="00452C80">
        <w:rPr>
          <w:sz w:val="24"/>
          <w:szCs w:val="24"/>
        </w:rPr>
        <w:t>2</w:t>
      </w:r>
      <w:r w:rsidRPr="00452C80">
        <w:rPr>
          <w:b/>
          <w:bCs/>
          <w:sz w:val="24"/>
          <w:szCs w:val="24"/>
        </w:rPr>
        <w:t>)</w:t>
      </w:r>
      <w:r w:rsidRPr="00452C80">
        <w:rPr>
          <w:bCs/>
          <w:sz w:val="24"/>
          <w:szCs w:val="24"/>
        </w:rPr>
        <w:t>: pp.44-55.</w:t>
      </w:r>
      <w:r w:rsidR="00D4025F" w:rsidRPr="00452C80">
        <w:rPr>
          <w:bCs/>
          <w:sz w:val="24"/>
          <w:szCs w:val="24"/>
        </w:rPr>
        <w:t xml:space="preserve"> </w:t>
      </w:r>
      <w:hyperlink r:id="rId120" w:history="1">
        <w:r w:rsidR="00FB5232" w:rsidRPr="00FB5232">
          <w:rPr>
            <w:rFonts w:ascii="Calibri" w:eastAsia="Calibri" w:hAnsi="Calibri" w:cs="Times New Roman"/>
            <w:bCs/>
            <w:color w:val="0563C1"/>
            <w:sz w:val="24"/>
            <w:szCs w:val="24"/>
            <w:u w:val="single"/>
          </w:rPr>
          <w:t>http://www.jstor.org/stable/45113728</w:t>
        </w:r>
      </w:hyperlink>
    </w:p>
    <w:p w14:paraId="1C7EB2BD" w14:textId="67AE8079" w:rsidR="00640A2D" w:rsidRPr="00452C80" w:rsidRDefault="00640A2D" w:rsidP="00AB4D10">
      <w:pPr>
        <w:spacing w:line="360" w:lineRule="auto"/>
        <w:ind w:left="833" w:hanging="720"/>
        <w:rPr>
          <w:bCs/>
          <w:sz w:val="24"/>
          <w:szCs w:val="24"/>
        </w:rPr>
      </w:pPr>
      <w:r w:rsidRPr="00452C80">
        <w:rPr>
          <w:bCs/>
          <w:sz w:val="24"/>
          <w:szCs w:val="24"/>
        </w:rPr>
        <w:t>Bettelheim, B. (1975/199</w:t>
      </w:r>
      <w:r w:rsidR="00894A80" w:rsidRPr="00452C80">
        <w:rPr>
          <w:bCs/>
          <w:sz w:val="24"/>
          <w:szCs w:val="24"/>
        </w:rPr>
        <w:t>1</w:t>
      </w:r>
      <w:r w:rsidRPr="00452C80">
        <w:rPr>
          <w:bCs/>
          <w:sz w:val="24"/>
          <w:szCs w:val="24"/>
        </w:rPr>
        <w:t xml:space="preserve">) </w:t>
      </w:r>
      <w:r w:rsidRPr="00452C80">
        <w:rPr>
          <w:bCs/>
          <w:i/>
          <w:sz w:val="24"/>
          <w:szCs w:val="24"/>
        </w:rPr>
        <w:t xml:space="preserve">The Uses of Enchantment: The Meaning and Importance of Fairy </w:t>
      </w:r>
      <w:r w:rsidRPr="00452C80">
        <w:rPr>
          <w:bCs/>
          <w:i/>
          <w:sz w:val="24"/>
          <w:szCs w:val="24"/>
        </w:rPr>
        <w:tab/>
        <w:t>Tales.</w:t>
      </w:r>
      <w:r w:rsidRPr="00452C80">
        <w:rPr>
          <w:bCs/>
          <w:sz w:val="24"/>
          <w:szCs w:val="24"/>
        </w:rPr>
        <w:t xml:space="preserve"> Middlesex: Penguin Books. </w:t>
      </w:r>
    </w:p>
    <w:p w14:paraId="4A92546A" w14:textId="7D4C94CA" w:rsidR="00640A2D" w:rsidRPr="00452C80" w:rsidRDefault="00640A2D" w:rsidP="00AB4D10">
      <w:pPr>
        <w:spacing w:line="360" w:lineRule="auto"/>
        <w:ind w:left="833" w:hanging="720"/>
        <w:rPr>
          <w:sz w:val="24"/>
          <w:szCs w:val="24"/>
          <w:u w:val="single"/>
        </w:rPr>
      </w:pPr>
      <w:r w:rsidRPr="00452C80">
        <w:rPr>
          <w:bCs/>
          <w:sz w:val="24"/>
          <w:szCs w:val="24"/>
        </w:rPr>
        <w:t>Bevan, W. (1981)</w:t>
      </w:r>
      <w:r w:rsidR="00AD724B">
        <w:rPr>
          <w:bCs/>
          <w:sz w:val="24"/>
          <w:szCs w:val="24"/>
        </w:rPr>
        <w:t xml:space="preserve"> </w:t>
      </w:r>
      <w:r w:rsidRPr="00452C80">
        <w:rPr>
          <w:bCs/>
          <w:sz w:val="24"/>
          <w:szCs w:val="24"/>
        </w:rPr>
        <w:t xml:space="preserve">On Coming-of-Age Among the Professions. </w:t>
      </w:r>
      <w:r w:rsidRPr="00452C80">
        <w:rPr>
          <w:bCs/>
          <w:i/>
          <w:iCs/>
          <w:sz w:val="24"/>
          <w:szCs w:val="24"/>
        </w:rPr>
        <w:t>School Psychology Review</w:t>
      </w:r>
      <w:r w:rsidRPr="00452C80">
        <w:rPr>
          <w:bCs/>
          <w:sz w:val="24"/>
          <w:szCs w:val="24"/>
        </w:rPr>
        <w:t xml:space="preserve">, </w:t>
      </w:r>
      <w:r w:rsidRPr="00452C80">
        <w:rPr>
          <w:b/>
          <w:bCs/>
          <w:sz w:val="24"/>
          <w:szCs w:val="24"/>
        </w:rPr>
        <w:t xml:space="preserve">X </w:t>
      </w:r>
      <w:r w:rsidRPr="00452C80">
        <w:rPr>
          <w:bCs/>
          <w:sz w:val="24"/>
          <w:szCs w:val="24"/>
        </w:rPr>
        <w:t>(2): pp. 127-137.</w:t>
      </w:r>
      <w:r w:rsidRPr="00452C80">
        <w:t xml:space="preserve">  </w:t>
      </w:r>
      <w:r w:rsidR="00E847C5" w:rsidRPr="00E847C5">
        <w:rPr>
          <w:rFonts w:ascii="Calibri" w:eastAsia="Calibri" w:hAnsi="Calibri" w:cs="Times New Roman"/>
          <w:color w:val="0070C0"/>
          <w:sz w:val="24"/>
          <w:szCs w:val="24"/>
          <w:u w:val="single"/>
        </w:rPr>
        <w:t>https://doi.org/</w:t>
      </w:r>
      <w:hyperlink r:id="rId121" w:tgtFrame="_blank" w:history="1">
        <w:r w:rsidR="00E847C5" w:rsidRPr="00E847C5">
          <w:rPr>
            <w:rFonts w:ascii="Calibri" w:eastAsia="Calibri" w:hAnsi="Calibri" w:cs="Times New Roman"/>
            <w:bCs/>
            <w:color w:val="0563C1"/>
            <w:sz w:val="24"/>
            <w:szCs w:val="24"/>
            <w:u w:val="single"/>
          </w:rPr>
          <w:t>10.1080/02796015.1981.12084895</w:t>
        </w:r>
      </w:hyperlink>
    </w:p>
    <w:p w14:paraId="7C068939" w14:textId="77777777" w:rsidR="00640A2D" w:rsidRDefault="00640A2D" w:rsidP="00AB4D10">
      <w:pPr>
        <w:spacing w:line="360" w:lineRule="auto"/>
        <w:ind w:left="833" w:hanging="720"/>
        <w:rPr>
          <w:bCs/>
          <w:sz w:val="24"/>
          <w:szCs w:val="24"/>
        </w:rPr>
      </w:pPr>
      <w:r w:rsidRPr="00452C80">
        <w:rPr>
          <w:bCs/>
          <w:sz w:val="24"/>
          <w:szCs w:val="24"/>
        </w:rPr>
        <w:t xml:space="preserve">Biggs, J. (2003) </w:t>
      </w:r>
      <w:r w:rsidRPr="00452C80">
        <w:rPr>
          <w:bCs/>
          <w:i/>
          <w:iCs/>
          <w:sz w:val="24"/>
          <w:szCs w:val="24"/>
        </w:rPr>
        <w:t>Teaching for Quality Learning at University: What the student does</w:t>
      </w:r>
      <w:r w:rsidRPr="00452C80">
        <w:rPr>
          <w:bCs/>
          <w:sz w:val="24"/>
          <w:szCs w:val="24"/>
        </w:rPr>
        <w:t>. Maidenhead, UK: Society for Research into Higher Education and Open University Press.</w:t>
      </w:r>
    </w:p>
    <w:p w14:paraId="225975EF" w14:textId="77777777" w:rsidR="008D12B0" w:rsidRPr="008D12B0" w:rsidRDefault="008D12B0" w:rsidP="008D12B0">
      <w:pPr>
        <w:spacing w:line="360" w:lineRule="auto"/>
        <w:ind w:left="833" w:hanging="720"/>
        <w:rPr>
          <w:bCs/>
          <w:sz w:val="24"/>
          <w:szCs w:val="24"/>
        </w:rPr>
      </w:pPr>
      <w:r w:rsidRPr="008D12B0">
        <w:rPr>
          <w:bCs/>
          <w:sz w:val="24"/>
          <w:szCs w:val="24"/>
        </w:rPr>
        <w:lastRenderedPageBreak/>
        <w:t xml:space="preserve">Biggs, J., and Tang, C. (1999/2011) </w:t>
      </w:r>
      <w:r w:rsidRPr="008D12B0">
        <w:rPr>
          <w:bCs/>
          <w:i/>
          <w:iCs/>
          <w:sz w:val="24"/>
          <w:szCs w:val="24"/>
        </w:rPr>
        <w:t>Teaching for Quality Learning at University</w:t>
      </w:r>
      <w:r w:rsidRPr="008D12B0">
        <w:rPr>
          <w:bCs/>
          <w:sz w:val="24"/>
          <w:szCs w:val="24"/>
        </w:rPr>
        <w:t xml:space="preserve"> (4th edition). Berkshire: Open University Press.</w:t>
      </w:r>
    </w:p>
    <w:p w14:paraId="0C7295AD" w14:textId="32409CC8" w:rsidR="00640A2D" w:rsidRPr="0058001E" w:rsidRDefault="00B83029" w:rsidP="008E0762">
      <w:pPr>
        <w:spacing w:line="360" w:lineRule="auto"/>
        <w:ind w:left="720" w:hanging="720"/>
        <w:rPr>
          <w:bCs/>
          <w:sz w:val="24"/>
          <w:szCs w:val="24"/>
          <w:u w:val="single"/>
        </w:rPr>
      </w:pPr>
      <w:r>
        <w:rPr>
          <w:bCs/>
          <w:sz w:val="24"/>
          <w:szCs w:val="24"/>
        </w:rPr>
        <w:t xml:space="preserve">  </w:t>
      </w:r>
      <w:r w:rsidR="00640A2D" w:rsidRPr="00452C80">
        <w:rPr>
          <w:bCs/>
          <w:sz w:val="24"/>
          <w:szCs w:val="24"/>
        </w:rPr>
        <w:t xml:space="preserve">Binnie, G. (2016) </w:t>
      </w:r>
      <w:r w:rsidR="00640A2D" w:rsidRPr="00452C80">
        <w:rPr>
          <w:bCs/>
          <w:i/>
          <w:iCs/>
          <w:sz w:val="24"/>
          <w:szCs w:val="24"/>
        </w:rPr>
        <w:t>Struggling Students Are Not Lacking Resilience</w:t>
      </w:r>
      <w:r w:rsidR="00F20BA8">
        <w:rPr>
          <w:bCs/>
          <w:i/>
          <w:iCs/>
          <w:sz w:val="24"/>
          <w:szCs w:val="24"/>
        </w:rPr>
        <w:t xml:space="preserve"> </w:t>
      </w:r>
      <w:r w:rsidR="00640A2D" w:rsidRPr="00452C80">
        <w:rPr>
          <w:bCs/>
          <w:i/>
          <w:iCs/>
          <w:sz w:val="24"/>
          <w:szCs w:val="24"/>
        </w:rPr>
        <w:t xml:space="preserve">- They Need More </w:t>
      </w:r>
      <w:r w:rsidR="00E847C5" w:rsidRPr="00452C80">
        <w:rPr>
          <w:bCs/>
          <w:i/>
          <w:iCs/>
          <w:sz w:val="24"/>
          <w:szCs w:val="24"/>
        </w:rPr>
        <w:t>Support</w:t>
      </w:r>
      <w:r w:rsidR="00E847C5">
        <w:rPr>
          <w:bCs/>
          <w:sz w:val="24"/>
          <w:szCs w:val="24"/>
        </w:rPr>
        <w:t>.</w:t>
      </w:r>
      <w:r w:rsidR="00E847C5" w:rsidRPr="00452C80">
        <w:rPr>
          <w:bCs/>
          <w:sz w:val="24"/>
          <w:szCs w:val="24"/>
        </w:rPr>
        <w:t xml:space="preserve"> The</w:t>
      </w:r>
      <w:r w:rsidR="00640A2D" w:rsidRPr="00452C80">
        <w:rPr>
          <w:bCs/>
          <w:sz w:val="24"/>
          <w:szCs w:val="24"/>
        </w:rPr>
        <w:t xml:space="preserve"> Guardian.</w:t>
      </w:r>
      <w:r w:rsidR="00E74225">
        <w:rPr>
          <w:bCs/>
          <w:sz w:val="24"/>
          <w:szCs w:val="24"/>
        </w:rPr>
        <w:t xml:space="preserve"> Available at:</w:t>
      </w:r>
      <w:r w:rsidR="00640A2D" w:rsidRPr="00452C80">
        <w:rPr>
          <w:bCs/>
          <w:sz w:val="24"/>
          <w:szCs w:val="24"/>
        </w:rPr>
        <w:t xml:space="preserve"> </w:t>
      </w:r>
      <w:r w:rsidR="00947E45" w:rsidRPr="00947E45">
        <w:rPr>
          <w:rFonts w:ascii="Calibri" w:eastAsia="Calibri" w:hAnsi="Calibri" w:cs="Times New Roman"/>
          <w:bCs/>
          <w:color w:val="C00000"/>
          <w:sz w:val="24"/>
          <w:szCs w:val="24"/>
        </w:rPr>
        <w:t xml:space="preserve"> </w:t>
      </w:r>
      <w:hyperlink r:id="rId122" w:history="1">
        <w:r w:rsidR="00947E45" w:rsidRPr="00947E45">
          <w:rPr>
            <w:rFonts w:ascii="Calibri" w:eastAsia="Calibri" w:hAnsi="Calibri" w:cs="Times New Roman"/>
            <w:bCs/>
            <w:color w:val="0563C1"/>
            <w:sz w:val="24"/>
            <w:szCs w:val="24"/>
            <w:u w:val="single"/>
          </w:rPr>
          <w:t>https://www.theguardian.com/higher-education-network/2016/aug/18/struggling-students-are-not-lacking-resilience-they-need-more-support</w:t>
        </w:r>
      </w:hyperlink>
      <w:bookmarkStart w:id="95" w:name="_Hlk219108404"/>
      <w:r w:rsidR="00E74225">
        <w:t xml:space="preserve"> </w:t>
      </w:r>
      <w:r w:rsidR="0058001E">
        <w:rPr>
          <w:sz w:val="24"/>
          <w:szCs w:val="24"/>
        </w:rPr>
        <w:t xml:space="preserve">[Accessed </w:t>
      </w:r>
      <w:r w:rsidR="003B08D2">
        <w:rPr>
          <w:sz w:val="24"/>
          <w:szCs w:val="24"/>
        </w:rPr>
        <w:t>14th July 2022]</w:t>
      </w:r>
    </w:p>
    <w:bookmarkEnd w:id="95"/>
    <w:p w14:paraId="22E4C00D" w14:textId="77777777" w:rsidR="00640A2D" w:rsidRDefault="00640A2D" w:rsidP="00AB4D10">
      <w:pPr>
        <w:spacing w:line="360" w:lineRule="auto"/>
        <w:ind w:left="833" w:hanging="720"/>
        <w:rPr>
          <w:bCs/>
          <w:sz w:val="24"/>
          <w:szCs w:val="24"/>
        </w:rPr>
      </w:pPr>
      <w:r w:rsidRPr="00452C80">
        <w:rPr>
          <w:bCs/>
          <w:sz w:val="24"/>
          <w:szCs w:val="24"/>
        </w:rPr>
        <w:t xml:space="preserve">Bion, W. R. (1962/1975) </w:t>
      </w:r>
      <w:r w:rsidRPr="00452C80">
        <w:rPr>
          <w:bCs/>
          <w:i/>
          <w:iCs/>
          <w:sz w:val="24"/>
          <w:szCs w:val="24"/>
        </w:rPr>
        <w:t>Learning from Experience</w:t>
      </w:r>
      <w:r w:rsidRPr="00452C80">
        <w:rPr>
          <w:bCs/>
          <w:sz w:val="24"/>
          <w:szCs w:val="24"/>
        </w:rPr>
        <w:t>. London/New York: Karnac.</w:t>
      </w:r>
    </w:p>
    <w:p w14:paraId="06B03ACC" w14:textId="3D6F72C7" w:rsidR="008D12B0" w:rsidRPr="00452C80" w:rsidRDefault="008D12B0" w:rsidP="008D12B0">
      <w:pPr>
        <w:spacing w:line="360" w:lineRule="auto"/>
        <w:ind w:left="833" w:hanging="720"/>
        <w:rPr>
          <w:bCs/>
          <w:sz w:val="24"/>
          <w:szCs w:val="24"/>
        </w:rPr>
      </w:pPr>
      <w:r w:rsidRPr="008D12B0">
        <w:rPr>
          <w:bCs/>
          <w:sz w:val="24"/>
          <w:szCs w:val="24"/>
        </w:rPr>
        <w:t xml:space="preserve">Bion, W. R. (1963) </w:t>
      </w:r>
      <w:r w:rsidRPr="008D12B0">
        <w:rPr>
          <w:bCs/>
          <w:i/>
          <w:iCs/>
          <w:sz w:val="24"/>
          <w:szCs w:val="24"/>
        </w:rPr>
        <w:t>Elements of Psychoanalysis</w:t>
      </w:r>
      <w:r w:rsidRPr="008D12B0">
        <w:rPr>
          <w:bCs/>
          <w:sz w:val="24"/>
          <w:szCs w:val="24"/>
        </w:rPr>
        <w:t>. London: Karnac.</w:t>
      </w:r>
    </w:p>
    <w:p w14:paraId="3CA88106" w14:textId="68BCDF5B" w:rsidR="00640A2D" w:rsidRPr="00452C80" w:rsidRDefault="00640A2D" w:rsidP="00AB4D10">
      <w:pPr>
        <w:spacing w:line="360" w:lineRule="auto"/>
        <w:ind w:left="833" w:hanging="720"/>
        <w:rPr>
          <w:bCs/>
          <w:sz w:val="24"/>
          <w:szCs w:val="24"/>
        </w:rPr>
      </w:pPr>
      <w:r w:rsidRPr="00452C80">
        <w:rPr>
          <w:bCs/>
          <w:sz w:val="24"/>
          <w:szCs w:val="24"/>
        </w:rPr>
        <w:t xml:space="preserve">Bion, W. R. (1970) </w:t>
      </w:r>
      <w:r w:rsidRPr="00452C80">
        <w:rPr>
          <w:bCs/>
          <w:i/>
          <w:iCs/>
          <w:sz w:val="24"/>
          <w:szCs w:val="24"/>
        </w:rPr>
        <w:t>Attention and Interpretation</w:t>
      </w:r>
      <w:r w:rsidRPr="00452C80">
        <w:rPr>
          <w:bCs/>
          <w:sz w:val="24"/>
          <w:szCs w:val="24"/>
        </w:rPr>
        <w:t>. London/New York: Karnac.</w:t>
      </w:r>
    </w:p>
    <w:p w14:paraId="276A95E7" w14:textId="77777777" w:rsidR="00640A2D" w:rsidRPr="00452C80" w:rsidRDefault="00640A2D" w:rsidP="00AB4D10">
      <w:pPr>
        <w:spacing w:line="360" w:lineRule="auto"/>
        <w:ind w:left="833" w:hanging="720"/>
        <w:rPr>
          <w:bCs/>
          <w:sz w:val="24"/>
          <w:szCs w:val="24"/>
        </w:rPr>
      </w:pPr>
      <w:r w:rsidRPr="00452C80">
        <w:rPr>
          <w:bCs/>
          <w:sz w:val="24"/>
          <w:szCs w:val="24"/>
        </w:rPr>
        <w:t xml:space="preserve">Bion, W. R. (1991) </w:t>
      </w:r>
      <w:r w:rsidRPr="00452C80">
        <w:rPr>
          <w:bCs/>
          <w:i/>
          <w:iCs/>
          <w:sz w:val="24"/>
          <w:szCs w:val="24"/>
        </w:rPr>
        <w:t>A Memoir of the Future</w:t>
      </w:r>
      <w:r w:rsidRPr="00452C80">
        <w:rPr>
          <w:bCs/>
          <w:sz w:val="24"/>
          <w:szCs w:val="24"/>
        </w:rPr>
        <w:t>. London: Karnac.</w:t>
      </w:r>
    </w:p>
    <w:p w14:paraId="4DA656DB" w14:textId="182E871A" w:rsidR="00FC2B03" w:rsidRPr="00452C80" w:rsidRDefault="00640A2D" w:rsidP="007E2BD5">
      <w:pPr>
        <w:spacing w:line="360" w:lineRule="auto"/>
        <w:ind w:left="833" w:hanging="720"/>
        <w:rPr>
          <w:bCs/>
          <w:sz w:val="24"/>
          <w:szCs w:val="24"/>
        </w:rPr>
      </w:pPr>
      <w:r w:rsidRPr="00452C80">
        <w:rPr>
          <w:bCs/>
          <w:sz w:val="24"/>
          <w:szCs w:val="24"/>
        </w:rPr>
        <w:t>Birch, M.</w:t>
      </w:r>
      <w:r w:rsidR="00774127">
        <w:rPr>
          <w:bCs/>
          <w:sz w:val="24"/>
          <w:szCs w:val="24"/>
        </w:rPr>
        <w:t>,</w:t>
      </w:r>
      <w:r w:rsidRPr="00452C80">
        <w:rPr>
          <w:bCs/>
          <w:sz w:val="24"/>
          <w:szCs w:val="24"/>
        </w:rPr>
        <w:t xml:space="preserve"> and Miller, T. (2000) Inviting Intimacy: The interview as therapeutic opportunity. </w:t>
      </w:r>
      <w:r w:rsidRPr="00452C80">
        <w:rPr>
          <w:bCs/>
          <w:i/>
          <w:iCs/>
          <w:sz w:val="24"/>
          <w:szCs w:val="24"/>
        </w:rPr>
        <w:t>International Journal of Social Research Methodology</w:t>
      </w:r>
      <w:r w:rsidRPr="00452C80">
        <w:rPr>
          <w:bCs/>
          <w:sz w:val="24"/>
          <w:szCs w:val="24"/>
        </w:rPr>
        <w:t xml:space="preserve">, </w:t>
      </w:r>
      <w:r w:rsidRPr="00452C80">
        <w:rPr>
          <w:b/>
          <w:bCs/>
          <w:sz w:val="24"/>
          <w:szCs w:val="24"/>
        </w:rPr>
        <w:t>3</w:t>
      </w:r>
      <w:r w:rsidRPr="00452C80">
        <w:rPr>
          <w:bCs/>
          <w:sz w:val="24"/>
          <w:szCs w:val="24"/>
        </w:rPr>
        <w:t xml:space="preserve">(3): pp.189-202. </w:t>
      </w:r>
      <w:hyperlink r:id="rId123" w:history="1">
        <w:r w:rsidR="00FC2B03" w:rsidRPr="00FC2B03">
          <w:rPr>
            <w:rFonts w:ascii="Calibri" w:eastAsia="Calibri" w:hAnsi="Calibri" w:cs="Times New Roman"/>
            <w:bCs/>
            <w:color w:val="0563C1"/>
            <w:sz w:val="24"/>
            <w:szCs w:val="24"/>
            <w:u w:val="single"/>
          </w:rPr>
          <w:t>https://doi.org/10.1080/13645570050083689</w:t>
        </w:r>
      </w:hyperlink>
    </w:p>
    <w:p w14:paraId="52103B30" w14:textId="30D18E36" w:rsidR="00640A2D" w:rsidRPr="00452C80" w:rsidRDefault="00640A2D" w:rsidP="00AB4D10">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Black, A. M. (2022) Vocational and mature student success in higher education foundation programmes. </w:t>
      </w:r>
      <w:r w:rsidRPr="00452C80">
        <w:rPr>
          <w:rFonts w:ascii="Calibri" w:eastAsia="Aptos" w:hAnsi="Calibri" w:cs="Calibri"/>
          <w:i/>
          <w:iCs/>
          <w:kern w:val="2"/>
          <w:sz w:val="24"/>
          <w:szCs w:val="24"/>
          <w14:ligatures w14:val="standardContextual"/>
        </w:rPr>
        <w:t>The Journal of Continuing Higher Education</w:t>
      </w:r>
      <w:r w:rsidRPr="00452C80">
        <w:rPr>
          <w:rFonts w:ascii="Calibri" w:eastAsia="Aptos" w:hAnsi="Calibri" w:cs="Calibri"/>
          <w:kern w:val="2"/>
          <w:sz w:val="24"/>
          <w:szCs w:val="24"/>
          <w14:ligatures w14:val="standardContextual"/>
        </w:rPr>
        <w:t>, </w:t>
      </w:r>
      <w:r w:rsidRPr="00791023">
        <w:rPr>
          <w:rFonts w:ascii="Calibri" w:eastAsia="Aptos" w:hAnsi="Calibri" w:cs="Calibri"/>
          <w:b/>
          <w:bCs/>
          <w:kern w:val="2"/>
          <w:sz w:val="24"/>
          <w:szCs w:val="24"/>
          <w14:ligatures w14:val="standardContextual"/>
        </w:rPr>
        <w:t>70</w:t>
      </w:r>
      <w:r w:rsidRPr="00452C80">
        <w:rPr>
          <w:rFonts w:ascii="Calibri" w:eastAsia="Aptos" w:hAnsi="Calibri" w:cs="Calibri"/>
          <w:kern w:val="2"/>
          <w:sz w:val="24"/>
          <w:szCs w:val="24"/>
          <w14:ligatures w14:val="standardContextual"/>
        </w:rPr>
        <w:t xml:space="preserve">(2): pp.105–121. </w:t>
      </w:r>
      <w:hyperlink r:id="rId124" w:history="1">
        <w:r w:rsidR="000D6C18" w:rsidRPr="00463791">
          <w:rPr>
            <w:rFonts w:ascii="Calibri" w:eastAsia="Aptos" w:hAnsi="Calibri" w:cs="Calibri"/>
            <w:color w:val="0070C0"/>
            <w:kern w:val="2"/>
            <w:sz w:val="24"/>
            <w:szCs w:val="24"/>
            <w:u w:val="single"/>
            <w14:ligatures w14:val="standardContextual"/>
          </w:rPr>
          <w:t>https://doi.org/10.1080/07377363.2021.1923306</w:t>
        </w:r>
      </w:hyperlink>
    </w:p>
    <w:p w14:paraId="53BB716F" w14:textId="1FEF8422" w:rsidR="00640A2D" w:rsidRPr="00452C80" w:rsidRDefault="00640A2D" w:rsidP="00AB4D10">
      <w:pPr>
        <w:spacing w:line="360" w:lineRule="auto"/>
        <w:ind w:left="833" w:hanging="720"/>
        <w:rPr>
          <w:bCs/>
          <w:sz w:val="24"/>
          <w:szCs w:val="24"/>
        </w:rPr>
      </w:pPr>
      <w:r w:rsidRPr="00452C80">
        <w:rPr>
          <w:bCs/>
          <w:sz w:val="24"/>
          <w:szCs w:val="24"/>
        </w:rPr>
        <w:t xml:space="preserve">Blackmore, J. (2009) Academic Pedagogies, Quality Logics and Performative Universities: Evaluating Teaching and What Students Want. </w:t>
      </w:r>
      <w:r w:rsidRPr="00452C80">
        <w:rPr>
          <w:bCs/>
          <w:i/>
          <w:iCs/>
          <w:sz w:val="24"/>
          <w:szCs w:val="24"/>
        </w:rPr>
        <w:t>Studies in Higher Education</w:t>
      </w:r>
      <w:r w:rsidRPr="00452C80">
        <w:rPr>
          <w:bCs/>
          <w:sz w:val="24"/>
          <w:szCs w:val="24"/>
        </w:rPr>
        <w:t xml:space="preserve">, </w:t>
      </w:r>
      <w:r w:rsidRPr="00452C80">
        <w:rPr>
          <w:b/>
          <w:sz w:val="24"/>
          <w:szCs w:val="24"/>
        </w:rPr>
        <w:t>34</w:t>
      </w:r>
      <w:r w:rsidRPr="00452C80">
        <w:rPr>
          <w:bCs/>
          <w:sz w:val="24"/>
          <w:szCs w:val="24"/>
        </w:rPr>
        <w:t xml:space="preserve">(8): pp.857-872. </w:t>
      </w:r>
      <w:hyperlink r:id="rId125" w:history="1">
        <w:r w:rsidR="00E4002C" w:rsidRPr="00E4002C">
          <w:rPr>
            <w:rFonts w:ascii="Calibri" w:eastAsia="Calibri" w:hAnsi="Calibri" w:cs="Times New Roman"/>
            <w:bCs/>
            <w:color w:val="0563C1"/>
            <w:sz w:val="24"/>
            <w:szCs w:val="24"/>
            <w:u w:val="single"/>
          </w:rPr>
          <w:t>https://doi.org/10.1080/03075070902898664</w:t>
        </w:r>
      </w:hyperlink>
    </w:p>
    <w:p w14:paraId="46D22A86" w14:textId="72497386" w:rsidR="00640A2D" w:rsidRPr="00452C80" w:rsidRDefault="00640A2D" w:rsidP="00AB4D10">
      <w:pPr>
        <w:spacing w:line="360" w:lineRule="auto"/>
        <w:ind w:left="833" w:hanging="720"/>
        <w:rPr>
          <w:bCs/>
          <w:sz w:val="24"/>
          <w:szCs w:val="24"/>
        </w:rPr>
      </w:pPr>
      <w:r w:rsidRPr="00452C80">
        <w:rPr>
          <w:bCs/>
          <w:sz w:val="24"/>
          <w:szCs w:val="24"/>
        </w:rPr>
        <w:t xml:space="preserve">Bleakley, A. (1999) From Reflective Practice to Holistic Reflexivity. </w:t>
      </w:r>
      <w:r w:rsidRPr="00452C80">
        <w:rPr>
          <w:bCs/>
          <w:i/>
          <w:iCs/>
          <w:sz w:val="24"/>
          <w:szCs w:val="24"/>
        </w:rPr>
        <w:t>Studies in Higher Education</w:t>
      </w:r>
      <w:r w:rsidRPr="00452C80">
        <w:rPr>
          <w:bCs/>
          <w:sz w:val="24"/>
          <w:szCs w:val="24"/>
        </w:rPr>
        <w:t xml:space="preserve">, </w:t>
      </w:r>
      <w:r w:rsidRPr="00452C80">
        <w:rPr>
          <w:b/>
          <w:bCs/>
          <w:sz w:val="24"/>
          <w:szCs w:val="24"/>
        </w:rPr>
        <w:t>24</w:t>
      </w:r>
      <w:r w:rsidRPr="00452C80">
        <w:rPr>
          <w:bCs/>
          <w:sz w:val="24"/>
          <w:szCs w:val="24"/>
        </w:rPr>
        <w:t>(3): pp. 315-330.</w:t>
      </w:r>
      <w:r w:rsidRPr="00452C80">
        <w:rPr>
          <w:rFonts w:ascii="Open Sans" w:eastAsia="Times New Roman" w:hAnsi="Open Sans" w:cs="Open Sans"/>
          <w:sz w:val="20"/>
          <w:szCs w:val="20"/>
          <w:lang w:eastAsia="en-GB"/>
        </w:rPr>
        <w:t xml:space="preserve"> </w:t>
      </w:r>
      <w:hyperlink r:id="rId126" w:history="1">
        <w:r w:rsidR="00463791" w:rsidRPr="00463791">
          <w:rPr>
            <w:rFonts w:ascii="Calibri" w:eastAsia="Calibri" w:hAnsi="Calibri" w:cs="Times New Roman"/>
            <w:bCs/>
            <w:color w:val="0563C1"/>
            <w:sz w:val="24"/>
            <w:szCs w:val="24"/>
            <w:u w:val="single"/>
          </w:rPr>
          <w:t>https://doi.org/10.1080/03075079912331379925</w:t>
        </w:r>
      </w:hyperlink>
    </w:p>
    <w:p w14:paraId="07B61F10" w14:textId="2305D856" w:rsidR="00640A2D" w:rsidRPr="00452C80" w:rsidRDefault="00640A2D" w:rsidP="00AB4D10">
      <w:pPr>
        <w:spacing w:line="360" w:lineRule="auto"/>
        <w:ind w:left="833" w:hanging="720"/>
        <w:rPr>
          <w:bCs/>
          <w:sz w:val="24"/>
          <w:szCs w:val="24"/>
        </w:rPr>
      </w:pPr>
      <w:r w:rsidRPr="00452C80">
        <w:rPr>
          <w:bCs/>
          <w:sz w:val="24"/>
          <w:szCs w:val="24"/>
        </w:rPr>
        <w:t xml:space="preserve">Bleakley, J., Woolcott, G., Yeigh, T., and Whannell, R. (2020) Reflecting on Emotions During Teaching: Developing Affective-Reflective Skills in Novice Teachers Using a Novel Critical Moment Protocol. </w:t>
      </w:r>
      <w:r w:rsidRPr="00452C80">
        <w:rPr>
          <w:bCs/>
          <w:i/>
          <w:iCs/>
          <w:sz w:val="24"/>
          <w:szCs w:val="24"/>
        </w:rPr>
        <w:t>Australian Journal of Teacher Education</w:t>
      </w:r>
      <w:r w:rsidRPr="00452C80">
        <w:rPr>
          <w:bCs/>
          <w:sz w:val="24"/>
          <w:szCs w:val="24"/>
        </w:rPr>
        <w:t xml:space="preserve">, </w:t>
      </w:r>
      <w:r w:rsidRPr="00452C80">
        <w:rPr>
          <w:b/>
          <w:bCs/>
          <w:sz w:val="24"/>
          <w:szCs w:val="24"/>
        </w:rPr>
        <w:t>45</w:t>
      </w:r>
      <w:r w:rsidRPr="00452C80">
        <w:rPr>
          <w:bCs/>
          <w:sz w:val="24"/>
          <w:szCs w:val="24"/>
        </w:rPr>
        <w:t>(10): pp.</w:t>
      </w:r>
      <w:r w:rsidRPr="00452C80">
        <w:rPr>
          <w:rFonts w:ascii="Source Sans Pro" w:hAnsi="Source Sans Pro"/>
          <w:sz w:val="23"/>
          <w:szCs w:val="23"/>
          <w:shd w:val="clear" w:color="auto" w:fill="F3F3F3"/>
        </w:rPr>
        <w:t xml:space="preserve"> </w:t>
      </w:r>
      <w:r w:rsidRPr="00452C80">
        <w:rPr>
          <w:bCs/>
          <w:sz w:val="24"/>
          <w:szCs w:val="24"/>
        </w:rPr>
        <w:t>55-72.</w:t>
      </w:r>
      <w:r w:rsidRPr="00452C80">
        <w:t xml:space="preserve"> </w:t>
      </w:r>
      <w:r w:rsidRPr="00452C80">
        <w:rPr>
          <w:sz w:val="24"/>
          <w:szCs w:val="24"/>
        </w:rPr>
        <w:t> </w:t>
      </w:r>
      <w:hyperlink r:id="rId127" w:tgtFrame="_blank" w:history="1">
        <w:r w:rsidR="005C70F7" w:rsidRPr="005C70F7">
          <w:rPr>
            <w:rFonts w:ascii="Calibri" w:eastAsia="Calibri" w:hAnsi="Calibri" w:cs="Times New Roman"/>
            <w:color w:val="0563C1"/>
            <w:sz w:val="24"/>
            <w:szCs w:val="24"/>
            <w:u w:val="single"/>
          </w:rPr>
          <w:t>https://doi.org/10.14221/ajte.2020v45n10.4</w:t>
        </w:r>
      </w:hyperlink>
      <w:r w:rsidR="004F15BA" w:rsidRPr="00452C80">
        <w:rPr>
          <w:bCs/>
          <w:sz w:val="24"/>
          <w:szCs w:val="24"/>
        </w:rPr>
        <w:t xml:space="preserve"> </w:t>
      </w:r>
    </w:p>
    <w:p w14:paraId="70D26E1E" w14:textId="77777777" w:rsidR="00640A2D" w:rsidRPr="00452C80" w:rsidRDefault="00640A2D" w:rsidP="00AB4D10">
      <w:pPr>
        <w:spacing w:line="360" w:lineRule="auto"/>
        <w:ind w:left="833" w:hanging="720"/>
        <w:rPr>
          <w:bCs/>
          <w:sz w:val="24"/>
          <w:szCs w:val="24"/>
        </w:rPr>
      </w:pPr>
      <w:r w:rsidRPr="00452C80">
        <w:rPr>
          <w:bCs/>
          <w:sz w:val="24"/>
          <w:szCs w:val="24"/>
        </w:rPr>
        <w:t xml:space="preserve">Bleandonu, G. (1994) </w:t>
      </w:r>
      <w:r w:rsidRPr="00452C80">
        <w:rPr>
          <w:bCs/>
          <w:i/>
          <w:iCs/>
          <w:sz w:val="24"/>
          <w:szCs w:val="24"/>
        </w:rPr>
        <w:t>Wilfred Bion: His Life and Works, 1897-1979</w:t>
      </w:r>
      <w:r w:rsidRPr="00452C80">
        <w:rPr>
          <w:bCs/>
          <w:sz w:val="24"/>
          <w:szCs w:val="24"/>
        </w:rPr>
        <w:t xml:space="preserve">. London: Free Association. </w:t>
      </w:r>
    </w:p>
    <w:p w14:paraId="53D775C6" w14:textId="77777777" w:rsidR="00640A2D" w:rsidRPr="00452C80" w:rsidRDefault="00640A2D" w:rsidP="00AB4D10">
      <w:pPr>
        <w:spacing w:line="360" w:lineRule="auto"/>
        <w:ind w:left="833" w:hanging="720"/>
        <w:rPr>
          <w:bCs/>
          <w:sz w:val="24"/>
          <w:szCs w:val="24"/>
        </w:rPr>
      </w:pPr>
      <w:r w:rsidRPr="00452C80">
        <w:rPr>
          <w:bCs/>
          <w:sz w:val="24"/>
          <w:szCs w:val="24"/>
        </w:rPr>
        <w:lastRenderedPageBreak/>
        <w:t xml:space="preserve">Bleger, J. (1990) Psychoanalysis of the psychoanalytic frame. In: R. Langs (ed), </w:t>
      </w:r>
      <w:r w:rsidRPr="00452C80">
        <w:rPr>
          <w:bCs/>
          <w:i/>
          <w:iCs/>
          <w:sz w:val="24"/>
          <w:szCs w:val="24"/>
        </w:rPr>
        <w:t>Classics in Psychoanalytic Technique</w:t>
      </w:r>
      <w:r w:rsidRPr="00452C80">
        <w:rPr>
          <w:bCs/>
          <w:sz w:val="24"/>
          <w:szCs w:val="24"/>
        </w:rPr>
        <w:t>. New York: Jason Aronson.</w:t>
      </w:r>
    </w:p>
    <w:p w14:paraId="0BCE16F5" w14:textId="59AF7F5F" w:rsidR="00640A2D" w:rsidRPr="00452C80" w:rsidRDefault="00640A2D" w:rsidP="00AB4D10">
      <w:pPr>
        <w:spacing w:line="360" w:lineRule="auto"/>
        <w:ind w:left="833" w:hanging="720"/>
        <w:rPr>
          <w:bCs/>
          <w:sz w:val="24"/>
          <w:szCs w:val="24"/>
          <w:lang w:val="en-US"/>
        </w:rPr>
      </w:pPr>
      <w:r w:rsidRPr="00452C80">
        <w:rPr>
          <w:bCs/>
          <w:sz w:val="24"/>
          <w:szCs w:val="24"/>
          <w:lang w:val="en-US"/>
        </w:rPr>
        <w:t xml:space="preserve">Bloor, M., and Wood, F. (2006) </w:t>
      </w:r>
      <w:r w:rsidRPr="00452C80">
        <w:rPr>
          <w:bCs/>
          <w:i/>
          <w:iCs/>
          <w:sz w:val="24"/>
          <w:szCs w:val="24"/>
          <w:lang w:val="en-US"/>
        </w:rPr>
        <w:t>Keywords in Qualitative Methods: A Vocabulary of Research Concepts</w:t>
      </w:r>
      <w:r w:rsidRPr="00452C80">
        <w:rPr>
          <w:bCs/>
          <w:sz w:val="24"/>
          <w:szCs w:val="24"/>
          <w:lang w:val="en-US"/>
        </w:rPr>
        <w:t xml:space="preserve"> (1</w:t>
      </w:r>
      <w:r w:rsidRPr="00452C80">
        <w:rPr>
          <w:bCs/>
          <w:sz w:val="24"/>
          <w:szCs w:val="24"/>
          <w:vertAlign w:val="superscript"/>
          <w:lang w:val="en-US"/>
        </w:rPr>
        <w:t>st</w:t>
      </w:r>
      <w:r w:rsidRPr="00452C80">
        <w:rPr>
          <w:bCs/>
          <w:sz w:val="24"/>
          <w:szCs w:val="24"/>
          <w:lang w:val="en-US"/>
        </w:rPr>
        <w:t xml:space="preserve"> ed</w:t>
      </w:r>
      <w:r w:rsidR="00C30E13">
        <w:rPr>
          <w:bCs/>
          <w:sz w:val="24"/>
          <w:szCs w:val="24"/>
          <w:lang w:val="en-US"/>
        </w:rPr>
        <w:t>it</w:t>
      </w:r>
      <w:r w:rsidR="00EC54FC">
        <w:rPr>
          <w:bCs/>
          <w:sz w:val="24"/>
          <w:szCs w:val="24"/>
          <w:lang w:val="en-US"/>
        </w:rPr>
        <w:t>io</w:t>
      </w:r>
      <w:r w:rsidRPr="00452C80">
        <w:rPr>
          <w:bCs/>
          <w:sz w:val="24"/>
          <w:szCs w:val="24"/>
          <w:lang w:val="en-US"/>
        </w:rPr>
        <w:t>n). London: SAGE Publications.</w:t>
      </w:r>
    </w:p>
    <w:p w14:paraId="7C53694D" w14:textId="5C8E9FDC" w:rsidR="00640A2D" w:rsidRPr="00452C80" w:rsidRDefault="00640A2D" w:rsidP="00AB4D10">
      <w:pPr>
        <w:spacing w:line="360" w:lineRule="auto"/>
        <w:ind w:left="833" w:hanging="720"/>
        <w:rPr>
          <w:bCs/>
          <w:sz w:val="24"/>
          <w:szCs w:val="24"/>
        </w:rPr>
      </w:pPr>
      <w:r w:rsidRPr="00452C80">
        <w:rPr>
          <w:bCs/>
          <w:sz w:val="24"/>
          <w:szCs w:val="24"/>
        </w:rPr>
        <w:t>Bogdan, R., and Biklen, S.</w:t>
      </w:r>
      <w:r w:rsidR="008A4626">
        <w:rPr>
          <w:bCs/>
          <w:sz w:val="24"/>
          <w:szCs w:val="24"/>
        </w:rPr>
        <w:t xml:space="preserve"> </w:t>
      </w:r>
      <w:r w:rsidRPr="00452C80">
        <w:rPr>
          <w:bCs/>
          <w:sz w:val="24"/>
          <w:szCs w:val="24"/>
        </w:rPr>
        <w:t xml:space="preserve">K. (1997) </w:t>
      </w:r>
      <w:r w:rsidRPr="00452C80">
        <w:rPr>
          <w:bCs/>
          <w:i/>
          <w:iCs/>
          <w:sz w:val="24"/>
          <w:szCs w:val="24"/>
        </w:rPr>
        <w:t>Qualitative Research for Education.</w:t>
      </w:r>
      <w:r w:rsidRPr="00452C80">
        <w:rPr>
          <w:bCs/>
          <w:sz w:val="24"/>
          <w:szCs w:val="24"/>
        </w:rPr>
        <w:t xml:space="preserve"> Boston, MA: Allyn and Bacon.</w:t>
      </w:r>
    </w:p>
    <w:p w14:paraId="4B204B73" w14:textId="7A08833B" w:rsidR="00494863" w:rsidRPr="00494863" w:rsidRDefault="00640A2D" w:rsidP="00494863">
      <w:pPr>
        <w:spacing w:line="360" w:lineRule="auto"/>
        <w:ind w:left="833" w:hanging="720"/>
        <w:rPr>
          <w:rFonts w:ascii="Calibri" w:eastAsia="Calibri" w:hAnsi="Calibri" w:cs="Times New Roman"/>
          <w:bCs/>
          <w:color w:val="00B0F0"/>
          <w:sz w:val="24"/>
          <w:szCs w:val="24"/>
        </w:rPr>
      </w:pPr>
      <w:r w:rsidRPr="00452C80">
        <w:rPr>
          <w:bCs/>
          <w:sz w:val="24"/>
          <w:szCs w:val="24"/>
        </w:rPr>
        <w:t>Bolen, J.</w:t>
      </w:r>
      <w:r w:rsidR="00833AD7">
        <w:rPr>
          <w:bCs/>
          <w:sz w:val="24"/>
          <w:szCs w:val="24"/>
        </w:rPr>
        <w:t xml:space="preserve"> </w:t>
      </w:r>
      <w:r w:rsidRPr="00452C80">
        <w:rPr>
          <w:bCs/>
          <w:sz w:val="24"/>
          <w:szCs w:val="24"/>
        </w:rPr>
        <w:t xml:space="preserve">S. (1984) Goddesses in everywoman: A new psychology of women. </w:t>
      </w:r>
      <w:bookmarkStart w:id="96" w:name="_Hlk205023238"/>
      <w:r w:rsidRPr="00452C80">
        <w:rPr>
          <w:bCs/>
          <w:sz w:val="24"/>
          <w:szCs w:val="24"/>
        </w:rPr>
        <w:t>In C.A. Sommer and J.A. Cox (2003), Using Greek mythology as a metaphor to enhance supervision. (Innovative Methods). </w:t>
      </w:r>
      <w:r w:rsidRPr="00452C80">
        <w:rPr>
          <w:bCs/>
          <w:i/>
          <w:iCs/>
          <w:sz w:val="24"/>
          <w:szCs w:val="24"/>
        </w:rPr>
        <w:t>Counselor Education and Supervision</w:t>
      </w:r>
      <w:r w:rsidRPr="00452C80">
        <w:rPr>
          <w:bCs/>
          <w:sz w:val="24"/>
          <w:szCs w:val="24"/>
        </w:rPr>
        <w:t xml:space="preserve">, </w:t>
      </w:r>
      <w:r w:rsidRPr="00452C80">
        <w:rPr>
          <w:b/>
          <w:sz w:val="24"/>
          <w:szCs w:val="24"/>
        </w:rPr>
        <w:t>42(</w:t>
      </w:r>
      <w:r w:rsidRPr="00452C80">
        <w:rPr>
          <w:bCs/>
          <w:sz w:val="24"/>
          <w:szCs w:val="24"/>
        </w:rPr>
        <w:t xml:space="preserve">4): pp. 326-335. </w:t>
      </w:r>
      <w:hyperlink r:id="rId128" w:history="1">
        <w:r w:rsidR="00494863" w:rsidRPr="00494863">
          <w:rPr>
            <w:rFonts w:ascii="Calibri" w:eastAsia="Calibri" w:hAnsi="Calibri" w:cs="Calibri"/>
            <w:color w:val="0563C1"/>
            <w:sz w:val="24"/>
            <w:szCs w:val="24"/>
            <w:u w:val="single"/>
          </w:rPr>
          <w:t>https://doi.org/10.1002/j.1556-6978.2003.tb01823.x</w:t>
        </w:r>
      </w:hyperlink>
    </w:p>
    <w:bookmarkEnd w:id="96"/>
    <w:p w14:paraId="7319B01A" w14:textId="1508B123" w:rsidR="00640A2D" w:rsidRPr="00452C80" w:rsidRDefault="00F64733" w:rsidP="00494863">
      <w:pPr>
        <w:spacing w:line="360" w:lineRule="auto"/>
        <w:rPr>
          <w:bCs/>
          <w:sz w:val="24"/>
          <w:szCs w:val="24"/>
        </w:rPr>
      </w:pPr>
      <w:r>
        <w:rPr>
          <w:bCs/>
          <w:sz w:val="24"/>
          <w:szCs w:val="24"/>
        </w:rPr>
        <w:t xml:space="preserve">  </w:t>
      </w:r>
      <w:r w:rsidR="00640A2D" w:rsidRPr="00452C80">
        <w:rPr>
          <w:bCs/>
          <w:sz w:val="24"/>
          <w:szCs w:val="24"/>
        </w:rPr>
        <w:t xml:space="preserve">Bolton, G. (2010) </w:t>
      </w:r>
      <w:r w:rsidR="00640A2D" w:rsidRPr="00452C80">
        <w:rPr>
          <w:bCs/>
          <w:i/>
          <w:iCs/>
          <w:sz w:val="24"/>
          <w:szCs w:val="24"/>
        </w:rPr>
        <w:t xml:space="preserve">Reflective Practice: Writing and Professional Development </w:t>
      </w:r>
      <w:r w:rsidR="00C7406B">
        <w:rPr>
          <w:bCs/>
          <w:sz w:val="24"/>
          <w:szCs w:val="24"/>
        </w:rPr>
        <w:t>(3rd</w:t>
      </w:r>
      <w:r w:rsidR="00640A2D" w:rsidRPr="005463F9">
        <w:rPr>
          <w:bCs/>
          <w:sz w:val="24"/>
          <w:szCs w:val="24"/>
        </w:rPr>
        <w:t xml:space="preserve"> </w:t>
      </w:r>
      <w:r w:rsidR="00C7406B">
        <w:rPr>
          <w:bCs/>
          <w:sz w:val="24"/>
          <w:szCs w:val="24"/>
        </w:rPr>
        <w:t>e</w:t>
      </w:r>
      <w:r w:rsidR="00640A2D" w:rsidRPr="005463F9">
        <w:rPr>
          <w:bCs/>
          <w:sz w:val="24"/>
          <w:szCs w:val="24"/>
        </w:rPr>
        <w:t>dition</w:t>
      </w:r>
      <w:r w:rsidR="00640A2D" w:rsidRPr="00452C80">
        <w:rPr>
          <w:bCs/>
          <w:i/>
          <w:iCs/>
          <w:sz w:val="24"/>
          <w:szCs w:val="24"/>
        </w:rPr>
        <w:t>).</w:t>
      </w:r>
      <w:r w:rsidR="00640A2D" w:rsidRPr="00452C80">
        <w:rPr>
          <w:bCs/>
          <w:sz w:val="24"/>
          <w:szCs w:val="24"/>
        </w:rPr>
        <w:t xml:space="preserve"> </w:t>
      </w:r>
      <w:r w:rsidR="007E702A">
        <w:rPr>
          <w:bCs/>
          <w:sz w:val="24"/>
          <w:szCs w:val="24"/>
        </w:rPr>
        <w:tab/>
      </w:r>
      <w:r w:rsidR="00640A2D" w:rsidRPr="00452C80">
        <w:rPr>
          <w:bCs/>
          <w:sz w:val="24"/>
          <w:szCs w:val="24"/>
        </w:rPr>
        <w:t>London: Sage Publications.</w:t>
      </w:r>
    </w:p>
    <w:p w14:paraId="3B85C311" w14:textId="77777777" w:rsidR="00640A2D" w:rsidRPr="00452C80" w:rsidRDefault="00640A2D" w:rsidP="00AB4D10">
      <w:pPr>
        <w:spacing w:line="360" w:lineRule="auto"/>
        <w:ind w:left="833" w:hanging="720"/>
        <w:rPr>
          <w:bCs/>
          <w:sz w:val="24"/>
          <w:szCs w:val="24"/>
        </w:rPr>
      </w:pPr>
      <w:r w:rsidRPr="00452C80">
        <w:rPr>
          <w:bCs/>
          <w:sz w:val="24"/>
          <w:szCs w:val="24"/>
        </w:rPr>
        <w:t xml:space="preserve">Bolton, G. (2014) </w:t>
      </w:r>
      <w:r w:rsidRPr="00452C80">
        <w:rPr>
          <w:bCs/>
          <w:i/>
          <w:iCs/>
          <w:sz w:val="24"/>
          <w:szCs w:val="24"/>
        </w:rPr>
        <w:t xml:space="preserve">Reflective Practice: Writing and Professional Development </w:t>
      </w:r>
      <w:r w:rsidRPr="00452C80">
        <w:rPr>
          <w:bCs/>
          <w:sz w:val="24"/>
          <w:szCs w:val="24"/>
        </w:rPr>
        <w:t>(4</w:t>
      </w:r>
      <w:r w:rsidRPr="00452C80">
        <w:rPr>
          <w:bCs/>
          <w:sz w:val="24"/>
          <w:szCs w:val="24"/>
          <w:vertAlign w:val="superscript"/>
        </w:rPr>
        <w:t>th</w:t>
      </w:r>
      <w:r w:rsidRPr="00452C80">
        <w:rPr>
          <w:bCs/>
          <w:sz w:val="24"/>
          <w:szCs w:val="24"/>
        </w:rPr>
        <w:t xml:space="preserve"> edition). London: Paul Chapman Publishing Ltd.</w:t>
      </w:r>
    </w:p>
    <w:p w14:paraId="15993321" w14:textId="77777777" w:rsidR="00640A2D" w:rsidRPr="00452C80" w:rsidRDefault="00640A2D" w:rsidP="00AB4D10">
      <w:pPr>
        <w:spacing w:line="360" w:lineRule="auto"/>
        <w:ind w:left="833" w:hanging="720"/>
        <w:rPr>
          <w:bCs/>
          <w:sz w:val="24"/>
          <w:szCs w:val="24"/>
        </w:rPr>
      </w:pPr>
      <w:r w:rsidRPr="00452C80">
        <w:rPr>
          <w:bCs/>
          <w:sz w:val="24"/>
          <w:szCs w:val="24"/>
        </w:rPr>
        <w:t xml:space="preserve">Bond, T. (2000) </w:t>
      </w:r>
      <w:r w:rsidRPr="00452C80">
        <w:rPr>
          <w:bCs/>
          <w:i/>
          <w:iCs/>
          <w:sz w:val="24"/>
          <w:szCs w:val="24"/>
        </w:rPr>
        <w:t>Standards and Ethics in Counselling and Action</w:t>
      </w:r>
      <w:r w:rsidRPr="00452C80">
        <w:rPr>
          <w:bCs/>
          <w:sz w:val="24"/>
          <w:szCs w:val="24"/>
        </w:rPr>
        <w:t xml:space="preserve"> (2</w:t>
      </w:r>
      <w:r w:rsidRPr="00452C80">
        <w:rPr>
          <w:bCs/>
          <w:sz w:val="24"/>
          <w:szCs w:val="24"/>
          <w:vertAlign w:val="superscript"/>
        </w:rPr>
        <w:t>nd</w:t>
      </w:r>
      <w:r w:rsidRPr="00452C80">
        <w:rPr>
          <w:bCs/>
          <w:sz w:val="24"/>
          <w:szCs w:val="24"/>
        </w:rPr>
        <w:t xml:space="preserve"> edition). London: Sage.</w:t>
      </w:r>
    </w:p>
    <w:p w14:paraId="314B2532" w14:textId="45B98744" w:rsidR="00640A2D" w:rsidRPr="00452C80" w:rsidRDefault="00640A2D" w:rsidP="00AB4D10">
      <w:pPr>
        <w:spacing w:line="360" w:lineRule="auto"/>
        <w:ind w:left="833" w:hanging="720"/>
        <w:rPr>
          <w:bCs/>
          <w:sz w:val="24"/>
          <w:szCs w:val="24"/>
        </w:rPr>
      </w:pPr>
      <w:r w:rsidRPr="00452C80">
        <w:rPr>
          <w:bCs/>
          <w:sz w:val="24"/>
          <w:szCs w:val="24"/>
        </w:rPr>
        <w:t xml:space="preserve">Bond, T. (2006) Intimacy, Risk and Reciprocity in Psychotherapy: Intricate Ethical Challenges. </w:t>
      </w:r>
      <w:r w:rsidRPr="00452C80">
        <w:rPr>
          <w:bCs/>
          <w:i/>
          <w:iCs/>
          <w:sz w:val="24"/>
          <w:szCs w:val="24"/>
        </w:rPr>
        <w:t>Transactional Analysis Journal</w:t>
      </w:r>
      <w:r w:rsidRPr="00452C80">
        <w:rPr>
          <w:bCs/>
          <w:sz w:val="24"/>
          <w:szCs w:val="24"/>
        </w:rPr>
        <w:t xml:space="preserve">, </w:t>
      </w:r>
      <w:r w:rsidRPr="00452C80">
        <w:rPr>
          <w:b/>
          <w:bCs/>
          <w:sz w:val="24"/>
          <w:szCs w:val="24"/>
        </w:rPr>
        <w:t>36</w:t>
      </w:r>
      <w:r w:rsidRPr="00452C80">
        <w:rPr>
          <w:bCs/>
          <w:sz w:val="24"/>
          <w:szCs w:val="24"/>
        </w:rPr>
        <w:t xml:space="preserve">(2): pp.77-89. </w:t>
      </w:r>
      <w:hyperlink r:id="rId129" w:history="1">
        <w:r w:rsidR="00E56218" w:rsidRPr="00E56218">
          <w:rPr>
            <w:rFonts w:ascii="Calibri" w:eastAsia="Calibri" w:hAnsi="Calibri" w:cs="Times New Roman"/>
            <w:bCs/>
            <w:color w:val="0563C1"/>
            <w:sz w:val="24"/>
            <w:szCs w:val="24"/>
            <w:u w:val="single"/>
          </w:rPr>
          <w:t>https://doi.org/10.1177/036215370603600202</w:t>
        </w:r>
      </w:hyperlink>
    </w:p>
    <w:p w14:paraId="2ADECF73" w14:textId="597E5D62" w:rsidR="00640A2D" w:rsidRPr="00452C80" w:rsidRDefault="00640A2D" w:rsidP="00AB4D10">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Bonynge, E. R., and Thurber, S. (2008) Development of Clinical Ratings for Crisis Assessment in Community Mental Health. </w:t>
      </w:r>
      <w:r w:rsidRPr="00452C80">
        <w:rPr>
          <w:rFonts w:ascii="Calibri" w:eastAsia="Aptos" w:hAnsi="Calibri" w:cs="Calibri"/>
          <w:i/>
          <w:iCs/>
          <w:kern w:val="2"/>
          <w:sz w:val="24"/>
          <w:szCs w:val="24"/>
          <w14:ligatures w14:val="standardContextual"/>
        </w:rPr>
        <w:t>Brief Treatment and Crisis Intervention</w:t>
      </w:r>
      <w:r w:rsidRPr="00452C80">
        <w:rPr>
          <w:rFonts w:ascii="Calibri" w:eastAsia="Aptos" w:hAnsi="Calibri" w:cs="Calibri"/>
          <w:kern w:val="2"/>
          <w:sz w:val="24"/>
          <w:szCs w:val="24"/>
          <w14:ligatures w14:val="standardContextual"/>
        </w:rPr>
        <w:t> </w:t>
      </w:r>
      <w:r w:rsidRPr="00452C80">
        <w:rPr>
          <w:rFonts w:ascii="Calibri" w:eastAsia="Aptos" w:hAnsi="Calibri" w:cs="Calibri"/>
          <w:b/>
          <w:bCs/>
          <w:kern w:val="2"/>
          <w:sz w:val="24"/>
          <w:szCs w:val="24"/>
          <w14:ligatures w14:val="standardContextual"/>
        </w:rPr>
        <w:t>8</w:t>
      </w:r>
      <w:r w:rsidRPr="00452C80">
        <w:rPr>
          <w:rFonts w:ascii="Calibri" w:eastAsia="Aptos" w:hAnsi="Calibri" w:cs="Calibri"/>
          <w:kern w:val="2"/>
          <w:sz w:val="24"/>
          <w:szCs w:val="24"/>
          <w14:ligatures w14:val="standardContextual"/>
        </w:rPr>
        <w:t>(4): pp. 304–312. </w:t>
      </w:r>
      <w:hyperlink r:id="rId130" w:history="1">
        <w:r w:rsidR="00727E2B" w:rsidRPr="00727E2B">
          <w:rPr>
            <w:rFonts w:ascii="Calibri" w:eastAsia="Aptos" w:hAnsi="Calibri" w:cs="Calibri"/>
            <w:color w:val="0563C1"/>
            <w:kern w:val="2"/>
            <w:sz w:val="24"/>
            <w:szCs w:val="24"/>
            <w:u w:val="single"/>
            <w14:ligatures w14:val="standardContextual"/>
          </w:rPr>
          <w:t>https://doi.org/10.1093/brief-treatment/mhn017</w:t>
        </w:r>
      </w:hyperlink>
    </w:p>
    <w:p w14:paraId="40C931EA" w14:textId="77777777" w:rsidR="00640A2D" w:rsidRPr="00452C80" w:rsidRDefault="00640A2D" w:rsidP="00AB4D10">
      <w:pPr>
        <w:spacing w:line="360" w:lineRule="auto"/>
        <w:ind w:left="833" w:hanging="720"/>
        <w:rPr>
          <w:bCs/>
          <w:sz w:val="24"/>
          <w:szCs w:val="24"/>
        </w:rPr>
      </w:pPr>
      <w:r w:rsidRPr="00452C80">
        <w:rPr>
          <w:bCs/>
          <w:sz w:val="24"/>
          <w:szCs w:val="24"/>
        </w:rPr>
        <w:t xml:space="preserve">Booker, C. (2004/2006) </w:t>
      </w:r>
      <w:r w:rsidRPr="00452C80">
        <w:rPr>
          <w:bCs/>
          <w:i/>
          <w:iCs/>
          <w:sz w:val="24"/>
          <w:szCs w:val="24"/>
        </w:rPr>
        <w:t>The Seven Basic Plots: Why we tell stories</w:t>
      </w:r>
      <w:r w:rsidRPr="00452C80">
        <w:rPr>
          <w:bCs/>
          <w:sz w:val="24"/>
          <w:szCs w:val="24"/>
        </w:rPr>
        <w:t>. London: Bloomsbury Academic.</w:t>
      </w:r>
    </w:p>
    <w:p w14:paraId="35BE2940" w14:textId="1D238E76" w:rsidR="00640A2D" w:rsidRPr="00452C80" w:rsidRDefault="00640A2D" w:rsidP="00AB4D10">
      <w:pPr>
        <w:spacing w:line="360" w:lineRule="auto"/>
        <w:ind w:left="833" w:hanging="720"/>
        <w:rPr>
          <w:bCs/>
          <w:sz w:val="24"/>
          <w:szCs w:val="24"/>
        </w:rPr>
      </w:pPr>
      <w:r w:rsidRPr="00452C80">
        <w:rPr>
          <w:bCs/>
          <w:sz w:val="24"/>
          <w:szCs w:val="24"/>
        </w:rPr>
        <w:t>Borders, L.</w:t>
      </w:r>
      <w:r w:rsidR="00833AD7">
        <w:rPr>
          <w:bCs/>
          <w:sz w:val="24"/>
          <w:szCs w:val="24"/>
        </w:rPr>
        <w:t xml:space="preserve"> </w:t>
      </w:r>
      <w:r w:rsidRPr="00452C80">
        <w:rPr>
          <w:bCs/>
          <w:sz w:val="24"/>
          <w:szCs w:val="24"/>
        </w:rPr>
        <w:t>D., Glosoff, H.</w:t>
      </w:r>
      <w:r w:rsidR="00833AD7">
        <w:rPr>
          <w:bCs/>
          <w:sz w:val="24"/>
          <w:szCs w:val="24"/>
        </w:rPr>
        <w:t xml:space="preserve"> </w:t>
      </w:r>
      <w:r w:rsidRPr="00452C80">
        <w:rPr>
          <w:bCs/>
          <w:sz w:val="24"/>
          <w:szCs w:val="24"/>
        </w:rPr>
        <w:t>L., Welfare, L.</w:t>
      </w:r>
      <w:r w:rsidR="00833AD7">
        <w:rPr>
          <w:bCs/>
          <w:sz w:val="24"/>
          <w:szCs w:val="24"/>
        </w:rPr>
        <w:t xml:space="preserve"> </w:t>
      </w:r>
      <w:r w:rsidRPr="00452C80">
        <w:rPr>
          <w:bCs/>
          <w:sz w:val="24"/>
          <w:szCs w:val="24"/>
        </w:rPr>
        <w:t>E., Hays, D.</w:t>
      </w:r>
      <w:r w:rsidR="00833AD7">
        <w:rPr>
          <w:bCs/>
          <w:sz w:val="24"/>
          <w:szCs w:val="24"/>
        </w:rPr>
        <w:t xml:space="preserve"> </w:t>
      </w:r>
      <w:r w:rsidRPr="00452C80">
        <w:rPr>
          <w:bCs/>
          <w:sz w:val="24"/>
          <w:szCs w:val="24"/>
        </w:rPr>
        <w:t>G., DeKruyf, L., Fernando, D.</w:t>
      </w:r>
      <w:r w:rsidR="00833AD7">
        <w:rPr>
          <w:bCs/>
          <w:sz w:val="24"/>
          <w:szCs w:val="24"/>
        </w:rPr>
        <w:t xml:space="preserve"> </w:t>
      </w:r>
      <w:r w:rsidRPr="00452C80">
        <w:rPr>
          <w:bCs/>
          <w:sz w:val="24"/>
          <w:szCs w:val="24"/>
        </w:rPr>
        <w:t xml:space="preserve">M., and Page, B. (2014) Best practices in clinical supervision: Evolution of a counselling specialty. </w:t>
      </w:r>
      <w:r w:rsidRPr="00452C80">
        <w:rPr>
          <w:bCs/>
          <w:i/>
          <w:iCs/>
          <w:sz w:val="24"/>
          <w:szCs w:val="24"/>
        </w:rPr>
        <w:t>The Clinical Supervisor</w:t>
      </w:r>
      <w:r w:rsidRPr="00452C80">
        <w:rPr>
          <w:bCs/>
          <w:sz w:val="24"/>
          <w:szCs w:val="24"/>
        </w:rPr>
        <w:t>, 33: pp.</w:t>
      </w:r>
      <w:r w:rsidR="00036C6B">
        <w:rPr>
          <w:bCs/>
          <w:sz w:val="24"/>
          <w:szCs w:val="24"/>
        </w:rPr>
        <w:t xml:space="preserve"> </w:t>
      </w:r>
      <w:r w:rsidRPr="00452C80">
        <w:rPr>
          <w:bCs/>
          <w:sz w:val="24"/>
          <w:szCs w:val="24"/>
        </w:rPr>
        <w:t xml:space="preserve">26–44. </w:t>
      </w:r>
      <w:r w:rsidR="00036C6B" w:rsidRPr="00036C6B">
        <w:rPr>
          <w:bCs/>
          <w:color w:val="0070C0"/>
          <w:sz w:val="24"/>
          <w:szCs w:val="24"/>
        </w:rPr>
        <w:t>DOI</w:t>
      </w:r>
      <w:r w:rsidRPr="00036C6B">
        <w:rPr>
          <w:bCs/>
          <w:color w:val="0070C0"/>
          <w:sz w:val="24"/>
          <w:szCs w:val="24"/>
        </w:rPr>
        <w:t>: 10.1080/07325223.2014.905225</w:t>
      </w:r>
    </w:p>
    <w:p w14:paraId="138CF120" w14:textId="6D642A8A" w:rsidR="007A60F3" w:rsidRPr="00452C80" w:rsidRDefault="00640A2D" w:rsidP="007A60F3">
      <w:pPr>
        <w:spacing w:line="360" w:lineRule="auto"/>
        <w:ind w:left="833" w:hanging="720"/>
        <w:rPr>
          <w:bCs/>
          <w:sz w:val="24"/>
          <w:szCs w:val="24"/>
        </w:rPr>
      </w:pPr>
      <w:r w:rsidRPr="00452C80">
        <w:rPr>
          <w:bCs/>
          <w:sz w:val="24"/>
          <w:szCs w:val="24"/>
        </w:rPr>
        <w:lastRenderedPageBreak/>
        <w:t xml:space="preserve">Bore, M., Kelly, B., and Balakrishnan, N. (2016) Potential Predictors of Psychological Distress and Well-being in Medical Students: A Cross-sectional Pilot Study. </w:t>
      </w:r>
      <w:r w:rsidRPr="00452C80">
        <w:rPr>
          <w:bCs/>
          <w:i/>
          <w:iCs/>
          <w:sz w:val="24"/>
          <w:szCs w:val="24"/>
        </w:rPr>
        <w:t>Advance Medical Educational Practice</w:t>
      </w:r>
      <w:r w:rsidRPr="00452C80">
        <w:rPr>
          <w:bCs/>
          <w:sz w:val="24"/>
          <w:szCs w:val="24"/>
        </w:rPr>
        <w:t xml:space="preserve">, 7: pp. 125-135. </w:t>
      </w:r>
      <w:hyperlink r:id="rId131" w:history="1">
        <w:r w:rsidR="007A60F3" w:rsidRPr="007A60F3">
          <w:rPr>
            <w:rFonts w:ascii="Calibri" w:eastAsia="Calibri" w:hAnsi="Calibri" w:cs="Times New Roman"/>
            <w:bCs/>
            <w:color w:val="0563C1"/>
            <w:sz w:val="24"/>
            <w:szCs w:val="24"/>
            <w:u w:val="single"/>
          </w:rPr>
          <w:t>https://doi.org/10.2147/AMEP.S96802</w:t>
        </w:r>
      </w:hyperlink>
    </w:p>
    <w:p w14:paraId="731C42BC" w14:textId="048F985F" w:rsidR="00640A2D" w:rsidRPr="00452C80" w:rsidRDefault="00640A2D" w:rsidP="00AB4D10">
      <w:pPr>
        <w:spacing w:line="360" w:lineRule="auto"/>
        <w:ind w:left="833" w:hanging="720"/>
        <w:rPr>
          <w:bCs/>
          <w:sz w:val="24"/>
          <w:szCs w:val="24"/>
        </w:rPr>
      </w:pPr>
      <w:r w:rsidRPr="00452C80">
        <w:rPr>
          <w:bCs/>
          <w:sz w:val="24"/>
          <w:szCs w:val="24"/>
        </w:rPr>
        <w:t>Borg, M.</w:t>
      </w:r>
      <w:r w:rsidR="00D1095A" w:rsidRPr="00452C80">
        <w:rPr>
          <w:bCs/>
          <w:sz w:val="24"/>
          <w:szCs w:val="24"/>
        </w:rPr>
        <w:t>, Karlsson</w:t>
      </w:r>
      <w:r w:rsidRPr="00452C80">
        <w:rPr>
          <w:bCs/>
          <w:sz w:val="24"/>
          <w:szCs w:val="24"/>
        </w:rPr>
        <w:t>,</w:t>
      </w:r>
      <w:r w:rsidR="00492A32">
        <w:rPr>
          <w:bCs/>
          <w:sz w:val="24"/>
          <w:szCs w:val="24"/>
        </w:rPr>
        <w:t xml:space="preserve"> B.</w:t>
      </w:r>
      <w:r w:rsidR="00D1095A">
        <w:rPr>
          <w:bCs/>
          <w:sz w:val="24"/>
          <w:szCs w:val="24"/>
        </w:rPr>
        <w:t>,</w:t>
      </w:r>
      <w:r w:rsidR="00D1095A" w:rsidRPr="00452C80">
        <w:rPr>
          <w:bCs/>
          <w:sz w:val="24"/>
          <w:szCs w:val="24"/>
        </w:rPr>
        <w:t xml:space="preserve"> Lofthus</w:t>
      </w:r>
      <w:r w:rsidRPr="00452C80">
        <w:rPr>
          <w:bCs/>
          <w:sz w:val="24"/>
          <w:szCs w:val="24"/>
        </w:rPr>
        <w:t>,</w:t>
      </w:r>
      <w:r w:rsidR="00D1095A">
        <w:rPr>
          <w:bCs/>
          <w:sz w:val="24"/>
          <w:szCs w:val="24"/>
        </w:rPr>
        <w:t xml:space="preserve"> </w:t>
      </w:r>
      <w:r w:rsidR="00492A32">
        <w:rPr>
          <w:bCs/>
          <w:sz w:val="24"/>
          <w:szCs w:val="24"/>
        </w:rPr>
        <w:t>A. M</w:t>
      </w:r>
      <w:r w:rsidR="006058DD">
        <w:rPr>
          <w:bCs/>
          <w:sz w:val="24"/>
          <w:szCs w:val="24"/>
        </w:rPr>
        <w:t xml:space="preserve">., </w:t>
      </w:r>
      <w:r w:rsidR="00D1095A">
        <w:rPr>
          <w:bCs/>
          <w:sz w:val="24"/>
          <w:szCs w:val="24"/>
        </w:rPr>
        <w:t xml:space="preserve">and </w:t>
      </w:r>
      <w:r w:rsidRPr="00452C80">
        <w:rPr>
          <w:bCs/>
          <w:sz w:val="24"/>
          <w:szCs w:val="24"/>
        </w:rPr>
        <w:t xml:space="preserve">Davidson, L. (2011) ‘Hitting the Wall’: Lived Experiences of Mental Health Crises. </w:t>
      </w:r>
      <w:r w:rsidRPr="00452C80">
        <w:rPr>
          <w:bCs/>
          <w:i/>
          <w:iCs/>
          <w:sz w:val="24"/>
          <w:szCs w:val="24"/>
        </w:rPr>
        <w:t>International Journal of Qualitative Studies on Health and Well-Being,</w:t>
      </w:r>
      <w:r w:rsidRPr="00452C80">
        <w:rPr>
          <w:bCs/>
          <w:sz w:val="24"/>
          <w:szCs w:val="24"/>
        </w:rPr>
        <w:t> </w:t>
      </w:r>
      <w:r w:rsidRPr="00452C80">
        <w:rPr>
          <w:b/>
          <w:bCs/>
          <w:sz w:val="24"/>
          <w:szCs w:val="24"/>
        </w:rPr>
        <w:t>6</w:t>
      </w:r>
      <w:r w:rsidRPr="00452C80">
        <w:rPr>
          <w:bCs/>
          <w:sz w:val="24"/>
          <w:szCs w:val="24"/>
        </w:rPr>
        <w:t>(4): pp.1-9.  </w:t>
      </w:r>
      <w:hyperlink r:id="rId132" w:history="1">
        <w:r w:rsidR="004B1A85" w:rsidRPr="004B1A85">
          <w:rPr>
            <w:rFonts w:ascii="Calibri" w:eastAsia="Calibri" w:hAnsi="Calibri" w:cs="Times New Roman"/>
            <w:color w:val="0563C1"/>
            <w:sz w:val="24"/>
            <w:szCs w:val="24"/>
            <w:u w:val="single"/>
          </w:rPr>
          <w:t>https://doi.org/10.3402/qhw.v6i4.7197</w:t>
        </w:r>
      </w:hyperlink>
    </w:p>
    <w:p w14:paraId="1E391F29" w14:textId="77777777" w:rsidR="00640A2D" w:rsidRPr="00452C80" w:rsidRDefault="00640A2D" w:rsidP="00AB4D10">
      <w:pPr>
        <w:spacing w:line="360" w:lineRule="auto"/>
        <w:ind w:left="833" w:hanging="720"/>
        <w:rPr>
          <w:bCs/>
          <w:sz w:val="24"/>
          <w:szCs w:val="24"/>
        </w:rPr>
      </w:pPr>
      <w:r w:rsidRPr="00452C80">
        <w:rPr>
          <w:bCs/>
          <w:sz w:val="24"/>
          <w:szCs w:val="24"/>
        </w:rPr>
        <w:t xml:space="preserve">Borton, T. (1970) </w:t>
      </w:r>
      <w:r w:rsidRPr="00452C80">
        <w:rPr>
          <w:bCs/>
          <w:i/>
          <w:iCs/>
          <w:sz w:val="24"/>
          <w:szCs w:val="24"/>
        </w:rPr>
        <w:t>Read, Touch and Teach: Student Concerns and Process Education</w:t>
      </w:r>
      <w:r w:rsidRPr="00452C80">
        <w:rPr>
          <w:bCs/>
          <w:sz w:val="24"/>
          <w:szCs w:val="24"/>
        </w:rPr>
        <w:t>. New York: McGraw-Hill.</w:t>
      </w:r>
    </w:p>
    <w:p w14:paraId="106D1AED" w14:textId="13D52D9C" w:rsidR="00640A2D" w:rsidRPr="00452C80" w:rsidRDefault="00640A2D" w:rsidP="00AB4D10">
      <w:pPr>
        <w:spacing w:line="360" w:lineRule="auto"/>
        <w:ind w:left="833" w:hanging="720"/>
        <w:rPr>
          <w:bCs/>
          <w:sz w:val="24"/>
          <w:szCs w:val="24"/>
        </w:rPr>
      </w:pPr>
      <w:r w:rsidRPr="00452C80">
        <w:rPr>
          <w:bCs/>
          <w:sz w:val="24"/>
          <w:szCs w:val="24"/>
        </w:rPr>
        <w:t>Boszormenyi-Nagy, I., and Spark, G.</w:t>
      </w:r>
      <w:r w:rsidR="006058DD">
        <w:rPr>
          <w:bCs/>
          <w:sz w:val="24"/>
          <w:szCs w:val="24"/>
        </w:rPr>
        <w:t xml:space="preserve"> </w:t>
      </w:r>
      <w:r w:rsidRPr="00452C80">
        <w:rPr>
          <w:bCs/>
          <w:sz w:val="24"/>
          <w:szCs w:val="24"/>
        </w:rPr>
        <w:t xml:space="preserve">M. (1973) </w:t>
      </w:r>
      <w:r w:rsidRPr="00452C80">
        <w:rPr>
          <w:bCs/>
          <w:i/>
          <w:sz w:val="24"/>
          <w:szCs w:val="24"/>
        </w:rPr>
        <w:t xml:space="preserve">Invisible Loyalties: Reciprocity in </w:t>
      </w:r>
      <w:r w:rsidRPr="00452C80">
        <w:rPr>
          <w:bCs/>
          <w:i/>
          <w:sz w:val="24"/>
          <w:szCs w:val="24"/>
        </w:rPr>
        <w:tab/>
        <w:t xml:space="preserve">Intergenerational Family Therapy. </w:t>
      </w:r>
      <w:r w:rsidRPr="00452C80">
        <w:rPr>
          <w:bCs/>
          <w:sz w:val="24"/>
          <w:szCs w:val="24"/>
        </w:rPr>
        <w:t xml:space="preserve">New York: Harper and Row. </w:t>
      </w:r>
    </w:p>
    <w:p w14:paraId="79EEB21E" w14:textId="77777777" w:rsidR="00640A2D" w:rsidRDefault="00640A2D" w:rsidP="00AB4D10">
      <w:pPr>
        <w:spacing w:line="360" w:lineRule="auto"/>
        <w:ind w:left="833" w:hanging="720"/>
        <w:rPr>
          <w:bCs/>
          <w:sz w:val="24"/>
          <w:szCs w:val="24"/>
        </w:rPr>
      </w:pPr>
      <w:r w:rsidRPr="00452C80">
        <w:rPr>
          <w:bCs/>
          <w:sz w:val="24"/>
          <w:szCs w:val="24"/>
        </w:rPr>
        <w:t xml:space="preserve">Boud, D. (2006) Relocating reflection in the context of practice. In H. Bradbury, N. Frost, S. Kilminster and M. Zukas (eds.) </w:t>
      </w:r>
      <w:r w:rsidRPr="00452C80">
        <w:rPr>
          <w:bCs/>
          <w:i/>
          <w:iCs/>
          <w:sz w:val="24"/>
          <w:szCs w:val="24"/>
        </w:rPr>
        <w:t>Beyond Reflective Practice: New Approaches to Professional Lifelong Learning</w:t>
      </w:r>
      <w:r w:rsidRPr="00452C80">
        <w:rPr>
          <w:bCs/>
          <w:sz w:val="24"/>
          <w:szCs w:val="24"/>
        </w:rPr>
        <w:t xml:space="preserve">. London and New York: Routledge. </w:t>
      </w:r>
    </w:p>
    <w:p w14:paraId="4B3C5602" w14:textId="77777777" w:rsidR="00184AC2" w:rsidRPr="00184AC2" w:rsidRDefault="00184AC2" w:rsidP="00184AC2">
      <w:pPr>
        <w:spacing w:line="360" w:lineRule="auto"/>
        <w:ind w:left="833" w:hanging="720"/>
        <w:rPr>
          <w:bCs/>
          <w:sz w:val="24"/>
          <w:szCs w:val="24"/>
        </w:rPr>
      </w:pPr>
      <w:r w:rsidRPr="00184AC2">
        <w:rPr>
          <w:bCs/>
          <w:sz w:val="24"/>
          <w:szCs w:val="24"/>
        </w:rPr>
        <w:t xml:space="preserve">Boud, D., Cressey, P., and Doherty, P. (2006) </w:t>
      </w:r>
      <w:r w:rsidRPr="00184AC2">
        <w:rPr>
          <w:bCs/>
          <w:i/>
          <w:iCs/>
          <w:sz w:val="24"/>
          <w:szCs w:val="24"/>
        </w:rPr>
        <w:t>Productive Reflection at Work</w:t>
      </w:r>
      <w:r w:rsidRPr="00184AC2">
        <w:rPr>
          <w:bCs/>
          <w:sz w:val="24"/>
          <w:szCs w:val="24"/>
        </w:rPr>
        <w:t>. London: Routledge.</w:t>
      </w:r>
    </w:p>
    <w:p w14:paraId="30D3B5D2" w14:textId="4819D1BA" w:rsidR="00184AC2" w:rsidRPr="00452C80" w:rsidRDefault="00184AC2" w:rsidP="00184AC2">
      <w:pPr>
        <w:spacing w:line="360" w:lineRule="auto"/>
        <w:ind w:left="833" w:hanging="720"/>
        <w:rPr>
          <w:bCs/>
          <w:sz w:val="24"/>
          <w:szCs w:val="24"/>
        </w:rPr>
      </w:pPr>
      <w:r w:rsidRPr="00184AC2">
        <w:rPr>
          <w:bCs/>
          <w:sz w:val="24"/>
          <w:szCs w:val="24"/>
        </w:rPr>
        <w:t xml:space="preserve">Boud, D., Keogh, R., and Walker., D. (1985) Promoting Reflection in Learning: A Model. In D., Boud, R. Keogh and D. Walker (eds), </w:t>
      </w:r>
      <w:r w:rsidRPr="00184AC2">
        <w:rPr>
          <w:bCs/>
          <w:i/>
          <w:iCs/>
          <w:sz w:val="24"/>
          <w:szCs w:val="24"/>
        </w:rPr>
        <w:t>Reflection:</w:t>
      </w:r>
      <w:r w:rsidRPr="00184AC2">
        <w:rPr>
          <w:bCs/>
          <w:sz w:val="24"/>
          <w:szCs w:val="24"/>
        </w:rPr>
        <w:t xml:space="preserve"> </w:t>
      </w:r>
      <w:r w:rsidRPr="00184AC2">
        <w:rPr>
          <w:bCs/>
          <w:i/>
          <w:iCs/>
          <w:sz w:val="24"/>
          <w:szCs w:val="24"/>
        </w:rPr>
        <w:t>Turning Experience into Learning</w:t>
      </w:r>
      <w:r w:rsidRPr="00184AC2">
        <w:rPr>
          <w:bCs/>
          <w:sz w:val="24"/>
          <w:szCs w:val="24"/>
        </w:rPr>
        <w:t>. London: Kogan Page.</w:t>
      </w:r>
    </w:p>
    <w:p w14:paraId="55341B3D" w14:textId="76E4D52D" w:rsidR="00640A2D" w:rsidRPr="00452C80" w:rsidRDefault="00640A2D" w:rsidP="00AB4D10">
      <w:pPr>
        <w:spacing w:line="360" w:lineRule="auto"/>
        <w:ind w:left="833" w:hanging="720"/>
        <w:rPr>
          <w:bCs/>
          <w:sz w:val="24"/>
          <w:szCs w:val="24"/>
        </w:rPr>
      </w:pPr>
      <w:r w:rsidRPr="00452C80">
        <w:rPr>
          <w:bCs/>
          <w:sz w:val="24"/>
          <w:szCs w:val="24"/>
        </w:rPr>
        <w:t>Boud, D., and Knights, S. (1996) Course Design for Reflective Practice. In</w:t>
      </w:r>
      <w:r w:rsidR="009A2FFF">
        <w:rPr>
          <w:bCs/>
          <w:sz w:val="24"/>
          <w:szCs w:val="24"/>
        </w:rPr>
        <w:t>:</w:t>
      </w:r>
      <w:r w:rsidRPr="00452C80">
        <w:rPr>
          <w:bCs/>
          <w:sz w:val="24"/>
          <w:szCs w:val="24"/>
        </w:rPr>
        <w:t xml:space="preserve"> N.G. Gould and I. Taylor, I. (eds) </w:t>
      </w:r>
      <w:r w:rsidRPr="00452C80">
        <w:rPr>
          <w:bCs/>
          <w:i/>
          <w:iCs/>
          <w:sz w:val="24"/>
          <w:szCs w:val="24"/>
        </w:rPr>
        <w:t>Reflective learning in Social Work: Research, Theory and Practice</w:t>
      </w:r>
      <w:r w:rsidRPr="00452C80">
        <w:rPr>
          <w:bCs/>
          <w:sz w:val="24"/>
          <w:szCs w:val="24"/>
        </w:rPr>
        <w:t>. Aldershot, UK: Arena.</w:t>
      </w:r>
    </w:p>
    <w:p w14:paraId="4B05D431" w14:textId="77777777" w:rsidR="00640A2D" w:rsidRPr="00452C80" w:rsidRDefault="00640A2D" w:rsidP="00AB4D10">
      <w:pPr>
        <w:spacing w:line="360" w:lineRule="auto"/>
        <w:ind w:left="833" w:hanging="720"/>
        <w:rPr>
          <w:bCs/>
          <w:sz w:val="24"/>
          <w:szCs w:val="24"/>
        </w:rPr>
      </w:pPr>
      <w:r w:rsidRPr="00452C80">
        <w:rPr>
          <w:bCs/>
          <w:sz w:val="24"/>
          <w:szCs w:val="24"/>
        </w:rPr>
        <w:t xml:space="preserve">Boud, D., and Miller, N. (1996) </w:t>
      </w:r>
      <w:r w:rsidRPr="00452C80">
        <w:rPr>
          <w:bCs/>
          <w:i/>
          <w:iCs/>
          <w:sz w:val="24"/>
          <w:szCs w:val="24"/>
        </w:rPr>
        <w:t>Working with Experience: Animating Learning</w:t>
      </w:r>
      <w:r w:rsidRPr="00452C80">
        <w:rPr>
          <w:bCs/>
          <w:sz w:val="24"/>
          <w:szCs w:val="24"/>
        </w:rPr>
        <w:t>. London: Routledge.</w:t>
      </w:r>
    </w:p>
    <w:p w14:paraId="53233760" w14:textId="77777777" w:rsidR="00640A2D" w:rsidRPr="00452C80" w:rsidRDefault="00640A2D" w:rsidP="00AB4D10">
      <w:pPr>
        <w:spacing w:line="360" w:lineRule="auto"/>
        <w:ind w:left="833" w:hanging="720"/>
        <w:rPr>
          <w:bCs/>
          <w:sz w:val="24"/>
          <w:szCs w:val="24"/>
        </w:rPr>
      </w:pPr>
      <w:r w:rsidRPr="00452C80">
        <w:rPr>
          <w:bCs/>
          <w:sz w:val="24"/>
          <w:szCs w:val="24"/>
        </w:rPr>
        <w:t xml:space="preserve">Boud, D., and Walker, D. (1991) In the Midst of Experience: Developing a Model to Aid Learners and Facilitators. Paper presented at the National Conference: </w:t>
      </w:r>
      <w:r w:rsidRPr="00452C80">
        <w:rPr>
          <w:bCs/>
          <w:i/>
          <w:iCs/>
          <w:sz w:val="24"/>
          <w:szCs w:val="24"/>
        </w:rPr>
        <w:t xml:space="preserve">Experiential </w:t>
      </w:r>
      <w:r w:rsidRPr="00452C80">
        <w:rPr>
          <w:bCs/>
          <w:i/>
          <w:iCs/>
          <w:sz w:val="24"/>
          <w:szCs w:val="24"/>
        </w:rPr>
        <w:lastRenderedPageBreak/>
        <w:t>Learning Empowerment Through Experiential Learning: Explorations of Good Practice</w:t>
      </w:r>
      <w:r w:rsidRPr="00452C80">
        <w:rPr>
          <w:bCs/>
          <w:sz w:val="24"/>
          <w:szCs w:val="24"/>
        </w:rPr>
        <w:t>. University of Surrey, 16-18 July 1991.</w:t>
      </w:r>
    </w:p>
    <w:p w14:paraId="09105012" w14:textId="120D352B" w:rsidR="00640A2D" w:rsidRPr="00452C80" w:rsidRDefault="00640A2D" w:rsidP="00AB4D10">
      <w:pPr>
        <w:spacing w:line="360" w:lineRule="auto"/>
        <w:ind w:left="833" w:hanging="720"/>
        <w:rPr>
          <w:bCs/>
          <w:sz w:val="24"/>
          <w:szCs w:val="24"/>
        </w:rPr>
      </w:pPr>
      <w:r w:rsidRPr="00452C80">
        <w:rPr>
          <w:bCs/>
          <w:sz w:val="24"/>
          <w:szCs w:val="24"/>
        </w:rPr>
        <w:t xml:space="preserve">Boud, D., and Walker, D. (1998) Promoting Reflection in Professionals’ Courses: The Challenge of Context. </w:t>
      </w:r>
      <w:r w:rsidRPr="00452C80">
        <w:rPr>
          <w:bCs/>
          <w:i/>
          <w:iCs/>
          <w:sz w:val="24"/>
          <w:szCs w:val="24"/>
        </w:rPr>
        <w:t>Studies in Higher Education</w:t>
      </w:r>
      <w:r w:rsidRPr="00452C80">
        <w:rPr>
          <w:bCs/>
          <w:sz w:val="24"/>
          <w:szCs w:val="24"/>
        </w:rPr>
        <w:t xml:space="preserve">, </w:t>
      </w:r>
      <w:r w:rsidRPr="00452C80">
        <w:rPr>
          <w:b/>
          <w:bCs/>
          <w:sz w:val="24"/>
          <w:szCs w:val="24"/>
        </w:rPr>
        <w:t>23</w:t>
      </w:r>
      <w:r w:rsidRPr="00452C80">
        <w:rPr>
          <w:bCs/>
          <w:sz w:val="24"/>
          <w:szCs w:val="24"/>
        </w:rPr>
        <w:t>: pp.191-206.</w:t>
      </w:r>
      <w:r w:rsidRPr="00452C80">
        <w:rPr>
          <w:rFonts w:ascii="Open Sans" w:eastAsia="Times New Roman" w:hAnsi="Open Sans" w:cs="Open Sans"/>
          <w:sz w:val="20"/>
          <w:szCs w:val="20"/>
          <w:lang w:eastAsia="en-GB"/>
        </w:rPr>
        <w:t xml:space="preserve"> </w:t>
      </w:r>
      <w:hyperlink r:id="rId133" w:history="1">
        <w:r w:rsidR="00114698" w:rsidRPr="00114698">
          <w:rPr>
            <w:rFonts w:ascii="Calibri" w:eastAsia="Calibri" w:hAnsi="Calibri" w:cs="Times New Roman"/>
            <w:bCs/>
            <w:color w:val="0563C1"/>
            <w:sz w:val="24"/>
            <w:szCs w:val="24"/>
            <w:u w:val="single"/>
          </w:rPr>
          <w:t>https://doi.org/10.1080/03075079812331380384</w:t>
        </w:r>
      </w:hyperlink>
    </w:p>
    <w:p w14:paraId="5EBC1C12" w14:textId="77777777" w:rsidR="00640A2D" w:rsidRPr="00452C80" w:rsidRDefault="00640A2D" w:rsidP="00AB4D10">
      <w:pPr>
        <w:spacing w:line="360" w:lineRule="auto"/>
        <w:ind w:left="833" w:hanging="720"/>
        <w:rPr>
          <w:bCs/>
          <w:sz w:val="24"/>
          <w:szCs w:val="24"/>
        </w:rPr>
      </w:pPr>
      <w:r w:rsidRPr="00452C80">
        <w:rPr>
          <w:bCs/>
          <w:sz w:val="24"/>
          <w:szCs w:val="24"/>
        </w:rPr>
        <w:t xml:space="preserve">Bourdieu, P. (1988) </w:t>
      </w:r>
      <w:r w:rsidRPr="00452C80">
        <w:rPr>
          <w:bCs/>
          <w:i/>
          <w:iCs/>
          <w:sz w:val="24"/>
          <w:szCs w:val="24"/>
        </w:rPr>
        <w:t>Homo Academicus</w:t>
      </w:r>
      <w:r w:rsidRPr="00452C80">
        <w:rPr>
          <w:bCs/>
          <w:sz w:val="24"/>
          <w:szCs w:val="24"/>
        </w:rPr>
        <w:t>. Cambridge: Polity Press.</w:t>
      </w:r>
    </w:p>
    <w:p w14:paraId="697EDE03" w14:textId="77777777" w:rsidR="00640A2D" w:rsidRPr="00452C80" w:rsidRDefault="00640A2D" w:rsidP="00AB4D10">
      <w:pPr>
        <w:spacing w:line="360" w:lineRule="auto"/>
        <w:ind w:left="833" w:hanging="720"/>
        <w:rPr>
          <w:bCs/>
          <w:sz w:val="24"/>
          <w:szCs w:val="24"/>
        </w:rPr>
      </w:pPr>
      <w:r w:rsidRPr="00452C80">
        <w:rPr>
          <w:bCs/>
          <w:sz w:val="24"/>
          <w:szCs w:val="24"/>
        </w:rPr>
        <w:t xml:space="preserve">Bourdieu, P. (1993) Narzissistische Reflexivitat und wissenschaftliche Reflexivitat [Narcissistic reflexivity and epistemic reflexivity]. In E. Berg and M. Fuchs (Eds.), </w:t>
      </w:r>
      <w:r w:rsidRPr="00452C80">
        <w:rPr>
          <w:bCs/>
          <w:i/>
          <w:iCs/>
          <w:sz w:val="24"/>
          <w:szCs w:val="24"/>
        </w:rPr>
        <w:t>Kultur, soziale Praxis: Die Krise der ethnographischen Representation</w:t>
      </w:r>
      <w:r w:rsidRPr="00452C80">
        <w:rPr>
          <w:bCs/>
          <w:sz w:val="24"/>
          <w:szCs w:val="24"/>
        </w:rPr>
        <w:t xml:space="preserve"> [Translation: </w:t>
      </w:r>
      <w:r w:rsidRPr="00452C80">
        <w:rPr>
          <w:bCs/>
          <w:i/>
          <w:iCs/>
          <w:sz w:val="24"/>
          <w:szCs w:val="24"/>
        </w:rPr>
        <w:t>Culture, social practice: The crisis of ethnographic representation</w:t>
      </w:r>
      <w:r w:rsidRPr="00452C80">
        <w:rPr>
          <w:bCs/>
          <w:sz w:val="24"/>
          <w:szCs w:val="24"/>
        </w:rPr>
        <w:t>] :(pp.365-374). Frankfurt am Main, Germany: Suhrkamp.</w:t>
      </w:r>
    </w:p>
    <w:p w14:paraId="43181B64" w14:textId="77777777" w:rsidR="00640A2D" w:rsidRPr="00452C80" w:rsidRDefault="00640A2D" w:rsidP="00AB4D10">
      <w:pPr>
        <w:spacing w:line="360" w:lineRule="auto"/>
        <w:ind w:left="833" w:hanging="720"/>
        <w:rPr>
          <w:bCs/>
          <w:sz w:val="24"/>
          <w:szCs w:val="24"/>
        </w:rPr>
      </w:pPr>
      <w:r w:rsidRPr="00452C80">
        <w:rPr>
          <w:bCs/>
          <w:sz w:val="24"/>
          <w:szCs w:val="24"/>
        </w:rPr>
        <w:t xml:space="preserve">Bourdieu, P. (1999) </w:t>
      </w:r>
      <w:r w:rsidRPr="00452C80">
        <w:rPr>
          <w:bCs/>
          <w:i/>
          <w:iCs/>
          <w:sz w:val="24"/>
          <w:szCs w:val="24"/>
        </w:rPr>
        <w:t xml:space="preserve">The weight of the world: Social suffering in the contemporary world </w:t>
      </w:r>
      <w:r w:rsidRPr="00452C80">
        <w:rPr>
          <w:bCs/>
          <w:sz w:val="24"/>
          <w:szCs w:val="24"/>
        </w:rPr>
        <w:t>(P.P. Ferguson, Trans.) Palo Alto, CA: Stanford University Press.</w:t>
      </w:r>
    </w:p>
    <w:p w14:paraId="0EDFA04D" w14:textId="5CE1F3BC" w:rsidR="00640A2D" w:rsidRPr="00452C80" w:rsidRDefault="00640A2D" w:rsidP="00AB4D10">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t>Bowden, J. and Marton</w:t>
      </w:r>
      <w:r w:rsidR="00CC01D4">
        <w:rPr>
          <w:rFonts w:ascii="Calibri" w:eastAsia="Calibri" w:hAnsi="Calibri" w:cs="Times New Roman"/>
          <w:sz w:val="24"/>
          <w:szCs w:val="24"/>
        </w:rPr>
        <w:t>,</w:t>
      </w:r>
      <w:r w:rsidRPr="00452C80">
        <w:rPr>
          <w:rFonts w:ascii="Calibri" w:eastAsia="Calibri" w:hAnsi="Calibri" w:cs="Times New Roman"/>
          <w:sz w:val="24"/>
          <w:szCs w:val="24"/>
        </w:rPr>
        <w:t xml:space="preserve"> F. (1998) </w:t>
      </w:r>
      <w:r w:rsidRPr="00452C80">
        <w:rPr>
          <w:rFonts w:ascii="Calibri" w:eastAsia="Calibri" w:hAnsi="Calibri" w:cs="Times New Roman"/>
          <w:i/>
          <w:iCs/>
          <w:sz w:val="24"/>
          <w:szCs w:val="24"/>
        </w:rPr>
        <w:t>The University of Learning: Beyond Quality and Competence in Higher Education</w:t>
      </w:r>
      <w:r w:rsidRPr="00452C80">
        <w:rPr>
          <w:rFonts w:ascii="Calibri" w:eastAsia="Calibri" w:hAnsi="Calibri" w:cs="Times New Roman"/>
          <w:sz w:val="24"/>
          <w:szCs w:val="24"/>
        </w:rPr>
        <w:t>. London: Kogan Page.</w:t>
      </w:r>
    </w:p>
    <w:p w14:paraId="329217BE" w14:textId="4611CDA2" w:rsidR="00640A2D" w:rsidRPr="00452C80" w:rsidRDefault="00640A2D" w:rsidP="00AB4D10">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Bowlby, J. (1969) </w:t>
      </w:r>
      <w:r w:rsidRPr="00452C80">
        <w:rPr>
          <w:rFonts w:ascii="Calibri" w:eastAsia="Aptos" w:hAnsi="Calibri" w:cs="Calibri"/>
          <w:i/>
          <w:iCs/>
          <w:kern w:val="2"/>
          <w:sz w:val="24"/>
          <w:szCs w:val="24"/>
          <w14:ligatures w14:val="standardContextual"/>
        </w:rPr>
        <w:t xml:space="preserve">Attachment and Loss: Volume 1. Attachment. </w:t>
      </w:r>
      <w:r w:rsidRPr="00452C80">
        <w:rPr>
          <w:rFonts w:ascii="Calibri" w:eastAsia="Aptos" w:hAnsi="Calibri" w:cs="Calibri"/>
          <w:kern w:val="2"/>
          <w:sz w:val="24"/>
          <w:szCs w:val="24"/>
          <w14:ligatures w14:val="standardContextual"/>
        </w:rPr>
        <w:t>New York: Basic Books.</w:t>
      </w:r>
    </w:p>
    <w:p w14:paraId="29A5B043" w14:textId="77777777" w:rsidR="00640A2D" w:rsidRPr="00452C80" w:rsidRDefault="00640A2D" w:rsidP="00AB4D10">
      <w:pPr>
        <w:spacing w:line="360" w:lineRule="auto"/>
        <w:ind w:left="833" w:hanging="720"/>
        <w:rPr>
          <w:bCs/>
          <w:sz w:val="24"/>
          <w:szCs w:val="24"/>
        </w:rPr>
      </w:pPr>
      <w:r w:rsidRPr="00452C80">
        <w:rPr>
          <w:bCs/>
          <w:sz w:val="24"/>
          <w:szCs w:val="24"/>
        </w:rPr>
        <w:t xml:space="preserve">Bowlby, J. (1979) </w:t>
      </w:r>
      <w:r w:rsidRPr="00452C80">
        <w:rPr>
          <w:bCs/>
          <w:i/>
          <w:iCs/>
          <w:sz w:val="24"/>
          <w:szCs w:val="24"/>
        </w:rPr>
        <w:t>The Making and Breaking of Affectional Bonds</w:t>
      </w:r>
      <w:r w:rsidRPr="00452C80">
        <w:rPr>
          <w:bCs/>
          <w:sz w:val="24"/>
          <w:szCs w:val="24"/>
        </w:rPr>
        <w:t xml:space="preserve">. London: Tavistock. </w:t>
      </w:r>
    </w:p>
    <w:p w14:paraId="5467C4D1" w14:textId="340A8F34" w:rsidR="00640A2D" w:rsidRPr="000144AE" w:rsidRDefault="00640A2D" w:rsidP="000144AE">
      <w:pPr>
        <w:spacing w:line="360" w:lineRule="auto"/>
        <w:ind w:left="833" w:hanging="720"/>
        <w:rPr>
          <w:bCs/>
          <w:color w:val="C00000"/>
          <w:sz w:val="24"/>
          <w:szCs w:val="24"/>
        </w:rPr>
      </w:pPr>
      <w:r w:rsidRPr="00452C80">
        <w:rPr>
          <w:bCs/>
          <w:sz w:val="24"/>
          <w:szCs w:val="24"/>
        </w:rPr>
        <w:t>Bowlby, J. (1979a) The Bowlby-Ainsworth attachment theory. </w:t>
      </w:r>
      <w:r w:rsidRPr="00452C80">
        <w:rPr>
          <w:bCs/>
          <w:i/>
          <w:iCs/>
          <w:sz w:val="24"/>
          <w:szCs w:val="24"/>
        </w:rPr>
        <w:t xml:space="preserve">Behavioral and Brain Sciences, </w:t>
      </w:r>
      <w:r w:rsidRPr="007420E5">
        <w:rPr>
          <w:b/>
          <w:sz w:val="24"/>
          <w:szCs w:val="24"/>
        </w:rPr>
        <w:t>2</w:t>
      </w:r>
      <w:r w:rsidRPr="00452C80">
        <w:rPr>
          <w:bCs/>
          <w:sz w:val="24"/>
          <w:szCs w:val="24"/>
        </w:rPr>
        <w:t>(4): pp. 637–638</w:t>
      </w:r>
      <w:r w:rsidR="00F7429C">
        <w:rPr>
          <w:bCs/>
          <w:sz w:val="24"/>
          <w:szCs w:val="24"/>
        </w:rPr>
        <w:t xml:space="preserve">. </w:t>
      </w:r>
      <w:hyperlink r:id="rId134" w:tgtFrame="_blank" w:history="1">
        <w:r w:rsidR="00102057" w:rsidRPr="00D3564E">
          <w:rPr>
            <w:rStyle w:val="Hyperlink"/>
            <w:rFonts w:ascii="Calibri" w:hAnsi="Calibri" w:cs="Calibri"/>
            <w:bCs/>
            <w:sz w:val="24"/>
            <w:szCs w:val="24"/>
          </w:rPr>
          <w:t>https://doi.org/10.1017/S0140525X00064955</w:t>
        </w:r>
      </w:hyperlink>
    </w:p>
    <w:p w14:paraId="2BF674E5" w14:textId="368712B7" w:rsidR="00640A2D" w:rsidRPr="00452C80" w:rsidRDefault="000144AE" w:rsidP="00D34A82">
      <w:pPr>
        <w:spacing w:line="360" w:lineRule="auto"/>
        <w:rPr>
          <w:bCs/>
          <w:sz w:val="24"/>
          <w:szCs w:val="24"/>
        </w:rPr>
      </w:pPr>
      <w:r>
        <w:rPr>
          <w:rFonts w:ascii="Calibri" w:eastAsia="Calibri" w:hAnsi="Calibri" w:cs="Times New Roman"/>
          <w:sz w:val="24"/>
          <w:szCs w:val="24"/>
        </w:rPr>
        <w:t xml:space="preserve">  </w:t>
      </w:r>
      <w:r w:rsidR="00640A2D" w:rsidRPr="00452C80">
        <w:rPr>
          <w:rFonts w:ascii="Calibri" w:eastAsia="Calibri" w:hAnsi="Calibri" w:cs="Times New Roman"/>
          <w:sz w:val="24"/>
          <w:szCs w:val="24"/>
        </w:rPr>
        <w:t xml:space="preserve">Bowlby, J. (1980) </w:t>
      </w:r>
      <w:r w:rsidR="00640A2D" w:rsidRPr="00452C80">
        <w:rPr>
          <w:rFonts w:ascii="Calibri" w:eastAsia="Calibri" w:hAnsi="Calibri" w:cs="Times New Roman"/>
          <w:i/>
          <w:iCs/>
          <w:sz w:val="24"/>
          <w:szCs w:val="24"/>
        </w:rPr>
        <w:t>Attachment and Loss: Volume 1. Attachment.</w:t>
      </w:r>
      <w:r w:rsidR="00640A2D" w:rsidRPr="00452C80">
        <w:rPr>
          <w:rFonts w:ascii="Calibri" w:eastAsia="Calibri" w:hAnsi="Calibri" w:cs="Times New Roman"/>
          <w:sz w:val="24"/>
          <w:szCs w:val="24"/>
        </w:rPr>
        <w:t xml:space="preserve"> New York: Basic Books.</w:t>
      </w:r>
    </w:p>
    <w:p w14:paraId="28EF4F68" w14:textId="77777777" w:rsidR="00640A2D" w:rsidRPr="00452C80" w:rsidRDefault="00640A2D" w:rsidP="00AB4D10">
      <w:pPr>
        <w:spacing w:line="360" w:lineRule="auto"/>
        <w:ind w:left="833" w:hanging="720"/>
        <w:rPr>
          <w:bCs/>
          <w:sz w:val="24"/>
          <w:szCs w:val="24"/>
        </w:rPr>
      </w:pPr>
      <w:r w:rsidRPr="00452C80">
        <w:rPr>
          <w:bCs/>
          <w:sz w:val="24"/>
          <w:szCs w:val="24"/>
        </w:rPr>
        <w:t xml:space="preserve">Bowlby, J. (1988) </w:t>
      </w:r>
      <w:r w:rsidRPr="00452C80">
        <w:rPr>
          <w:bCs/>
          <w:i/>
          <w:iCs/>
          <w:sz w:val="24"/>
          <w:szCs w:val="24"/>
        </w:rPr>
        <w:t>A Secure Base: Clinical applications of attachment theory</w:t>
      </w:r>
      <w:r w:rsidRPr="00452C80">
        <w:rPr>
          <w:bCs/>
          <w:sz w:val="24"/>
          <w:szCs w:val="24"/>
        </w:rPr>
        <w:t>. London: Routledge.</w:t>
      </w:r>
    </w:p>
    <w:p w14:paraId="7FC616EE" w14:textId="77777777" w:rsidR="00640A2D" w:rsidRPr="00452C80" w:rsidRDefault="00640A2D" w:rsidP="00AB4D10">
      <w:pPr>
        <w:spacing w:line="360" w:lineRule="auto"/>
        <w:ind w:left="833" w:hanging="720"/>
        <w:rPr>
          <w:bCs/>
          <w:sz w:val="24"/>
          <w:szCs w:val="24"/>
        </w:rPr>
      </w:pPr>
      <w:r w:rsidRPr="00452C80">
        <w:rPr>
          <w:bCs/>
          <w:sz w:val="24"/>
          <w:szCs w:val="24"/>
        </w:rPr>
        <w:t xml:space="preserve">Boyce-Tillman, J. (2000) </w:t>
      </w:r>
      <w:r w:rsidRPr="00452C80">
        <w:rPr>
          <w:bCs/>
          <w:i/>
          <w:iCs/>
          <w:sz w:val="24"/>
          <w:szCs w:val="24"/>
        </w:rPr>
        <w:t>Constructing Musical Healing: The Wounds That Sing</w:t>
      </w:r>
      <w:r w:rsidRPr="00452C80">
        <w:rPr>
          <w:bCs/>
          <w:sz w:val="24"/>
          <w:szCs w:val="24"/>
        </w:rPr>
        <w:t xml:space="preserve">. London: Jessica Kingsley Publishers ltd. </w:t>
      </w:r>
    </w:p>
    <w:p w14:paraId="15578EEF" w14:textId="14247F15" w:rsidR="00D14D23" w:rsidRPr="00D14D23" w:rsidRDefault="00640A2D" w:rsidP="00D14D23">
      <w:pPr>
        <w:spacing w:line="360" w:lineRule="auto"/>
        <w:ind w:left="833" w:hanging="720"/>
        <w:rPr>
          <w:bCs/>
          <w:sz w:val="24"/>
          <w:szCs w:val="24"/>
        </w:rPr>
      </w:pPr>
      <w:r w:rsidRPr="00452C80">
        <w:rPr>
          <w:bCs/>
          <w:sz w:val="24"/>
          <w:szCs w:val="24"/>
        </w:rPr>
        <w:t xml:space="preserve">Boyd, E., and Fales, A. (1983) Learning: the key to learning from experience. </w:t>
      </w:r>
      <w:r w:rsidRPr="00452C80">
        <w:rPr>
          <w:bCs/>
          <w:i/>
          <w:iCs/>
          <w:sz w:val="24"/>
          <w:szCs w:val="24"/>
        </w:rPr>
        <w:t>Journal of Humanistic Psychology</w:t>
      </w:r>
      <w:r w:rsidRPr="00452C80">
        <w:rPr>
          <w:bCs/>
          <w:sz w:val="24"/>
          <w:szCs w:val="24"/>
        </w:rPr>
        <w:t xml:space="preserve">, </w:t>
      </w:r>
      <w:r w:rsidRPr="00452C80">
        <w:rPr>
          <w:b/>
          <w:sz w:val="24"/>
          <w:szCs w:val="24"/>
        </w:rPr>
        <w:t>23</w:t>
      </w:r>
      <w:r w:rsidRPr="00452C80">
        <w:rPr>
          <w:bCs/>
          <w:sz w:val="24"/>
          <w:szCs w:val="24"/>
        </w:rPr>
        <w:t xml:space="preserve">(2): pp.99-117. </w:t>
      </w:r>
      <w:hyperlink r:id="rId135" w:history="1">
        <w:r w:rsidR="00D14D23" w:rsidRPr="00D14D23">
          <w:rPr>
            <w:rStyle w:val="Hyperlink"/>
            <w:bCs/>
            <w:sz w:val="24"/>
            <w:szCs w:val="24"/>
          </w:rPr>
          <w:t>https://www.semanticscholar.org/paper/Reflective-Learning-Boyd-Fales/3848d35a096896d5ca5ffda788e25e8891b83aa8</w:t>
        </w:r>
      </w:hyperlink>
    </w:p>
    <w:p w14:paraId="2CAD97EC" w14:textId="6B965F1F" w:rsidR="00640A2D" w:rsidRPr="00452C80" w:rsidRDefault="00D14D23" w:rsidP="00D14D23">
      <w:pPr>
        <w:spacing w:line="360" w:lineRule="auto"/>
        <w:rPr>
          <w:bCs/>
          <w:sz w:val="24"/>
          <w:szCs w:val="24"/>
        </w:rPr>
      </w:pPr>
      <w:r>
        <w:rPr>
          <w:bCs/>
          <w:sz w:val="24"/>
          <w:szCs w:val="24"/>
        </w:rPr>
        <w:t xml:space="preserve">  </w:t>
      </w:r>
      <w:r w:rsidR="00640A2D" w:rsidRPr="00452C80">
        <w:rPr>
          <w:bCs/>
          <w:sz w:val="24"/>
          <w:szCs w:val="24"/>
        </w:rPr>
        <w:t>Boyer, E.</w:t>
      </w:r>
      <w:r w:rsidR="00CC01D4">
        <w:rPr>
          <w:bCs/>
          <w:sz w:val="24"/>
          <w:szCs w:val="24"/>
        </w:rPr>
        <w:t xml:space="preserve"> </w:t>
      </w:r>
      <w:r w:rsidR="00640A2D" w:rsidRPr="00452C80">
        <w:rPr>
          <w:bCs/>
          <w:sz w:val="24"/>
          <w:szCs w:val="24"/>
        </w:rPr>
        <w:t xml:space="preserve">L. (1990) Civic Education for Responsible Citizens. </w:t>
      </w:r>
      <w:r w:rsidR="00640A2D" w:rsidRPr="00452C80">
        <w:rPr>
          <w:bCs/>
          <w:i/>
          <w:iCs/>
          <w:sz w:val="24"/>
          <w:szCs w:val="24"/>
        </w:rPr>
        <w:t>Educational Leadership</w:t>
      </w:r>
      <w:r w:rsidR="00640A2D" w:rsidRPr="00452C80">
        <w:rPr>
          <w:bCs/>
          <w:sz w:val="24"/>
          <w:szCs w:val="24"/>
        </w:rPr>
        <w:t xml:space="preserve">, </w:t>
      </w:r>
      <w:r w:rsidR="00640A2D" w:rsidRPr="00452C80">
        <w:rPr>
          <w:b/>
          <w:sz w:val="24"/>
          <w:szCs w:val="24"/>
        </w:rPr>
        <w:t>48</w:t>
      </w:r>
      <w:r w:rsidR="00640A2D" w:rsidRPr="00452C80">
        <w:rPr>
          <w:bCs/>
          <w:sz w:val="24"/>
          <w:szCs w:val="24"/>
        </w:rPr>
        <w:t xml:space="preserve">(3): </w:t>
      </w:r>
      <w:r w:rsidR="00640A2D" w:rsidRPr="00452C80">
        <w:rPr>
          <w:bCs/>
          <w:sz w:val="24"/>
          <w:szCs w:val="24"/>
        </w:rPr>
        <w:tab/>
        <w:t>pp.4-7.</w:t>
      </w:r>
      <w:r w:rsidR="00640A2D" w:rsidRPr="00452C80">
        <w:t xml:space="preserve"> </w:t>
      </w:r>
      <w:hyperlink r:id="rId136" w:history="1">
        <w:r w:rsidR="00B5670E" w:rsidRPr="00B5670E">
          <w:rPr>
            <w:rFonts w:ascii="Calibri" w:eastAsia="Calibri" w:hAnsi="Calibri" w:cs="Times New Roman"/>
            <w:bCs/>
            <w:color w:val="0563C1"/>
            <w:sz w:val="24"/>
            <w:szCs w:val="24"/>
            <w:u w:val="single"/>
          </w:rPr>
          <w:t>https://doi.org/10.1177/0013124510379826</w:t>
        </w:r>
      </w:hyperlink>
    </w:p>
    <w:p w14:paraId="1AAA00E5" w14:textId="4C6D9ADC" w:rsidR="00640A2D" w:rsidRPr="00452C80" w:rsidRDefault="00640A2D" w:rsidP="00AB4D10">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Brady, J. and Wilson, E. (2020) Teacher wellbeing in England: Teacher responses to school-level initiatives. </w:t>
      </w:r>
      <w:r w:rsidRPr="00452C80">
        <w:rPr>
          <w:rFonts w:ascii="Calibri" w:eastAsia="Aptos" w:hAnsi="Calibri" w:cs="Calibri"/>
          <w:i/>
          <w:iCs/>
          <w:kern w:val="2"/>
          <w:sz w:val="24"/>
          <w:szCs w:val="24"/>
          <w14:ligatures w14:val="standardContextual"/>
        </w:rPr>
        <w:t>Cambridge Journal of Education,</w:t>
      </w:r>
      <w:r w:rsidRPr="00452C80">
        <w:rPr>
          <w:rFonts w:ascii="Calibri" w:eastAsia="Aptos" w:hAnsi="Calibri" w:cs="Calibri"/>
          <w:kern w:val="2"/>
          <w:sz w:val="24"/>
          <w:szCs w:val="24"/>
          <w14:ligatures w14:val="standardContextual"/>
        </w:rPr>
        <w:t xml:space="preserve"> </w:t>
      </w:r>
      <w:r w:rsidRPr="00661FAF">
        <w:rPr>
          <w:rFonts w:ascii="Calibri" w:eastAsia="Aptos" w:hAnsi="Calibri" w:cs="Calibri"/>
          <w:b/>
          <w:bCs/>
          <w:kern w:val="2"/>
          <w:sz w:val="24"/>
          <w:szCs w:val="24"/>
          <w14:ligatures w14:val="standardContextual"/>
        </w:rPr>
        <w:t>51</w:t>
      </w:r>
      <w:r w:rsidRPr="00452C80">
        <w:rPr>
          <w:rFonts w:ascii="Calibri" w:eastAsia="Aptos" w:hAnsi="Calibri" w:cs="Calibri"/>
          <w:kern w:val="2"/>
          <w:sz w:val="24"/>
          <w:szCs w:val="24"/>
          <w14:ligatures w14:val="standardContextual"/>
        </w:rPr>
        <w:t>(1): pp. 45–63.</w:t>
      </w:r>
      <w:r w:rsidRPr="00452C80">
        <w:t xml:space="preserve"> </w:t>
      </w:r>
      <w:hyperlink r:id="rId137" w:history="1">
        <w:r w:rsidR="00857D7B" w:rsidRPr="00857D7B">
          <w:rPr>
            <w:rStyle w:val="Hyperlink"/>
            <w:sz w:val="24"/>
            <w:szCs w:val="24"/>
          </w:rPr>
          <w:t>https://doi.org/10.1080/0305764X.2020.1775789</w:t>
        </w:r>
      </w:hyperlink>
    </w:p>
    <w:p w14:paraId="06F10199" w14:textId="1223FBF1" w:rsidR="00640A2D" w:rsidRPr="00452C80" w:rsidRDefault="00640A2D" w:rsidP="00AB4D10">
      <w:pPr>
        <w:spacing w:line="360" w:lineRule="auto"/>
        <w:ind w:left="833" w:hanging="720"/>
        <w:rPr>
          <w:bCs/>
          <w:sz w:val="24"/>
          <w:szCs w:val="24"/>
        </w:rPr>
      </w:pPr>
      <w:r w:rsidRPr="00452C80">
        <w:rPr>
          <w:bCs/>
          <w:sz w:val="24"/>
          <w:szCs w:val="24"/>
        </w:rPr>
        <w:t>Braud, W. (1998) Integral Inquiry: Complementary Ways of Knowing, Being, and Expression. In</w:t>
      </w:r>
      <w:r w:rsidR="009A2FFF">
        <w:rPr>
          <w:bCs/>
          <w:sz w:val="24"/>
          <w:szCs w:val="24"/>
        </w:rPr>
        <w:t>:</w:t>
      </w:r>
      <w:r w:rsidRPr="00452C80">
        <w:rPr>
          <w:bCs/>
          <w:sz w:val="24"/>
          <w:szCs w:val="24"/>
        </w:rPr>
        <w:t xml:space="preserve"> W. Braud and R. Anderson (</w:t>
      </w:r>
      <w:r w:rsidR="00045C9C">
        <w:rPr>
          <w:bCs/>
          <w:sz w:val="24"/>
          <w:szCs w:val="24"/>
        </w:rPr>
        <w:t>e</w:t>
      </w:r>
      <w:r w:rsidRPr="00452C80">
        <w:rPr>
          <w:bCs/>
          <w:sz w:val="24"/>
          <w:szCs w:val="24"/>
        </w:rPr>
        <w:t xml:space="preserve">ds), </w:t>
      </w:r>
      <w:r w:rsidRPr="00452C80">
        <w:rPr>
          <w:bCs/>
          <w:i/>
          <w:iCs/>
          <w:sz w:val="24"/>
          <w:szCs w:val="24"/>
        </w:rPr>
        <w:t xml:space="preserve">Transpersonal Research Methods for the Social </w:t>
      </w:r>
      <w:r w:rsidRPr="00452C80">
        <w:rPr>
          <w:bCs/>
          <w:i/>
          <w:iCs/>
          <w:sz w:val="24"/>
          <w:szCs w:val="24"/>
        </w:rPr>
        <w:tab/>
        <w:t>Sciences</w:t>
      </w:r>
      <w:r w:rsidRPr="00452C80">
        <w:rPr>
          <w:bCs/>
          <w:sz w:val="24"/>
          <w:szCs w:val="24"/>
        </w:rPr>
        <w:t xml:space="preserve">. London: Sage Publications Ltd. </w:t>
      </w:r>
    </w:p>
    <w:p w14:paraId="66D70B18" w14:textId="0543405E" w:rsidR="00640A2D" w:rsidRPr="00B45F9F" w:rsidRDefault="00640A2D" w:rsidP="00B45F9F">
      <w:pPr>
        <w:spacing w:line="360" w:lineRule="auto"/>
        <w:ind w:left="833" w:hanging="720"/>
        <w:rPr>
          <w:rFonts w:ascii="Open Sans" w:eastAsia="Times New Roman" w:hAnsi="Open Sans" w:cs="Open Sans"/>
          <w:bCs/>
          <w:sz w:val="20"/>
          <w:szCs w:val="20"/>
          <w:lang w:eastAsia="en-GB"/>
        </w:rPr>
      </w:pPr>
      <w:r w:rsidRPr="00452C80">
        <w:rPr>
          <w:bCs/>
          <w:sz w:val="24"/>
          <w:szCs w:val="24"/>
          <w:lang w:val="en-US"/>
        </w:rPr>
        <w:t xml:space="preserve">Braun, V., and Clarke, V. (2006) Using Thematic Analysis in Psychology. </w:t>
      </w:r>
      <w:r w:rsidRPr="00452C80">
        <w:rPr>
          <w:bCs/>
          <w:i/>
          <w:iCs/>
          <w:sz w:val="24"/>
          <w:szCs w:val="24"/>
          <w:lang w:val="en-US"/>
        </w:rPr>
        <w:t>Qualitative Research in Psychology</w:t>
      </w:r>
      <w:r w:rsidRPr="00452C80">
        <w:rPr>
          <w:bCs/>
          <w:sz w:val="24"/>
          <w:szCs w:val="24"/>
          <w:lang w:val="en-US"/>
        </w:rPr>
        <w:t xml:space="preserve">, </w:t>
      </w:r>
      <w:r w:rsidRPr="00452C80">
        <w:rPr>
          <w:b/>
          <w:sz w:val="24"/>
          <w:szCs w:val="24"/>
          <w:lang w:val="en-US"/>
        </w:rPr>
        <w:t>3</w:t>
      </w:r>
      <w:r w:rsidRPr="00452C80">
        <w:rPr>
          <w:bCs/>
          <w:sz w:val="24"/>
          <w:szCs w:val="24"/>
          <w:lang w:val="en-US"/>
        </w:rPr>
        <w:t>(2): pp.77-101.</w:t>
      </w:r>
      <w:r w:rsidRPr="00452C80">
        <w:rPr>
          <w:rFonts w:ascii="Open Sans" w:eastAsia="Times New Roman" w:hAnsi="Open Sans" w:cs="Open Sans"/>
          <w:sz w:val="20"/>
          <w:szCs w:val="20"/>
          <w:lang w:eastAsia="en-GB"/>
        </w:rPr>
        <w:t xml:space="preserve"> </w:t>
      </w:r>
      <w:hyperlink r:id="rId138" w:history="1">
        <w:r w:rsidR="00B45F9F" w:rsidRPr="00B45F9F">
          <w:rPr>
            <w:rStyle w:val="Hyperlink"/>
            <w:rFonts w:eastAsia="Times New Roman" w:cstheme="minorHAnsi"/>
            <w:bCs/>
            <w:sz w:val="24"/>
            <w:szCs w:val="24"/>
            <w:lang w:eastAsia="en-GB"/>
          </w:rPr>
          <w:t>https://doi.org/10.1191/1478088706qp063oa</w:t>
        </w:r>
      </w:hyperlink>
    </w:p>
    <w:p w14:paraId="62D1809E" w14:textId="02756FC5" w:rsidR="00640A2D" w:rsidRPr="00452C80" w:rsidRDefault="00640A2D" w:rsidP="00AB4D10">
      <w:pPr>
        <w:spacing w:line="360" w:lineRule="auto"/>
        <w:ind w:left="833" w:hanging="720"/>
        <w:rPr>
          <w:bCs/>
          <w:sz w:val="24"/>
          <w:szCs w:val="24"/>
        </w:rPr>
      </w:pPr>
      <w:r w:rsidRPr="00452C80">
        <w:rPr>
          <w:bCs/>
          <w:sz w:val="24"/>
          <w:szCs w:val="24"/>
          <w:lang w:val="en-US"/>
        </w:rPr>
        <w:t>Braun, V., and Clarke, V. (2014) What Can ‘Thematic Analysis’</w:t>
      </w:r>
      <w:r w:rsidRPr="00452C80">
        <w:rPr>
          <w:bCs/>
          <w:sz w:val="24"/>
          <w:szCs w:val="24"/>
        </w:rPr>
        <w:t xml:space="preserve">Offer Health and Well-being Researchers? </w:t>
      </w:r>
      <w:r w:rsidRPr="00452C80">
        <w:rPr>
          <w:bCs/>
          <w:i/>
          <w:iCs/>
          <w:sz w:val="24"/>
          <w:szCs w:val="24"/>
        </w:rPr>
        <w:t>International Journal of Qualitative Studies on Health and Well-being,</w:t>
      </w:r>
      <w:r w:rsidRPr="00452C80">
        <w:rPr>
          <w:bCs/>
          <w:sz w:val="24"/>
          <w:szCs w:val="24"/>
        </w:rPr>
        <w:t xml:space="preserve"> </w:t>
      </w:r>
      <w:r w:rsidRPr="00452C80">
        <w:rPr>
          <w:b/>
          <w:bCs/>
          <w:sz w:val="24"/>
          <w:szCs w:val="24"/>
        </w:rPr>
        <w:t>9</w:t>
      </w:r>
      <w:r w:rsidRPr="00452C80">
        <w:rPr>
          <w:bCs/>
          <w:sz w:val="24"/>
          <w:szCs w:val="24"/>
        </w:rPr>
        <w:t>(1): Article Number 26152</w:t>
      </w:r>
      <w:r w:rsidR="003128BA">
        <w:rPr>
          <w:bCs/>
          <w:sz w:val="24"/>
          <w:szCs w:val="24"/>
        </w:rPr>
        <w:t xml:space="preserve">. </w:t>
      </w:r>
      <w:hyperlink r:id="rId139" w:history="1">
        <w:r w:rsidR="0071450C" w:rsidRPr="0071450C">
          <w:rPr>
            <w:rFonts w:ascii="Calibri" w:eastAsia="Calibri" w:hAnsi="Calibri" w:cs="Times New Roman"/>
            <w:bCs/>
            <w:color w:val="0563C1"/>
            <w:sz w:val="24"/>
            <w:szCs w:val="24"/>
            <w:u w:val="single"/>
          </w:rPr>
          <w:t>https://doi.org/10.3402/qhw.v9.26152</w:t>
        </w:r>
      </w:hyperlink>
    </w:p>
    <w:p w14:paraId="1A4012A1" w14:textId="77777777" w:rsidR="00640A2D" w:rsidRPr="00452C80" w:rsidRDefault="00640A2D" w:rsidP="00AB4D10">
      <w:pPr>
        <w:spacing w:line="360" w:lineRule="auto"/>
        <w:ind w:left="833" w:hanging="720"/>
        <w:rPr>
          <w:bCs/>
          <w:sz w:val="24"/>
          <w:szCs w:val="24"/>
        </w:rPr>
      </w:pPr>
      <w:r w:rsidRPr="00452C80">
        <w:rPr>
          <w:bCs/>
          <w:sz w:val="24"/>
          <w:szCs w:val="24"/>
        </w:rPr>
        <w:t xml:space="preserve">Brendtro, L., Brokenleg, M., and Van Bockern, S. (1990) </w:t>
      </w:r>
      <w:r w:rsidRPr="00452C80">
        <w:rPr>
          <w:bCs/>
          <w:i/>
          <w:iCs/>
          <w:sz w:val="24"/>
          <w:szCs w:val="24"/>
        </w:rPr>
        <w:t xml:space="preserve">Reclaiming Youth at Risk: Our Hope for the Future. </w:t>
      </w:r>
      <w:r w:rsidRPr="00452C80">
        <w:rPr>
          <w:bCs/>
          <w:sz w:val="24"/>
          <w:szCs w:val="24"/>
        </w:rPr>
        <w:t xml:space="preserve">Bloomington, Ind, USA: National Education Service. </w:t>
      </w:r>
    </w:p>
    <w:p w14:paraId="27176D2D" w14:textId="077F65CE" w:rsidR="00640A2D" w:rsidRPr="00452C80" w:rsidRDefault="00640A2D" w:rsidP="00AB4D10">
      <w:pPr>
        <w:spacing w:line="360" w:lineRule="auto"/>
        <w:ind w:left="833" w:hanging="720"/>
        <w:rPr>
          <w:bCs/>
          <w:sz w:val="24"/>
          <w:szCs w:val="24"/>
        </w:rPr>
      </w:pPr>
      <w:r w:rsidRPr="00452C80">
        <w:rPr>
          <w:bCs/>
          <w:sz w:val="24"/>
          <w:szCs w:val="24"/>
        </w:rPr>
        <w:t>Brenner, J. (2014) 21</w:t>
      </w:r>
      <w:r w:rsidRPr="00452C80">
        <w:rPr>
          <w:bCs/>
          <w:sz w:val="24"/>
          <w:szCs w:val="24"/>
          <w:vertAlign w:val="superscript"/>
        </w:rPr>
        <w:t>st</w:t>
      </w:r>
      <w:r w:rsidRPr="00452C80">
        <w:rPr>
          <w:bCs/>
          <w:sz w:val="24"/>
          <w:szCs w:val="24"/>
        </w:rPr>
        <w:t xml:space="preserve">-century Socialist-feminism. </w:t>
      </w:r>
      <w:r w:rsidRPr="00452C80">
        <w:rPr>
          <w:bCs/>
          <w:i/>
          <w:iCs/>
          <w:sz w:val="24"/>
          <w:szCs w:val="24"/>
        </w:rPr>
        <w:t>Socialist Studies/Etudes Socialiste</w:t>
      </w:r>
      <w:r w:rsidRPr="00452C80">
        <w:rPr>
          <w:bCs/>
          <w:sz w:val="24"/>
          <w:szCs w:val="24"/>
        </w:rPr>
        <w:t xml:space="preserve">, </w:t>
      </w:r>
      <w:r w:rsidRPr="00452C80">
        <w:rPr>
          <w:b/>
          <w:bCs/>
          <w:sz w:val="24"/>
          <w:szCs w:val="24"/>
        </w:rPr>
        <w:t>10</w:t>
      </w:r>
      <w:r w:rsidRPr="00452C80">
        <w:rPr>
          <w:bCs/>
          <w:sz w:val="24"/>
          <w:szCs w:val="24"/>
        </w:rPr>
        <w:t>(1): pp. 31-4</w:t>
      </w:r>
      <w:r w:rsidR="00D65C80">
        <w:rPr>
          <w:bCs/>
          <w:sz w:val="24"/>
          <w:szCs w:val="24"/>
        </w:rPr>
        <w:t xml:space="preserve">9. </w:t>
      </w:r>
      <w:hyperlink r:id="rId140" w:history="1">
        <w:r w:rsidR="00D65C80" w:rsidRPr="00D65C80">
          <w:rPr>
            <w:rStyle w:val="Hyperlink"/>
            <w:bCs/>
            <w:sz w:val="24"/>
            <w:szCs w:val="24"/>
          </w:rPr>
          <w:t>https://doi.org/10.18740/S4RP43</w:t>
        </w:r>
      </w:hyperlink>
    </w:p>
    <w:p w14:paraId="48C42426" w14:textId="61486DED" w:rsidR="00640A2D" w:rsidRPr="00452C80" w:rsidRDefault="00640A2D" w:rsidP="00AB4D10">
      <w:pPr>
        <w:spacing w:line="360" w:lineRule="auto"/>
        <w:ind w:left="833" w:hanging="720"/>
        <w:rPr>
          <w:bCs/>
          <w:sz w:val="24"/>
          <w:szCs w:val="24"/>
        </w:rPr>
      </w:pPr>
      <w:r w:rsidRPr="00452C80">
        <w:rPr>
          <w:bCs/>
          <w:sz w:val="24"/>
          <w:szCs w:val="24"/>
        </w:rPr>
        <w:t>Breuer, J.</w:t>
      </w:r>
      <w:r w:rsidR="00CC01D4">
        <w:rPr>
          <w:bCs/>
          <w:sz w:val="24"/>
          <w:szCs w:val="24"/>
        </w:rPr>
        <w:t>,</w:t>
      </w:r>
      <w:r w:rsidRPr="00452C80">
        <w:rPr>
          <w:bCs/>
          <w:sz w:val="24"/>
          <w:szCs w:val="24"/>
        </w:rPr>
        <w:t xml:space="preserve"> and Freud, S. (1895) </w:t>
      </w:r>
      <w:r w:rsidRPr="00452C80">
        <w:rPr>
          <w:bCs/>
          <w:i/>
          <w:iCs/>
          <w:sz w:val="24"/>
          <w:szCs w:val="24"/>
        </w:rPr>
        <w:t>Studies on Hysteria</w:t>
      </w:r>
      <w:r w:rsidRPr="00452C80">
        <w:rPr>
          <w:bCs/>
          <w:sz w:val="24"/>
          <w:szCs w:val="24"/>
        </w:rPr>
        <w:t>. S.E.2. London: Hogarth.</w:t>
      </w:r>
    </w:p>
    <w:p w14:paraId="15212E42" w14:textId="3D04F753" w:rsidR="00640A2D" w:rsidRPr="00C5691C" w:rsidRDefault="00640A2D" w:rsidP="00AB4D10">
      <w:pPr>
        <w:spacing w:line="360" w:lineRule="auto"/>
        <w:ind w:left="833" w:hanging="720"/>
        <w:rPr>
          <w:bCs/>
          <w:sz w:val="24"/>
          <w:szCs w:val="24"/>
        </w:rPr>
      </w:pPr>
      <w:r w:rsidRPr="00452C80">
        <w:rPr>
          <w:bCs/>
          <w:sz w:val="24"/>
          <w:szCs w:val="24"/>
        </w:rPr>
        <w:t xml:space="preserve">Briggs, R. (2021) </w:t>
      </w:r>
      <w:r w:rsidRPr="00452C80">
        <w:rPr>
          <w:bCs/>
          <w:i/>
          <w:iCs/>
          <w:sz w:val="24"/>
          <w:szCs w:val="24"/>
        </w:rPr>
        <w:t>“What About Me?” Teachers’ Psychological Wellbeing and How It Can Be Supported When Teaching Pupils Experiencing Vulnerabilities and /or Trauma</w:t>
      </w:r>
      <w:r w:rsidRPr="00452C80">
        <w:rPr>
          <w:bCs/>
          <w:sz w:val="24"/>
          <w:szCs w:val="24"/>
        </w:rPr>
        <w:t>. Doctor of Education Thesis submission in the Faculty of Social Science and Law, University of Bristol, February 2021.</w:t>
      </w:r>
      <w:r w:rsidR="00F116C7">
        <w:rPr>
          <w:bCs/>
          <w:sz w:val="24"/>
          <w:szCs w:val="24"/>
        </w:rPr>
        <w:t xml:space="preserve"> Available at</w:t>
      </w:r>
      <w:r w:rsidR="001F39ED">
        <w:rPr>
          <w:bCs/>
          <w:sz w:val="24"/>
          <w:szCs w:val="24"/>
        </w:rPr>
        <w:t>:</w:t>
      </w:r>
      <w:r w:rsidR="001F39ED" w:rsidRPr="001F39ED">
        <w:t xml:space="preserve"> </w:t>
      </w:r>
      <w:r w:rsidR="001F39ED" w:rsidRPr="00C5691C">
        <w:rPr>
          <w:bCs/>
          <w:color w:val="0070C0"/>
          <w:sz w:val="24"/>
          <w:szCs w:val="24"/>
          <w:u w:val="single"/>
        </w:rPr>
        <w:t xml:space="preserve">https://research-information.bris.ac.uk/ws/portalfiles/portal/281718007/Final_Copy_2021_07_01_Briggs_R_EdD.pdf </w:t>
      </w:r>
      <w:r w:rsidR="00C5691C">
        <w:rPr>
          <w:bCs/>
          <w:color w:val="0070C0"/>
          <w:sz w:val="24"/>
          <w:szCs w:val="24"/>
        </w:rPr>
        <w:t xml:space="preserve"> </w:t>
      </w:r>
      <w:r w:rsidR="00B92238">
        <w:rPr>
          <w:bCs/>
          <w:color w:val="0070C0"/>
          <w:sz w:val="24"/>
          <w:szCs w:val="24"/>
        </w:rPr>
        <w:t xml:space="preserve">  </w:t>
      </w:r>
      <w:r w:rsidR="00B92238" w:rsidRPr="00B92238">
        <w:rPr>
          <w:bCs/>
          <w:sz w:val="24"/>
          <w:szCs w:val="24"/>
        </w:rPr>
        <w:t>[</w:t>
      </w:r>
      <w:r w:rsidR="00C5691C">
        <w:rPr>
          <w:bCs/>
          <w:sz w:val="24"/>
          <w:szCs w:val="24"/>
        </w:rPr>
        <w:t xml:space="preserve">Accessed </w:t>
      </w:r>
      <w:r w:rsidR="00F120C7">
        <w:rPr>
          <w:bCs/>
          <w:sz w:val="24"/>
          <w:szCs w:val="24"/>
        </w:rPr>
        <w:t>2</w:t>
      </w:r>
      <w:r w:rsidR="00F120C7" w:rsidRPr="00F120C7">
        <w:rPr>
          <w:bCs/>
          <w:sz w:val="24"/>
          <w:szCs w:val="24"/>
          <w:vertAlign w:val="superscript"/>
        </w:rPr>
        <w:t>nd</w:t>
      </w:r>
      <w:r w:rsidR="00F120C7">
        <w:rPr>
          <w:bCs/>
          <w:sz w:val="24"/>
          <w:szCs w:val="24"/>
        </w:rPr>
        <w:t xml:space="preserve"> February 2025]</w:t>
      </w:r>
    </w:p>
    <w:p w14:paraId="34F864D5" w14:textId="5C493CE6" w:rsidR="00640A2D" w:rsidRPr="00F120C7" w:rsidRDefault="00640A2D" w:rsidP="002D2A24">
      <w:pPr>
        <w:spacing w:line="360" w:lineRule="auto"/>
        <w:ind w:left="720" w:hanging="720"/>
        <w:rPr>
          <w:bCs/>
          <w:sz w:val="24"/>
          <w:szCs w:val="24"/>
        </w:rPr>
      </w:pPr>
      <w:r w:rsidRPr="00452C80">
        <w:rPr>
          <w:bCs/>
          <w:sz w:val="24"/>
          <w:szCs w:val="24"/>
        </w:rPr>
        <w:lastRenderedPageBreak/>
        <w:t>British Association for Counselling and Psychotherapy (BACP) (2018)</w:t>
      </w:r>
      <w:r w:rsidRPr="00452C80">
        <w:rPr>
          <w:sz w:val="24"/>
          <w:szCs w:val="24"/>
        </w:rPr>
        <w:t xml:space="preserve"> </w:t>
      </w:r>
      <w:r w:rsidRPr="00452C80">
        <w:rPr>
          <w:i/>
          <w:iCs/>
          <w:sz w:val="24"/>
          <w:szCs w:val="24"/>
        </w:rPr>
        <w:t>Ethical Framework for the Counselling Professions.</w:t>
      </w:r>
      <w:r w:rsidRPr="00452C80">
        <w:rPr>
          <w:bCs/>
          <w:sz w:val="24"/>
          <w:szCs w:val="24"/>
        </w:rPr>
        <w:t xml:space="preserve"> Lutterworth: BACP House.</w:t>
      </w:r>
      <w:r w:rsidRPr="00452C80">
        <w:rPr>
          <w:sz w:val="24"/>
          <w:szCs w:val="24"/>
        </w:rPr>
        <w:t xml:space="preserve"> </w:t>
      </w:r>
      <w:r w:rsidR="00365554">
        <w:rPr>
          <w:sz w:val="24"/>
          <w:szCs w:val="24"/>
        </w:rPr>
        <w:t xml:space="preserve">Available at: </w:t>
      </w:r>
      <w:hyperlink r:id="rId141" w:history="1">
        <w:r w:rsidR="00365554" w:rsidRPr="0019278B">
          <w:rPr>
            <w:rStyle w:val="Hyperlink"/>
            <w:bCs/>
            <w:sz w:val="24"/>
            <w:szCs w:val="24"/>
          </w:rPr>
          <w:t>https://www.bacp.co.uk/media/3103/bacp-ethical-framework-for-the-counselling-professions-2018.pdf</w:t>
        </w:r>
      </w:hyperlink>
      <w:r w:rsidR="00365554">
        <w:t xml:space="preserve">   </w:t>
      </w:r>
      <w:r w:rsidR="00365554" w:rsidRPr="002369C4">
        <w:rPr>
          <w:sz w:val="24"/>
          <w:szCs w:val="24"/>
        </w:rPr>
        <w:t>[Accessed</w:t>
      </w:r>
      <w:r w:rsidR="002369C4" w:rsidRPr="002369C4">
        <w:rPr>
          <w:sz w:val="24"/>
          <w:szCs w:val="24"/>
        </w:rPr>
        <w:t xml:space="preserve"> 3</w:t>
      </w:r>
      <w:r w:rsidR="002369C4" w:rsidRPr="002369C4">
        <w:rPr>
          <w:sz w:val="24"/>
          <w:szCs w:val="24"/>
          <w:vertAlign w:val="superscript"/>
        </w:rPr>
        <w:t>rd</w:t>
      </w:r>
      <w:r w:rsidR="002369C4" w:rsidRPr="002369C4">
        <w:rPr>
          <w:sz w:val="24"/>
          <w:szCs w:val="24"/>
        </w:rPr>
        <w:t xml:space="preserve"> May 2022]</w:t>
      </w:r>
    </w:p>
    <w:p w14:paraId="38410477" w14:textId="2EA6B30C" w:rsidR="00640A2D" w:rsidRPr="00452C80" w:rsidRDefault="00640A2D" w:rsidP="00091B8A">
      <w:pPr>
        <w:spacing w:line="360" w:lineRule="auto"/>
        <w:ind w:left="833" w:hanging="720"/>
        <w:rPr>
          <w:bCs/>
          <w:sz w:val="24"/>
          <w:szCs w:val="24"/>
        </w:rPr>
      </w:pPr>
      <w:r w:rsidRPr="00452C80">
        <w:rPr>
          <w:bCs/>
          <w:sz w:val="24"/>
          <w:szCs w:val="24"/>
        </w:rPr>
        <w:t>British Educational Research Association (BERA) (2018) Ethical guidelines for educational research. (4th ed</w:t>
      </w:r>
      <w:r w:rsidR="00EC54FC">
        <w:rPr>
          <w:bCs/>
          <w:sz w:val="24"/>
          <w:szCs w:val="24"/>
        </w:rPr>
        <w:t>itio</w:t>
      </w:r>
      <w:r w:rsidRPr="00452C80">
        <w:rPr>
          <w:bCs/>
          <w:sz w:val="24"/>
          <w:szCs w:val="24"/>
        </w:rPr>
        <w:t>n)</w:t>
      </w:r>
      <w:r w:rsidR="00181066">
        <w:rPr>
          <w:bCs/>
          <w:sz w:val="24"/>
          <w:szCs w:val="24"/>
        </w:rPr>
        <w:t>.</w:t>
      </w:r>
      <w:r w:rsidR="002369C4">
        <w:rPr>
          <w:bCs/>
          <w:sz w:val="24"/>
          <w:szCs w:val="24"/>
        </w:rPr>
        <w:t xml:space="preserve"> Availab</w:t>
      </w:r>
      <w:r w:rsidR="00CB1A20">
        <w:rPr>
          <w:bCs/>
          <w:sz w:val="24"/>
          <w:szCs w:val="24"/>
        </w:rPr>
        <w:t>le at:</w:t>
      </w:r>
      <w:r w:rsidRPr="00452C80">
        <w:rPr>
          <w:bCs/>
          <w:sz w:val="24"/>
          <w:szCs w:val="24"/>
        </w:rPr>
        <w:t xml:space="preserve"> </w:t>
      </w:r>
      <w:hyperlink r:id="rId142" w:history="1">
        <w:r w:rsidR="00091B8A" w:rsidRPr="00091B8A">
          <w:rPr>
            <w:rStyle w:val="Hyperlink"/>
            <w:bCs/>
            <w:sz w:val="24"/>
            <w:szCs w:val="24"/>
          </w:rPr>
          <w:t>https://www.bera.ac.uk/researchers-resources/publications/ethical-guidelines-for-educational-research-2018</w:t>
        </w:r>
      </w:hyperlink>
      <w:r w:rsidR="00091B8A" w:rsidRPr="00091B8A">
        <w:rPr>
          <w:bCs/>
          <w:sz w:val="24"/>
          <w:szCs w:val="24"/>
        </w:rPr>
        <w:t xml:space="preserve"> </w:t>
      </w:r>
      <w:r w:rsidR="00CB1A20">
        <w:rPr>
          <w:bCs/>
          <w:sz w:val="24"/>
          <w:szCs w:val="24"/>
        </w:rPr>
        <w:t>[Accessed 4th March 2023]</w:t>
      </w:r>
    </w:p>
    <w:p w14:paraId="0C9629E0" w14:textId="421B3FF3" w:rsidR="00AB02CF" w:rsidRPr="00B1042F" w:rsidRDefault="00640A2D" w:rsidP="00AB02CF">
      <w:pPr>
        <w:spacing w:line="360" w:lineRule="auto"/>
        <w:ind w:left="833" w:hanging="720"/>
        <w:rPr>
          <w:bCs/>
          <w:sz w:val="24"/>
          <w:szCs w:val="24"/>
        </w:rPr>
      </w:pPr>
      <w:r w:rsidRPr="00452C80">
        <w:rPr>
          <w:bCs/>
          <w:sz w:val="24"/>
          <w:szCs w:val="24"/>
        </w:rPr>
        <w:t>British Psychological Society (2021) </w:t>
      </w:r>
      <w:r w:rsidRPr="00452C80">
        <w:rPr>
          <w:bCs/>
          <w:i/>
          <w:iCs/>
          <w:sz w:val="24"/>
          <w:szCs w:val="24"/>
        </w:rPr>
        <w:t>BPS Code of Human Research Ethics</w:t>
      </w:r>
      <w:r w:rsidRPr="00452C80">
        <w:rPr>
          <w:bCs/>
          <w:sz w:val="24"/>
          <w:szCs w:val="24"/>
        </w:rPr>
        <w:t xml:space="preserve">. St Andrews House, </w:t>
      </w:r>
      <w:bookmarkStart w:id="97" w:name="_Hlk210475900"/>
      <w:r w:rsidR="00F725C4">
        <w:rPr>
          <w:bCs/>
          <w:sz w:val="24"/>
          <w:szCs w:val="24"/>
        </w:rPr>
        <w:t xml:space="preserve">Leicester, </w:t>
      </w:r>
      <w:r w:rsidRPr="00452C80">
        <w:rPr>
          <w:bCs/>
          <w:sz w:val="24"/>
          <w:szCs w:val="24"/>
        </w:rPr>
        <w:t>UK.</w:t>
      </w:r>
      <w:r w:rsidR="00B1042F">
        <w:rPr>
          <w:bCs/>
          <w:sz w:val="24"/>
          <w:szCs w:val="24"/>
        </w:rPr>
        <w:t xml:space="preserve"> Available at:</w:t>
      </w:r>
      <w:r w:rsidRPr="00452C80">
        <w:rPr>
          <w:bCs/>
          <w:sz w:val="24"/>
          <w:szCs w:val="24"/>
        </w:rPr>
        <w:t> </w:t>
      </w:r>
      <w:bookmarkEnd w:id="97"/>
      <w:r w:rsidR="00AB02CF" w:rsidRPr="00AB02CF">
        <w:rPr>
          <w:bCs/>
          <w:sz w:val="24"/>
          <w:szCs w:val="24"/>
        </w:rPr>
        <w:fldChar w:fldCharType="begin"/>
      </w:r>
      <w:r w:rsidR="00AB02CF" w:rsidRPr="00AB02CF">
        <w:rPr>
          <w:bCs/>
          <w:sz w:val="24"/>
          <w:szCs w:val="24"/>
        </w:rPr>
        <w:instrText>HYPERLINK "https://cms.bps.org.uk/sites/default/files/2022-06/BPS%20Code%20of%20Human%20Research%20Ethics%20%281%29.pdf"</w:instrText>
      </w:r>
      <w:r w:rsidR="00AB02CF" w:rsidRPr="00AB02CF">
        <w:rPr>
          <w:bCs/>
          <w:sz w:val="24"/>
          <w:szCs w:val="24"/>
        </w:rPr>
      </w:r>
      <w:r w:rsidR="00AB02CF" w:rsidRPr="00AB02CF">
        <w:rPr>
          <w:bCs/>
          <w:sz w:val="24"/>
          <w:szCs w:val="24"/>
        </w:rPr>
        <w:fldChar w:fldCharType="separate"/>
      </w:r>
      <w:r w:rsidR="00AB02CF" w:rsidRPr="00AB02CF">
        <w:rPr>
          <w:rStyle w:val="Hyperlink"/>
          <w:bCs/>
          <w:sz w:val="24"/>
          <w:szCs w:val="24"/>
        </w:rPr>
        <w:t>https://cms.bps.org.uk/sites/default/files/2022-06/BPS%20Code%20of%20Human%20Research%20Ethics%20%281%29.pdf</w:t>
      </w:r>
      <w:r w:rsidR="00AB02CF" w:rsidRPr="00AB02CF">
        <w:rPr>
          <w:bCs/>
          <w:sz w:val="24"/>
          <w:szCs w:val="24"/>
        </w:rPr>
        <w:fldChar w:fldCharType="end"/>
      </w:r>
      <w:r w:rsidR="00B1042F">
        <w:rPr>
          <w:bCs/>
          <w:sz w:val="24"/>
          <w:szCs w:val="24"/>
        </w:rPr>
        <w:t xml:space="preserve"> </w:t>
      </w:r>
      <w:r w:rsidR="007314CC">
        <w:rPr>
          <w:bCs/>
          <w:sz w:val="24"/>
          <w:szCs w:val="24"/>
        </w:rPr>
        <w:t>[Accessed 4</w:t>
      </w:r>
      <w:r w:rsidR="007314CC" w:rsidRPr="007314CC">
        <w:rPr>
          <w:bCs/>
          <w:sz w:val="24"/>
          <w:szCs w:val="24"/>
          <w:vertAlign w:val="superscript"/>
        </w:rPr>
        <w:t>th</w:t>
      </w:r>
      <w:r w:rsidR="007314CC">
        <w:rPr>
          <w:bCs/>
          <w:sz w:val="24"/>
          <w:szCs w:val="24"/>
        </w:rPr>
        <w:t xml:space="preserve"> June 2023]</w:t>
      </w:r>
    </w:p>
    <w:p w14:paraId="22BBB188" w14:textId="588B65DC" w:rsidR="00640A2D" w:rsidRPr="00452C80" w:rsidRDefault="00F725C4" w:rsidP="00F83593">
      <w:pPr>
        <w:spacing w:line="360" w:lineRule="auto"/>
        <w:ind w:left="833" w:hanging="720"/>
        <w:rPr>
          <w:bCs/>
          <w:sz w:val="24"/>
          <w:szCs w:val="24"/>
        </w:rPr>
      </w:pPr>
      <w:r w:rsidRPr="00452C80">
        <w:rPr>
          <w:bCs/>
          <w:sz w:val="24"/>
          <w:szCs w:val="24"/>
        </w:rPr>
        <w:t xml:space="preserve"> </w:t>
      </w:r>
      <w:r w:rsidR="00640A2D" w:rsidRPr="00452C80">
        <w:rPr>
          <w:bCs/>
          <w:sz w:val="24"/>
          <w:szCs w:val="24"/>
        </w:rPr>
        <w:t xml:space="preserve">Britzman, D. P. (2015) </w:t>
      </w:r>
      <w:r w:rsidR="00640A2D" w:rsidRPr="00452C80">
        <w:rPr>
          <w:bCs/>
          <w:i/>
          <w:iCs/>
          <w:sz w:val="24"/>
          <w:szCs w:val="24"/>
        </w:rPr>
        <w:t>A Psychoanalyst in the Classroom: On the Human Condition in Education</w:t>
      </w:r>
      <w:r w:rsidR="00640A2D" w:rsidRPr="00452C80">
        <w:rPr>
          <w:bCs/>
          <w:sz w:val="24"/>
          <w:szCs w:val="24"/>
        </w:rPr>
        <w:t>. Albany, NY: State University of New York press.</w:t>
      </w:r>
    </w:p>
    <w:p w14:paraId="15966435" w14:textId="77777777" w:rsidR="00640A2D" w:rsidRPr="00452C80" w:rsidRDefault="00640A2D" w:rsidP="00AB4D10">
      <w:pPr>
        <w:spacing w:line="360" w:lineRule="auto"/>
        <w:ind w:left="833" w:hanging="720"/>
        <w:rPr>
          <w:sz w:val="24"/>
          <w:szCs w:val="24"/>
        </w:rPr>
      </w:pPr>
      <w:r w:rsidRPr="00452C80">
        <w:rPr>
          <w:sz w:val="24"/>
          <w:szCs w:val="24"/>
        </w:rPr>
        <w:t xml:space="preserve">Brockbank, A., and McGill, I. (2007) </w:t>
      </w:r>
      <w:r w:rsidRPr="00452C80">
        <w:rPr>
          <w:i/>
          <w:iCs/>
          <w:sz w:val="24"/>
          <w:szCs w:val="24"/>
        </w:rPr>
        <w:t>Facilitating Reflective Learning in Higher Education.</w:t>
      </w:r>
      <w:r w:rsidRPr="00452C80">
        <w:rPr>
          <w:sz w:val="24"/>
          <w:szCs w:val="24"/>
        </w:rPr>
        <w:t xml:space="preserve"> (2nd edition). Berkshire: McGraw-Hill.</w:t>
      </w:r>
    </w:p>
    <w:p w14:paraId="458F08C4" w14:textId="07EE7D54" w:rsidR="00640A2D" w:rsidRPr="00452C80" w:rsidRDefault="00640A2D" w:rsidP="00B879EF">
      <w:pPr>
        <w:spacing w:line="360" w:lineRule="auto"/>
        <w:ind w:left="833" w:hanging="720"/>
        <w:rPr>
          <w:sz w:val="24"/>
          <w:szCs w:val="24"/>
        </w:rPr>
      </w:pPr>
      <w:r w:rsidRPr="00452C80">
        <w:rPr>
          <w:sz w:val="24"/>
          <w:szCs w:val="24"/>
        </w:rPr>
        <w:t>Broglia, E., Millings, A., and Barkham, M. (2017) Challenges to addressing student mental health in embedded counselling services: a survey of UK higher and further education institutions. </w:t>
      </w:r>
      <w:r w:rsidRPr="00452C80">
        <w:rPr>
          <w:i/>
          <w:iCs/>
          <w:sz w:val="24"/>
          <w:szCs w:val="24"/>
        </w:rPr>
        <w:t>British Journal of Guidance &amp; Counselling</w:t>
      </w:r>
      <w:r w:rsidRPr="00452C80">
        <w:rPr>
          <w:sz w:val="24"/>
          <w:szCs w:val="24"/>
        </w:rPr>
        <w:t>, </w:t>
      </w:r>
      <w:r w:rsidRPr="00452C80">
        <w:rPr>
          <w:b/>
          <w:bCs/>
          <w:sz w:val="24"/>
          <w:szCs w:val="24"/>
        </w:rPr>
        <w:t>46</w:t>
      </w:r>
      <w:r w:rsidRPr="00452C80">
        <w:rPr>
          <w:sz w:val="24"/>
          <w:szCs w:val="24"/>
        </w:rPr>
        <w:t xml:space="preserve">(4): pp. 441–455. </w:t>
      </w:r>
      <w:hyperlink r:id="rId143" w:history="1">
        <w:r w:rsidR="00B879EF" w:rsidRPr="00B879EF">
          <w:rPr>
            <w:rStyle w:val="Hyperlink"/>
            <w:sz w:val="24"/>
            <w:szCs w:val="24"/>
          </w:rPr>
          <w:t>https://doi.org/10.1080/03069885.2017.1370695</w:t>
        </w:r>
      </w:hyperlink>
    </w:p>
    <w:p w14:paraId="1B5013EF" w14:textId="2D5740F0" w:rsidR="00640A2D" w:rsidRPr="00452C80" w:rsidRDefault="00640A2D" w:rsidP="00AB4D10">
      <w:pPr>
        <w:spacing w:line="360" w:lineRule="auto"/>
        <w:ind w:left="833" w:hanging="720"/>
        <w:rPr>
          <w:sz w:val="24"/>
          <w:szCs w:val="24"/>
        </w:rPr>
      </w:pPr>
      <w:r w:rsidRPr="00452C80">
        <w:rPr>
          <w:sz w:val="24"/>
          <w:szCs w:val="24"/>
        </w:rPr>
        <w:t>Brookfield, S. (1990) Using Critical Incidents to Explore Learners’ Assumptions. In</w:t>
      </w:r>
      <w:r w:rsidR="00EB5CE5">
        <w:rPr>
          <w:sz w:val="24"/>
          <w:szCs w:val="24"/>
        </w:rPr>
        <w:t>:</w:t>
      </w:r>
      <w:r w:rsidRPr="00452C80">
        <w:rPr>
          <w:sz w:val="24"/>
          <w:szCs w:val="24"/>
        </w:rPr>
        <w:t xml:space="preserve"> J. Mezirow (ed)</w:t>
      </w:r>
      <w:r w:rsidR="00EB5CE5">
        <w:rPr>
          <w:sz w:val="24"/>
          <w:szCs w:val="24"/>
        </w:rPr>
        <w:t>,</w:t>
      </w:r>
      <w:r w:rsidRPr="00452C80">
        <w:rPr>
          <w:sz w:val="24"/>
          <w:szCs w:val="24"/>
        </w:rPr>
        <w:t xml:space="preserve"> </w:t>
      </w:r>
      <w:r w:rsidRPr="00452C80">
        <w:rPr>
          <w:i/>
          <w:iCs/>
          <w:sz w:val="24"/>
          <w:szCs w:val="24"/>
        </w:rPr>
        <w:t>Fostering Critical Reflection in Adulthood</w:t>
      </w:r>
      <w:r w:rsidRPr="00452C80">
        <w:rPr>
          <w:sz w:val="24"/>
          <w:szCs w:val="24"/>
        </w:rPr>
        <w:t>. San Francisco: Jossey-Bass.</w:t>
      </w:r>
    </w:p>
    <w:p w14:paraId="6A196B4C" w14:textId="572590E9" w:rsidR="00640A2D" w:rsidRPr="00452C80" w:rsidRDefault="00640A2D" w:rsidP="00AB4D10">
      <w:pPr>
        <w:spacing w:line="360" w:lineRule="auto"/>
        <w:ind w:left="833" w:hanging="720"/>
        <w:rPr>
          <w:bCs/>
          <w:sz w:val="24"/>
          <w:szCs w:val="24"/>
        </w:rPr>
      </w:pPr>
      <w:r w:rsidRPr="00452C80">
        <w:rPr>
          <w:bCs/>
          <w:sz w:val="24"/>
          <w:szCs w:val="24"/>
        </w:rPr>
        <w:t>Brookfield, S.</w:t>
      </w:r>
      <w:r w:rsidR="00CF1EA5">
        <w:rPr>
          <w:bCs/>
          <w:sz w:val="24"/>
          <w:szCs w:val="24"/>
        </w:rPr>
        <w:t xml:space="preserve"> </w:t>
      </w:r>
      <w:r w:rsidRPr="00452C80">
        <w:rPr>
          <w:bCs/>
          <w:sz w:val="24"/>
          <w:szCs w:val="24"/>
        </w:rPr>
        <w:t xml:space="preserve">D. (1995) </w:t>
      </w:r>
      <w:r w:rsidRPr="00452C80">
        <w:rPr>
          <w:bCs/>
          <w:i/>
          <w:sz w:val="24"/>
          <w:szCs w:val="24"/>
        </w:rPr>
        <w:t>Becoming a Critically Reflective Teacher</w:t>
      </w:r>
      <w:r w:rsidRPr="00452C80">
        <w:rPr>
          <w:bCs/>
          <w:sz w:val="24"/>
          <w:szCs w:val="24"/>
        </w:rPr>
        <w:t>. San Francisco: Jossey- Bass.</w:t>
      </w:r>
    </w:p>
    <w:p w14:paraId="6C363AA4" w14:textId="7B800292" w:rsidR="00640A2D" w:rsidRPr="00452C80" w:rsidRDefault="00640A2D" w:rsidP="008765A2">
      <w:pPr>
        <w:spacing w:line="360" w:lineRule="auto"/>
        <w:ind w:left="833" w:hanging="720"/>
        <w:rPr>
          <w:sz w:val="24"/>
          <w:szCs w:val="24"/>
        </w:rPr>
      </w:pPr>
      <w:r w:rsidRPr="00452C80">
        <w:rPr>
          <w:sz w:val="24"/>
          <w:szCs w:val="24"/>
        </w:rPr>
        <w:t xml:space="preserve">Brown, A., and Danaher, A. (2019) CHE Principles: Facilitating Authentic in Dialogical Semi -structured Interviews in Educational Research. </w:t>
      </w:r>
      <w:r w:rsidRPr="00452C80">
        <w:rPr>
          <w:i/>
          <w:iCs/>
          <w:sz w:val="24"/>
          <w:szCs w:val="24"/>
        </w:rPr>
        <w:t>International Journal of Research &amp; Method in Education</w:t>
      </w:r>
      <w:r w:rsidRPr="00452C80">
        <w:rPr>
          <w:sz w:val="24"/>
          <w:szCs w:val="24"/>
        </w:rPr>
        <w:t xml:space="preserve">, </w:t>
      </w:r>
      <w:r w:rsidRPr="00452C80">
        <w:rPr>
          <w:b/>
          <w:bCs/>
          <w:sz w:val="24"/>
          <w:szCs w:val="24"/>
        </w:rPr>
        <w:t>42</w:t>
      </w:r>
      <w:r w:rsidRPr="00452C80">
        <w:rPr>
          <w:sz w:val="24"/>
          <w:szCs w:val="24"/>
        </w:rPr>
        <w:t xml:space="preserve">(8): pp. 76-90. </w:t>
      </w:r>
      <w:hyperlink r:id="rId144" w:history="1">
        <w:r w:rsidR="008765A2" w:rsidRPr="008765A2">
          <w:rPr>
            <w:rStyle w:val="Hyperlink"/>
            <w:sz w:val="24"/>
            <w:szCs w:val="24"/>
          </w:rPr>
          <w:t>https://doi.org/10.1080/1743727x.2017.1379987</w:t>
        </w:r>
      </w:hyperlink>
    </w:p>
    <w:p w14:paraId="7774A554" w14:textId="77777777" w:rsidR="00640A2D" w:rsidRPr="00452C80" w:rsidRDefault="00640A2D" w:rsidP="00AB4D10">
      <w:pPr>
        <w:spacing w:line="360" w:lineRule="auto"/>
        <w:ind w:left="833" w:hanging="720"/>
        <w:rPr>
          <w:sz w:val="24"/>
          <w:szCs w:val="24"/>
        </w:rPr>
      </w:pPr>
      <w:r w:rsidRPr="00452C80">
        <w:rPr>
          <w:sz w:val="24"/>
          <w:szCs w:val="24"/>
        </w:rPr>
        <w:lastRenderedPageBreak/>
        <w:t xml:space="preserve">Brown, R., and Carasso, H. (2013) </w:t>
      </w:r>
      <w:r w:rsidRPr="00452C80">
        <w:rPr>
          <w:i/>
          <w:iCs/>
          <w:sz w:val="24"/>
          <w:szCs w:val="24"/>
        </w:rPr>
        <w:t>Everything for Sale? The Marketisation of UK Higher Education</w:t>
      </w:r>
      <w:r w:rsidRPr="00452C80">
        <w:rPr>
          <w:sz w:val="24"/>
          <w:szCs w:val="24"/>
        </w:rPr>
        <w:t xml:space="preserve">. London: Routledge/SRHE. </w:t>
      </w:r>
    </w:p>
    <w:p w14:paraId="4163C382" w14:textId="77777777" w:rsidR="00640A2D" w:rsidRPr="00452C80" w:rsidRDefault="00640A2D" w:rsidP="00AB4D10">
      <w:pPr>
        <w:spacing w:line="360" w:lineRule="auto"/>
        <w:ind w:left="833" w:hanging="720"/>
        <w:rPr>
          <w:sz w:val="24"/>
          <w:szCs w:val="24"/>
        </w:rPr>
      </w:pPr>
      <w:r w:rsidRPr="00452C80">
        <w:rPr>
          <w:sz w:val="24"/>
          <w:szCs w:val="24"/>
        </w:rPr>
        <w:t xml:space="preserve">Browning, R. (1842) The Pied Piper of Hamelin. </w:t>
      </w:r>
      <w:r w:rsidRPr="00452C80">
        <w:rPr>
          <w:i/>
          <w:iCs/>
          <w:sz w:val="24"/>
          <w:szCs w:val="24"/>
        </w:rPr>
        <w:t>Dramatic Lyrics</w:t>
      </w:r>
      <w:r w:rsidRPr="00452C80">
        <w:rPr>
          <w:sz w:val="24"/>
          <w:szCs w:val="24"/>
        </w:rPr>
        <w:t xml:space="preserve">, </w:t>
      </w:r>
      <w:r w:rsidRPr="00452C80">
        <w:rPr>
          <w:i/>
          <w:iCs/>
          <w:sz w:val="24"/>
          <w:szCs w:val="24"/>
        </w:rPr>
        <w:t>Bells and Pomegranates</w:t>
      </w:r>
      <w:r w:rsidRPr="00452C80">
        <w:rPr>
          <w:sz w:val="24"/>
          <w:szCs w:val="24"/>
        </w:rPr>
        <w:t xml:space="preserve"> series III (1842). (Originally self-published).</w:t>
      </w:r>
    </w:p>
    <w:p w14:paraId="2B50210D" w14:textId="77777777" w:rsidR="00640A2D" w:rsidRPr="00452C80" w:rsidRDefault="00640A2D" w:rsidP="00AB4D10">
      <w:pPr>
        <w:spacing w:line="360" w:lineRule="auto"/>
        <w:ind w:left="833" w:hanging="720"/>
        <w:rPr>
          <w:sz w:val="24"/>
          <w:szCs w:val="24"/>
        </w:rPr>
      </w:pPr>
      <w:r w:rsidRPr="00452C80">
        <w:rPr>
          <w:sz w:val="24"/>
          <w:szCs w:val="24"/>
        </w:rPr>
        <w:t>Br</w:t>
      </w:r>
      <w:r w:rsidRPr="00452C80">
        <w:rPr>
          <w:rFonts w:cstheme="minorHAnsi"/>
          <w:sz w:val="24"/>
          <w:szCs w:val="24"/>
        </w:rPr>
        <w:t>ű</w:t>
      </w:r>
      <w:r w:rsidRPr="00452C80">
        <w:rPr>
          <w:sz w:val="24"/>
          <w:szCs w:val="24"/>
        </w:rPr>
        <w:t xml:space="preserve">n, H. (1986) ‘# 35’ in </w:t>
      </w:r>
      <w:r w:rsidRPr="00452C80">
        <w:rPr>
          <w:i/>
          <w:iCs/>
          <w:sz w:val="24"/>
          <w:szCs w:val="24"/>
        </w:rPr>
        <w:t>My Words and Where I Want Them</w:t>
      </w:r>
      <w:r w:rsidRPr="00452C80">
        <w:rPr>
          <w:sz w:val="24"/>
          <w:szCs w:val="24"/>
        </w:rPr>
        <w:t>. London: Princelet Editions.</w:t>
      </w:r>
    </w:p>
    <w:p w14:paraId="3C10CCDC" w14:textId="6ACC4AE9" w:rsidR="00640A2D" w:rsidRPr="00452C80" w:rsidRDefault="00640A2D" w:rsidP="00AB4D10">
      <w:pPr>
        <w:spacing w:line="360" w:lineRule="auto"/>
        <w:ind w:left="833" w:hanging="720"/>
        <w:rPr>
          <w:sz w:val="24"/>
          <w:szCs w:val="24"/>
        </w:rPr>
      </w:pPr>
      <w:r w:rsidRPr="00452C80">
        <w:rPr>
          <w:sz w:val="24"/>
          <w:szCs w:val="24"/>
        </w:rPr>
        <w:t>Br</w:t>
      </w:r>
      <w:r w:rsidRPr="00452C80">
        <w:rPr>
          <w:rFonts w:cstheme="minorHAnsi"/>
          <w:sz w:val="24"/>
          <w:szCs w:val="24"/>
        </w:rPr>
        <w:t>u</w:t>
      </w:r>
      <w:r w:rsidRPr="00452C80">
        <w:rPr>
          <w:sz w:val="24"/>
          <w:szCs w:val="24"/>
        </w:rPr>
        <w:t>ner, J.</w:t>
      </w:r>
      <w:r w:rsidR="00CC01D4">
        <w:rPr>
          <w:sz w:val="24"/>
          <w:szCs w:val="24"/>
        </w:rPr>
        <w:t xml:space="preserve"> </w:t>
      </w:r>
      <w:r w:rsidRPr="00452C80">
        <w:rPr>
          <w:sz w:val="24"/>
          <w:szCs w:val="24"/>
        </w:rPr>
        <w:t xml:space="preserve">S. (1986) </w:t>
      </w:r>
      <w:r w:rsidRPr="00452C80">
        <w:rPr>
          <w:i/>
          <w:iCs/>
          <w:sz w:val="24"/>
          <w:szCs w:val="24"/>
        </w:rPr>
        <w:t>Actual Minds, Possible Worlds</w:t>
      </w:r>
      <w:r w:rsidRPr="00452C80">
        <w:rPr>
          <w:sz w:val="24"/>
          <w:szCs w:val="24"/>
        </w:rPr>
        <w:t xml:space="preserve">. Cambridge, M.A.: Harvard University Press. </w:t>
      </w:r>
    </w:p>
    <w:p w14:paraId="6B8FE54B" w14:textId="1F8017BE" w:rsidR="00640A2D" w:rsidRPr="00452C80" w:rsidRDefault="00640A2D" w:rsidP="002825CE">
      <w:pPr>
        <w:spacing w:line="360" w:lineRule="auto"/>
        <w:ind w:left="833" w:hanging="720"/>
        <w:rPr>
          <w:sz w:val="24"/>
          <w:szCs w:val="24"/>
        </w:rPr>
      </w:pPr>
      <w:r w:rsidRPr="00452C80">
        <w:rPr>
          <w:sz w:val="24"/>
          <w:szCs w:val="24"/>
        </w:rPr>
        <w:t xml:space="preserve">Brunton, J. and Buckley, F. (2020) ‘You’re thrown in at the deep end’: Adult learner identity formation in higher education. </w:t>
      </w:r>
      <w:r w:rsidRPr="00452C80">
        <w:rPr>
          <w:i/>
          <w:iCs/>
          <w:sz w:val="24"/>
          <w:szCs w:val="24"/>
        </w:rPr>
        <w:t>Studies in Higher Education</w:t>
      </w:r>
      <w:r w:rsidRPr="00452C80">
        <w:rPr>
          <w:sz w:val="24"/>
          <w:szCs w:val="24"/>
        </w:rPr>
        <w:t xml:space="preserve">, </w:t>
      </w:r>
      <w:r w:rsidRPr="00452C80">
        <w:rPr>
          <w:b/>
          <w:bCs/>
          <w:sz w:val="24"/>
          <w:szCs w:val="24"/>
        </w:rPr>
        <w:t>46</w:t>
      </w:r>
      <w:r w:rsidRPr="00452C80">
        <w:rPr>
          <w:sz w:val="24"/>
          <w:szCs w:val="24"/>
        </w:rPr>
        <w:t xml:space="preserve">(12): pp. 2696–2709. </w:t>
      </w:r>
      <w:hyperlink r:id="rId145" w:history="1">
        <w:r w:rsidR="0089659D" w:rsidRPr="0089659D">
          <w:rPr>
            <w:rStyle w:val="Hyperlink"/>
            <w:sz w:val="24"/>
            <w:szCs w:val="24"/>
          </w:rPr>
          <w:t>https://doi.org/10.1080/03075079.2020.1767049</w:t>
        </w:r>
      </w:hyperlink>
    </w:p>
    <w:p w14:paraId="12C7746A" w14:textId="5774423B" w:rsidR="00640A2D" w:rsidRPr="00F45BD5" w:rsidRDefault="00640A2D" w:rsidP="00F45BD5">
      <w:pPr>
        <w:spacing w:line="360" w:lineRule="auto"/>
        <w:ind w:left="833" w:hanging="720"/>
        <w:rPr>
          <w:rFonts w:ascii="Calibri" w:eastAsia="Calibri" w:hAnsi="Calibri" w:cs="Times New Roman"/>
          <w:color w:val="FF0000"/>
          <w:sz w:val="24"/>
          <w:szCs w:val="24"/>
        </w:rPr>
      </w:pPr>
      <w:r w:rsidRPr="00452C80">
        <w:rPr>
          <w:sz w:val="24"/>
          <w:szCs w:val="24"/>
        </w:rPr>
        <w:t>Buber, M. (1952) Religion und Modernes Denken [Religion and modern thinking].</w:t>
      </w:r>
      <w:r w:rsidRPr="00452C80">
        <w:rPr>
          <w:i/>
          <w:iCs/>
          <w:sz w:val="24"/>
          <w:szCs w:val="24"/>
        </w:rPr>
        <w:t xml:space="preserve"> Merkur</w:t>
      </w:r>
      <w:r w:rsidRPr="00452C80">
        <w:rPr>
          <w:sz w:val="24"/>
          <w:szCs w:val="24"/>
        </w:rPr>
        <w:t xml:space="preserve"> (February 1952), </w:t>
      </w:r>
      <w:r w:rsidRPr="00452C80">
        <w:rPr>
          <w:b/>
          <w:bCs/>
          <w:sz w:val="24"/>
          <w:szCs w:val="24"/>
        </w:rPr>
        <w:t>6</w:t>
      </w:r>
      <w:r w:rsidRPr="00452C80">
        <w:rPr>
          <w:sz w:val="24"/>
          <w:szCs w:val="24"/>
        </w:rPr>
        <w:t>(2).</w:t>
      </w:r>
      <w:r w:rsidRPr="00452C80">
        <w:t xml:space="preserve"> </w:t>
      </w:r>
      <w:hyperlink r:id="rId146" w:history="1">
        <w:r w:rsidR="00F45BD5" w:rsidRPr="00F45BD5">
          <w:rPr>
            <w:rFonts w:ascii="Calibri" w:eastAsia="Calibri" w:hAnsi="Calibri" w:cs="Times New Roman"/>
            <w:color w:val="0563C1"/>
            <w:sz w:val="24"/>
            <w:szCs w:val="24"/>
            <w:u w:val="single"/>
          </w:rPr>
          <w:t>https://www.merkur-zeitschrift.de/artikel/religion-und-modernes-denken-a-mr-6-2-101/</w:t>
        </w:r>
      </w:hyperlink>
    </w:p>
    <w:p w14:paraId="08C9B15F" w14:textId="1AE38C6A" w:rsidR="00640A2D" w:rsidRPr="00452C80" w:rsidRDefault="00640A2D" w:rsidP="00AB4D10">
      <w:pPr>
        <w:spacing w:line="360" w:lineRule="auto"/>
        <w:ind w:left="833" w:hanging="720"/>
        <w:rPr>
          <w:sz w:val="24"/>
          <w:szCs w:val="24"/>
        </w:rPr>
      </w:pPr>
      <w:r w:rsidRPr="00452C80">
        <w:rPr>
          <w:sz w:val="24"/>
          <w:szCs w:val="24"/>
        </w:rPr>
        <w:t>Bulkeley, K., and Weldon, C.</w:t>
      </w:r>
      <w:r w:rsidR="00AB01A3">
        <w:rPr>
          <w:sz w:val="24"/>
          <w:szCs w:val="24"/>
        </w:rPr>
        <w:t xml:space="preserve"> (eds)</w:t>
      </w:r>
      <w:r w:rsidRPr="00452C80">
        <w:rPr>
          <w:sz w:val="24"/>
          <w:szCs w:val="24"/>
        </w:rPr>
        <w:t xml:space="preserve"> (2011) </w:t>
      </w:r>
      <w:r w:rsidRPr="00452C80">
        <w:rPr>
          <w:i/>
          <w:iCs/>
          <w:sz w:val="24"/>
          <w:szCs w:val="24"/>
        </w:rPr>
        <w:t>Teaching Jung</w:t>
      </w:r>
      <w:r w:rsidRPr="00452C80">
        <w:rPr>
          <w:sz w:val="24"/>
          <w:szCs w:val="24"/>
        </w:rPr>
        <w:t>. Oxford: Oxford University press.</w:t>
      </w:r>
    </w:p>
    <w:p w14:paraId="3CA63917" w14:textId="507A47A3" w:rsidR="00640A2D" w:rsidRPr="00452C80" w:rsidRDefault="00640A2D" w:rsidP="00AB4D10">
      <w:pPr>
        <w:spacing w:line="360" w:lineRule="auto"/>
        <w:ind w:left="833" w:hanging="720"/>
        <w:rPr>
          <w:sz w:val="24"/>
          <w:szCs w:val="24"/>
        </w:rPr>
      </w:pPr>
      <w:r w:rsidRPr="00452C80">
        <w:rPr>
          <w:sz w:val="24"/>
          <w:szCs w:val="24"/>
        </w:rPr>
        <w:t>Bulman, C., and Schutz, S.</w:t>
      </w:r>
      <w:r w:rsidR="00AB01A3">
        <w:rPr>
          <w:sz w:val="24"/>
          <w:szCs w:val="24"/>
        </w:rPr>
        <w:t xml:space="preserve"> (eds)</w:t>
      </w:r>
      <w:r w:rsidRPr="00452C80">
        <w:rPr>
          <w:sz w:val="24"/>
          <w:szCs w:val="24"/>
        </w:rPr>
        <w:t xml:space="preserve"> (2008) </w:t>
      </w:r>
      <w:r w:rsidRPr="00452C80">
        <w:rPr>
          <w:i/>
          <w:iCs/>
          <w:sz w:val="24"/>
          <w:szCs w:val="24"/>
        </w:rPr>
        <w:t>Reflective Practice in Nursing</w:t>
      </w:r>
      <w:r w:rsidRPr="00452C80">
        <w:rPr>
          <w:sz w:val="24"/>
          <w:szCs w:val="24"/>
        </w:rPr>
        <w:t>. London: Wiley-Blackwell.</w:t>
      </w:r>
    </w:p>
    <w:p w14:paraId="4FE90E4E" w14:textId="016A6A12" w:rsidR="00640A2D" w:rsidRPr="00452C80" w:rsidRDefault="00640A2D" w:rsidP="00CC323C">
      <w:pPr>
        <w:spacing w:line="360" w:lineRule="auto"/>
        <w:ind w:left="833" w:hanging="720"/>
        <w:rPr>
          <w:sz w:val="24"/>
          <w:szCs w:val="24"/>
        </w:rPr>
      </w:pPr>
      <w:r w:rsidRPr="00452C80">
        <w:rPr>
          <w:sz w:val="24"/>
          <w:szCs w:val="24"/>
        </w:rPr>
        <w:t xml:space="preserve">Burbules, N., and Rice, S. (1991) Dialogue Across Differences: Continuing the Conversation. </w:t>
      </w:r>
      <w:r w:rsidRPr="00452C80">
        <w:rPr>
          <w:i/>
          <w:iCs/>
          <w:sz w:val="24"/>
          <w:szCs w:val="24"/>
        </w:rPr>
        <w:t>Harvard Educational Review</w:t>
      </w:r>
      <w:r w:rsidRPr="00452C80">
        <w:rPr>
          <w:sz w:val="24"/>
          <w:szCs w:val="24"/>
        </w:rPr>
        <w:t xml:space="preserve">, 61: pp. 393-416. </w:t>
      </w:r>
      <w:hyperlink r:id="rId147" w:history="1">
        <w:r w:rsidR="00CC323C" w:rsidRPr="00CC323C">
          <w:rPr>
            <w:rStyle w:val="Hyperlink"/>
            <w:sz w:val="24"/>
            <w:szCs w:val="24"/>
          </w:rPr>
          <w:t>https://api.semanticscholar.org/CorpusID:143308519</w:t>
        </w:r>
      </w:hyperlink>
    </w:p>
    <w:p w14:paraId="3AD6B634" w14:textId="3AD6EE56" w:rsidR="00640A2D" w:rsidRPr="00452C80" w:rsidRDefault="00640A2D" w:rsidP="00AB4D10">
      <w:pPr>
        <w:spacing w:line="360" w:lineRule="auto"/>
        <w:ind w:left="833" w:hanging="720"/>
        <w:rPr>
          <w:bCs/>
          <w:sz w:val="24"/>
          <w:szCs w:val="24"/>
        </w:rPr>
      </w:pPr>
      <w:r w:rsidRPr="00452C80">
        <w:rPr>
          <w:bCs/>
          <w:sz w:val="24"/>
          <w:szCs w:val="24"/>
        </w:rPr>
        <w:t xml:space="preserve">Burgess, A., Black, K., Chapman, R., Clarke, T., Roberts, C., and Mellis, C. (2012) Teaching skills for students: Our future educators. </w:t>
      </w:r>
      <w:r w:rsidRPr="00452C80">
        <w:rPr>
          <w:bCs/>
          <w:i/>
          <w:iCs/>
          <w:sz w:val="24"/>
          <w:szCs w:val="24"/>
        </w:rPr>
        <w:t>The Clinical Teacher</w:t>
      </w:r>
      <w:r w:rsidRPr="00452C80">
        <w:rPr>
          <w:bCs/>
          <w:sz w:val="24"/>
          <w:szCs w:val="24"/>
        </w:rPr>
        <w:t xml:space="preserve">, </w:t>
      </w:r>
      <w:r w:rsidRPr="00452C80">
        <w:rPr>
          <w:b/>
          <w:sz w:val="24"/>
          <w:szCs w:val="24"/>
        </w:rPr>
        <w:t>9</w:t>
      </w:r>
      <w:r w:rsidRPr="00452C80">
        <w:rPr>
          <w:bCs/>
          <w:sz w:val="24"/>
          <w:szCs w:val="24"/>
        </w:rPr>
        <w:t xml:space="preserve">(5): pp. 312-316. </w:t>
      </w:r>
      <w:hyperlink r:id="rId148" w:history="1">
        <w:r w:rsidR="00CD380B" w:rsidRPr="00CD380B">
          <w:rPr>
            <w:rFonts w:ascii="Calibri" w:eastAsia="Calibri" w:hAnsi="Calibri" w:cs="Times New Roman"/>
            <w:color w:val="0563C1"/>
            <w:sz w:val="24"/>
            <w:szCs w:val="24"/>
            <w:u w:val="single"/>
          </w:rPr>
          <w:t>https://doi.org/10.1111/j.1743-498X.2012.00554.x</w:t>
        </w:r>
      </w:hyperlink>
      <w:r w:rsidRPr="00452C80">
        <w:rPr>
          <w:bCs/>
          <w:sz w:val="24"/>
          <w:szCs w:val="24"/>
        </w:rPr>
        <w:t> </w:t>
      </w:r>
      <w:r w:rsidR="00CC323C" w:rsidRPr="00452C80">
        <w:rPr>
          <w:bCs/>
          <w:sz w:val="24"/>
          <w:szCs w:val="24"/>
        </w:rPr>
        <w:t xml:space="preserve"> </w:t>
      </w:r>
    </w:p>
    <w:p w14:paraId="5A18C9FF" w14:textId="77777777" w:rsidR="00640A2D" w:rsidRPr="00452C80" w:rsidRDefault="00640A2D" w:rsidP="00AB4D10">
      <w:pPr>
        <w:spacing w:line="360" w:lineRule="auto"/>
        <w:ind w:left="833" w:hanging="720"/>
        <w:rPr>
          <w:bCs/>
          <w:sz w:val="24"/>
          <w:szCs w:val="24"/>
        </w:rPr>
      </w:pPr>
      <w:r w:rsidRPr="00452C80">
        <w:rPr>
          <w:bCs/>
          <w:sz w:val="24"/>
          <w:szCs w:val="24"/>
        </w:rPr>
        <w:t xml:space="preserve">Buri, F. (1952) </w:t>
      </w:r>
      <w:r w:rsidRPr="00452C80">
        <w:rPr>
          <w:bCs/>
          <w:i/>
          <w:iCs/>
          <w:sz w:val="24"/>
          <w:szCs w:val="24"/>
        </w:rPr>
        <w:t>C.G. Jung’s ‘Antwort auf Hiob.’</w:t>
      </w:r>
      <w:r w:rsidRPr="00452C80">
        <w:rPr>
          <w:bCs/>
          <w:sz w:val="24"/>
          <w:szCs w:val="24"/>
        </w:rPr>
        <w:t xml:space="preserve"> [C. G. Jung’s ‘Answer to Hiob’], (3</w:t>
      </w:r>
      <w:r w:rsidRPr="00452C80">
        <w:rPr>
          <w:bCs/>
          <w:sz w:val="24"/>
          <w:szCs w:val="24"/>
          <w:vertAlign w:val="superscript"/>
        </w:rPr>
        <w:t>rd</w:t>
      </w:r>
      <w:r w:rsidRPr="00452C80">
        <w:rPr>
          <w:bCs/>
          <w:sz w:val="24"/>
          <w:szCs w:val="24"/>
        </w:rPr>
        <w:t xml:space="preserve"> edition).</w:t>
      </w:r>
      <w:r w:rsidRPr="00452C80">
        <w:rPr>
          <w:rFonts w:ascii="Helvetica" w:hAnsi="Helvetica" w:cs="Helvetica"/>
          <w:sz w:val="21"/>
          <w:szCs w:val="21"/>
          <w:bdr w:val="none" w:sz="0" w:space="0" w:color="auto" w:frame="1"/>
          <w:shd w:val="clear" w:color="auto" w:fill="FFFFFF"/>
        </w:rPr>
        <w:t xml:space="preserve"> </w:t>
      </w:r>
      <w:r w:rsidRPr="00452C80">
        <w:rPr>
          <w:bCs/>
          <w:sz w:val="24"/>
          <w:szCs w:val="24"/>
        </w:rPr>
        <w:t>Zürich, Switzerland: Rascher Verlag.</w:t>
      </w:r>
    </w:p>
    <w:p w14:paraId="040A2511" w14:textId="465489DC" w:rsidR="00640A2D" w:rsidRPr="00452C80" w:rsidRDefault="00640A2D" w:rsidP="00AB4D10">
      <w:pPr>
        <w:spacing w:line="360" w:lineRule="auto"/>
        <w:ind w:left="833" w:hanging="720"/>
        <w:rPr>
          <w:bCs/>
          <w:sz w:val="24"/>
          <w:szCs w:val="24"/>
        </w:rPr>
      </w:pPr>
      <w:r w:rsidRPr="00452C80">
        <w:rPr>
          <w:bCs/>
          <w:sz w:val="24"/>
          <w:szCs w:val="24"/>
        </w:rPr>
        <w:t>Burić, I., Slišković, A., and Sorić</w:t>
      </w:r>
      <w:r w:rsidR="007833F0">
        <w:rPr>
          <w:bCs/>
          <w:sz w:val="24"/>
          <w:szCs w:val="24"/>
        </w:rPr>
        <w:t>,</w:t>
      </w:r>
      <w:r w:rsidRPr="00452C80">
        <w:rPr>
          <w:bCs/>
          <w:sz w:val="24"/>
          <w:szCs w:val="24"/>
        </w:rPr>
        <w:t xml:space="preserve"> I. (2020) Teachers' Emotions and Self-Efficacy: A Test of Reciprocal Relations. </w:t>
      </w:r>
      <w:r w:rsidRPr="00452C80">
        <w:rPr>
          <w:bCs/>
          <w:i/>
          <w:iCs/>
          <w:sz w:val="24"/>
          <w:szCs w:val="24"/>
        </w:rPr>
        <w:t>Front Psychol</w:t>
      </w:r>
      <w:r w:rsidRPr="00452C80">
        <w:rPr>
          <w:bCs/>
          <w:sz w:val="24"/>
          <w:szCs w:val="24"/>
        </w:rPr>
        <w:t>, 2020</w:t>
      </w:r>
      <w:r w:rsidR="00CB1A20">
        <w:rPr>
          <w:bCs/>
          <w:sz w:val="24"/>
          <w:szCs w:val="24"/>
        </w:rPr>
        <w:t>,</w:t>
      </w:r>
      <w:r w:rsidRPr="00452C80">
        <w:rPr>
          <w:bCs/>
          <w:sz w:val="24"/>
          <w:szCs w:val="24"/>
        </w:rPr>
        <w:t xml:space="preserve"> Aug 28; 11:1650. </w:t>
      </w:r>
      <w:hyperlink r:id="rId149" w:history="1">
        <w:r w:rsidR="00F5009A" w:rsidRPr="00F5009A">
          <w:rPr>
            <w:rFonts w:ascii="Calibri" w:eastAsia="Calibri" w:hAnsi="Calibri" w:cs="Times New Roman"/>
            <w:bCs/>
            <w:color w:val="0563C1"/>
            <w:sz w:val="24"/>
            <w:szCs w:val="24"/>
            <w:u w:val="single"/>
          </w:rPr>
          <w:t>https://doi.org/10.3389/fpsyg.2020.01650</w:t>
        </w:r>
      </w:hyperlink>
    </w:p>
    <w:p w14:paraId="143CA018" w14:textId="77777777" w:rsidR="00640A2D" w:rsidRPr="00452C80" w:rsidRDefault="00640A2D" w:rsidP="00AB4D10">
      <w:pPr>
        <w:spacing w:line="360" w:lineRule="auto"/>
        <w:ind w:left="833" w:hanging="720"/>
        <w:rPr>
          <w:bCs/>
          <w:sz w:val="24"/>
          <w:szCs w:val="24"/>
        </w:rPr>
      </w:pPr>
      <w:r w:rsidRPr="00452C80">
        <w:rPr>
          <w:bCs/>
          <w:sz w:val="24"/>
          <w:szCs w:val="24"/>
        </w:rPr>
        <w:lastRenderedPageBreak/>
        <w:t xml:space="preserve">Burns, R. B. (1997) </w:t>
      </w:r>
      <w:r w:rsidRPr="00452C80">
        <w:rPr>
          <w:bCs/>
          <w:i/>
          <w:iCs/>
          <w:sz w:val="24"/>
          <w:szCs w:val="24"/>
        </w:rPr>
        <w:t>Introduction to Research Methods</w:t>
      </w:r>
      <w:r w:rsidRPr="00452C80">
        <w:rPr>
          <w:bCs/>
          <w:sz w:val="24"/>
          <w:szCs w:val="24"/>
        </w:rPr>
        <w:t xml:space="preserve"> (2</w:t>
      </w:r>
      <w:r w:rsidRPr="00452C80">
        <w:rPr>
          <w:bCs/>
          <w:sz w:val="24"/>
          <w:szCs w:val="24"/>
          <w:vertAlign w:val="superscript"/>
        </w:rPr>
        <w:t>nd</w:t>
      </w:r>
      <w:r w:rsidRPr="00452C80">
        <w:rPr>
          <w:bCs/>
          <w:sz w:val="24"/>
          <w:szCs w:val="24"/>
        </w:rPr>
        <w:t xml:space="preserve"> edition). Melbourne, Australia: Longman Cheshire.</w:t>
      </w:r>
    </w:p>
    <w:p w14:paraId="74D684EB" w14:textId="77777777" w:rsidR="00640A2D" w:rsidRPr="00452C80" w:rsidRDefault="00640A2D" w:rsidP="00AB4D10">
      <w:pPr>
        <w:spacing w:line="360" w:lineRule="auto"/>
        <w:ind w:left="833" w:hanging="720"/>
        <w:rPr>
          <w:sz w:val="24"/>
          <w:szCs w:val="24"/>
        </w:rPr>
      </w:pPr>
      <w:r w:rsidRPr="00452C80">
        <w:rPr>
          <w:sz w:val="24"/>
          <w:szCs w:val="24"/>
        </w:rPr>
        <w:t xml:space="preserve">Burns, R. B. (2002) </w:t>
      </w:r>
      <w:r w:rsidRPr="00452C80">
        <w:rPr>
          <w:i/>
          <w:iCs/>
          <w:sz w:val="24"/>
          <w:szCs w:val="24"/>
        </w:rPr>
        <w:t xml:space="preserve">The Adult Learner at Work </w:t>
      </w:r>
      <w:r w:rsidRPr="00452C80">
        <w:rPr>
          <w:sz w:val="24"/>
          <w:szCs w:val="24"/>
        </w:rPr>
        <w:t xml:space="preserve">(2nd edition). Sydney: Allen and Unwin. </w:t>
      </w:r>
    </w:p>
    <w:p w14:paraId="64B62128" w14:textId="581F2913" w:rsidR="00640A2D" w:rsidRPr="00EA104F" w:rsidRDefault="00640A2D" w:rsidP="00EA104F">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Butcher, J., Wood, C., Clarke, A., </w:t>
      </w:r>
      <w:r w:rsidR="00F5009A">
        <w:rPr>
          <w:rFonts w:ascii="Calibri" w:eastAsia="Aptos" w:hAnsi="Calibri" w:cs="Calibri"/>
          <w:kern w:val="2"/>
          <w:sz w:val="24"/>
          <w:szCs w:val="24"/>
          <w14:ligatures w14:val="standardContextual"/>
        </w:rPr>
        <w:t>and</w:t>
      </w:r>
      <w:r w:rsidRPr="00452C80">
        <w:rPr>
          <w:rFonts w:ascii="Calibri" w:eastAsia="Aptos" w:hAnsi="Calibri" w:cs="Calibri"/>
          <w:kern w:val="2"/>
          <w:sz w:val="24"/>
          <w:szCs w:val="24"/>
          <w14:ligatures w14:val="standardContextual"/>
        </w:rPr>
        <w:t xml:space="preserve"> McPherson, E. (2020) How might mature students with low entry qualifications succeed in undergraduate science? </w:t>
      </w:r>
      <w:r w:rsidRPr="00452C80">
        <w:rPr>
          <w:rFonts w:ascii="Calibri" w:eastAsia="Aptos" w:hAnsi="Calibri" w:cs="Calibri"/>
          <w:i/>
          <w:iCs/>
          <w:kern w:val="2"/>
          <w:sz w:val="24"/>
          <w:szCs w:val="24"/>
          <w14:ligatures w14:val="standardContextual"/>
        </w:rPr>
        <w:t>Widening Participation and Lifelong Learning</w:t>
      </w:r>
      <w:r w:rsidRPr="00452C80">
        <w:rPr>
          <w:rFonts w:ascii="Calibri" w:eastAsia="Aptos" w:hAnsi="Calibri" w:cs="Calibri"/>
          <w:kern w:val="2"/>
          <w:sz w:val="24"/>
          <w:szCs w:val="24"/>
          <w14:ligatures w14:val="standardContextual"/>
        </w:rPr>
        <w:t>, </w:t>
      </w:r>
      <w:r w:rsidRPr="00075D34">
        <w:rPr>
          <w:rFonts w:ascii="Calibri" w:eastAsia="Aptos" w:hAnsi="Calibri" w:cs="Calibri"/>
          <w:b/>
          <w:bCs/>
          <w:kern w:val="2"/>
          <w:sz w:val="24"/>
          <w:szCs w:val="24"/>
          <w14:ligatures w14:val="standardContextual"/>
        </w:rPr>
        <w:t>22</w:t>
      </w:r>
      <w:r w:rsidRPr="00452C80">
        <w:rPr>
          <w:rFonts w:ascii="Calibri" w:eastAsia="Aptos" w:hAnsi="Calibri" w:cs="Calibri"/>
          <w:kern w:val="2"/>
          <w:sz w:val="24"/>
          <w:szCs w:val="24"/>
          <w14:ligatures w14:val="standardContextual"/>
        </w:rPr>
        <w:t xml:space="preserve">(3): pp. 137–165. </w:t>
      </w:r>
      <w:hyperlink r:id="rId150" w:history="1">
        <w:r w:rsidR="00EA104F" w:rsidRPr="00EA104F">
          <w:rPr>
            <w:rStyle w:val="Hyperlink"/>
            <w:rFonts w:ascii="Calibri" w:eastAsia="Aptos" w:hAnsi="Calibri" w:cs="Calibri"/>
            <w:color w:val="0070C0"/>
            <w:kern w:val="2"/>
            <w:sz w:val="24"/>
            <w:szCs w:val="24"/>
            <w14:ligatures w14:val="standardContextual"/>
          </w:rPr>
          <w:t>https://doi.org/10.5456/WPLL.22.3.137</w:t>
        </w:r>
      </w:hyperlink>
    </w:p>
    <w:p w14:paraId="6879CB7D" w14:textId="77777777" w:rsidR="00640A2D" w:rsidRPr="00452C80" w:rsidRDefault="00640A2D" w:rsidP="00AB4D10">
      <w:pPr>
        <w:spacing w:line="360" w:lineRule="auto"/>
        <w:ind w:left="833" w:hanging="720"/>
        <w:rPr>
          <w:sz w:val="24"/>
          <w:szCs w:val="24"/>
        </w:rPr>
      </w:pPr>
      <w:r w:rsidRPr="00452C80">
        <w:rPr>
          <w:sz w:val="24"/>
          <w:szCs w:val="24"/>
        </w:rPr>
        <w:t xml:space="preserve">Calcutt, A. (1998) </w:t>
      </w:r>
      <w:r w:rsidRPr="00452C80">
        <w:rPr>
          <w:i/>
          <w:iCs/>
          <w:sz w:val="24"/>
          <w:szCs w:val="24"/>
        </w:rPr>
        <w:t>Arrested Development</w:t>
      </w:r>
      <w:r w:rsidRPr="00452C80">
        <w:rPr>
          <w:sz w:val="24"/>
          <w:szCs w:val="24"/>
        </w:rPr>
        <w:t>. London: Cassell.</w:t>
      </w:r>
    </w:p>
    <w:p w14:paraId="58137DE4" w14:textId="75CFD2FA" w:rsidR="0059221E" w:rsidRDefault="0059221E" w:rsidP="0059221E">
      <w:pPr>
        <w:spacing w:line="360" w:lineRule="auto"/>
        <w:ind w:left="833" w:hanging="720"/>
        <w:rPr>
          <w:sz w:val="24"/>
          <w:szCs w:val="24"/>
        </w:rPr>
      </w:pPr>
      <w:r w:rsidRPr="0059221E">
        <w:rPr>
          <w:sz w:val="24"/>
          <w:szCs w:val="24"/>
        </w:rPr>
        <w:t xml:space="preserve">Campbell, B., and Manning, J. (2018) </w:t>
      </w:r>
      <w:r w:rsidRPr="0059221E">
        <w:rPr>
          <w:i/>
          <w:iCs/>
          <w:sz w:val="24"/>
          <w:szCs w:val="24"/>
        </w:rPr>
        <w:t>The Rise of Victimhood Culture: Microaggressions, Safe Spaces, and the New Culture Wars</w:t>
      </w:r>
      <w:r w:rsidRPr="0059221E">
        <w:rPr>
          <w:sz w:val="24"/>
          <w:szCs w:val="24"/>
        </w:rPr>
        <w:t>. London: Palgrave Macmillan.</w:t>
      </w:r>
    </w:p>
    <w:p w14:paraId="2380614A" w14:textId="6E5F4629" w:rsidR="00640A2D" w:rsidRPr="00452C80" w:rsidRDefault="00640A2D" w:rsidP="00AB4D10">
      <w:pPr>
        <w:spacing w:line="360" w:lineRule="auto"/>
        <w:ind w:left="833" w:hanging="720"/>
        <w:rPr>
          <w:sz w:val="24"/>
          <w:szCs w:val="24"/>
        </w:rPr>
      </w:pPr>
      <w:r w:rsidRPr="00452C80">
        <w:rPr>
          <w:sz w:val="24"/>
          <w:szCs w:val="24"/>
        </w:rPr>
        <w:t xml:space="preserve">Campbell, J. (1949/1968) </w:t>
      </w:r>
      <w:r w:rsidRPr="00452C80">
        <w:rPr>
          <w:i/>
          <w:iCs/>
          <w:sz w:val="24"/>
          <w:szCs w:val="24"/>
        </w:rPr>
        <w:t>The Hero with a Thousand Faces</w:t>
      </w:r>
      <w:r w:rsidRPr="00452C80">
        <w:rPr>
          <w:sz w:val="24"/>
          <w:szCs w:val="24"/>
        </w:rPr>
        <w:t>. Princeton, NJ: Princeton University Press.</w:t>
      </w:r>
    </w:p>
    <w:p w14:paraId="0365EC1A" w14:textId="3A7DB463" w:rsidR="00640A2D" w:rsidRPr="00065C50" w:rsidRDefault="00640A2D" w:rsidP="00065C50">
      <w:pPr>
        <w:spacing w:line="360" w:lineRule="auto"/>
        <w:ind w:left="833" w:hanging="720"/>
      </w:pPr>
      <w:r w:rsidRPr="00452C80">
        <w:rPr>
          <w:sz w:val="24"/>
          <w:szCs w:val="24"/>
        </w:rPr>
        <w:t xml:space="preserve">Campbell-Clark, S. (2000) Work/Family Border Theory: A New Theory of Work/Family Balance. </w:t>
      </w:r>
      <w:r w:rsidRPr="00452C80">
        <w:rPr>
          <w:i/>
          <w:iCs/>
          <w:sz w:val="24"/>
          <w:szCs w:val="24"/>
        </w:rPr>
        <w:t>Human Relations</w:t>
      </w:r>
      <w:r w:rsidRPr="00452C80">
        <w:rPr>
          <w:sz w:val="24"/>
          <w:szCs w:val="24"/>
        </w:rPr>
        <w:t xml:space="preserve">, </w:t>
      </w:r>
      <w:r w:rsidRPr="00452C80">
        <w:rPr>
          <w:b/>
          <w:bCs/>
          <w:sz w:val="24"/>
          <w:szCs w:val="24"/>
        </w:rPr>
        <w:t>53</w:t>
      </w:r>
      <w:r w:rsidRPr="00452C80">
        <w:rPr>
          <w:sz w:val="24"/>
          <w:szCs w:val="24"/>
        </w:rPr>
        <w:t>(6): pp.747-70.</w:t>
      </w:r>
      <w:r w:rsidRPr="00452C80">
        <w:t xml:space="preserve"> </w:t>
      </w:r>
      <w:hyperlink r:id="rId151" w:history="1">
        <w:r w:rsidR="00065C50" w:rsidRPr="00065C50">
          <w:rPr>
            <w:rStyle w:val="Hyperlink"/>
            <w:sz w:val="24"/>
            <w:szCs w:val="24"/>
          </w:rPr>
          <w:t>https://doi.org/10.1177/0018726700536001</w:t>
        </w:r>
      </w:hyperlink>
    </w:p>
    <w:p w14:paraId="781F6421" w14:textId="64D9220C" w:rsidR="00640A2D" w:rsidRPr="00452C80" w:rsidRDefault="00640A2D" w:rsidP="008335D9">
      <w:pPr>
        <w:spacing w:line="360" w:lineRule="auto"/>
        <w:ind w:left="833" w:hanging="720"/>
        <w:rPr>
          <w:sz w:val="24"/>
          <w:szCs w:val="24"/>
        </w:rPr>
      </w:pPr>
      <w:r w:rsidRPr="00452C80">
        <w:rPr>
          <w:sz w:val="24"/>
          <w:szCs w:val="24"/>
        </w:rPr>
        <w:t>Care Quality Commission (2013) Supporting information and guidance: supporting effective clinical supervision. CQC publications.</w:t>
      </w:r>
      <w:r w:rsidR="000F0058">
        <w:rPr>
          <w:sz w:val="24"/>
          <w:szCs w:val="24"/>
        </w:rPr>
        <w:t xml:space="preserve"> Available at:</w:t>
      </w:r>
      <w:r w:rsidRPr="00452C80">
        <w:rPr>
          <w:sz w:val="24"/>
          <w:szCs w:val="24"/>
        </w:rPr>
        <w:t xml:space="preserve"> </w:t>
      </w:r>
      <w:hyperlink r:id="rId152" w:history="1">
        <w:r w:rsidR="008335D9" w:rsidRPr="008335D9">
          <w:rPr>
            <w:rStyle w:val="Hyperlink"/>
            <w:sz w:val="24"/>
            <w:szCs w:val="24"/>
          </w:rPr>
          <w:t>https://work-learn-live-blmk.co.uk/wp-content/uploads/2018/04/CQC-Supporting-information-and-guidance.pdf</w:t>
        </w:r>
      </w:hyperlink>
      <w:r w:rsidR="000F0058">
        <w:t xml:space="preserve">  </w:t>
      </w:r>
      <w:r w:rsidR="000F0058" w:rsidRPr="00590BAF">
        <w:rPr>
          <w:sz w:val="24"/>
          <w:szCs w:val="24"/>
        </w:rPr>
        <w:t xml:space="preserve">[Accessed </w:t>
      </w:r>
      <w:r w:rsidR="00590BAF" w:rsidRPr="00590BAF">
        <w:rPr>
          <w:sz w:val="24"/>
          <w:szCs w:val="24"/>
        </w:rPr>
        <w:t>2</w:t>
      </w:r>
      <w:r w:rsidR="00590BAF" w:rsidRPr="00590BAF">
        <w:rPr>
          <w:sz w:val="24"/>
          <w:szCs w:val="24"/>
          <w:vertAlign w:val="superscript"/>
        </w:rPr>
        <w:t>nd</w:t>
      </w:r>
      <w:r w:rsidR="00590BAF" w:rsidRPr="00590BAF">
        <w:rPr>
          <w:sz w:val="24"/>
          <w:szCs w:val="24"/>
        </w:rPr>
        <w:t xml:space="preserve"> January 2023]</w:t>
      </w:r>
    </w:p>
    <w:p w14:paraId="67513927" w14:textId="659B86F0" w:rsidR="00640A2D" w:rsidRPr="00590BAF" w:rsidRDefault="00640A2D" w:rsidP="00677F5B">
      <w:pPr>
        <w:spacing w:line="360" w:lineRule="auto"/>
        <w:ind w:left="833" w:hanging="720"/>
        <w:rPr>
          <w:bCs/>
          <w:sz w:val="24"/>
          <w:szCs w:val="24"/>
        </w:rPr>
      </w:pPr>
      <w:r w:rsidRPr="00452C80">
        <w:rPr>
          <w:bCs/>
          <w:sz w:val="24"/>
          <w:szCs w:val="24"/>
        </w:rPr>
        <w:t xml:space="preserve">Care Quality Commission (2013a) Care Update (2). </w:t>
      </w:r>
      <w:r w:rsidR="00590BAF">
        <w:rPr>
          <w:bCs/>
          <w:sz w:val="24"/>
          <w:szCs w:val="24"/>
        </w:rPr>
        <w:t xml:space="preserve">Available at: </w:t>
      </w:r>
      <w:hyperlink r:id="rId153" w:history="1">
        <w:r w:rsidR="00590BAF" w:rsidRPr="0019278B">
          <w:rPr>
            <w:rStyle w:val="Hyperlink"/>
            <w:bCs/>
            <w:sz w:val="24"/>
            <w:szCs w:val="24"/>
          </w:rPr>
          <w:t>https://www.cqc.org.uk/publications/major-report/care-update-issue-2</w:t>
        </w:r>
      </w:hyperlink>
      <w:r w:rsidR="00590BAF">
        <w:t xml:space="preserve"> </w:t>
      </w:r>
      <w:r w:rsidR="00590BAF">
        <w:rPr>
          <w:sz w:val="24"/>
          <w:szCs w:val="24"/>
        </w:rPr>
        <w:t>[Accessed</w:t>
      </w:r>
      <w:r w:rsidR="00B12451">
        <w:rPr>
          <w:sz w:val="24"/>
          <w:szCs w:val="24"/>
        </w:rPr>
        <w:t xml:space="preserve"> 14th June 2023]</w:t>
      </w:r>
    </w:p>
    <w:p w14:paraId="3064C92B" w14:textId="3E77993E" w:rsidR="00640A2D" w:rsidRPr="00452C80" w:rsidRDefault="00640A2D" w:rsidP="0042710D">
      <w:pPr>
        <w:spacing w:line="360" w:lineRule="auto"/>
        <w:ind w:left="833" w:hanging="720"/>
        <w:rPr>
          <w:sz w:val="24"/>
          <w:szCs w:val="24"/>
        </w:rPr>
      </w:pPr>
      <w:r w:rsidRPr="00452C80">
        <w:rPr>
          <w:sz w:val="24"/>
          <w:szCs w:val="24"/>
        </w:rPr>
        <w:t>Carmeli, A., Brueller, D.</w:t>
      </w:r>
      <w:r w:rsidR="00CF5D22">
        <w:rPr>
          <w:sz w:val="24"/>
          <w:szCs w:val="24"/>
        </w:rPr>
        <w:t>,</w:t>
      </w:r>
      <w:r w:rsidRPr="00452C80">
        <w:rPr>
          <w:sz w:val="24"/>
          <w:szCs w:val="24"/>
        </w:rPr>
        <w:t xml:space="preserve"> and Dutton, J. E. (2009) Learning behaviours in the workplace: The role of high–quality interpersonal relationships and psychological safety. </w:t>
      </w:r>
      <w:r w:rsidRPr="00452C80">
        <w:rPr>
          <w:i/>
          <w:iCs/>
          <w:sz w:val="24"/>
          <w:szCs w:val="24"/>
        </w:rPr>
        <w:t>Systems Research and Behavioral Science,</w:t>
      </w:r>
      <w:r w:rsidRPr="00452C80">
        <w:rPr>
          <w:sz w:val="24"/>
          <w:szCs w:val="24"/>
        </w:rPr>
        <w:t xml:space="preserve"> 26: pp. 81–98. </w:t>
      </w:r>
      <w:hyperlink r:id="rId154" w:history="1">
        <w:r w:rsidR="0042710D" w:rsidRPr="0042710D">
          <w:rPr>
            <w:rStyle w:val="Hyperlink"/>
            <w:sz w:val="24"/>
            <w:szCs w:val="24"/>
          </w:rPr>
          <w:t>https://doi.org/10.1002/sres.932</w:t>
        </w:r>
      </w:hyperlink>
    </w:p>
    <w:p w14:paraId="258641B4" w14:textId="477C618C" w:rsidR="00640A2D" w:rsidRPr="00C62038" w:rsidRDefault="00640A2D" w:rsidP="00C62038">
      <w:pPr>
        <w:spacing w:line="360" w:lineRule="auto"/>
        <w:ind w:left="833" w:hanging="720"/>
      </w:pPr>
      <w:r w:rsidRPr="00452C80">
        <w:rPr>
          <w:sz w:val="24"/>
          <w:szCs w:val="24"/>
        </w:rPr>
        <w:t xml:space="preserve">Carr, R., and White, H. (2023) Exploring sonographer emotional well-being: NHS sonographers’ experience of the restorative function of professional supervision. </w:t>
      </w:r>
      <w:r w:rsidRPr="00452C80">
        <w:rPr>
          <w:i/>
          <w:iCs/>
          <w:sz w:val="24"/>
          <w:szCs w:val="24"/>
        </w:rPr>
        <w:t>Ultrasound</w:t>
      </w:r>
      <w:r w:rsidRPr="00452C80">
        <w:rPr>
          <w:sz w:val="24"/>
          <w:szCs w:val="24"/>
        </w:rPr>
        <w:t xml:space="preserve">, </w:t>
      </w:r>
      <w:r w:rsidRPr="00452C80">
        <w:rPr>
          <w:b/>
          <w:bCs/>
          <w:sz w:val="24"/>
          <w:szCs w:val="24"/>
        </w:rPr>
        <w:t>31</w:t>
      </w:r>
      <w:r w:rsidRPr="00452C80">
        <w:rPr>
          <w:sz w:val="24"/>
          <w:szCs w:val="24"/>
        </w:rPr>
        <w:t>(2): pp.147-154.</w:t>
      </w:r>
      <w:r w:rsidRPr="00452C80">
        <w:t xml:space="preserve"> </w:t>
      </w:r>
      <w:hyperlink r:id="rId155" w:history="1">
        <w:r w:rsidR="00C62038" w:rsidRPr="00C62038">
          <w:rPr>
            <w:rStyle w:val="Hyperlink"/>
            <w:sz w:val="24"/>
            <w:szCs w:val="24"/>
          </w:rPr>
          <w:t>https://doi.org/10.1177/1742271X221131482</w:t>
        </w:r>
      </w:hyperlink>
    </w:p>
    <w:p w14:paraId="2A934A05" w14:textId="159478A9" w:rsidR="00640A2D" w:rsidRPr="00452C80" w:rsidRDefault="00640A2D" w:rsidP="00AB4D10">
      <w:pPr>
        <w:spacing w:line="360" w:lineRule="auto"/>
        <w:ind w:left="833" w:hanging="720"/>
        <w:rPr>
          <w:sz w:val="24"/>
          <w:szCs w:val="24"/>
        </w:rPr>
      </w:pPr>
      <w:r w:rsidRPr="00452C80">
        <w:rPr>
          <w:sz w:val="24"/>
          <w:szCs w:val="24"/>
        </w:rPr>
        <w:lastRenderedPageBreak/>
        <w:t xml:space="preserve">Carroll, M. (2007) One More Time: What is supervision? </w:t>
      </w:r>
      <w:r w:rsidRPr="00452C80">
        <w:rPr>
          <w:i/>
          <w:iCs/>
          <w:sz w:val="24"/>
          <w:szCs w:val="24"/>
        </w:rPr>
        <w:t>Psychotherapy in Australia</w:t>
      </w:r>
      <w:r w:rsidRPr="00452C80">
        <w:rPr>
          <w:sz w:val="24"/>
          <w:szCs w:val="24"/>
        </w:rPr>
        <w:t xml:space="preserve">, </w:t>
      </w:r>
      <w:r w:rsidRPr="00452C80">
        <w:rPr>
          <w:b/>
          <w:bCs/>
          <w:sz w:val="24"/>
          <w:szCs w:val="24"/>
        </w:rPr>
        <w:t>13</w:t>
      </w:r>
      <w:r w:rsidRPr="00452C80">
        <w:rPr>
          <w:sz w:val="24"/>
          <w:szCs w:val="24"/>
        </w:rPr>
        <w:t>(3): pp.34-40.</w:t>
      </w:r>
      <w:r w:rsidRPr="00452C80">
        <w:rPr>
          <w:rFonts w:ascii="Courier New" w:hAnsi="Courier New" w:cs="Courier New"/>
          <w:sz w:val="18"/>
          <w:szCs w:val="18"/>
          <w:shd w:val="clear" w:color="auto" w:fill="F9F9F9"/>
        </w:rPr>
        <w:t xml:space="preserve"> </w:t>
      </w:r>
      <w:hyperlink r:id="rId156" w:history="1">
        <w:r w:rsidR="005B5B8A" w:rsidRPr="005B5B8A">
          <w:rPr>
            <w:rFonts w:ascii="Calibri" w:eastAsia="Calibri" w:hAnsi="Calibri" w:cs="Times New Roman"/>
            <w:color w:val="0563C1"/>
            <w:sz w:val="24"/>
            <w:szCs w:val="24"/>
            <w:u w:val="single"/>
          </w:rPr>
          <w:t>https://search.informit.org/doi/10.3316/informit.545114241962796</w:t>
        </w:r>
      </w:hyperlink>
    </w:p>
    <w:p w14:paraId="6F8B5B0F" w14:textId="7F8B1841" w:rsidR="00640A2D" w:rsidRPr="00452C80" w:rsidRDefault="00640A2D" w:rsidP="00AB4D10">
      <w:pPr>
        <w:spacing w:line="360" w:lineRule="auto"/>
        <w:ind w:left="833" w:hanging="720"/>
        <w:rPr>
          <w:sz w:val="24"/>
          <w:szCs w:val="24"/>
        </w:rPr>
      </w:pPr>
      <w:r w:rsidRPr="00452C80">
        <w:rPr>
          <w:sz w:val="24"/>
          <w:szCs w:val="24"/>
        </w:rPr>
        <w:t xml:space="preserve">Carroll, C., Brackenbury, G., Lee, F., Esposito, R., and O’Brien, T. (2020) </w:t>
      </w:r>
      <w:r w:rsidRPr="00452C80">
        <w:rPr>
          <w:i/>
          <w:iCs/>
          <w:sz w:val="24"/>
          <w:szCs w:val="24"/>
        </w:rPr>
        <w:t>Professional Supervision:  Guidance for SENCOs and school leaders.</w:t>
      </w:r>
      <w:r w:rsidRPr="00452C80">
        <w:rPr>
          <w:sz w:val="24"/>
          <w:szCs w:val="24"/>
        </w:rPr>
        <w:t xml:space="preserve"> London: Institute of Education, UCL. </w:t>
      </w:r>
      <w:hyperlink r:id="rId157" w:history="1">
        <w:r w:rsidR="006D6068" w:rsidRPr="006D6068">
          <w:rPr>
            <w:rStyle w:val="Hyperlink"/>
            <w:sz w:val="24"/>
            <w:szCs w:val="24"/>
          </w:rPr>
          <w:t>https://discovery.ucl.ac.uk/id/eprint/10090818/1/Carroll_SENCO%20Supervision%20Guidance%20February%202020.pdf</w:t>
        </w:r>
      </w:hyperlink>
    </w:p>
    <w:p w14:paraId="503145F6" w14:textId="0472700F" w:rsidR="00640A2D" w:rsidRPr="00452C80" w:rsidRDefault="00640A2D" w:rsidP="00AB4D10">
      <w:pPr>
        <w:spacing w:line="360" w:lineRule="auto"/>
        <w:ind w:left="833" w:hanging="720"/>
        <w:rPr>
          <w:sz w:val="24"/>
          <w:szCs w:val="24"/>
        </w:rPr>
      </w:pPr>
      <w:r w:rsidRPr="00452C80">
        <w:rPr>
          <w:sz w:val="24"/>
          <w:szCs w:val="24"/>
        </w:rPr>
        <w:t>Casement, P.</w:t>
      </w:r>
      <w:r w:rsidR="00471349">
        <w:rPr>
          <w:sz w:val="24"/>
          <w:szCs w:val="24"/>
        </w:rPr>
        <w:t xml:space="preserve"> </w:t>
      </w:r>
      <w:r w:rsidRPr="00452C80">
        <w:rPr>
          <w:sz w:val="24"/>
          <w:szCs w:val="24"/>
        </w:rPr>
        <w:t xml:space="preserve">J. (1985/1991) </w:t>
      </w:r>
      <w:r w:rsidRPr="00452C80">
        <w:rPr>
          <w:i/>
          <w:iCs/>
          <w:sz w:val="24"/>
          <w:szCs w:val="24"/>
        </w:rPr>
        <w:t>Learning from the Patient</w:t>
      </w:r>
      <w:r w:rsidRPr="00452C80">
        <w:rPr>
          <w:sz w:val="24"/>
          <w:szCs w:val="24"/>
        </w:rPr>
        <w:t>. NJ: The Guilford Press.</w:t>
      </w:r>
    </w:p>
    <w:p w14:paraId="2D507D8D" w14:textId="77777777" w:rsidR="00640A2D" w:rsidRPr="00452C80" w:rsidRDefault="00640A2D" w:rsidP="00AB4D10">
      <w:pPr>
        <w:spacing w:line="360" w:lineRule="auto"/>
        <w:ind w:left="833" w:hanging="720"/>
        <w:rPr>
          <w:bCs/>
          <w:sz w:val="24"/>
          <w:szCs w:val="24"/>
        </w:rPr>
      </w:pPr>
      <w:r w:rsidRPr="00452C80">
        <w:rPr>
          <w:bCs/>
          <w:sz w:val="24"/>
          <w:szCs w:val="24"/>
        </w:rPr>
        <w:t xml:space="preserve">Cashdan, S. (1999) </w:t>
      </w:r>
      <w:r w:rsidRPr="00452C80">
        <w:rPr>
          <w:bCs/>
          <w:i/>
          <w:sz w:val="24"/>
          <w:szCs w:val="24"/>
        </w:rPr>
        <w:t>The Witch Must Die: The Hidden Meaning of Fairy Tales</w:t>
      </w:r>
      <w:r w:rsidRPr="00452C80">
        <w:rPr>
          <w:bCs/>
          <w:sz w:val="24"/>
          <w:szCs w:val="24"/>
        </w:rPr>
        <w:t xml:space="preserve">. New York: Basic </w:t>
      </w:r>
      <w:r w:rsidRPr="00452C80">
        <w:rPr>
          <w:bCs/>
          <w:sz w:val="24"/>
          <w:szCs w:val="24"/>
        </w:rPr>
        <w:tab/>
        <w:t xml:space="preserve">Books. </w:t>
      </w:r>
    </w:p>
    <w:p w14:paraId="03ED4F3C" w14:textId="77777777" w:rsidR="00640A2D" w:rsidRPr="00452C80" w:rsidRDefault="00640A2D" w:rsidP="00AB4D10">
      <w:pPr>
        <w:spacing w:line="360" w:lineRule="auto"/>
        <w:ind w:left="833" w:hanging="720"/>
        <w:rPr>
          <w:bCs/>
          <w:sz w:val="24"/>
          <w:szCs w:val="24"/>
        </w:rPr>
      </w:pPr>
      <w:r w:rsidRPr="00452C80">
        <w:rPr>
          <w:bCs/>
          <w:sz w:val="24"/>
          <w:szCs w:val="24"/>
        </w:rPr>
        <w:t xml:space="preserve">Cavafy, C.P. (1975/1992) </w:t>
      </w:r>
      <w:r w:rsidRPr="00452C80">
        <w:rPr>
          <w:bCs/>
          <w:i/>
          <w:iCs/>
          <w:sz w:val="24"/>
          <w:szCs w:val="24"/>
        </w:rPr>
        <w:t>Collected Poems</w:t>
      </w:r>
      <w:r w:rsidRPr="00452C80">
        <w:rPr>
          <w:bCs/>
          <w:sz w:val="24"/>
          <w:szCs w:val="24"/>
        </w:rPr>
        <w:t xml:space="preserve">. (Trans. Edmund Keeley and Philip Sherrard). USA: </w:t>
      </w:r>
      <w:r w:rsidRPr="00452C80">
        <w:rPr>
          <w:bCs/>
          <w:sz w:val="24"/>
          <w:szCs w:val="24"/>
        </w:rPr>
        <w:tab/>
        <w:t>Princeton University Press.</w:t>
      </w:r>
    </w:p>
    <w:p w14:paraId="6590EFD4" w14:textId="77777777" w:rsidR="00640A2D" w:rsidRPr="00452C80" w:rsidRDefault="00640A2D" w:rsidP="00AB4D10">
      <w:pPr>
        <w:spacing w:line="360" w:lineRule="auto"/>
        <w:ind w:left="833" w:hanging="720"/>
        <w:rPr>
          <w:sz w:val="24"/>
          <w:szCs w:val="24"/>
        </w:rPr>
      </w:pPr>
      <w:r w:rsidRPr="00452C80">
        <w:rPr>
          <w:sz w:val="24"/>
          <w:szCs w:val="24"/>
        </w:rPr>
        <w:t xml:space="preserve">Chappell, C., Rhodes, C., Solomon, N., Tennant, M., and Yeates, L. (2003) </w:t>
      </w:r>
      <w:r w:rsidRPr="00452C80">
        <w:rPr>
          <w:i/>
          <w:iCs/>
          <w:sz w:val="24"/>
          <w:szCs w:val="24"/>
        </w:rPr>
        <w:t>Reconstructing the Lifelong Learner</w:t>
      </w:r>
      <w:r w:rsidRPr="00452C80">
        <w:rPr>
          <w:sz w:val="24"/>
          <w:szCs w:val="24"/>
        </w:rPr>
        <w:t xml:space="preserve">. Abingdon: Routledge Falmer. </w:t>
      </w:r>
    </w:p>
    <w:p w14:paraId="044D978C" w14:textId="77777777" w:rsidR="00640A2D" w:rsidRPr="00452C80" w:rsidRDefault="00640A2D" w:rsidP="00AB4D10">
      <w:pPr>
        <w:spacing w:line="360" w:lineRule="auto"/>
        <w:ind w:left="833" w:hanging="720"/>
        <w:rPr>
          <w:sz w:val="24"/>
          <w:szCs w:val="24"/>
        </w:rPr>
      </w:pPr>
      <w:r w:rsidRPr="00452C80">
        <w:rPr>
          <w:sz w:val="24"/>
          <w:szCs w:val="24"/>
        </w:rPr>
        <w:t xml:space="preserve">Charles, D. (2025) Written Codes Cannot Always Fully Capture the Complexity of a Situation. In </w:t>
      </w:r>
      <w:r w:rsidRPr="00452C80">
        <w:rPr>
          <w:i/>
          <w:iCs/>
          <w:sz w:val="24"/>
          <w:szCs w:val="24"/>
        </w:rPr>
        <w:t>New Psychotherapist</w:t>
      </w:r>
      <w:r w:rsidRPr="00452C80">
        <w:rPr>
          <w:sz w:val="24"/>
          <w:szCs w:val="24"/>
        </w:rPr>
        <w:t xml:space="preserve">, </w:t>
      </w:r>
      <w:r w:rsidRPr="00452C80">
        <w:rPr>
          <w:i/>
          <w:iCs/>
          <w:sz w:val="24"/>
          <w:szCs w:val="24"/>
        </w:rPr>
        <w:t>The Magazine for Members of the UK Council for Psychotherapy</w:t>
      </w:r>
      <w:r w:rsidRPr="00452C80">
        <w:rPr>
          <w:sz w:val="24"/>
          <w:szCs w:val="24"/>
        </w:rPr>
        <w:t xml:space="preserve">, Issue 90, Autumn 2025: pp.34-37. </w:t>
      </w:r>
    </w:p>
    <w:p w14:paraId="2FBB8F2E" w14:textId="703C27E2" w:rsidR="00640A2D" w:rsidRPr="00452C80" w:rsidRDefault="00640A2D" w:rsidP="00AB4D10">
      <w:pPr>
        <w:spacing w:line="360" w:lineRule="auto"/>
        <w:ind w:left="833" w:hanging="720"/>
        <w:rPr>
          <w:b/>
          <w:bCs/>
          <w:sz w:val="24"/>
          <w:szCs w:val="24"/>
        </w:rPr>
      </w:pPr>
      <w:r w:rsidRPr="00452C80">
        <w:rPr>
          <w:sz w:val="24"/>
          <w:szCs w:val="24"/>
        </w:rPr>
        <w:t>Cillo, V.</w:t>
      </w:r>
      <w:r w:rsidR="00CF5D22">
        <w:rPr>
          <w:sz w:val="24"/>
          <w:szCs w:val="24"/>
        </w:rPr>
        <w:t>,</w:t>
      </w:r>
      <w:r w:rsidRPr="00452C80">
        <w:rPr>
          <w:sz w:val="24"/>
          <w:szCs w:val="24"/>
        </w:rPr>
        <w:t xml:space="preserve"> Garcia-Perez, A.</w:t>
      </w:r>
      <w:r w:rsidR="00562B5E">
        <w:rPr>
          <w:sz w:val="24"/>
          <w:szCs w:val="24"/>
        </w:rPr>
        <w:t xml:space="preserve">, </w:t>
      </w:r>
      <w:r w:rsidRPr="00452C80">
        <w:rPr>
          <w:sz w:val="24"/>
          <w:szCs w:val="24"/>
        </w:rPr>
        <w:t>Del Giudice, M., and Vicentini, F.</w:t>
      </w:r>
      <w:r w:rsidRPr="00452C80">
        <w:rPr>
          <w:b/>
          <w:bCs/>
          <w:sz w:val="24"/>
          <w:szCs w:val="24"/>
        </w:rPr>
        <w:t xml:space="preserve"> </w:t>
      </w:r>
      <w:r w:rsidRPr="00452C80">
        <w:rPr>
          <w:sz w:val="24"/>
          <w:szCs w:val="24"/>
        </w:rPr>
        <w:t>(2019)</w:t>
      </w:r>
      <w:r w:rsidRPr="00A1410C">
        <w:rPr>
          <w:b/>
          <w:bCs/>
          <w:sz w:val="24"/>
          <w:szCs w:val="24"/>
        </w:rPr>
        <w:t xml:space="preserve"> </w:t>
      </w:r>
      <w:r w:rsidRPr="00A1410C">
        <w:rPr>
          <w:sz w:val="24"/>
          <w:szCs w:val="24"/>
        </w:rPr>
        <w:t>B</w:t>
      </w:r>
      <w:hyperlink r:id="rId158" w:history="1">
        <w:r w:rsidRPr="00A1410C">
          <w:rPr>
            <w:rStyle w:val="Hyperlink"/>
            <w:color w:val="auto"/>
            <w:sz w:val="24"/>
            <w:szCs w:val="24"/>
            <w:u w:val="none"/>
          </w:rPr>
          <w:t>lue-collar workers, career success and innovation in manufacturing</w:t>
        </w:r>
      </w:hyperlink>
      <w:r w:rsidRPr="00A1410C">
        <w:rPr>
          <w:sz w:val="24"/>
          <w:szCs w:val="24"/>
        </w:rPr>
        <w:t xml:space="preserve">. </w:t>
      </w:r>
      <w:r w:rsidRPr="00452C80">
        <w:rPr>
          <w:i/>
          <w:iCs/>
          <w:sz w:val="24"/>
          <w:szCs w:val="24"/>
        </w:rPr>
        <w:t>Career Development</w:t>
      </w:r>
      <w:r w:rsidRPr="00452C80">
        <w:rPr>
          <w:b/>
          <w:bCs/>
          <w:i/>
          <w:iCs/>
          <w:sz w:val="24"/>
          <w:szCs w:val="24"/>
        </w:rPr>
        <w:t xml:space="preserve"> </w:t>
      </w:r>
      <w:r w:rsidRPr="00452C80">
        <w:rPr>
          <w:i/>
          <w:iCs/>
          <w:sz w:val="24"/>
          <w:szCs w:val="24"/>
        </w:rPr>
        <w:t>International</w:t>
      </w:r>
      <w:r w:rsidRPr="00452C80">
        <w:rPr>
          <w:sz w:val="24"/>
          <w:szCs w:val="24"/>
        </w:rPr>
        <w:t xml:space="preserve">, 2019-10, </w:t>
      </w:r>
      <w:r w:rsidRPr="00452C80">
        <w:rPr>
          <w:b/>
          <w:bCs/>
          <w:sz w:val="24"/>
          <w:szCs w:val="24"/>
        </w:rPr>
        <w:t>24</w:t>
      </w:r>
      <w:r w:rsidRPr="00452C80">
        <w:rPr>
          <w:sz w:val="24"/>
          <w:szCs w:val="24"/>
        </w:rPr>
        <w:t>(6): pp.529-544</w:t>
      </w:r>
      <w:r w:rsidRPr="00452C80">
        <w:rPr>
          <w:b/>
          <w:bCs/>
          <w:sz w:val="24"/>
          <w:szCs w:val="24"/>
        </w:rPr>
        <w:t xml:space="preserve">. </w:t>
      </w:r>
      <w:hyperlink r:id="rId159" w:tgtFrame="_blank" w:history="1">
        <w:r w:rsidR="00A1410C" w:rsidRPr="00A1410C">
          <w:rPr>
            <w:rFonts w:ascii="Calibri" w:eastAsia="Calibri" w:hAnsi="Calibri" w:cs="Times New Roman"/>
            <w:color w:val="0563C1"/>
            <w:sz w:val="24"/>
            <w:szCs w:val="24"/>
            <w:u w:val="single"/>
          </w:rPr>
          <w:t>https://doi.org/10.1108/CDI-11-2018-0276</w:t>
        </w:r>
      </w:hyperlink>
    </w:p>
    <w:p w14:paraId="031622DF" w14:textId="77777777" w:rsidR="00640A2D" w:rsidRPr="00452C80" w:rsidRDefault="00640A2D" w:rsidP="00AB4D10">
      <w:pPr>
        <w:spacing w:line="360" w:lineRule="auto"/>
        <w:ind w:left="833" w:hanging="720"/>
        <w:rPr>
          <w:bCs/>
          <w:sz w:val="24"/>
          <w:szCs w:val="24"/>
        </w:rPr>
      </w:pPr>
      <w:r w:rsidRPr="00452C80">
        <w:rPr>
          <w:bCs/>
          <w:sz w:val="24"/>
          <w:szCs w:val="24"/>
        </w:rPr>
        <w:t>Clark, T., Foster, L., and Bryman, A. (2019)</w:t>
      </w:r>
      <w:r w:rsidRPr="00452C80">
        <w:rPr>
          <w:rFonts w:ascii="Times New Roman" w:eastAsia="Times New Roman" w:hAnsi="Times New Roman" w:cs="Times New Roman"/>
          <w:kern w:val="36"/>
          <w:sz w:val="48"/>
          <w:szCs w:val="48"/>
          <w:lang w:eastAsia="en-GB"/>
        </w:rPr>
        <w:t xml:space="preserve"> </w:t>
      </w:r>
      <w:r w:rsidRPr="00452C80">
        <w:rPr>
          <w:bCs/>
          <w:i/>
          <w:iCs/>
          <w:sz w:val="24"/>
          <w:szCs w:val="24"/>
        </w:rPr>
        <w:t>How to Do Your Social Research Project or Dissertation</w:t>
      </w:r>
      <w:r w:rsidRPr="00452C80">
        <w:rPr>
          <w:bCs/>
          <w:sz w:val="24"/>
          <w:szCs w:val="24"/>
        </w:rPr>
        <w:t>. Oxford:</w:t>
      </w:r>
      <w:r w:rsidRPr="00452C80">
        <w:rPr>
          <w:rFonts w:ascii="Arial" w:hAnsi="Arial" w:cs="Arial"/>
          <w:sz w:val="20"/>
          <w:szCs w:val="20"/>
          <w:shd w:val="clear" w:color="auto" w:fill="FFFFFF"/>
        </w:rPr>
        <w:t xml:space="preserve"> O</w:t>
      </w:r>
      <w:r w:rsidRPr="00452C80">
        <w:rPr>
          <w:bCs/>
          <w:sz w:val="24"/>
          <w:szCs w:val="24"/>
        </w:rPr>
        <w:t>xford University Press</w:t>
      </w:r>
    </w:p>
    <w:p w14:paraId="31750246" w14:textId="4234539E" w:rsidR="00B233AD" w:rsidRDefault="00B233AD" w:rsidP="00B233AD">
      <w:pPr>
        <w:spacing w:line="360" w:lineRule="auto"/>
        <w:ind w:left="833" w:hanging="720"/>
        <w:rPr>
          <w:bCs/>
          <w:sz w:val="24"/>
          <w:szCs w:val="24"/>
        </w:rPr>
      </w:pPr>
      <w:r w:rsidRPr="00B233AD">
        <w:rPr>
          <w:bCs/>
          <w:sz w:val="24"/>
          <w:szCs w:val="24"/>
        </w:rPr>
        <w:t>Clarke, B. (2021) Coaching school leaders: a psychoanalytic approach. In C. Arnold, D. Bartle, and X. Eloquin (</w:t>
      </w:r>
      <w:r w:rsidR="00C3465F">
        <w:rPr>
          <w:bCs/>
          <w:sz w:val="24"/>
          <w:szCs w:val="24"/>
        </w:rPr>
        <w:t>e</w:t>
      </w:r>
      <w:r w:rsidRPr="00B233AD">
        <w:rPr>
          <w:bCs/>
          <w:sz w:val="24"/>
          <w:szCs w:val="24"/>
        </w:rPr>
        <w:t>d</w:t>
      </w:r>
      <w:r w:rsidR="00C3465F">
        <w:rPr>
          <w:bCs/>
          <w:sz w:val="24"/>
          <w:szCs w:val="24"/>
        </w:rPr>
        <w:t>s</w:t>
      </w:r>
      <w:r w:rsidRPr="00B233AD">
        <w:rPr>
          <w:bCs/>
          <w:sz w:val="24"/>
          <w:szCs w:val="24"/>
        </w:rPr>
        <w:t xml:space="preserve">) </w:t>
      </w:r>
      <w:r w:rsidRPr="00B233AD">
        <w:rPr>
          <w:bCs/>
          <w:i/>
          <w:iCs/>
          <w:sz w:val="24"/>
          <w:szCs w:val="24"/>
        </w:rPr>
        <w:t>Learning from the Unconscious: Psychoanalytical Approaches in Educational Psychology.</w:t>
      </w:r>
      <w:r w:rsidRPr="00B233AD">
        <w:rPr>
          <w:bCs/>
          <w:sz w:val="24"/>
          <w:szCs w:val="24"/>
        </w:rPr>
        <w:t xml:space="preserve"> London: Karnac Books.</w:t>
      </w:r>
    </w:p>
    <w:p w14:paraId="03448A1A" w14:textId="4E2D0DBE" w:rsidR="00640A2D" w:rsidRPr="00452C80" w:rsidRDefault="00640A2D" w:rsidP="00AB4D10">
      <w:pPr>
        <w:spacing w:line="360" w:lineRule="auto"/>
        <w:ind w:left="833" w:hanging="720"/>
        <w:rPr>
          <w:bCs/>
          <w:sz w:val="24"/>
          <w:szCs w:val="24"/>
        </w:rPr>
      </w:pPr>
      <w:r w:rsidRPr="00452C80">
        <w:rPr>
          <w:bCs/>
          <w:sz w:val="24"/>
          <w:szCs w:val="24"/>
        </w:rPr>
        <w:lastRenderedPageBreak/>
        <w:t xml:space="preserve">Clarke, T. R. (2020) </w:t>
      </w:r>
      <w:r w:rsidRPr="00452C80">
        <w:rPr>
          <w:bCs/>
          <w:i/>
          <w:iCs/>
          <w:sz w:val="24"/>
          <w:szCs w:val="24"/>
        </w:rPr>
        <w:t>The Full Stages of Psychological Safety: Defining the path to inclusion and innovation</w:t>
      </w:r>
      <w:r w:rsidRPr="00452C80">
        <w:rPr>
          <w:bCs/>
          <w:sz w:val="24"/>
          <w:szCs w:val="24"/>
        </w:rPr>
        <w:t>. Oakland (CA): Berrett-Koehler publishers Inc.</w:t>
      </w:r>
    </w:p>
    <w:p w14:paraId="0471BB54" w14:textId="77777777" w:rsidR="00640A2D" w:rsidRPr="00452C80" w:rsidRDefault="00640A2D" w:rsidP="00AB4D10">
      <w:pPr>
        <w:spacing w:line="360" w:lineRule="auto"/>
        <w:ind w:left="833" w:hanging="720"/>
        <w:rPr>
          <w:bCs/>
          <w:sz w:val="24"/>
          <w:szCs w:val="24"/>
        </w:rPr>
      </w:pPr>
      <w:r w:rsidRPr="00452C80">
        <w:rPr>
          <w:bCs/>
          <w:sz w:val="24"/>
          <w:szCs w:val="24"/>
        </w:rPr>
        <w:t xml:space="preserve">Clinton, H. R. (1996) </w:t>
      </w:r>
      <w:r w:rsidRPr="00452C80">
        <w:rPr>
          <w:bCs/>
          <w:i/>
          <w:iCs/>
          <w:sz w:val="24"/>
          <w:szCs w:val="24"/>
        </w:rPr>
        <w:t>It Takes a Village: And Other Lessons Children Teach Us</w:t>
      </w:r>
      <w:r w:rsidRPr="00452C80">
        <w:rPr>
          <w:bCs/>
          <w:sz w:val="24"/>
          <w:szCs w:val="24"/>
        </w:rPr>
        <w:t>. New York: Simon and Shuster.</w:t>
      </w:r>
    </w:p>
    <w:p w14:paraId="2B09972D" w14:textId="7A81DA85" w:rsidR="00640A2D" w:rsidRPr="00452C80" w:rsidRDefault="00640A2D" w:rsidP="00AB4D10">
      <w:pPr>
        <w:spacing w:line="360" w:lineRule="auto"/>
        <w:ind w:left="833" w:hanging="720"/>
        <w:rPr>
          <w:bCs/>
          <w:sz w:val="24"/>
          <w:szCs w:val="24"/>
        </w:rPr>
      </w:pPr>
      <w:r w:rsidRPr="00452C80">
        <w:rPr>
          <w:bCs/>
          <w:sz w:val="24"/>
          <w:szCs w:val="24"/>
        </w:rPr>
        <w:t>Cochran, P. A. L., Marshall, C. A., Garcia-Downing, C., Kendall, E., Cook, D., McCubbin, L., and Gover, R. M. S. (2008)</w:t>
      </w:r>
      <w:r w:rsidR="0031749C">
        <w:rPr>
          <w:bCs/>
          <w:sz w:val="24"/>
          <w:szCs w:val="24"/>
        </w:rPr>
        <w:t xml:space="preserve"> </w:t>
      </w:r>
      <w:r w:rsidRPr="00452C80">
        <w:rPr>
          <w:bCs/>
          <w:sz w:val="24"/>
          <w:szCs w:val="24"/>
        </w:rPr>
        <w:t xml:space="preserve">Indigenous ways of knowing: implications for participatory research and community. </w:t>
      </w:r>
      <w:r w:rsidRPr="00452C80">
        <w:rPr>
          <w:bCs/>
          <w:i/>
          <w:iCs/>
          <w:sz w:val="24"/>
          <w:szCs w:val="24"/>
        </w:rPr>
        <w:t>American Journal of Public Health</w:t>
      </w:r>
      <w:r w:rsidRPr="00452C80">
        <w:rPr>
          <w:bCs/>
          <w:sz w:val="24"/>
          <w:szCs w:val="24"/>
        </w:rPr>
        <w:t xml:space="preserve">, </w:t>
      </w:r>
      <w:r w:rsidRPr="00452C80">
        <w:rPr>
          <w:b/>
          <w:sz w:val="24"/>
          <w:szCs w:val="24"/>
        </w:rPr>
        <w:t>98</w:t>
      </w:r>
      <w:r w:rsidRPr="00452C80">
        <w:rPr>
          <w:bCs/>
          <w:sz w:val="24"/>
          <w:szCs w:val="24"/>
        </w:rPr>
        <w:t>(1): pp. 22-27.</w:t>
      </w:r>
      <w:r w:rsidR="00C1574A">
        <w:rPr>
          <w:bCs/>
          <w:sz w:val="24"/>
          <w:szCs w:val="24"/>
        </w:rPr>
        <w:t xml:space="preserve"> </w:t>
      </w:r>
      <w:r w:rsidR="00C1574A" w:rsidRPr="00C1574A">
        <w:rPr>
          <w:bCs/>
          <w:color w:val="0070C0"/>
          <w:sz w:val="24"/>
          <w:szCs w:val="24"/>
        </w:rPr>
        <w:t>DOI:</w:t>
      </w:r>
      <w:r w:rsidRPr="00C1574A">
        <w:rPr>
          <w:rFonts w:ascii="Segoe UI" w:eastAsia="Times New Roman" w:hAnsi="Segoe UI" w:cs="Segoe UI"/>
          <w:color w:val="0070C0"/>
          <w:sz w:val="24"/>
          <w:szCs w:val="24"/>
          <w:lang w:eastAsia="en-GB"/>
        </w:rPr>
        <w:t xml:space="preserve"> </w:t>
      </w:r>
      <w:hyperlink r:id="rId160" w:tgtFrame="_blank" w:history="1">
        <w:r w:rsidRPr="00C1574A">
          <w:rPr>
            <w:rStyle w:val="Hyperlink"/>
            <w:bCs/>
            <w:color w:val="0070C0"/>
            <w:sz w:val="24"/>
            <w:szCs w:val="24"/>
          </w:rPr>
          <w:t>10.2105/AJPH.2006.093641</w:t>
        </w:r>
      </w:hyperlink>
    </w:p>
    <w:p w14:paraId="5D8BFABC" w14:textId="77777777" w:rsidR="00640A2D" w:rsidRPr="00452C80" w:rsidRDefault="00640A2D" w:rsidP="00AB4D10">
      <w:pPr>
        <w:spacing w:line="360" w:lineRule="auto"/>
        <w:ind w:left="833" w:hanging="720"/>
        <w:rPr>
          <w:b/>
          <w:bCs/>
          <w:sz w:val="24"/>
          <w:szCs w:val="24"/>
        </w:rPr>
      </w:pPr>
      <w:r w:rsidRPr="00452C80">
        <w:rPr>
          <w:sz w:val="24"/>
          <w:szCs w:val="24"/>
        </w:rPr>
        <w:t xml:space="preserve">Cohen, L. (1992) </w:t>
      </w:r>
      <w:r w:rsidRPr="00452C80">
        <w:rPr>
          <w:i/>
          <w:iCs/>
          <w:sz w:val="24"/>
          <w:szCs w:val="24"/>
        </w:rPr>
        <w:t xml:space="preserve">Anthem, </w:t>
      </w:r>
      <w:r w:rsidRPr="00452C80">
        <w:rPr>
          <w:sz w:val="24"/>
          <w:szCs w:val="24"/>
        </w:rPr>
        <w:t>from the album</w:t>
      </w:r>
      <w:r w:rsidRPr="00452C80">
        <w:rPr>
          <w:i/>
          <w:iCs/>
          <w:sz w:val="24"/>
          <w:szCs w:val="24"/>
        </w:rPr>
        <w:t xml:space="preserve"> The Future</w:t>
      </w:r>
      <w:r w:rsidRPr="00452C80">
        <w:rPr>
          <w:sz w:val="24"/>
          <w:szCs w:val="24"/>
        </w:rPr>
        <w:t>. Columbia Record Label, Sony Music.</w:t>
      </w:r>
    </w:p>
    <w:p w14:paraId="5E1EE6AC" w14:textId="713E3F17" w:rsidR="00640A2D" w:rsidRPr="00452C80" w:rsidRDefault="00640A2D" w:rsidP="00AB4D10">
      <w:pPr>
        <w:spacing w:line="360" w:lineRule="auto"/>
        <w:ind w:left="833" w:hanging="720"/>
        <w:rPr>
          <w:sz w:val="24"/>
          <w:szCs w:val="24"/>
        </w:rPr>
      </w:pPr>
      <w:r w:rsidRPr="00452C80">
        <w:rPr>
          <w:sz w:val="24"/>
          <w:szCs w:val="24"/>
        </w:rPr>
        <w:t xml:space="preserve">Cohen, L., Mannion, L., and Morrison, K. (2019) </w:t>
      </w:r>
      <w:r w:rsidRPr="00452C80">
        <w:rPr>
          <w:i/>
          <w:iCs/>
          <w:sz w:val="24"/>
          <w:szCs w:val="24"/>
        </w:rPr>
        <w:t>Research Methods in Education</w:t>
      </w:r>
      <w:r w:rsidRPr="00452C80">
        <w:rPr>
          <w:sz w:val="24"/>
          <w:szCs w:val="24"/>
        </w:rPr>
        <w:t>. (</w:t>
      </w:r>
      <w:r w:rsidR="00BC3B0E">
        <w:rPr>
          <w:sz w:val="24"/>
          <w:szCs w:val="24"/>
        </w:rPr>
        <w:t>8</w:t>
      </w:r>
      <w:r w:rsidR="00BC3B0E" w:rsidRPr="00BC3B0E">
        <w:rPr>
          <w:sz w:val="24"/>
          <w:szCs w:val="24"/>
          <w:vertAlign w:val="superscript"/>
        </w:rPr>
        <w:t>th</w:t>
      </w:r>
      <w:r w:rsidR="00BC3B0E">
        <w:rPr>
          <w:sz w:val="24"/>
          <w:szCs w:val="24"/>
        </w:rPr>
        <w:t xml:space="preserve"> </w:t>
      </w:r>
      <w:r w:rsidRPr="00452C80">
        <w:rPr>
          <w:sz w:val="24"/>
          <w:szCs w:val="24"/>
        </w:rPr>
        <w:t xml:space="preserve">edition). Abingdon, Oxon: Routledge. </w:t>
      </w:r>
    </w:p>
    <w:p w14:paraId="62842F4C" w14:textId="5F577E36" w:rsidR="00640A2D" w:rsidRPr="00452C80" w:rsidRDefault="00640A2D" w:rsidP="00AB4D10">
      <w:pPr>
        <w:spacing w:line="360" w:lineRule="auto"/>
        <w:ind w:left="833" w:hanging="720"/>
        <w:rPr>
          <w:sz w:val="24"/>
          <w:szCs w:val="24"/>
        </w:rPr>
      </w:pPr>
      <w:r w:rsidRPr="00452C80">
        <w:rPr>
          <w:sz w:val="24"/>
          <w:szCs w:val="24"/>
        </w:rPr>
        <w:t>Colon-Gonzalez M.C., El Rayess, F., Guevara, S., and Anandarajah</w:t>
      </w:r>
      <w:r w:rsidR="0044059C">
        <w:rPr>
          <w:sz w:val="24"/>
          <w:szCs w:val="24"/>
        </w:rPr>
        <w:t>,</w:t>
      </w:r>
      <w:r w:rsidRPr="00452C80">
        <w:rPr>
          <w:sz w:val="24"/>
          <w:szCs w:val="24"/>
        </w:rPr>
        <w:t xml:space="preserve"> G. (2015) Successes, challenges and needs regarding rural health medical education in continental Central America: A literature review and narrative synthesis. </w:t>
      </w:r>
      <w:r w:rsidRPr="00452C80">
        <w:rPr>
          <w:i/>
          <w:iCs/>
          <w:sz w:val="24"/>
          <w:szCs w:val="24"/>
        </w:rPr>
        <w:t>Rural Remote Health</w:t>
      </w:r>
      <w:r w:rsidRPr="00452C80">
        <w:rPr>
          <w:sz w:val="24"/>
          <w:szCs w:val="24"/>
        </w:rPr>
        <w:t xml:space="preserve"> 2015, </w:t>
      </w:r>
      <w:r w:rsidRPr="00556726">
        <w:rPr>
          <w:b/>
          <w:bCs/>
          <w:sz w:val="24"/>
          <w:szCs w:val="24"/>
        </w:rPr>
        <w:t>15</w:t>
      </w:r>
      <w:r w:rsidRPr="00452C80">
        <w:rPr>
          <w:sz w:val="24"/>
          <w:szCs w:val="24"/>
        </w:rPr>
        <w:t xml:space="preserve">(3): p.p. 301–316. </w:t>
      </w:r>
      <w:hyperlink r:id="rId161" w:history="1">
        <w:r w:rsidR="00304C91" w:rsidRPr="00304C91">
          <w:rPr>
            <w:rFonts w:ascii="Calibri" w:eastAsia="Calibri" w:hAnsi="Calibri" w:cs="Times New Roman"/>
            <w:color w:val="0563C1"/>
            <w:sz w:val="24"/>
            <w:szCs w:val="24"/>
            <w:u w:val="single"/>
          </w:rPr>
          <w:t>https://doi.org/10.22605/RRH3361</w:t>
        </w:r>
      </w:hyperlink>
    </w:p>
    <w:p w14:paraId="3D195C17" w14:textId="77777777" w:rsidR="00215D42" w:rsidRPr="00215D42" w:rsidRDefault="00640A2D" w:rsidP="00215D42">
      <w:pPr>
        <w:spacing w:line="360" w:lineRule="auto"/>
        <w:ind w:left="833" w:hanging="720"/>
      </w:pPr>
      <w:r w:rsidRPr="00452C80">
        <w:rPr>
          <w:rFonts w:ascii="Calibri" w:eastAsia="Calibri" w:hAnsi="Calibri" w:cs="Times New Roman"/>
          <w:sz w:val="24"/>
          <w:szCs w:val="24"/>
        </w:rPr>
        <w:t xml:space="preserve">Collini, S. (2016) Who are the spongers now? </w:t>
      </w:r>
      <w:r w:rsidRPr="00452C80">
        <w:rPr>
          <w:rFonts w:ascii="Calibri" w:eastAsia="Calibri" w:hAnsi="Calibri" w:cs="Times New Roman"/>
          <w:i/>
          <w:iCs/>
          <w:sz w:val="24"/>
          <w:szCs w:val="24"/>
        </w:rPr>
        <w:t>London Review of Books</w:t>
      </w:r>
      <w:r w:rsidRPr="00452C80">
        <w:rPr>
          <w:rFonts w:ascii="Calibri" w:eastAsia="Calibri" w:hAnsi="Calibri" w:cs="Times New Roman"/>
          <w:sz w:val="24"/>
          <w:szCs w:val="24"/>
        </w:rPr>
        <w:t xml:space="preserve">, </w:t>
      </w:r>
      <w:r w:rsidRPr="00452C80">
        <w:rPr>
          <w:rFonts w:ascii="Calibri" w:eastAsia="Calibri" w:hAnsi="Calibri" w:cs="Times New Roman"/>
          <w:b/>
          <w:bCs/>
          <w:sz w:val="24"/>
          <w:szCs w:val="24"/>
        </w:rPr>
        <w:t>38</w:t>
      </w:r>
      <w:r w:rsidRPr="00452C80">
        <w:rPr>
          <w:rFonts w:ascii="Calibri" w:eastAsia="Calibri" w:hAnsi="Calibri" w:cs="Times New Roman"/>
          <w:sz w:val="24"/>
          <w:szCs w:val="24"/>
        </w:rPr>
        <w:t>(2): pp.33-37.</w:t>
      </w:r>
      <w:r w:rsidRPr="00452C80">
        <w:t xml:space="preserve"> </w:t>
      </w:r>
      <w:hyperlink r:id="rId162" w:history="1">
        <w:r w:rsidR="00215D42" w:rsidRPr="00215D42">
          <w:rPr>
            <w:rStyle w:val="Hyperlink"/>
            <w:sz w:val="24"/>
            <w:szCs w:val="24"/>
          </w:rPr>
          <w:t>https://www.lrb.co.uk/the-paper/v38/n02/stefan-collini/who-are-the-spongers-now</w:t>
        </w:r>
      </w:hyperlink>
    </w:p>
    <w:p w14:paraId="443C0DDB" w14:textId="5B9F2E97" w:rsidR="00640A2D" w:rsidRPr="00452C80" w:rsidRDefault="00640A2D" w:rsidP="006C4C13">
      <w:pPr>
        <w:spacing w:line="360" w:lineRule="auto"/>
        <w:ind w:left="833" w:hanging="720"/>
        <w:rPr>
          <w:sz w:val="24"/>
          <w:szCs w:val="24"/>
        </w:rPr>
      </w:pPr>
      <w:r w:rsidRPr="00452C80">
        <w:rPr>
          <w:rFonts w:ascii="Calibri" w:eastAsia="Calibri" w:hAnsi="Calibri" w:cs="Times New Roman"/>
          <w:sz w:val="24"/>
          <w:szCs w:val="24"/>
        </w:rPr>
        <w:t xml:space="preserve">Committee on Higher Education (1963) </w:t>
      </w:r>
      <w:r w:rsidRPr="00452C80">
        <w:rPr>
          <w:rFonts w:ascii="Calibri" w:eastAsia="Calibri" w:hAnsi="Calibri" w:cs="Times New Roman"/>
          <w:i/>
          <w:iCs/>
          <w:sz w:val="24"/>
          <w:szCs w:val="24"/>
        </w:rPr>
        <w:t>Higher Education: Report Cmnd 2154</w:t>
      </w:r>
      <w:r w:rsidRPr="00452C80">
        <w:rPr>
          <w:rFonts w:ascii="Calibri" w:eastAsia="Calibri" w:hAnsi="Calibri" w:cs="Times New Roman"/>
          <w:sz w:val="24"/>
          <w:szCs w:val="24"/>
        </w:rPr>
        <w:t>. London: Her</w:t>
      </w:r>
      <w:r w:rsidR="006C4C13">
        <w:rPr>
          <w:rFonts w:ascii="Calibri" w:eastAsia="Calibri" w:hAnsi="Calibri" w:cs="Times New Roman"/>
          <w:sz w:val="24"/>
          <w:szCs w:val="24"/>
        </w:rPr>
        <w:t xml:space="preserve"> </w:t>
      </w:r>
      <w:r w:rsidRPr="00452C80">
        <w:rPr>
          <w:rFonts w:ascii="Calibri" w:eastAsia="Calibri" w:hAnsi="Calibri" w:cs="Times New Roman"/>
          <w:sz w:val="24"/>
          <w:szCs w:val="24"/>
        </w:rPr>
        <w:t>Majesty’s Stationery Office.</w:t>
      </w:r>
    </w:p>
    <w:p w14:paraId="4EEC7542" w14:textId="3A91CB17" w:rsidR="00640A2D" w:rsidRPr="00452C80" w:rsidRDefault="00640A2D" w:rsidP="00AB4D10">
      <w:pPr>
        <w:spacing w:line="360" w:lineRule="auto"/>
        <w:ind w:left="833" w:hanging="720"/>
        <w:rPr>
          <w:sz w:val="24"/>
          <w:szCs w:val="24"/>
        </w:rPr>
      </w:pPr>
      <w:r w:rsidRPr="00452C80">
        <w:rPr>
          <w:sz w:val="24"/>
          <w:szCs w:val="24"/>
        </w:rPr>
        <w:t>Conant, R.</w:t>
      </w:r>
      <w:r w:rsidR="0044059C">
        <w:rPr>
          <w:sz w:val="24"/>
          <w:szCs w:val="24"/>
        </w:rPr>
        <w:t xml:space="preserve"> </w:t>
      </w:r>
      <w:r w:rsidRPr="00452C80">
        <w:rPr>
          <w:sz w:val="24"/>
          <w:szCs w:val="24"/>
        </w:rPr>
        <w:t xml:space="preserve">W. (1968) Black Power: Rhetoric and Reality. </w:t>
      </w:r>
      <w:r w:rsidRPr="00452C80">
        <w:rPr>
          <w:i/>
          <w:iCs/>
          <w:sz w:val="24"/>
          <w:szCs w:val="24"/>
        </w:rPr>
        <w:t>Urban Affairs Review</w:t>
      </w:r>
      <w:r w:rsidRPr="00452C80">
        <w:rPr>
          <w:sz w:val="24"/>
          <w:szCs w:val="24"/>
        </w:rPr>
        <w:t xml:space="preserve">, </w:t>
      </w:r>
      <w:r w:rsidRPr="00452C80">
        <w:rPr>
          <w:b/>
          <w:bCs/>
          <w:sz w:val="24"/>
          <w:szCs w:val="24"/>
        </w:rPr>
        <w:t>4</w:t>
      </w:r>
      <w:r w:rsidRPr="00452C80">
        <w:rPr>
          <w:sz w:val="24"/>
          <w:szCs w:val="24"/>
        </w:rPr>
        <w:t xml:space="preserve">(1): pp. 1963-67.  </w:t>
      </w:r>
      <w:r w:rsidRPr="008A61CC">
        <w:rPr>
          <w:color w:val="0070C0"/>
          <w:sz w:val="24"/>
          <w:szCs w:val="24"/>
        </w:rPr>
        <w:t xml:space="preserve"> </w:t>
      </w:r>
      <w:hyperlink r:id="rId163" w:history="1">
        <w:r w:rsidR="008A61CC" w:rsidRPr="008A61CC">
          <w:rPr>
            <w:rFonts w:ascii="Calibri" w:eastAsia="Calibri" w:hAnsi="Calibri" w:cs="Times New Roman"/>
            <w:color w:val="0070C0"/>
            <w:sz w:val="24"/>
            <w:szCs w:val="24"/>
            <w:u w:val="single"/>
          </w:rPr>
          <w:t>https://doi.org/10.1177/107808746800400103</w:t>
        </w:r>
      </w:hyperlink>
    </w:p>
    <w:p w14:paraId="605B31A0" w14:textId="77777777" w:rsidR="00640A2D" w:rsidRPr="00452C80" w:rsidRDefault="00640A2D" w:rsidP="00AB4D10">
      <w:pPr>
        <w:spacing w:line="360" w:lineRule="auto"/>
        <w:ind w:left="833" w:hanging="720"/>
        <w:rPr>
          <w:sz w:val="24"/>
          <w:szCs w:val="24"/>
        </w:rPr>
      </w:pPr>
      <w:r w:rsidRPr="00452C80">
        <w:rPr>
          <w:sz w:val="24"/>
          <w:szCs w:val="24"/>
        </w:rPr>
        <w:t xml:space="preserve">Connolly, W. E. (2002) </w:t>
      </w:r>
      <w:r w:rsidRPr="00452C80">
        <w:rPr>
          <w:i/>
          <w:iCs/>
          <w:sz w:val="24"/>
          <w:szCs w:val="24"/>
        </w:rPr>
        <w:t>Neuropolitics: Thinking, Culture, Speed</w:t>
      </w:r>
      <w:r w:rsidRPr="00452C80">
        <w:rPr>
          <w:sz w:val="24"/>
          <w:szCs w:val="24"/>
        </w:rPr>
        <w:t>. Minneapolis, USA and London: University of Minnesota Press.</w:t>
      </w:r>
    </w:p>
    <w:p w14:paraId="7D5F5F36" w14:textId="17C39221" w:rsidR="00640A2D" w:rsidRPr="00452C80" w:rsidRDefault="00640A2D" w:rsidP="00AB4D10">
      <w:pPr>
        <w:spacing w:line="360" w:lineRule="auto"/>
        <w:ind w:left="833" w:hanging="720"/>
        <w:rPr>
          <w:sz w:val="24"/>
          <w:szCs w:val="24"/>
        </w:rPr>
      </w:pPr>
      <w:r w:rsidRPr="00452C80">
        <w:rPr>
          <w:sz w:val="24"/>
          <w:szCs w:val="24"/>
        </w:rPr>
        <w:t xml:space="preserve">Coombs, A. W. (1972) Some basic concepts the teacher education. </w:t>
      </w:r>
      <w:r w:rsidRPr="00452C80">
        <w:rPr>
          <w:i/>
          <w:iCs/>
          <w:sz w:val="24"/>
          <w:szCs w:val="24"/>
        </w:rPr>
        <w:t>Journal of Teacher Education</w:t>
      </w:r>
      <w:r w:rsidRPr="00452C80">
        <w:rPr>
          <w:sz w:val="24"/>
          <w:szCs w:val="24"/>
        </w:rPr>
        <w:t xml:space="preserve">, </w:t>
      </w:r>
      <w:r w:rsidRPr="00452C80">
        <w:rPr>
          <w:b/>
          <w:bCs/>
          <w:sz w:val="24"/>
          <w:szCs w:val="24"/>
        </w:rPr>
        <w:t>23</w:t>
      </w:r>
      <w:r w:rsidRPr="00452C80">
        <w:rPr>
          <w:sz w:val="24"/>
          <w:szCs w:val="24"/>
        </w:rPr>
        <w:t>(3): pp. 286-290.</w:t>
      </w:r>
      <w:r w:rsidRPr="00724046">
        <w:rPr>
          <w:rFonts w:ascii="Source Sans Pro" w:eastAsia="Times New Roman" w:hAnsi="Source Sans Pro" w:cs="Times New Roman"/>
          <w:b/>
          <w:bCs/>
          <w:caps/>
          <w:color w:val="0070C0"/>
          <w:spacing w:val="17"/>
          <w:sz w:val="18"/>
          <w:szCs w:val="18"/>
          <w:lang w:eastAsia="en-GB"/>
        </w:rPr>
        <w:t xml:space="preserve"> </w:t>
      </w:r>
      <w:hyperlink r:id="rId164" w:history="1">
        <w:r w:rsidR="003A48B0" w:rsidRPr="003A48B0">
          <w:rPr>
            <w:rFonts w:ascii="Calibri" w:eastAsia="Calibri" w:hAnsi="Calibri" w:cs="Times New Roman"/>
            <w:color w:val="0563C1"/>
            <w:sz w:val="24"/>
            <w:szCs w:val="24"/>
            <w:u w:val="single"/>
          </w:rPr>
          <w:t>https://doi.org/10.1177/002248717202300304</w:t>
        </w:r>
      </w:hyperlink>
    </w:p>
    <w:p w14:paraId="4D249D62" w14:textId="77777777" w:rsidR="00640A2D" w:rsidRPr="00452C80" w:rsidRDefault="00640A2D" w:rsidP="00AB4D10">
      <w:pPr>
        <w:spacing w:line="360" w:lineRule="auto"/>
        <w:ind w:left="833" w:hanging="720"/>
        <w:rPr>
          <w:sz w:val="24"/>
          <w:szCs w:val="24"/>
        </w:rPr>
      </w:pPr>
      <w:r w:rsidRPr="00452C80">
        <w:rPr>
          <w:sz w:val="24"/>
          <w:szCs w:val="24"/>
        </w:rPr>
        <w:t xml:space="preserve">Cooper, M. (2012) </w:t>
      </w:r>
      <w:r w:rsidRPr="00452C80">
        <w:rPr>
          <w:i/>
          <w:iCs/>
          <w:sz w:val="24"/>
          <w:szCs w:val="24"/>
        </w:rPr>
        <w:t>Relational Depth: New perspectives and development</w:t>
      </w:r>
      <w:r w:rsidRPr="00452C80">
        <w:rPr>
          <w:sz w:val="24"/>
          <w:szCs w:val="24"/>
        </w:rPr>
        <w:t xml:space="preserve">. London: Palgrave. </w:t>
      </w:r>
    </w:p>
    <w:p w14:paraId="10B698F6" w14:textId="27A8F45D" w:rsidR="00640A2D" w:rsidRPr="00452C80" w:rsidRDefault="00640A2D" w:rsidP="00AB4D10">
      <w:pPr>
        <w:spacing w:line="360" w:lineRule="auto"/>
        <w:ind w:left="833" w:hanging="720"/>
        <w:rPr>
          <w:bCs/>
          <w:sz w:val="24"/>
          <w:szCs w:val="24"/>
        </w:rPr>
      </w:pPr>
      <w:r w:rsidRPr="00452C80">
        <w:rPr>
          <w:bCs/>
          <w:sz w:val="24"/>
          <w:szCs w:val="24"/>
        </w:rPr>
        <w:lastRenderedPageBreak/>
        <w:t xml:space="preserve">Corbin, J., and Morse, J. M. (2003) The Unstructured Interactive Interview: Issues of reciprocity and risks when dealing with sensitive topics. </w:t>
      </w:r>
      <w:r w:rsidRPr="00452C80">
        <w:rPr>
          <w:bCs/>
          <w:i/>
          <w:iCs/>
          <w:sz w:val="24"/>
          <w:szCs w:val="24"/>
        </w:rPr>
        <w:t>Qualitative Inquiry</w:t>
      </w:r>
      <w:r w:rsidRPr="00452C80">
        <w:rPr>
          <w:bCs/>
          <w:sz w:val="24"/>
          <w:szCs w:val="24"/>
        </w:rPr>
        <w:t xml:space="preserve">, </w:t>
      </w:r>
      <w:r w:rsidRPr="00452C80">
        <w:rPr>
          <w:b/>
          <w:sz w:val="24"/>
          <w:szCs w:val="24"/>
        </w:rPr>
        <w:t>9</w:t>
      </w:r>
      <w:r w:rsidRPr="00452C80">
        <w:rPr>
          <w:bCs/>
          <w:sz w:val="24"/>
          <w:szCs w:val="24"/>
        </w:rPr>
        <w:t>(3): pp. 335-54.</w:t>
      </w:r>
      <w:r w:rsidRPr="00452C80">
        <w:t xml:space="preserve"> </w:t>
      </w:r>
      <w:hyperlink r:id="rId165" w:history="1">
        <w:r w:rsidR="003A48B0" w:rsidRPr="003A48B0">
          <w:rPr>
            <w:rFonts w:ascii="Calibri" w:eastAsia="Calibri" w:hAnsi="Calibri" w:cs="Times New Roman"/>
            <w:color w:val="0563C1"/>
            <w:sz w:val="24"/>
            <w:szCs w:val="24"/>
            <w:u w:val="single"/>
          </w:rPr>
          <w:t>https://doi.org/10.1177/002248717202300304</w:t>
        </w:r>
      </w:hyperlink>
    </w:p>
    <w:p w14:paraId="4816DF79" w14:textId="77777777" w:rsidR="00640A2D" w:rsidRPr="00452C80" w:rsidRDefault="00640A2D" w:rsidP="00AB4D10">
      <w:pPr>
        <w:spacing w:line="360" w:lineRule="auto"/>
        <w:ind w:left="833" w:hanging="720"/>
        <w:rPr>
          <w:sz w:val="24"/>
          <w:szCs w:val="24"/>
        </w:rPr>
      </w:pPr>
      <w:r w:rsidRPr="00452C80">
        <w:rPr>
          <w:sz w:val="24"/>
          <w:szCs w:val="24"/>
        </w:rPr>
        <w:t xml:space="preserve">Coren, A. (1997) </w:t>
      </w:r>
      <w:r w:rsidRPr="00452C80">
        <w:rPr>
          <w:i/>
          <w:iCs/>
          <w:sz w:val="24"/>
          <w:szCs w:val="24"/>
        </w:rPr>
        <w:t>A Psychodynamic Approach to Education.</w:t>
      </w:r>
      <w:r w:rsidRPr="00452C80">
        <w:rPr>
          <w:sz w:val="24"/>
          <w:szCs w:val="24"/>
        </w:rPr>
        <w:t xml:space="preserve"> London: Sheldon Press.</w:t>
      </w:r>
    </w:p>
    <w:p w14:paraId="3087F116" w14:textId="77777777" w:rsidR="00640A2D" w:rsidRPr="00452C80" w:rsidRDefault="00640A2D" w:rsidP="00AB4D10">
      <w:pPr>
        <w:spacing w:line="360" w:lineRule="auto"/>
        <w:ind w:left="833" w:hanging="720"/>
        <w:rPr>
          <w:sz w:val="24"/>
          <w:szCs w:val="24"/>
        </w:rPr>
      </w:pPr>
      <w:r w:rsidRPr="00452C80">
        <w:rPr>
          <w:sz w:val="24"/>
          <w:szCs w:val="24"/>
        </w:rPr>
        <w:t xml:space="preserve">Cornaglia, F., Crivellaro, E., and McNally, S. (2015) IZA DP No. 6452: Mental Health and Education Decisions. </w:t>
      </w:r>
      <w:r w:rsidRPr="00452C80">
        <w:rPr>
          <w:i/>
          <w:iCs/>
          <w:sz w:val="24"/>
          <w:szCs w:val="24"/>
        </w:rPr>
        <w:t>Labour Economics</w:t>
      </w:r>
      <w:r w:rsidRPr="00452C80">
        <w:rPr>
          <w:sz w:val="24"/>
          <w:szCs w:val="24"/>
        </w:rPr>
        <w:t xml:space="preserve">, 33: pp.1-12. </w:t>
      </w:r>
      <w:hyperlink r:id="rId166" w:history="1">
        <w:r w:rsidRPr="00E304B8">
          <w:rPr>
            <w:rStyle w:val="Hyperlink"/>
            <w:color w:val="0070C0"/>
            <w:sz w:val="24"/>
            <w:szCs w:val="24"/>
          </w:rPr>
          <w:t>https://www.iza.org/publications/dp/6452/mental-health-and-education-decisions</w:t>
        </w:r>
      </w:hyperlink>
    </w:p>
    <w:p w14:paraId="6A38A172" w14:textId="63DD044C" w:rsidR="00640A2D" w:rsidRPr="00452C80" w:rsidRDefault="00640A2D" w:rsidP="00AB4D10">
      <w:pPr>
        <w:spacing w:line="360" w:lineRule="auto"/>
        <w:ind w:left="833" w:hanging="720"/>
        <w:rPr>
          <w:sz w:val="24"/>
          <w:szCs w:val="24"/>
        </w:rPr>
      </w:pPr>
      <w:r w:rsidRPr="00452C80">
        <w:rPr>
          <w:sz w:val="24"/>
          <w:szCs w:val="24"/>
        </w:rPr>
        <w:t xml:space="preserve">Costley, C., Elliott, G., and Gibbs, P. (2010) </w:t>
      </w:r>
      <w:r w:rsidRPr="00452C80">
        <w:rPr>
          <w:i/>
          <w:iCs/>
          <w:sz w:val="24"/>
          <w:szCs w:val="24"/>
        </w:rPr>
        <w:t>Doing Work Based Research: Approaches to Enquiry for Insider-Researchers.</w:t>
      </w:r>
      <w:r w:rsidRPr="00452C80">
        <w:rPr>
          <w:sz w:val="24"/>
          <w:szCs w:val="24"/>
        </w:rPr>
        <w:t xml:space="preserve"> Los Angeles: Sage.</w:t>
      </w:r>
    </w:p>
    <w:p w14:paraId="1996850F" w14:textId="77777777" w:rsidR="00640A2D" w:rsidRPr="00452C80" w:rsidRDefault="00640A2D" w:rsidP="00E304B8">
      <w:pPr>
        <w:spacing w:line="360" w:lineRule="auto"/>
        <w:ind w:left="833" w:hanging="720"/>
        <w:rPr>
          <w:sz w:val="24"/>
          <w:szCs w:val="24"/>
        </w:rPr>
      </w:pPr>
      <w:r w:rsidRPr="00452C80">
        <w:rPr>
          <w:sz w:val="24"/>
          <w:szCs w:val="24"/>
        </w:rPr>
        <w:t xml:space="preserve">Cowan, J. (1998) </w:t>
      </w:r>
      <w:r w:rsidRPr="00452C80">
        <w:rPr>
          <w:i/>
          <w:iCs/>
          <w:sz w:val="24"/>
          <w:szCs w:val="24"/>
        </w:rPr>
        <w:t>On Becoming an Innovative University Teacher: Reflection in/or on action.</w:t>
      </w:r>
      <w:r w:rsidRPr="00452C80">
        <w:rPr>
          <w:sz w:val="24"/>
          <w:szCs w:val="24"/>
        </w:rPr>
        <w:t xml:space="preserve"> Buckingham: SRHE/Open University press.</w:t>
      </w:r>
    </w:p>
    <w:p w14:paraId="3E7B407B" w14:textId="77777777" w:rsidR="00640A2D" w:rsidRPr="00452C80" w:rsidRDefault="00640A2D" w:rsidP="00E304B8">
      <w:pPr>
        <w:spacing w:line="360" w:lineRule="auto"/>
        <w:ind w:left="833" w:hanging="720"/>
        <w:rPr>
          <w:sz w:val="24"/>
          <w:szCs w:val="24"/>
        </w:rPr>
      </w:pPr>
      <w:r w:rsidRPr="00452C80">
        <w:rPr>
          <w:sz w:val="24"/>
          <w:szCs w:val="24"/>
        </w:rPr>
        <w:t xml:space="preserve">Coyle, A. (1998) Qualitative Research in Counselling Psychology: Using the counselling interview as a research instrument. In P. Clarkson (ed.) </w:t>
      </w:r>
      <w:r w:rsidRPr="00452C80">
        <w:rPr>
          <w:i/>
          <w:iCs/>
          <w:sz w:val="24"/>
          <w:szCs w:val="24"/>
        </w:rPr>
        <w:t>Counselling Psychology: Integrating Theory, Research and Supervised Practice.</w:t>
      </w:r>
      <w:r w:rsidRPr="00452C80">
        <w:rPr>
          <w:sz w:val="24"/>
          <w:szCs w:val="24"/>
        </w:rPr>
        <w:t xml:space="preserve"> London: Routledge.</w:t>
      </w:r>
    </w:p>
    <w:p w14:paraId="196572B9" w14:textId="77777777" w:rsidR="00640A2D" w:rsidRPr="00452C80" w:rsidRDefault="00640A2D" w:rsidP="00E304B8">
      <w:pPr>
        <w:spacing w:line="360" w:lineRule="auto"/>
        <w:ind w:left="833" w:hanging="720"/>
        <w:rPr>
          <w:sz w:val="24"/>
          <w:szCs w:val="24"/>
        </w:rPr>
      </w:pPr>
      <w:r w:rsidRPr="00452C80">
        <w:rPr>
          <w:sz w:val="24"/>
          <w:szCs w:val="24"/>
        </w:rPr>
        <w:t xml:space="preserve">Cozolino, L. (2014) </w:t>
      </w:r>
      <w:r w:rsidRPr="00452C80">
        <w:rPr>
          <w:i/>
          <w:iCs/>
          <w:sz w:val="24"/>
          <w:szCs w:val="24"/>
        </w:rPr>
        <w:t>Attachment Based Learning</w:t>
      </w:r>
      <w:r w:rsidRPr="00452C80">
        <w:rPr>
          <w:sz w:val="24"/>
          <w:szCs w:val="24"/>
        </w:rPr>
        <w:t>. New York: W. W. Norton and Company.</w:t>
      </w:r>
    </w:p>
    <w:p w14:paraId="5C474DE6" w14:textId="77777777" w:rsidR="00640A2D" w:rsidRPr="00452C80" w:rsidRDefault="00640A2D" w:rsidP="00E304B8">
      <w:pPr>
        <w:spacing w:line="360" w:lineRule="auto"/>
        <w:ind w:left="833" w:hanging="720"/>
        <w:rPr>
          <w:sz w:val="24"/>
          <w:szCs w:val="24"/>
        </w:rPr>
      </w:pPr>
      <w:r w:rsidRPr="00452C80">
        <w:rPr>
          <w:sz w:val="24"/>
          <w:szCs w:val="24"/>
        </w:rPr>
        <w:t xml:space="preserve">Crawford, K. (2010) Influences on academics’ approaches to development: voices from below. </w:t>
      </w:r>
      <w:r w:rsidRPr="00452C80">
        <w:rPr>
          <w:i/>
          <w:iCs/>
          <w:sz w:val="24"/>
          <w:szCs w:val="24"/>
        </w:rPr>
        <w:t>International Journal for Academic Development</w:t>
      </w:r>
      <w:r w:rsidRPr="00452C80">
        <w:rPr>
          <w:sz w:val="24"/>
          <w:szCs w:val="24"/>
        </w:rPr>
        <w:t xml:space="preserve">, </w:t>
      </w:r>
      <w:r w:rsidRPr="00452C80">
        <w:rPr>
          <w:b/>
          <w:bCs/>
          <w:sz w:val="24"/>
          <w:szCs w:val="24"/>
        </w:rPr>
        <w:t>15</w:t>
      </w:r>
      <w:r w:rsidRPr="00452C80">
        <w:rPr>
          <w:sz w:val="24"/>
          <w:szCs w:val="24"/>
        </w:rPr>
        <w:t>(3): pp.189-202.</w:t>
      </w:r>
      <w:r w:rsidRPr="00452C80">
        <w:rPr>
          <w:rFonts w:ascii="Open Sans" w:hAnsi="Open Sans" w:cs="Open Sans"/>
        </w:rPr>
        <w:t xml:space="preserve"> </w:t>
      </w:r>
      <w:hyperlink r:id="rId167" w:history="1">
        <w:r w:rsidRPr="00E304B8">
          <w:rPr>
            <w:rStyle w:val="Hyperlink"/>
            <w:color w:val="0070C0"/>
            <w:sz w:val="24"/>
            <w:szCs w:val="24"/>
          </w:rPr>
          <w:t>https://doi.org/10.1080/1360144X.2010.497669</w:t>
        </w:r>
      </w:hyperlink>
    </w:p>
    <w:p w14:paraId="36846B37" w14:textId="00B26379" w:rsidR="00640A2D" w:rsidRPr="00452C80" w:rsidRDefault="00640A2D" w:rsidP="00E304B8">
      <w:pPr>
        <w:spacing w:line="360" w:lineRule="auto"/>
        <w:ind w:left="833" w:hanging="720"/>
        <w:rPr>
          <w:sz w:val="24"/>
          <w:szCs w:val="24"/>
        </w:rPr>
      </w:pPr>
      <w:r w:rsidRPr="00452C80">
        <w:rPr>
          <w:sz w:val="24"/>
          <w:szCs w:val="24"/>
        </w:rPr>
        <w:t>Cressey, P., and Boud, D. (2006) The Emergence of Productive Reflection. In: Boud, D., Cressey, P., and Docherty, P (eds)</w:t>
      </w:r>
      <w:r w:rsidR="00CC09AC">
        <w:rPr>
          <w:sz w:val="24"/>
          <w:szCs w:val="24"/>
        </w:rPr>
        <w:t>,</w:t>
      </w:r>
      <w:r w:rsidRPr="00452C80">
        <w:rPr>
          <w:sz w:val="24"/>
          <w:szCs w:val="24"/>
        </w:rPr>
        <w:t xml:space="preserve"> </w:t>
      </w:r>
      <w:r w:rsidRPr="00452C80">
        <w:rPr>
          <w:i/>
          <w:iCs/>
          <w:sz w:val="24"/>
          <w:szCs w:val="24"/>
        </w:rPr>
        <w:t>Productive Reflection at Work: Learning the changing organisations</w:t>
      </w:r>
      <w:r w:rsidRPr="00452C80">
        <w:rPr>
          <w:sz w:val="24"/>
          <w:szCs w:val="24"/>
        </w:rPr>
        <w:t>. Routledge: London.</w:t>
      </w:r>
    </w:p>
    <w:p w14:paraId="1111DDB9" w14:textId="77777777" w:rsidR="00640A2D" w:rsidRPr="00452C80" w:rsidRDefault="00640A2D" w:rsidP="00E304B8">
      <w:pPr>
        <w:spacing w:line="360" w:lineRule="auto"/>
        <w:ind w:left="833" w:hanging="720"/>
        <w:rPr>
          <w:sz w:val="24"/>
          <w:szCs w:val="24"/>
        </w:rPr>
      </w:pPr>
      <w:r w:rsidRPr="00452C80">
        <w:rPr>
          <w:sz w:val="24"/>
          <w:szCs w:val="24"/>
        </w:rPr>
        <w:t xml:space="preserve">Creswell, J. W. (2009) </w:t>
      </w:r>
      <w:r w:rsidRPr="00452C80">
        <w:rPr>
          <w:i/>
          <w:iCs/>
          <w:sz w:val="24"/>
          <w:szCs w:val="24"/>
        </w:rPr>
        <w:t>Research Design: Qualitative, Quantitative, and Mixed Methods Approaches</w:t>
      </w:r>
      <w:r w:rsidRPr="00452C80">
        <w:rPr>
          <w:sz w:val="24"/>
          <w:szCs w:val="24"/>
        </w:rPr>
        <w:t>. Los Angeles: Sage.</w:t>
      </w:r>
    </w:p>
    <w:p w14:paraId="7573B348" w14:textId="77777777" w:rsidR="00640A2D" w:rsidRPr="00452C80" w:rsidRDefault="00640A2D" w:rsidP="00E304B8">
      <w:pPr>
        <w:spacing w:line="360" w:lineRule="auto"/>
        <w:ind w:left="833" w:hanging="720"/>
        <w:rPr>
          <w:sz w:val="24"/>
          <w:szCs w:val="24"/>
        </w:rPr>
      </w:pPr>
      <w:r w:rsidRPr="00452C80">
        <w:rPr>
          <w:sz w:val="24"/>
          <w:szCs w:val="24"/>
        </w:rPr>
        <w:t>Creswell, J. W. (2013) </w:t>
      </w:r>
      <w:r w:rsidRPr="00452C80">
        <w:rPr>
          <w:i/>
          <w:iCs/>
          <w:sz w:val="24"/>
          <w:szCs w:val="24"/>
        </w:rPr>
        <w:t xml:space="preserve">Qualitative Inquiry and Research Design: Choosing Among Five Approaches </w:t>
      </w:r>
      <w:r w:rsidRPr="00BC3B0E">
        <w:rPr>
          <w:sz w:val="24"/>
          <w:szCs w:val="24"/>
        </w:rPr>
        <w:t>(</w:t>
      </w:r>
      <w:r w:rsidRPr="00452C80">
        <w:rPr>
          <w:sz w:val="24"/>
          <w:szCs w:val="24"/>
        </w:rPr>
        <w:t>3rd edition). Thousand Oaks, CA: Sage.</w:t>
      </w:r>
    </w:p>
    <w:p w14:paraId="72B1D062" w14:textId="361333AC" w:rsidR="00640A2D" w:rsidRPr="00665AE3" w:rsidRDefault="00640A2D" w:rsidP="00E304B8">
      <w:pPr>
        <w:spacing w:line="360" w:lineRule="auto"/>
        <w:ind w:left="833" w:hanging="720"/>
        <w:rPr>
          <w:sz w:val="24"/>
          <w:szCs w:val="24"/>
        </w:rPr>
      </w:pPr>
      <w:r w:rsidRPr="00452C80">
        <w:rPr>
          <w:sz w:val="24"/>
          <w:szCs w:val="24"/>
        </w:rPr>
        <w:t xml:space="preserve">Croley, G., Ramsey, N., and Holiday, T. (2022) Caring for the Whole Student: How faculty and department leaders can address their student’s mental health. </w:t>
      </w:r>
      <w:r w:rsidRPr="00452C80">
        <w:rPr>
          <w:i/>
          <w:iCs/>
          <w:sz w:val="24"/>
          <w:szCs w:val="24"/>
        </w:rPr>
        <w:t xml:space="preserve">Every Learner </w:t>
      </w:r>
      <w:r w:rsidRPr="00452C80">
        <w:rPr>
          <w:i/>
          <w:iCs/>
          <w:sz w:val="24"/>
          <w:szCs w:val="24"/>
        </w:rPr>
        <w:lastRenderedPageBreak/>
        <w:t>Everywhere.</w:t>
      </w:r>
      <w:r w:rsidR="00665AE3">
        <w:rPr>
          <w:sz w:val="24"/>
          <w:szCs w:val="24"/>
        </w:rPr>
        <w:t xml:space="preserve"> Available at: </w:t>
      </w:r>
      <w:r w:rsidRPr="00452C80">
        <w:rPr>
          <w:sz w:val="24"/>
          <w:szCs w:val="24"/>
        </w:rPr>
        <w:t xml:space="preserve"> </w:t>
      </w:r>
      <w:hyperlink r:id="rId168" w:history="1">
        <w:r w:rsidRPr="00E304B8">
          <w:rPr>
            <w:rStyle w:val="Hyperlink"/>
            <w:color w:val="0070C0"/>
            <w:sz w:val="24"/>
            <w:szCs w:val="24"/>
          </w:rPr>
          <w:t>https://everylearnereverywhere.org/wp-content/uploads/Caring-for-the-whole-student.pdf</w:t>
        </w:r>
      </w:hyperlink>
      <w:r w:rsidR="00665AE3">
        <w:t xml:space="preserve">  </w:t>
      </w:r>
      <w:r w:rsidR="00665AE3">
        <w:rPr>
          <w:sz w:val="24"/>
          <w:szCs w:val="24"/>
        </w:rPr>
        <w:t xml:space="preserve">[Accessed </w:t>
      </w:r>
      <w:r w:rsidR="00F402FC">
        <w:rPr>
          <w:sz w:val="24"/>
          <w:szCs w:val="24"/>
        </w:rPr>
        <w:t>14</w:t>
      </w:r>
      <w:r w:rsidR="00F402FC" w:rsidRPr="00F402FC">
        <w:rPr>
          <w:sz w:val="24"/>
          <w:szCs w:val="24"/>
          <w:vertAlign w:val="superscript"/>
        </w:rPr>
        <w:t>th</w:t>
      </w:r>
      <w:r w:rsidR="00F402FC">
        <w:rPr>
          <w:sz w:val="24"/>
          <w:szCs w:val="24"/>
        </w:rPr>
        <w:t xml:space="preserve"> September 2023]</w:t>
      </w:r>
    </w:p>
    <w:p w14:paraId="2A9429ED" w14:textId="77777777" w:rsidR="00640A2D" w:rsidRPr="00452C80" w:rsidRDefault="00640A2D" w:rsidP="00E304B8">
      <w:pPr>
        <w:spacing w:line="360" w:lineRule="auto"/>
        <w:ind w:left="833" w:hanging="720"/>
        <w:rPr>
          <w:sz w:val="24"/>
          <w:szCs w:val="24"/>
        </w:rPr>
      </w:pPr>
      <w:r w:rsidRPr="00452C80">
        <w:rPr>
          <w:sz w:val="24"/>
          <w:szCs w:val="24"/>
        </w:rPr>
        <w:t xml:space="preserve">Crossley, M. L. (2000) </w:t>
      </w:r>
      <w:r w:rsidRPr="00452C80">
        <w:rPr>
          <w:i/>
          <w:iCs/>
          <w:sz w:val="24"/>
          <w:szCs w:val="24"/>
        </w:rPr>
        <w:t>Introducing Narrative Psychology: Self, trauma, and the construction of meaning</w:t>
      </w:r>
      <w:r w:rsidRPr="00452C80">
        <w:rPr>
          <w:sz w:val="24"/>
          <w:szCs w:val="24"/>
        </w:rPr>
        <w:t xml:space="preserve">. Maidenhead: Open University press. </w:t>
      </w:r>
    </w:p>
    <w:p w14:paraId="11193959" w14:textId="73738759" w:rsidR="00640A2D" w:rsidRPr="00452C80" w:rsidRDefault="00640A2D" w:rsidP="00E304B8">
      <w:pPr>
        <w:spacing w:line="360" w:lineRule="auto"/>
        <w:ind w:left="833" w:hanging="720"/>
        <w:rPr>
          <w:sz w:val="24"/>
          <w:szCs w:val="24"/>
        </w:rPr>
      </w:pPr>
      <w:r w:rsidRPr="00452C80">
        <w:rPr>
          <w:sz w:val="24"/>
          <w:szCs w:val="24"/>
        </w:rPr>
        <w:t xml:space="preserve">Crotty, M. (1998) </w:t>
      </w:r>
      <w:r w:rsidRPr="00452C80">
        <w:rPr>
          <w:i/>
          <w:iCs/>
          <w:sz w:val="24"/>
          <w:szCs w:val="24"/>
        </w:rPr>
        <w:t xml:space="preserve">The Foundations of Social Research: Meaning and perspective in the research process. </w:t>
      </w:r>
      <w:r w:rsidRPr="00452C80">
        <w:rPr>
          <w:sz w:val="24"/>
          <w:szCs w:val="24"/>
        </w:rPr>
        <w:t>London: Sage Publications.</w:t>
      </w:r>
    </w:p>
    <w:p w14:paraId="66F0594E" w14:textId="321C449D" w:rsidR="00640A2D" w:rsidRPr="00E304B8" w:rsidRDefault="00640A2D" w:rsidP="00E304B8">
      <w:pPr>
        <w:spacing w:line="360" w:lineRule="auto"/>
        <w:ind w:left="833" w:hanging="720"/>
        <w:rPr>
          <w:color w:val="0070C0"/>
          <w:sz w:val="24"/>
          <w:szCs w:val="24"/>
        </w:rPr>
      </w:pPr>
      <w:r w:rsidRPr="00452C80">
        <w:rPr>
          <w:sz w:val="24"/>
          <w:szCs w:val="24"/>
        </w:rPr>
        <w:t>Cunliffe, A. L. (2002) Reflexive dialogical practice in management learning. </w:t>
      </w:r>
      <w:r w:rsidRPr="00452C80">
        <w:rPr>
          <w:i/>
          <w:iCs/>
          <w:sz w:val="24"/>
          <w:szCs w:val="24"/>
        </w:rPr>
        <w:t xml:space="preserve">Management Learning, </w:t>
      </w:r>
      <w:r w:rsidRPr="00452C80">
        <w:rPr>
          <w:b/>
          <w:bCs/>
          <w:sz w:val="24"/>
          <w:szCs w:val="24"/>
        </w:rPr>
        <w:t>33(</w:t>
      </w:r>
      <w:r w:rsidRPr="00452C80">
        <w:rPr>
          <w:sz w:val="24"/>
          <w:szCs w:val="24"/>
        </w:rPr>
        <w:t>1): pp.35–61. </w:t>
      </w:r>
      <w:hyperlink r:id="rId169" w:tgtFrame="_blank" w:history="1">
        <w:r w:rsidRPr="00E304B8">
          <w:rPr>
            <w:rStyle w:val="Hyperlink"/>
            <w:color w:val="0070C0"/>
            <w:sz w:val="24"/>
            <w:szCs w:val="24"/>
          </w:rPr>
          <w:t>https://doi.org/10.1177/1350507602331002</w:t>
        </w:r>
      </w:hyperlink>
    </w:p>
    <w:p w14:paraId="2D9EF056" w14:textId="01341786" w:rsidR="00640A2D" w:rsidRPr="00452C80" w:rsidRDefault="00640A2D" w:rsidP="00E304B8">
      <w:pPr>
        <w:spacing w:line="360" w:lineRule="auto"/>
        <w:ind w:left="833" w:hanging="720"/>
        <w:rPr>
          <w:sz w:val="24"/>
          <w:szCs w:val="24"/>
        </w:rPr>
      </w:pPr>
      <w:r w:rsidRPr="00452C80">
        <w:rPr>
          <w:sz w:val="24"/>
          <w:szCs w:val="24"/>
        </w:rPr>
        <w:t xml:space="preserve">Curzon, L. B., and Tummons, J. (2021) </w:t>
      </w:r>
      <w:r w:rsidRPr="00452C80">
        <w:rPr>
          <w:i/>
          <w:iCs/>
          <w:sz w:val="24"/>
          <w:szCs w:val="24"/>
        </w:rPr>
        <w:t>Teaching in Further Education: An outline of principles and practice</w:t>
      </w:r>
      <w:r w:rsidRPr="00452C80">
        <w:rPr>
          <w:sz w:val="24"/>
          <w:szCs w:val="24"/>
        </w:rPr>
        <w:t>. (7</w:t>
      </w:r>
      <w:r w:rsidRPr="00452C80">
        <w:rPr>
          <w:sz w:val="24"/>
          <w:szCs w:val="24"/>
          <w:vertAlign w:val="superscript"/>
        </w:rPr>
        <w:t>th</w:t>
      </w:r>
      <w:r w:rsidRPr="00452C80">
        <w:rPr>
          <w:sz w:val="24"/>
          <w:szCs w:val="24"/>
        </w:rPr>
        <w:t xml:space="preserve"> edition)</w:t>
      </w:r>
      <w:r w:rsidR="002C7202">
        <w:rPr>
          <w:sz w:val="24"/>
          <w:szCs w:val="24"/>
        </w:rPr>
        <w:t>.</w:t>
      </w:r>
      <w:r w:rsidRPr="00452C80">
        <w:rPr>
          <w:sz w:val="24"/>
          <w:szCs w:val="24"/>
        </w:rPr>
        <w:t xml:space="preserve"> London: Bloomsbury Academic.</w:t>
      </w:r>
    </w:p>
    <w:p w14:paraId="4576D567" w14:textId="77777777" w:rsidR="00640A2D" w:rsidRPr="00E304B8" w:rsidRDefault="00640A2D" w:rsidP="00E304B8">
      <w:pPr>
        <w:spacing w:line="360" w:lineRule="auto"/>
        <w:ind w:left="833" w:hanging="720"/>
        <w:rPr>
          <w:color w:val="0070C0"/>
          <w:sz w:val="24"/>
          <w:szCs w:val="24"/>
        </w:rPr>
      </w:pPr>
      <w:r w:rsidRPr="00452C80">
        <w:rPr>
          <w:sz w:val="24"/>
          <w:szCs w:val="24"/>
        </w:rPr>
        <w:t xml:space="preserve">Cushman, P. (1990) Why the self is empty: Towards a historically situated psychology. </w:t>
      </w:r>
      <w:r w:rsidRPr="00452C80">
        <w:rPr>
          <w:i/>
          <w:iCs/>
          <w:sz w:val="24"/>
          <w:szCs w:val="24"/>
        </w:rPr>
        <w:t>American Psychologist</w:t>
      </w:r>
      <w:r w:rsidRPr="00452C80">
        <w:rPr>
          <w:sz w:val="24"/>
          <w:szCs w:val="24"/>
        </w:rPr>
        <w:t>, 45(5): pp.599-611.</w:t>
      </w:r>
      <w:r w:rsidRPr="00452C80">
        <w:t xml:space="preserve"> </w:t>
      </w:r>
      <w:hyperlink r:id="rId170" w:tgtFrame="_blank" w:history="1">
        <w:r w:rsidRPr="00E304B8">
          <w:rPr>
            <w:rStyle w:val="Hyperlink"/>
            <w:color w:val="0070C0"/>
            <w:sz w:val="24"/>
            <w:szCs w:val="24"/>
          </w:rPr>
          <w:t>https://doi.org/10.1037/0003-066X.45.5.599</w:t>
        </w:r>
      </w:hyperlink>
    </w:p>
    <w:p w14:paraId="59FD7DE9" w14:textId="77777777" w:rsidR="00640A2D" w:rsidRPr="00452C80" w:rsidRDefault="00640A2D" w:rsidP="00E304B8">
      <w:pPr>
        <w:spacing w:line="360" w:lineRule="auto"/>
        <w:ind w:left="833" w:hanging="720"/>
        <w:rPr>
          <w:sz w:val="24"/>
          <w:szCs w:val="24"/>
        </w:rPr>
      </w:pPr>
      <w:r w:rsidRPr="00452C80">
        <w:rPr>
          <w:sz w:val="24"/>
          <w:szCs w:val="24"/>
        </w:rPr>
        <w:t xml:space="preserve">Damasio, A. (2003) </w:t>
      </w:r>
      <w:r w:rsidRPr="00452C80">
        <w:rPr>
          <w:i/>
          <w:iCs/>
          <w:sz w:val="24"/>
          <w:szCs w:val="24"/>
        </w:rPr>
        <w:t>Looking for Spinoza</w:t>
      </w:r>
      <w:r w:rsidRPr="00452C80">
        <w:rPr>
          <w:sz w:val="24"/>
          <w:szCs w:val="24"/>
        </w:rPr>
        <w:t xml:space="preserve">. New York: Harcourt Inc. </w:t>
      </w:r>
    </w:p>
    <w:p w14:paraId="6CD44502" w14:textId="3710AF1F" w:rsidR="00640A2D" w:rsidRPr="00452C80" w:rsidRDefault="00640A2D" w:rsidP="00E304B8">
      <w:pPr>
        <w:spacing w:line="360" w:lineRule="auto"/>
        <w:ind w:left="833" w:hanging="720"/>
        <w:rPr>
          <w:sz w:val="24"/>
          <w:szCs w:val="24"/>
        </w:rPr>
      </w:pPr>
      <w:r w:rsidRPr="00452C80">
        <w:rPr>
          <w:sz w:val="24"/>
          <w:szCs w:val="24"/>
        </w:rPr>
        <w:t>Darwin-Holmes, A. G. (2020) Researcher Positionality: A Consideration of Its Influence and Place in Qualitative Research - A New Researcher Guide. </w:t>
      </w:r>
      <w:r w:rsidRPr="00452C80">
        <w:rPr>
          <w:i/>
          <w:iCs/>
          <w:sz w:val="24"/>
          <w:szCs w:val="24"/>
        </w:rPr>
        <w:t>Shanlax International Journal of Education</w:t>
      </w:r>
      <w:r w:rsidRPr="00452C80">
        <w:rPr>
          <w:sz w:val="24"/>
          <w:szCs w:val="24"/>
        </w:rPr>
        <w:t>, </w:t>
      </w:r>
      <w:r w:rsidRPr="00452C80">
        <w:rPr>
          <w:b/>
          <w:bCs/>
          <w:sz w:val="24"/>
          <w:szCs w:val="24"/>
        </w:rPr>
        <w:t>8</w:t>
      </w:r>
      <w:r w:rsidRPr="00452C80">
        <w:rPr>
          <w:sz w:val="24"/>
          <w:szCs w:val="24"/>
        </w:rPr>
        <w:t xml:space="preserve">(4): pp.1-10. </w:t>
      </w:r>
      <w:hyperlink r:id="rId171" w:history="1">
        <w:r w:rsidRPr="00E304B8">
          <w:rPr>
            <w:rStyle w:val="Hyperlink"/>
            <w:color w:val="0070C0"/>
            <w:sz w:val="24"/>
            <w:szCs w:val="24"/>
          </w:rPr>
          <w:t>https://doi.org/10.34293/education.v8i4.3232</w:t>
        </w:r>
      </w:hyperlink>
    </w:p>
    <w:p w14:paraId="22652589" w14:textId="77777777" w:rsidR="002518E4" w:rsidRPr="002518E4" w:rsidRDefault="002518E4" w:rsidP="002518E4">
      <w:pPr>
        <w:spacing w:line="360" w:lineRule="auto"/>
        <w:ind w:left="833" w:hanging="720"/>
        <w:rPr>
          <w:sz w:val="24"/>
          <w:szCs w:val="24"/>
        </w:rPr>
      </w:pPr>
      <w:r w:rsidRPr="002518E4">
        <w:rPr>
          <w:sz w:val="24"/>
          <w:szCs w:val="24"/>
        </w:rPr>
        <w:t>Davis, K. (2008) Intersectionality as a Buzzword: A Sociology of Science Perspective on What Makes a Feminist Theory Successful. </w:t>
      </w:r>
      <w:r w:rsidRPr="002518E4">
        <w:rPr>
          <w:i/>
          <w:iCs/>
          <w:sz w:val="24"/>
          <w:szCs w:val="24"/>
        </w:rPr>
        <w:t>Feminist Theory</w:t>
      </w:r>
      <w:r w:rsidRPr="002518E4">
        <w:rPr>
          <w:sz w:val="24"/>
          <w:szCs w:val="24"/>
        </w:rPr>
        <w:t xml:space="preserve">, </w:t>
      </w:r>
      <w:r w:rsidRPr="002518E4">
        <w:rPr>
          <w:b/>
          <w:bCs/>
          <w:sz w:val="24"/>
          <w:szCs w:val="24"/>
        </w:rPr>
        <w:t>9</w:t>
      </w:r>
      <w:r w:rsidRPr="002518E4">
        <w:rPr>
          <w:sz w:val="24"/>
          <w:szCs w:val="24"/>
        </w:rPr>
        <w:t xml:space="preserve">(1): pp. 67–85. </w:t>
      </w:r>
      <w:hyperlink r:id="rId172" w:history="1">
        <w:r w:rsidRPr="002518E4">
          <w:rPr>
            <w:rStyle w:val="Hyperlink"/>
            <w:sz w:val="24"/>
            <w:szCs w:val="24"/>
          </w:rPr>
          <w:t>https://doi.org/10.1177/1464700108086364</w:t>
        </w:r>
      </w:hyperlink>
    </w:p>
    <w:p w14:paraId="2668571D" w14:textId="1D5FB9F8" w:rsidR="00640A2D" w:rsidRPr="00452C80" w:rsidRDefault="00640A2D" w:rsidP="002518E4">
      <w:pPr>
        <w:spacing w:line="360" w:lineRule="auto"/>
        <w:ind w:left="720" w:hanging="720"/>
        <w:rPr>
          <w:sz w:val="24"/>
          <w:szCs w:val="24"/>
        </w:rPr>
      </w:pPr>
      <w:r w:rsidRPr="00452C80">
        <w:rPr>
          <w:sz w:val="24"/>
          <w:szCs w:val="24"/>
        </w:rPr>
        <w:t xml:space="preserve">Davis, M., and Walbridge, D. (1981) </w:t>
      </w:r>
      <w:r w:rsidRPr="00452C80">
        <w:rPr>
          <w:i/>
          <w:iCs/>
          <w:sz w:val="24"/>
          <w:szCs w:val="24"/>
        </w:rPr>
        <w:t xml:space="preserve">Boundary </w:t>
      </w:r>
      <w:r w:rsidRPr="00452C80">
        <w:rPr>
          <w:i/>
          <w:iCs/>
          <w:sz w:val="24"/>
          <w:szCs w:val="24"/>
          <w:u w:val="single"/>
        </w:rPr>
        <w:t>and</w:t>
      </w:r>
      <w:r w:rsidRPr="00452C80">
        <w:rPr>
          <w:i/>
          <w:iCs/>
          <w:sz w:val="24"/>
          <w:szCs w:val="24"/>
        </w:rPr>
        <w:t xml:space="preserve"> Space: An Introduction to the Work of D.W. Winnicott</w:t>
      </w:r>
      <w:r w:rsidRPr="00452C80">
        <w:rPr>
          <w:sz w:val="24"/>
          <w:szCs w:val="24"/>
        </w:rPr>
        <w:t>. London: Karnac Books Ltd.</w:t>
      </w:r>
    </w:p>
    <w:p w14:paraId="12A95EB2" w14:textId="30FAC29C" w:rsidR="00640A2D" w:rsidRPr="00452C80" w:rsidRDefault="00640A2D" w:rsidP="00E304B8">
      <w:pPr>
        <w:spacing w:line="360" w:lineRule="auto"/>
        <w:ind w:left="833" w:hanging="720"/>
        <w:rPr>
          <w:sz w:val="24"/>
          <w:szCs w:val="24"/>
        </w:rPr>
      </w:pPr>
      <w:r w:rsidRPr="00452C80">
        <w:rPr>
          <w:sz w:val="24"/>
          <w:szCs w:val="24"/>
        </w:rPr>
        <w:t>Davys, A.</w:t>
      </w:r>
      <w:r w:rsidR="00631114">
        <w:rPr>
          <w:sz w:val="24"/>
          <w:szCs w:val="24"/>
        </w:rPr>
        <w:t>,</w:t>
      </w:r>
      <w:r w:rsidRPr="00452C80">
        <w:rPr>
          <w:sz w:val="24"/>
          <w:szCs w:val="24"/>
        </w:rPr>
        <w:t xml:space="preserve"> and Beddoe, L. (2010)</w:t>
      </w:r>
      <w:r w:rsidRPr="00452C80">
        <w:rPr>
          <w:i/>
          <w:iCs/>
          <w:sz w:val="24"/>
          <w:szCs w:val="24"/>
        </w:rPr>
        <w:t xml:space="preserve"> Best Practice in Professional Supervision: A guide for the helping professions. </w:t>
      </w:r>
      <w:r w:rsidRPr="00452C80">
        <w:rPr>
          <w:sz w:val="24"/>
          <w:szCs w:val="24"/>
        </w:rPr>
        <w:t>London: Jessica Kingsley Publishers.</w:t>
      </w:r>
    </w:p>
    <w:p w14:paraId="06A27ECD" w14:textId="77777777" w:rsidR="00640A2D" w:rsidRPr="00452C80" w:rsidRDefault="00640A2D" w:rsidP="00E304B8">
      <w:pPr>
        <w:spacing w:line="360" w:lineRule="auto"/>
        <w:ind w:left="833" w:hanging="720"/>
        <w:rPr>
          <w:sz w:val="24"/>
          <w:szCs w:val="24"/>
        </w:rPr>
      </w:pPr>
      <w:bookmarkStart w:id="98" w:name="_Hlk216059717"/>
      <w:r w:rsidRPr="00452C80">
        <w:rPr>
          <w:sz w:val="24"/>
          <w:szCs w:val="24"/>
        </w:rPr>
        <w:lastRenderedPageBreak/>
        <w:t xml:space="preserve">De Cordova, F., Berlanda, S., Pedrazza, M., and Fraizzoli, M. (2019) Violence at school and the well-being of teachers: the importance of positive relationships. </w:t>
      </w:r>
      <w:r w:rsidRPr="00452C80">
        <w:rPr>
          <w:i/>
          <w:iCs/>
          <w:sz w:val="24"/>
          <w:szCs w:val="24"/>
        </w:rPr>
        <w:t>Frontiers in Psychology</w:t>
      </w:r>
      <w:r w:rsidRPr="00452C80">
        <w:rPr>
          <w:sz w:val="24"/>
          <w:szCs w:val="24"/>
        </w:rPr>
        <w:t xml:space="preserve">, 10: pp.1-9. </w:t>
      </w:r>
      <w:hyperlink r:id="rId173" w:history="1">
        <w:r w:rsidRPr="00E304B8">
          <w:rPr>
            <w:rStyle w:val="Hyperlink"/>
            <w:color w:val="0070C0"/>
            <w:sz w:val="24"/>
            <w:szCs w:val="24"/>
          </w:rPr>
          <w:t>https://doi.org/10.3389/fpsyg.2019.01807</w:t>
        </w:r>
      </w:hyperlink>
      <w:r w:rsidRPr="00452C80">
        <w:rPr>
          <w:sz w:val="24"/>
          <w:szCs w:val="24"/>
        </w:rPr>
        <w:t xml:space="preserve"> </w:t>
      </w:r>
    </w:p>
    <w:bookmarkEnd w:id="98"/>
    <w:p w14:paraId="22E7316D" w14:textId="77777777" w:rsidR="00640A2D" w:rsidRPr="00452C80" w:rsidRDefault="00640A2D" w:rsidP="00E304B8">
      <w:pPr>
        <w:spacing w:line="360" w:lineRule="auto"/>
        <w:ind w:left="833" w:hanging="720"/>
        <w:rPr>
          <w:sz w:val="24"/>
          <w:szCs w:val="24"/>
        </w:rPr>
      </w:pPr>
      <w:r w:rsidRPr="00452C80">
        <w:rPr>
          <w:sz w:val="24"/>
          <w:szCs w:val="24"/>
        </w:rPr>
        <w:t xml:space="preserve">Dearing, R. (1997) Higher Education in the Learning Society: The Main Report. </w:t>
      </w:r>
      <w:r w:rsidRPr="00452C80">
        <w:rPr>
          <w:i/>
          <w:iCs/>
          <w:sz w:val="24"/>
          <w:szCs w:val="24"/>
        </w:rPr>
        <w:t>The National Committee of Enquiry into Higher Education</w:t>
      </w:r>
      <w:r w:rsidRPr="00452C80">
        <w:rPr>
          <w:sz w:val="24"/>
          <w:szCs w:val="24"/>
        </w:rPr>
        <w:t xml:space="preserve">. London: Her Majesty’s Stationery Office. </w:t>
      </w:r>
      <w:hyperlink r:id="rId174" w:history="1">
        <w:r w:rsidRPr="00E304B8">
          <w:rPr>
            <w:rStyle w:val="Hyperlink"/>
            <w:color w:val="0070C0"/>
            <w:sz w:val="24"/>
            <w:szCs w:val="24"/>
          </w:rPr>
          <w:t>https://education-uk.org/documents/dearing1997/dearing1997.html</w:t>
        </w:r>
      </w:hyperlink>
    </w:p>
    <w:p w14:paraId="1A5FE9DB" w14:textId="62A911FB" w:rsidR="00640A2D" w:rsidRPr="00452C80" w:rsidRDefault="00640A2D" w:rsidP="00E304B8">
      <w:pPr>
        <w:spacing w:line="360" w:lineRule="auto"/>
        <w:ind w:left="833" w:hanging="720"/>
        <w:rPr>
          <w:sz w:val="24"/>
          <w:szCs w:val="24"/>
        </w:rPr>
      </w:pPr>
      <w:r w:rsidRPr="00452C80">
        <w:rPr>
          <w:sz w:val="24"/>
          <w:szCs w:val="24"/>
        </w:rPr>
        <w:t xml:space="preserve">Deci, E. L. and Ryan, R. M. (1985) </w:t>
      </w:r>
      <w:r w:rsidRPr="00452C80">
        <w:rPr>
          <w:i/>
          <w:iCs/>
          <w:sz w:val="24"/>
          <w:szCs w:val="24"/>
        </w:rPr>
        <w:t>Intrinsic Motivation and Self–determination in Human Behavior</w:t>
      </w:r>
      <w:r w:rsidRPr="00452C80">
        <w:rPr>
          <w:sz w:val="24"/>
          <w:szCs w:val="24"/>
        </w:rPr>
        <w:t xml:space="preserve"> (3rd </w:t>
      </w:r>
      <w:r w:rsidR="00551FBD">
        <w:rPr>
          <w:sz w:val="24"/>
          <w:szCs w:val="24"/>
        </w:rPr>
        <w:t>e</w:t>
      </w:r>
      <w:r w:rsidRPr="00452C80">
        <w:rPr>
          <w:sz w:val="24"/>
          <w:szCs w:val="24"/>
        </w:rPr>
        <w:t>dition). New York: Plenum Publishing Co. N.Y.</w:t>
      </w:r>
    </w:p>
    <w:p w14:paraId="1BE9DBEE" w14:textId="582AA16B" w:rsidR="00640A2D" w:rsidRPr="00452C80" w:rsidRDefault="00640A2D" w:rsidP="00E304B8">
      <w:pPr>
        <w:spacing w:line="360" w:lineRule="auto"/>
        <w:ind w:left="833" w:hanging="720"/>
        <w:rPr>
          <w:sz w:val="24"/>
          <w:szCs w:val="24"/>
        </w:rPr>
      </w:pPr>
      <w:r w:rsidRPr="00452C80">
        <w:rPr>
          <w:rFonts w:ascii="Calibri" w:eastAsia="Calibri" w:hAnsi="Calibri" w:cs="Times New Roman"/>
          <w:sz w:val="24"/>
          <w:szCs w:val="24"/>
        </w:rPr>
        <w:t>Deem, R., Mok, K.</w:t>
      </w:r>
      <w:r w:rsidR="00BD14F9">
        <w:rPr>
          <w:rFonts w:ascii="Calibri" w:eastAsia="Calibri" w:hAnsi="Calibri" w:cs="Times New Roman"/>
          <w:sz w:val="24"/>
          <w:szCs w:val="24"/>
        </w:rPr>
        <w:t xml:space="preserve"> </w:t>
      </w:r>
      <w:r w:rsidRPr="00452C80">
        <w:rPr>
          <w:rFonts w:ascii="Calibri" w:eastAsia="Calibri" w:hAnsi="Calibri" w:cs="Times New Roman"/>
          <w:sz w:val="24"/>
          <w:szCs w:val="24"/>
        </w:rPr>
        <w:t>H., and Lucas</w:t>
      </w:r>
      <w:r w:rsidR="00C26DC1">
        <w:rPr>
          <w:rFonts w:ascii="Calibri" w:eastAsia="Calibri" w:hAnsi="Calibri" w:cs="Times New Roman"/>
          <w:sz w:val="24"/>
          <w:szCs w:val="24"/>
        </w:rPr>
        <w:t>,</w:t>
      </w:r>
      <w:r w:rsidRPr="00452C80">
        <w:rPr>
          <w:rFonts w:ascii="Calibri" w:eastAsia="Calibri" w:hAnsi="Calibri" w:cs="Times New Roman"/>
          <w:sz w:val="24"/>
          <w:szCs w:val="24"/>
        </w:rPr>
        <w:t xml:space="preserve"> L. (2008) Transforming Higher Education in Whose Image? Exploring the Concept of the ‘World-Class’ University in Europe and Asia. </w:t>
      </w:r>
      <w:r w:rsidRPr="00452C80">
        <w:rPr>
          <w:rFonts w:ascii="Calibri" w:eastAsia="Calibri" w:hAnsi="Calibri" w:cs="Times New Roman"/>
          <w:i/>
          <w:iCs/>
          <w:sz w:val="24"/>
          <w:szCs w:val="24"/>
        </w:rPr>
        <w:t>Higher Education Policy</w:t>
      </w:r>
      <w:r w:rsidRPr="00452C80">
        <w:rPr>
          <w:rFonts w:ascii="Calibri" w:eastAsia="Calibri" w:hAnsi="Calibri" w:cs="Times New Roman"/>
          <w:sz w:val="24"/>
          <w:szCs w:val="24"/>
        </w:rPr>
        <w:t xml:space="preserve">, </w:t>
      </w:r>
      <w:r w:rsidRPr="00452C80">
        <w:rPr>
          <w:rFonts w:ascii="Calibri" w:eastAsia="Calibri" w:hAnsi="Calibri" w:cs="Times New Roman"/>
          <w:b/>
          <w:bCs/>
          <w:sz w:val="24"/>
          <w:szCs w:val="24"/>
        </w:rPr>
        <w:t>21</w:t>
      </w:r>
      <w:r w:rsidRPr="00452C80">
        <w:rPr>
          <w:rFonts w:ascii="Calibri" w:eastAsia="Calibri" w:hAnsi="Calibri" w:cs="Times New Roman"/>
          <w:sz w:val="24"/>
          <w:szCs w:val="24"/>
        </w:rPr>
        <w:t xml:space="preserve">(1): pp. 83-97. </w:t>
      </w:r>
      <w:hyperlink r:id="rId175" w:history="1">
        <w:r w:rsidRPr="00E304B8">
          <w:rPr>
            <w:rStyle w:val="Hyperlink"/>
            <w:rFonts w:ascii="Calibri" w:eastAsia="Calibri" w:hAnsi="Calibri" w:cs="Times New Roman"/>
            <w:color w:val="0070C0"/>
            <w:sz w:val="24"/>
            <w:szCs w:val="24"/>
          </w:rPr>
          <w:t>https://www.researchgate.net/publication/262944944_Transforming_Higher_Education_in_Whose_Image_Exploring_the_Concept_of_the_'World-Class'_University_in_Europe_and_Asia/citation/download</w:t>
        </w:r>
      </w:hyperlink>
    </w:p>
    <w:p w14:paraId="75A6F793" w14:textId="2637785E" w:rsidR="00640A2D" w:rsidRPr="00452C80" w:rsidRDefault="00640A2D" w:rsidP="00E304B8">
      <w:pPr>
        <w:spacing w:line="360" w:lineRule="auto"/>
        <w:ind w:left="833" w:hanging="720"/>
        <w:rPr>
          <w:sz w:val="24"/>
          <w:szCs w:val="24"/>
        </w:rPr>
      </w:pPr>
      <w:r w:rsidRPr="00452C80">
        <w:rPr>
          <w:sz w:val="24"/>
          <w:szCs w:val="24"/>
        </w:rPr>
        <w:t xml:space="preserve">Deloitte Global (2021) A call for accountability and action: The Deloitte Global 2021 Millennial and Gen Z Survey. </w:t>
      </w:r>
      <w:r w:rsidR="00F402FC">
        <w:rPr>
          <w:sz w:val="24"/>
          <w:szCs w:val="24"/>
        </w:rPr>
        <w:t>Available at:</w:t>
      </w:r>
      <w:r w:rsidR="00FB5EE2">
        <w:rPr>
          <w:sz w:val="24"/>
          <w:szCs w:val="24"/>
        </w:rPr>
        <w:t xml:space="preserve"> </w:t>
      </w:r>
      <w:hyperlink r:id="rId176" w:history="1">
        <w:r w:rsidR="00FB5EE2" w:rsidRPr="0019278B">
          <w:rPr>
            <w:rStyle w:val="Hyperlink"/>
            <w:sz w:val="24"/>
            <w:szCs w:val="24"/>
          </w:rPr>
          <w:t>https://www.deloitte.com/global/en/about/people/social-responsibility/millennialsurvey-2021.html</w:t>
        </w:r>
      </w:hyperlink>
      <w:r w:rsidR="00FB5EE2">
        <w:t xml:space="preserve">  </w:t>
      </w:r>
      <w:r w:rsidR="00FB5EE2" w:rsidRPr="00FB5EE2">
        <w:rPr>
          <w:sz w:val="24"/>
          <w:szCs w:val="24"/>
        </w:rPr>
        <w:t>[Accessed 3</w:t>
      </w:r>
      <w:r w:rsidR="00FB5EE2" w:rsidRPr="00FB5EE2">
        <w:rPr>
          <w:sz w:val="24"/>
          <w:szCs w:val="24"/>
          <w:vertAlign w:val="superscript"/>
        </w:rPr>
        <w:t>rd</w:t>
      </w:r>
      <w:r w:rsidR="00FB5EE2" w:rsidRPr="00FB5EE2">
        <w:rPr>
          <w:sz w:val="24"/>
          <w:szCs w:val="24"/>
        </w:rPr>
        <w:t xml:space="preserve"> July 2022]</w:t>
      </w:r>
    </w:p>
    <w:p w14:paraId="2174B27F" w14:textId="1EF4C245" w:rsidR="00640A2D" w:rsidRPr="00FB5EE2" w:rsidRDefault="00640A2D" w:rsidP="00E304B8">
      <w:pPr>
        <w:spacing w:line="360" w:lineRule="auto"/>
        <w:ind w:left="833" w:hanging="720"/>
        <w:rPr>
          <w:bCs/>
          <w:sz w:val="24"/>
          <w:szCs w:val="24"/>
        </w:rPr>
      </w:pPr>
      <w:r w:rsidRPr="00452C80">
        <w:rPr>
          <w:bCs/>
          <w:sz w:val="24"/>
          <w:szCs w:val="24"/>
        </w:rPr>
        <w:t xml:space="preserve">Denning, S. (2004) First Person: Telling Tales. </w:t>
      </w:r>
      <w:r w:rsidRPr="00452C80">
        <w:rPr>
          <w:bCs/>
          <w:i/>
          <w:iCs/>
          <w:sz w:val="24"/>
          <w:szCs w:val="24"/>
        </w:rPr>
        <w:t>Harvard Business Review</w:t>
      </w:r>
      <w:r w:rsidRPr="00452C80">
        <w:rPr>
          <w:bCs/>
          <w:sz w:val="24"/>
          <w:szCs w:val="24"/>
        </w:rPr>
        <w:t xml:space="preserve">, May 2024. </w:t>
      </w:r>
      <w:r w:rsidR="00FB5EE2">
        <w:rPr>
          <w:bCs/>
          <w:sz w:val="24"/>
          <w:szCs w:val="24"/>
        </w:rPr>
        <w:t xml:space="preserve">Available at: </w:t>
      </w:r>
      <w:hyperlink r:id="rId177" w:history="1">
        <w:r w:rsidR="00FB5EE2" w:rsidRPr="0019278B">
          <w:rPr>
            <w:rStyle w:val="Hyperlink"/>
            <w:bCs/>
            <w:sz w:val="24"/>
            <w:szCs w:val="24"/>
          </w:rPr>
          <w:t>https://tomsclasses.me/wp-content/uploads/2011/03/telling-tales-denning.pdf</w:t>
        </w:r>
      </w:hyperlink>
      <w:r w:rsidR="00FB5EE2">
        <w:t xml:space="preserve">  </w:t>
      </w:r>
      <w:r w:rsidR="00101662">
        <w:rPr>
          <w:sz w:val="24"/>
          <w:szCs w:val="24"/>
        </w:rPr>
        <w:t>[Accessed 13</w:t>
      </w:r>
      <w:r w:rsidR="00101662" w:rsidRPr="00101662">
        <w:rPr>
          <w:sz w:val="24"/>
          <w:szCs w:val="24"/>
          <w:vertAlign w:val="superscript"/>
        </w:rPr>
        <w:t>th</w:t>
      </w:r>
      <w:r w:rsidR="00101662">
        <w:rPr>
          <w:sz w:val="24"/>
          <w:szCs w:val="24"/>
        </w:rPr>
        <w:t xml:space="preserve"> May 2021]</w:t>
      </w:r>
    </w:p>
    <w:p w14:paraId="69AFD914" w14:textId="77777777" w:rsidR="00640A2D" w:rsidRPr="00452C80" w:rsidRDefault="00640A2D" w:rsidP="00E304B8">
      <w:pPr>
        <w:spacing w:line="360" w:lineRule="auto"/>
        <w:ind w:left="833" w:hanging="720"/>
        <w:rPr>
          <w:sz w:val="24"/>
          <w:szCs w:val="24"/>
        </w:rPr>
      </w:pPr>
      <w:r w:rsidRPr="00452C80">
        <w:rPr>
          <w:sz w:val="24"/>
          <w:szCs w:val="24"/>
        </w:rPr>
        <w:t xml:space="preserve">Denzin, N. K. (1997) </w:t>
      </w:r>
      <w:r w:rsidRPr="00452C80">
        <w:rPr>
          <w:i/>
          <w:iCs/>
          <w:sz w:val="24"/>
          <w:szCs w:val="24"/>
        </w:rPr>
        <w:t>Interpretive Ethnography: Ethnographic practices in the 21</w:t>
      </w:r>
      <w:r w:rsidRPr="00452C80">
        <w:rPr>
          <w:i/>
          <w:iCs/>
          <w:sz w:val="24"/>
          <w:szCs w:val="24"/>
          <w:vertAlign w:val="superscript"/>
        </w:rPr>
        <w:t>st</w:t>
      </w:r>
      <w:r w:rsidRPr="00452C80">
        <w:rPr>
          <w:i/>
          <w:iCs/>
          <w:sz w:val="24"/>
          <w:szCs w:val="24"/>
        </w:rPr>
        <w:t>-century.</w:t>
      </w:r>
      <w:r w:rsidRPr="00452C80">
        <w:rPr>
          <w:sz w:val="24"/>
          <w:szCs w:val="24"/>
        </w:rPr>
        <w:t xml:space="preserve"> London: Sage. </w:t>
      </w:r>
    </w:p>
    <w:p w14:paraId="1A27C509" w14:textId="2B962BF1" w:rsidR="00640A2D" w:rsidRPr="00452C80" w:rsidRDefault="00640A2D" w:rsidP="00E304B8">
      <w:pPr>
        <w:spacing w:line="360" w:lineRule="auto"/>
        <w:ind w:left="833" w:hanging="720"/>
        <w:rPr>
          <w:bCs/>
          <w:sz w:val="24"/>
          <w:szCs w:val="24"/>
        </w:rPr>
      </w:pPr>
      <w:r w:rsidRPr="00452C80">
        <w:rPr>
          <w:bCs/>
          <w:sz w:val="24"/>
          <w:szCs w:val="24"/>
        </w:rPr>
        <w:t xml:space="preserve">Department for Education and Skills (2005) </w:t>
      </w:r>
      <w:r w:rsidRPr="00452C80">
        <w:rPr>
          <w:bCs/>
          <w:i/>
          <w:iCs/>
          <w:sz w:val="24"/>
          <w:szCs w:val="24"/>
        </w:rPr>
        <w:t>Social, Emotional Aspects of Learning- Guidance</w:t>
      </w:r>
      <w:r w:rsidRPr="00452C80">
        <w:rPr>
          <w:bCs/>
          <w:sz w:val="24"/>
          <w:szCs w:val="24"/>
        </w:rPr>
        <w:t xml:space="preserve">. London: DfES. </w:t>
      </w:r>
    </w:p>
    <w:p w14:paraId="76FC69AA" w14:textId="6402E7CB" w:rsidR="00640A2D" w:rsidRPr="00E304B8" w:rsidRDefault="00640A2D" w:rsidP="00E304B8">
      <w:pPr>
        <w:spacing w:line="360" w:lineRule="auto"/>
        <w:ind w:left="833" w:hanging="720"/>
        <w:rPr>
          <w:color w:val="0070C0"/>
          <w:sz w:val="24"/>
          <w:szCs w:val="24"/>
        </w:rPr>
      </w:pPr>
      <w:r w:rsidRPr="00452C80">
        <w:rPr>
          <w:sz w:val="24"/>
          <w:szCs w:val="24"/>
          <w:lang w:val="en-US"/>
        </w:rPr>
        <w:t>Deveraux, C. (2017) Neuroception and Attunement in Dance/</w:t>
      </w:r>
      <w:r w:rsidR="00861294" w:rsidRPr="00861294">
        <w:rPr>
          <w:sz w:val="24"/>
          <w:szCs w:val="24"/>
          <w:lang w:val="en-US"/>
        </w:rPr>
        <w:t>M</w:t>
      </w:r>
      <w:r w:rsidRPr="00861294">
        <w:rPr>
          <w:sz w:val="24"/>
          <w:szCs w:val="24"/>
          <w:lang w:val="en-US"/>
        </w:rPr>
        <w:t>ovement</w:t>
      </w:r>
      <w:r w:rsidRPr="00452C80">
        <w:rPr>
          <w:sz w:val="24"/>
          <w:szCs w:val="24"/>
          <w:lang w:val="en-US"/>
        </w:rPr>
        <w:t xml:space="preserve"> therapy with autism. </w:t>
      </w:r>
      <w:r w:rsidRPr="00452C80">
        <w:rPr>
          <w:i/>
          <w:iCs/>
          <w:sz w:val="24"/>
          <w:szCs w:val="24"/>
          <w:lang w:val="en-US"/>
        </w:rPr>
        <w:t>American Journal of Dance Therapy</w:t>
      </w:r>
      <w:r w:rsidRPr="00452C80">
        <w:rPr>
          <w:sz w:val="24"/>
          <w:szCs w:val="24"/>
          <w:lang w:val="en-US"/>
        </w:rPr>
        <w:t xml:space="preserve">, </w:t>
      </w:r>
      <w:r w:rsidRPr="00452C80">
        <w:rPr>
          <w:b/>
          <w:bCs/>
          <w:sz w:val="24"/>
          <w:szCs w:val="24"/>
        </w:rPr>
        <w:t>39</w:t>
      </w:r>
      <w:r w:rsidRPr="00452C80">
        <w:rPr>
          <w:sz w:val="24"/>
          <w:szCs w:val="24"/>
        </w:rPr>
        <w:t>(1): pp.36-38</w:t>
      </w:r>
      <w:r w:rsidRPr="00452C80">
        <w:rPr>
          <w:rFonts w:ascii="Source Sans Pro" w:eastAsia="Times New Roman" w:hAnsi="Source Sans Pro" w:cs="Times New Roman"/>
          <w:sz w:val="27"/>
          <w:szCs w:val="27"/>
          <w:lang w:eastAsia="en-GB"/>
        </w:rPr>
        <w:t xml:space="preserve">. </w:t>
      </w:r>
      <w:hyperlink r:id="rId178" w:history="1">
        <w:r w:rsidRPr="00E304B8">
          <w:rPr>
            <w:rStyle w:val="Hyperlink"/>
            <w:rFonts w:eastAsia="Times New Roman" w:cstheme="minorHAnsi"/>
            <w:color w:val="0070C0"/>
            <w:sz w:val="24"/>
            <w:szCs w:val="24"/>
            <w:lang w:eastAsia="en-GB"/>
          </w:rPr>
          <w:t>https://</w:t>
        </w:r>
        <w:r w:rsidRPr="00E304B8">
          <w:rPr>
            <w:rStyle w:val="Hyperlink"/>
            <w:rFonts w:cstheme="minorHAnsi"/>
            <w:color w:val="0070C0"/>
            <w:sz w:val="24"/>
            <w:szCs w:val="24"/>
          </w:rPr>
          <w:t>doi.org/10.1007/s10465-017-9249-1</w:t>
        </w:r>
      </w:hyperlink>
    </w:p>
    <w:p w14:paraId="4C6EA494" w14:textId="77777777" w:rsidR="00640A2D" w:rsidRPr="00452C80" w:rsidRDefault="00640A2D" w:rsidP="00E304B8">
      <w:pPr>
        <w:spacing w:line="360" w:lineRule="auto"/>
        <w:ind w:left="833" w:hanging="720"/>
        <w:rPr>
          <w:sz w:val="24"/>
          <w:szCs w:val="24"/>
        </w:rPr>
      </w:pPr>
      <w:r w:rsidRPr="00452C80">
        <w:rPr>
          <w:sz w:val="24"/>
          <w:szCs w:val="24"/>
        </w:rPr>
        <w:lastRenderedPageBreak/>
        <w:t xml:space="preserve">Dewey, J. (1910) </w:t>
      </w:r>
      <w:r w:rsidRPr="00452C80">
        <w:rPr>
          <w:i/>
          <w:iCs/>
          <w:sz w:val="24"/>
          <w:szCs w:val="24"/>
        </w:rPr>
        <w:t>How We Think</w:t>
      </w:r>
      <w:r w:rsidRPr="00452C80">
        <w:rPr>
          <w:sz w:val="24"/>
          <w:szCs w:val="24"/>
        </w:rPr>
        <w:t>. Chicago, USA: University of Chicago.</w:t>
      </w:r>
    </w:p>
    <w:p w14:paraId="4BACAB7D" w14:textId="77777777" w:rsidR="00640A2D" w:rsidRPr="00452C80" w:rsidRDefault="00640A2D" w:rsidP="00E304B8">
      <w:pPr>
        <w:spacing w:line="360" w:lineRule="auto"/>
        <w:ind w:left="833" w:hanging="720"/>
        <w:rPr>
          <w:sz w:val="24"/>
          <w:szCs w:val="24"/>
        </w:rPr>
      </w:pPr>
      <w:r w:rsidRPr="00452C80">
        <w:rPr>
          <w:sz w:val="24"/>
          <w:szCs w:val="24"/>
        </w:rPr>
        <w:t xml:space="preserve">Dewey, J. (1933) </w:t>
      </w:r>
      <w:r w:rsidRPr="00452C80">
        <w:rPr>
          <w:i/>
          <w:iCs/>
          <w:sz w:val="24"/>
          <w:szCs w:val="24"/>
        </w:rPr>
        <w:t>Democracy and Education</w:t>
      </w:r>
      <w:r w:rsidRPr="00452C80">
        <w:rPr>
          <w:sz w:val="24"/>
          <w:szCs w:val="24"/>
        </w:rPr>
        <w:t>. New York: Free Press.</w:t>
      </w:r>
    </w:p>
    <w:p w14:paraId="2130D965" w14:textId="77777777" w:rsidR="00640A2D" w:rsidRPr="00452C80" w:rsidRDefault="00640A2D" w:rsidP="00E304B8">
      <w:pPr>
        <w:spacing w:line="360" w:lineRule="auto"/>
        <w:ind w:left="833" w:hanging="720"/>
        <w:rPr>
          <w:sz w:val="24"/>
          <w:szCs w:val="24"/>
        </w:rPr>
      </w:pPr>
      <w:r w:rsidRPr="00452C80">
        <w:rPr>
          <w:sz w:val="24"/>
          <w:szCs w:val="24"/>
        </w:rPr>
        <w:t xml:space="preserve">Dewey, J. (1938) </w:t>
      </w:r>
      <w:r w:rsidRPr="00452C80">
        <w:rPr>
          <w:i/>
          <w:iCs/>
          <w:sz w:val="24"/>
          <w:szCs w:val="24"/>
        </w:rPr>
        <w:t>Experience in Education.</w:t>
      </w:r>
      <w:r w:rsidRPr="00452C80">
        <w:rPr>
          <w:sz w:val="24"/>
          <w:szCs w:val="24"/>
        </w:rPr>
        <w:t xml:space="preserve"> New York: Macmillan.</w:t>
      </w:r>
    </w:p>
    <w:p w14:paraId="6A10C89D" w14:textId="77777777" w:rsidR="00640A2D" w:rsidRPr="00452C80" w:rsidRDefault="00640A2D" w:rsidP="00E304B8">
      <w:pPr>
        <w:spacing w:line="360" w:lineRule="auto"/>
        <w:ind w:left="833" w:hanging="720"/>
        <w:rPr>
          <w:sz w:val="24"/>
          <w:szCs w:val="24"/>
        </w:rPr>
      </w:pPr>
      <w:r w:rsidRPr="00452C80">
        <w:rPr>
          <w:sz w:val="24"/>
          <w:szCs w:val="24"/>
        </w:rPr>
        <w:t xml:space="preserve">DeYoung, P. (2003) </w:t>
      </w:r>
      <w:r w:rsidRPr="00452C80">
        <w:rPr>
          <w:i/>
          <w:iCs/>
          <w:sz w:val="24"/>
          <w:szCs w:val="24"/>
        </w:rPr>
        <w:t>Relational Psychotherapy: A Primer</w:t>
      </w:r>
      <w:r w:rsidRPr="00452C80">
        <w:rPr>
          <w:sz w:val="24"/>
          <w:szCs w:val="24"/>
        </w:rPr>
        <w:t>. New York: Brunner Routledge.</w:t>
      </w:r>
    </w:p>
    <w:p w14:paraId="20ED0F78" w14:textId="77777777" w:rsidR="00640A2D" w:rsidRPr="00452C80" w:rsidRDefault="00640A2D" w:rsidP="00E304B8">
      <w:pPr>
        <w:spacing w:line="360" w:lineRule="auto"/>
        <w:ind w:left="833" w:hanging="720"/>
        <w:rPr>
          <w:bCs/>
          <w:sz w:val="24"/>
          <w:szCs w:val="24"/>
        </w:rPr>
      </w:pPr>
      <w:r w:rsidRPr="00452C80">
        <w:rPr>
          <w:bCs/>
          <w:sz w:val="24"/>
          <w:szCs w:val="24"/>
        </w:rPr>
        <w:t xml:space="preserve">Dickson-Swift, V., James, E. L., Kippen, S., and Liamputtong, P. (2007) Doing Sensitive Research: What challenges do qualitative researchers face? </w:t>
      </w:r>
      <w:r w:rsidRPr="00452C80">
        <w:rPr>
          <w:bCs/>
          <w:i/>
          <w:iCs/>
          <w:sz w:val="24"/>
          <w:szCs w:val="24"/>
        </w:rPr>
        <w:t>Qualitative Research</w:t>
      </w:r>
      <w:r w:rsidRPr="00452C80">
        <w:rPr>
          <w:bCs/>
          <w:sz w:val="24"/>
          <w:szCs w:val="24"/>
        </w:rPr>
        <w:t xml:space="preserve">, </w:t>
      </w:r>
      <w:r w:rsidRPr="00452C80">
        <w:rPr>
          <w:b/>
          <w:sz w:val="24"/>
          <w:szCs w:val="24"/>
        </w:rPr>
        <w:t>7</w:t>
      </w:r>
      <w:r w:rsidRPr="00452C80">
        <w:rPr>
          <w:bCs/>
          <w:sz w:val="24"/>
          <w:szCs w:val="24"/>
        </w:rPr>
        <w:t>(3): pp. 327-53.</w:t>
      </w:r>
      <w:r w:rsidRPr="00452C80">
        <w:t xml:space="preserve"> </w:t>
      </w:r>
      <w:hyperlink r:id="rId179" w:history="1">
        <w:r w:rsidRPr="00E304B8">
          <w:rPr>
            <w:rStyle w:val="Hyperlink"/>
            <w:bCs/>
            <w:color w:val="0070C0"/>
            <w:sz w:val="24"/>
            <w:szCs w:val="24"/>
          </w:rPr>
          <w:t>https://doi.org/10.1177/1468794107078515</w:t>
        </w:r>
      </w:hyperlink>
    </w:p>
    <w:p w14:paraId="41773FAB" w14:textId="77777777" w:rsidR="00640A2D" w:rsidRPr="00452C80" w:rsidRDefault="00640A2D" w:rsidP="00E304B8">
      <w:pPr>
        <w:spacing w:line="360" w:lineRule="auto"/>
        <w:ind w:left="833" w:hanging="720"/>
        <w:rPr>
          <w:bCs/>
          <w:sz w:val="24"/>
          <w:szCs w:val="24"/>
        </w:rPr>
      </w:pPr>
      <w:r w:rsidRPr="00452C80">
        <w:rPr>
          <w:bCs/>
          <w:sz w:val="24"/>
          <w:szCs w:val="24"/>
        </w:rPr>
        <w:t xml:space="preserve">Dickson-Swift, P., James, E. L., Kippen, S., and Liamputtong, P. (2008) Risk to researchers in qualitative research on sensitive topics: issues and strategies. </w:t>
      </w:r>
      <w:r w:rsidRPr="00452C80">
        <w:rPr>
          <w:bCs/>
          <w:i/>
          <w:iCs/>
          <w:sz w:val="24"/>
          <w:szCs w:val="24"/>
        </w:rPr>
        <w:t>Qualitative Health Research</w:t>
      </w:r>
      <w:r w:rsidRPr="00452C80">
        <w:rPr>
          <w:bCs/>
          <w:sz w:val="24"/>
          <w:szCs w:val="24"/>
        </w:rPr>
        <w:t xml:space="preserve">, </w:t>
      </w:r>
      <w:r w:rsidRPr="00452C80">
        <w:rPr>
          <w:b/>
          <w:bCs/>
          <w:sz w:val="24"/>
          <w:szCs w:val="24"/>
        </w:rPr>
        <w:t>18</w:t>
      </w:r>
      <w:r w:rsidRPr="00452C80">
        <w:rPr>
          <w:bCs/>
          <w:sz w:val="24"/>
          <w:szCs w:val="24"/>
        </w:rPr>
        <w:t xml:space="preserve">(1): pp. 133-44. </w:t>
      </w:r>
      <w:r w:rsidRPr="00E304B8">
        <w:rPr>
          <w:bCs/>
          <w:color w:val="0070C0"/>
          <w:sz w:val="24"/>
          <w:szCs w:val="24"/>
          <w:u w:val="single"/>
        </w:rPr>
        <w:t>https://doi.org/</w:t>
      </w:r>
      <w:hyperlink r:id="rId180" w:tgtFrame="_blank" w:history="1">
        <w:r w:rsidRPr="00E304B8">
          <w:rPr>
            <w:rStyle w:val="Hyperlink"/>
            <w:bCs/>
            <w:color w:val="0070C0"/>
            <w:sz w:val="24"/>
            <w:szCs w:val="24"/>
          </w:rPr>
          <w:t>10.1177/1049732307309007</w:t>
        </w:r>
      </w:hyperlink>
    </w:p>
    <w:p w14:paraId="16D24B21" w14:textId="77777777" w:rsidR="00640A2D" w:rsidRPr="00452C80" w:rsidRDefault="00640A2D" w:rsidP="00E304B8">
      <w:pPr>
        <w:spacing w:line="360" w:lineRule="auto"/>
        <w:ind w:left="833" w:hanging="720"/>
        <w:rPr>
          <w:bCs/>
          <w:sz w:val="24"/>
          <w:szCs w:val="24"/>
        </w:rPr>
      </w:pPr>
      <w:r w:rsidRPr="00452C80">
        <w:rPr>
          <w:bCs/>
          <w:sz w:val="24"/>
          <w:szCs w:val="24"/>
        </w:rPr>
        <w:t xml:space="preserve">Dickson-Swift, V., James., E. L., Kippen, S., and Liamputtong, P. (2009) Researching sensitive topics: qualitative research as a motion work. </w:t>
      </w:r>
      <w:r w:rsidRPr="00452C80">
        <w:rPr>
          <w:bCs/>
          <w:i/>
          <w:iCs/>
          <w:sz w:val="24"/>
          <w:szCs w:val="24"/>
        </w:rPr>
        <w:t>Qualitative Research</w:t>
      </w:r>
      <w:r w:rsidRPr="00452C80">
        <w:rPr>
          <w:bCs/>
          <w:sz w:val="24"/>
          <w:szCs w:val="24"/>
        </w:rPr>
        <w:t xml:space="preserve">, </w:t>
      </w:r>
      <w:r w:rsidRPr="00452C80">
        <w:rPr>
          <w:b/>
          <w:sz w:val="24"/>
          <w:szCs w:val="24"/>
        </w:rPr>
        <w:t>9</w:t>
      </w:r>
      <w:r w:rsidRPr="00452C80">
        <w:rPr>
          <w:bCs/>
          <w:sz w:val="24"/>
          <w:szCs w:val="24"/>
        </w:rPr>
        <w:t>(1): pp. 61-79.</w:t>
      </w:r>
      <w:r w:rsidRPr="00452C80">
        <w:rPr>
          <w:rFonts w:ascii="Verdana" w:hAnsi="Verdana"/>
          <w:sz w:val="21"/>
          <w:szCs w:val="21"/>
          <w:shd w:val="clear" w:color="auto" w:fill="FFFFFF"/>
        </w:rPr>
        <w:t xml:space="preserve"> </w:t>
      </w:r>
      <w:hyperlink r:id="rId181" w:history="1">
        <w:r w:rsidRPr="00E304B8">
          <w:rPr>
            <w:rStyle w:val="Hyperlink"/>
            <w:bCs/>
            <w:color w:val="0070C0"/>
            <w:sz w:val="24"/>
            <w:szCs w:val="24"/>
          </w:rPr>
          <w:t>http://dx.doi.org/10.1177/1468794108098031</w:t>
        </w:r>
      </w:hyperlink>
    </w:p>
    <w:p w14:paraId="1C98F9D2" w14:textId="77777777" w:rsidR="00640A2D" w:rsidRPr="00452C80" w:rsidRDefault="00640A2D" w:rsidP="00E304B8">
      <w:pPr>
        <w:spacing w:line="360" w:lineRule="auto"/>
        <w:ind w:left="833" w:hanging="720"/>
        <w:rPr>
          <w:sz w:val="24"/>
          <w:szCs w:val="24"/>
        </w:rPr>
      </w:pPr>
      <w:r w:rsidRPr="00452C80">
        <w:rPr>
          <w:sz w:val="24"/>
          <w:szCs w:val="24"/>
        </w:rPr>
        <w:t xml:space="preserve">Dirkx, J. M. (2006) Engaging Emotions in Adult Learning: A Jungian perspective on emotion and transformative learning. </w:t>
      </w:r>
      <w:r w:rsidRPr="00452C80">
        <w:rPr>
          <w:i/>
          <w:iCs/>
          <w:sz w:val="24"/>
          <w:szCs w:val="24"/>
        </w:rPr>
        <w:t>New Directions for Adult and Continuing Education</w:t>
      </w:r>
      <w:r w:rsidRPr="00452C80">
        <w:rPr>
          <w:sz w:val="24"/>
          <w:szCs w:val="24"/>
        </w:rPr>
        <w:t xml:space="preserve">, 2006(109): pp.15-26. </w:t>
      </w:r>
      <w:hyperlink r:id="rId182" w:history="1">
        <w:r w:rsidRPr="00E304B8">
          <w:rPr>
            <w:rStyle w:val="Hyperlink"/>
            <w:color w:val="0070C0"/>
            <w:sz w:val="24"/>
            <w:szCs w:val="24"/>
          </w:rPr>
          <w:t>https://doi.org/10.1002/ace.204</w:t>
        </w:r>
      </w:hyperlink>
    </w:p>
    <w:p w14:paraId="36B8AC26" w14:textId="77777777" w:rsidR="00640A2D" w:rsidRPr="00452C80" w:rsidRDefault="00640A2D" w:rsidP="00E304B8">
      <w:pPr>
        <w:spacing w:line="360" w:lineRule="auto"/>
        <w:ind w:left="833" w:hanging="720"/>
        <w:rPr>
          <w:sz w:val="24"/>
          <w:szCs w:val="24"/>
        </w:rPr>
      </w:pPr>
      <w:r w:rsidRPr="00452C80">
        <w:rPr>
          <w:sz w:val="24"/>
          <w:szCs w:val="24"/>
        </w:rPr>
        <w:t xml:space="preserve">Dixon-Woods, M., Baker, R., Charles, K., Dawson, J., Jerzembek, G., Martin, G., McCarthy, I., McKee, L., Minion, J., Ozieranski, P., Willars, J., Wilkie, P. and West, M. (2014) Culture and behaviour in the English National Health Service: Overview of lessons from a large multi-method study. </w:t>
      </w:r>
      <w:r w:rsidRPr="00452C80">
        <w:rPr>
          <w:i/>
          <w:iCs/>
          <w:sz w:val="24"/>
          <w:szCs w:val="24"/>
        </w:rPr>
        <w:t>British Medical Journal Quality Safety</w:t>
      </w:r>
      <w:r w:rsidRPr="00452C80">
        <w:rPr>
          <w:sz w:val="24"/>
          <w:szCs w:val="24"/>
        </w:rPr>
        <w:t xml:space="preserve"> 2014, </w:t>
      </w:r>
      <w:r w:rsidRPr="00452C80">
        <w:rPr>
          <w:b/>
          <w:bCs/>
          <w:sz w:val="24"/>
          <w:szCs w:val="24"/>
        </w:rPr>
        <w:t>23</w:t>
      </w:r>
      <w:r w:rsidRPr="00452C80">
        <w:rPr>
          <w:sz w:val="24"/>
          <w:szCs w:val="24"/>
        </w:rPr>
        <w:t xml:space="preserve">(2): pp.106-115. </w:t>
      </w:r>
      <w:hyperlink r:id="rId183" w:history="1">
        <w:r w:rsidRPr="007A1354">
          <w:rPr>
            <w:rStyle w:val="Hyperlink"/>
            <w:color w:val="0070C0"/>
            <w:sz w:val="24"/>
            <w:szCs w:val="24"/>
          </w:rPr>
          <w:t>https://qualitysafety.bmj.com/content/23/2/106</w:t>
        </w:r>
      </w:hyperlink>
    </w:p>
    <w:p w14:paraId="65B0F3B6" w14:textId="692EDB39" w:rsidR="00640A2D" w:rsidRPr="00452C80" w:rsidRDefault="00640A2D" w:rsidP="00E304B8">
      <w:pPr>
        <w:spacing w:line="360" w:lineRule="auto"/>
        <w:ind w:left="833" w:hanging="720"/>
        <w:rPr>
          <w:bCs/>
          <w:sz w:val="24"/>
          <w:szCs w:val="24"/>
        </w:rPr>
      </w:pPr>
      <w:r w:rsidRPr="00452C80">
        <w:rPr>
          <w:bCs/>
          <w:sz w:val="24"/>
          <w:szCs w:val="24"/>
        </w:rPr>
        <w:t xml:space="preserve">Dodds S., and Hess A. C. (2020) Adapting research methodology during COVID-19: Lessons for transformative service research. </w:t>
      </w:r>
      <w:r w:rsidRPr="00452C80">
        <w:rPr>
          <w:bCs/>
          <w:i/>
          <w:iCs/>
          <w:sz w:val="24"/>
          <w:szCs w:val="24"/>
        </w:rPr>
        <w:t>Journal of Service Management,</w:t>
      </w:r>
      <w:r w:rsidRPr="00452C80">
        <w:rPr>
          <w:bCs/>
          <w:sz w:val="24"/>
          <w:szCs w:val="24"/>
        </w:rPr>
        <w:t xml:space="preserve"> </w:t>
      </w:r>
      <w:r w:rsidRPr="00452C80">
        <w:rPr>
          <w:b/>
          <w:sz w:val="24"/>
          <w:szCs w:val="24"/>
        </w:rPr>
        <w:t>32</w:t>
      </w:r>
      <w:r w:rsidRPr="00452C80">
        <w:rPr>
          <w:bCs/>
          <w:sz w:val="24"/>
          <w:szCs w:val="24"/>
        </w:rPr>
        <w:t xml:space="preserve">(2): pp. 203–217. </w:t>
      </w:r>
      <w:r w:rsidR="007A1354" w:rsidRPr="007A1354">
        <w:rPr>
          <w:bCs/>
          <w:color w:val="0070C0"/>
          <w:sz w:val="24"/>
          <w:szCs w:val="24"/>
        </w:rPr>
        <w:t>DOI:</w:t>
      </w:r>
      <w:r w:rsidRPr="007A1354">
        <w:rPr>
          <w:bCs/>
          <w:color w:val="0070C0"/>
          <w:sz w:val="24"/>
          <w:szCs w:val="24"/>
        </w:rPr>
        <w:t>10.1108/JOSM-05-2020-0153 </w:t>
      </w:r>
    </w:p>
    <w:p w14:paraId="50827903" w14:textId="0EC6EEAB" w:rsidR="00640A2D" w:rsidRPr="00452C80" w:rsidRDefault="00640A2D" w:rsidP="00E304B8">
      <w:pPr>
        <w:spacing w:line="360" w:lineRule="auto"/>
        <w:ind w:left="833" w:hanging="720"/>
        <w:rPr>
          <w:bCs/>
          <w:sz w:val="24"/>
          <w:szCs w:val="24"/>
        </w:rPr>
      </w:pPr>
      <w:r w:rsidRPr="00452C80">
        <w:rPr>
          <w:rFonts w:ascii="Calibri" w:eastAsia="Calibri" w:hAnsi="Calibri" w:cs="Times New Roman"/>
          <w:sz w:val="24"/>
          <w:szCs w:val="24"/>
        </w:rPr>
        <w:t>Dopson, S., and McNay</w:t>
      </w:r>
      <w:r w:rsidR="000E04D2">
        <w:rPr>
          <w:rFonts w:ascii="Calibri" w:eastAsia="Calibri" w:hAnsi="Calibri" w:cs="Times New Roman"/>
          <w:sz w:val="24"/>
          <w:szCs w:val="24"/>
        </w:rPr>
        <w:t>,</w:t>
      </w:r>
      <w:r w:rsidRPr="00452C80">
        <w:rPr>
          <w:rFonts w:ascii="Calibri" w:eastAsia="Calibri" w:hAnsi="Calibri" w:cs="Times New Roman"/>
          <w:sz w:val="24"/>
          <w:szCs w:val="24"/>
        </w:rPr>
        <w:t xml:space="preserve"> I. (2000) Organizational Culture. In</w:t>
      </w:r>
      <w:r w:rsidR="00CC09AC">
        <w:rPr>
          <w:rFonts w:ascii="Calibri" w:eastAsia="Calibri" w:hAnsi="Calibri" w:cs="Times New Roman"/>
          <w:sz w:val="24"/>
          <w:szCs w:val="24"/>
        </w:rPr>
        <w:t>:</w:t>
      </w:r>
      <w:r w:rsidRPr="00452C80">
        <w:rPr>
          <w:rFonts w:ascii="Calibri" w:eastAsia="Calibri" w:hAnsi="Calibri" w:cs="Times New Roman"/>
          <w:sz w:val="24"/>
          <w:szCs w:val="24"/>
        </w:rPr>
        <w:t xml:space="preserve"> Warner D. and Palfreyman D. (eds)</w:t>
      </w:r>
      <w:r w:rsidR="009156BA">
        <w:rPr>
          <w:rFonts w:ascii="Calibri" w:eastAsia="Calibri" w:hAnsi="Calibri" w:cs="Times New Roman"/>
          <w:sz w:val="24"/>
          <w:szCs w:val="24"/>
        </w:rPr>
        <w:t>,</w:t>
      </w:r>
      <w:r w:rsidRPr="00452C80">
        <w:rPr>
          <w:rFonts w:ascii="Calibri" w:eastAsia="Calibri" w:hAnsi="Calibri" w:cs="Times New Roman"/>
          <w:sz w:val="24"/>
          <w:szCs w:val="24"/>
        </w:rPr>
        <w:t xml:space="preserve"> </w:t>
      </w:r>
      <w:r w:rsidRPr="00452C80">
        <w:rPr>
          <w:rFonts w:ascii="Calibri" w:eastAsia="Calibri" w:hAnsi="Calibri" w:cs="Times New Roman"/>
          <w:i/>
          <w:iCs/>
          <w:sz w:val="24"/>
          <w:szCs w:val="24"/>
        </w:rPr>
        <w:t>Higher Education Management, The Key Elements</w:t>
      </w:r>
      <w:r w:rsidRPr="00452C80">
        <w:rPr>
          <w:rFonts w:ascii="Calibri" w:eastAsia="Calibri" w:hAnsi="Calibri" w:cs="Times New Roman"/>
          <w:sz w:val="24"/>
          <w:szCs w:val="24"/>
        </w:rPr>
        <w:t>. Buckingham: Open University Press.</w:t>
      </w:r>
    </w:p>
    <w:p w14:paraId="3C4EF3E3" w14:textId="530F0667" w:rsidR="00640A2D" w:rsidRPr="00452C80" w:rsidRDefault="00640A2D" w:rsidP="00E304B8">
      <w:pPr>
        <w:spacing w:line="360" w:lineRule="auto"/>
        <w:ind w:left="833" w:hanging="720"/>
        <w:rPr>
          <w:bCs/>
          <w:sz w:val="24"/>
          <w:szCs w:val="24"/>
        </w:rPr>
      </w:pPr>
      <w:r w:rsidRPr="00452C80">
        <w:rPr>
          <w:bCs/>
          <w:sz w:val="24"/>
          <w:szCs w:val="24"/>
        </w:rPr>
        <w:lastRenderedPageBreak/>
        <w:t xml:space="preserve">Douwes, R., Metselaar, J., Hendrika, G., Pijnenborg, M., and Boonstra, N. (2023) Perceived educators’ role in student well-being in higher education. </w:t>
      </w:r>
      <w:r w:rsidRPr="00452C80">
        <w:rPr>
          <w:bCs/>
          <w:i/>
          <w:iCs/>
          <w:sz w:val="24"/>
          <w:szCs w:val="24"/>
        </w:rPr>
        <w:t>Cogent Education</w:t>
      </w:r>
      <w:r w:rsidRPr="00452C80">
        <w:rPr>
          <w:bCs/>
          <w:sz w:val="24"/>
          <w:szCs w:val="24"/>
        </w:rPr>
        <w:t xml:space="preserve">, </w:t>
      </w:r>
      <w:r w:rsidRPr="00452C80">
        <w:rPr>
          <w:b/>
          <w:sz w:val="24"/>
          <w:szCs w:val="24"/>
        </w:rPr>
        <w:t>10</w:t>
      </w:r>
      <w:r w:rsidRPr="00452C80">
        <w:rPr>
          <w:bCs/>
          <w:sz w:val="24"/>
          <w:szCs w:val="24"/>
        </w:rPr>
        <w:t xml:space="preserve">(2): pp.1-14. </w:t>
      </w:r>
      <w:hyperlink r:id="rId184" w:history="1">
        <w:r w:rsidRPr="007A1354">
          <w:rPr>
            <w:rStyle w:val="Hyperlink"/>
            <w:bCs/>
            <w:color w:val="0070C0"/>
            <w:sz w:val="24"/>
            <w:szCs w:val="24"/>
          </w:rPr>
          <w:t>https://doi.org/10.1080/2331186X.2023.227263</w:t>
        </w:r>
      </w:hyperlink>
    </w:p>
    <w:p w14:paraId="3BEF2741" w14:textId="77777777" w:rsidR="00640A2D" w:rsidRPr="00452C80" w:rsidRDefault="00640A2D" w:rsidP="00E304B8">
      <w:pPr>
        <w:spacing w:line="360" w:lineRule="auto"/>
        <w:ind w:left="833" w:hanging="720"/>
        <w:rPr>
          <w:sz w:val="24"/>
          <w:szCs w:val="24"/>
        </w:rPr>
      </w:pPr>
      <w:r w:rsidRPr="00452C80">
        <w:rPr>
          <w:sz w:val="24"/>
          <w:szCs w:val="24"/>
        </w:rPr>
        <w:t xml:space="preserve">Driscoll, J. (1994) Reflective Practice for Practice. </w:t>
      </w:r>
      <w:r w:rsidRPr="00452C80">
        <w:rPr>
          <w:i/>
          <w:iCs/>
          <w:sz w:val="24"/>
          <w:szCs w:val="24"/>
        </w:rPr>
        <w:t>Senior Nurse</w:t>
      </w:r>
      <w:r w:rsidRPr="00452C80">
        <w:rPr>
          <w:sz w:val="24"/>
          <w:szCs w:val="24"/>
        </w:rPr>
        <w:t xml:space="preserve">, </w:t>
      </w:r>
      <w:r w:rsidRPr="00101662">
        <w:rPr>
          <w:b/>
          <w:bCs/>
          <w:sz w:val="24"/>
          <w:szCs w:val="24"/>
        </w:rPr>
        <w:t>14</w:t>
      </w:r>
      <w:r w:rsidRPr="00452C80">
        <w:rPr>
          <w:sz w:val="24"/>
          <w:szCs w:val="24"/>
        </w:rPr>
        <w:t>(1): pp.47-50.</w:t>
      </w:r>
      <w:r w:rsidRPr="00452C80">
        <w:t xml:space="preserve"> </w:t>
      </w:r>
      <w:hyperlink r:id="rId185" w:history="1">
        <w:r w:rsidRPr="007A1354">
          <w:rPr>
            <w:rStyle w:val="Hyperlink"/>
            <w:color w:val="0070C0"/>
            <w:sz w:val="24"/>
            <w:szCs w:val="24"/>
          </w:rPr>
          <w:t>https://pubmed.ncbi.nlm.nih.gov/8303152/</w:t>
        </w:r>
      </w:hyperlink>
    </w:p>
    <w:p w14:paraId="60C1AFA5" w14:textId="0DBBF310" w:rsidR="00640A2D" w:rsidRPr="00452C80" w:rsidRDefault="00640A2D" w:rsidP="00E304B8">
      <w:pPr>
        <w:spacing w:line="360" w:lineRule="auto"/>
        <w:ind w:left="833" w:hanging="720"/>
        <w:rPr>
          <w:sz w:val="24"/>
          <w:szCs w:val="24"/>
        </w:rPr>
      </w:pPr>
      <w:r w:rsidRPr="00452C80">
        <w:rPr>
          <w:sz w:val="24"/>
          <w:szCs w:val="24"/>
        </w:rPr>
        <w:t xml:space="preserve">Dubois, A. (2010) </w:t>
      </w:r>
      <w:r w:rsidRPr="00452C80">
        <w:rPr>
          <w:i/>
          <w:iCs/>
          <w:sz w:val="24"/>
          <w:szCs w:val="24"/>
        </w:rPr>
        <w:t>An Inquiry of the Lived Experiences and Contextual Understandings of Early Childhood Special Educators Related to Children’s Trauma</w:t>
      </w:r>
      <w:r w:rsidRPr="00452C80">
        <w:rPr>
          <w:sz w:val="24"/>
          <w:szCs w:val="24"/>
        </w:rPr>
        <w:t>.</w:t>
      </w:r>
      <w:r w:rsidRPr="00452C80">
        <w:t xml:space="preserve"> </w:t>
      </w:r>
      <w:r w:rsidRPr="00452C80">
        <w:rPr>
          <w:sz w:val="24"/>
          <w:szCs w:val="24"/>
        </w:rPr>
        <w:t>(Doctoral dissertation, Duquesne University).</w:t>
      </w:r>
      <w:r w:rsidR="00101662">
        <w:rPr>
          <w:sz w:val="24"/>
          <w:szCs w:val="24"/>
        </w:rPr>
        <w:t xml:space="preserve"> Available at: </w:t>
      </w:r>
      <w:r w:rsidRPr="00452C80">
        <w:rPr>
          <w:sz w:val="24"/>
          <w:szCs w:val="24"/>
        </w:rPr>
        <w:t xml:space="preserve"> </w:t>
      </w:r>
      <w:hyperlink r:id="rId186" w:history="1">
        <w:r w:rsidRPr="00E228AA">
          <w:rPr>
            <w:rStyle w:val="Hyperlink"/>
            <w:color w:val="0070C0"/>
            <w:sz w:val="24"/>
            <w:szCs w:val="24"/>
          </w:rPr>
          <w:t>https://dsc.duq.edu/etd/504</w:t>
        </w:r>
      </w:hyperlink>
      <w:r w:rsidR="00101662">
        <w:t xml:space="preserve">  </w:t>
      </w:r>
      <w:r w:rsidR="00101662" w:rsidRPr="003F5091">
        <w:rPr>
          <w:sz w:val="24"/>
          <w:szCs w:val="24"/>
        </w:rPr>
        <w:t xml:space="preserve">[Accessed </w:t>
      </w:r>
      <w:r w:rsidR="003F5091" w:rsidRPr="003F5091">
        <w:rPr>
          <w:sz w:val="24"/>
          <w:szCs w:val="24"/>
        </w:rPr>
        <w:t>15</w:t>
      </w:r>
      <w:r w:rsidR="003F5091" w:rsidRPr="003F5091">
        <w:rPr>
          <w:sz w:val="24"/>
          <w:szCs w:val="24"/>
          <w:vertAlign w:val="superscript"/>
        </w:rPr>
        <w:t>th</w:t>
      </w:r>
      <w:r w:rsidR="003F5091" w:rsidRPr="003F5091">
        <w:rPr>
          <w:sz w:val="24"/>
          <w:szCs w:val="24"/>
        </w:rPr>
        <w:t xml:space="preserve"> March 2024]</w:t>
      </w:r>
    </w:p>
    <w:p w14:paraId="017C2E47" w14:textId="77777777" w:rsidR="00640A2D" w:rsidRPr="00452C80" w:rsidRDefault="00640A2D" w:rsidP="00E304B8">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Easton, L. B. (2008) From professional development to professional learning</w:t>
      </w:r>
      <w:r w:rsidRPr="00452C80">
        <w:rPr>
          <w:rFonts w:ascii="Calibri" w:eastAsia="Aptos" w:hAnsi="Calibri" w:cs="Calibri"/>
          <w:i/>
          <w:iCs/>
          <w:kern w:val="2"/>
          <w:sz w:val="24"/>
          <w:szCs w:val="24"/>
          <w14:ligatures w14:val="standardContextual"/>
        </w:rPr>
        <w:t>. The Phi Delta Kappan</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89</w:t>
      </w:r>
      <w:r w:rsidRPr="00452C80">
        <w:rPr>
          <w:rFonts w:ascii="Calibri" w:eastAsia="Aptos" w:hAnsi="Calibri" w:cs="Calibri"/>
          <w:kern w:val="2"/>
          <w:sz w:val="24"/>
          <w:szCs w:val="24"/>
          <w14:ligatures w14:val="standardContextual"/>
        </w:rPr>
        <w:t>(10): pp. 755–59.</w:t>
      </w:r>
      <w:r w:rsidRPr="00452C80">
        <w:t xml:space="preserve"> </w:t>
      </w:r>
      <w:hyperlink r:id="rId187" w:history="1">
        <w:r w:rsidRPr="00E228AA">
          <w:rPr>
            <w:rStyle w:val="Hyperlink"/>
            <w:rFonts w:ascii="Calibri" w:eastAsia="Aptos" w:hAnsi="Calibri" w:cs="Calibri"/>
            <w:color w:val="0070C0"/>
            <w:kern w:val="2"/>
            <w:sz w:val="24"/>
            <w:szCs w:val="24"/>
            <w14:ligatures w14:val="standardContextual"/>
          </w:rPr>
          <w:t>https://doi.org/10.1177/003172170808901014</w:t>
        </w:r>
      </w:hyperlink>
    </w:p>
    <w:p w14:paraId="13AA04FA" w14:textId="4862E341" w:rsidR="00640A2D" w:rsidRPr="00452C80" w:rsidRDefault="00640A2D" w:rsidP="00E304B8">
      <w:pPr>
        <w:spacing w:line="360" w:lineRule="auto"/>
        <w:ind w:left="833" w:hanging="720"/>
        <w:rPr>
          <w:sz w:val="24"/>
          <w:szCs w:val="24"/>
        </w:rPr>
      </w:pPr>
      <w:r w:rsidRPr="00452C80">
        <w:rPr>
          <w:sz w:val="24"/>
          <w:szCs w:val="24"/>
        </w:rPr>
        <w:t>Ecclestone, K. (2009) Lost and Found in transition: educational implications of concerns about ‘identity’, ‘agency’ and ‘structure’. In</w:t>
      </w:r>
      <w:r w:rsidR="009156BA">
        <w:rPr>
          <w:sz w:val="24"/>
          <w:szCs w:val="24"/>
        </w:rPr>
        <w:t>:</w:t>
      </w:r>
      <w:r w:rsidRPr="00452C80">
        <w:rPr>
          <w:sz w:val="24"/>
          <w:szCs w:val="24"/>
        </w:rPr>
        <w:t xml:space="preserve"> J. Field, J. Gallacher, and R. Ingram (eds)</w:t>
      </w:r>
      <w:r w:rsidR="009156BA">
        <w:rPr>
          <w:sz w:val="24"/>
          <w:szCs w:val="24"/>
        </w:rPr>
        <w:t>,</w:t>
      </w:r>
      <w:r w:rsidRPr="00452C80">
        <w:rPr>
          <w:sz w:val="24"/>
          <w:szCs w:val="24"/>
        </w:rPr>
        <w:t xml:space="preserve"> </w:t>
      </w:r>
      <w:r w:rsidRPr="00452C80">
        <w:rPr>
          <w:i/>
          <w:iCs/>
          <w:sz w:val="24"/>
          <w:szCs w:val="24"/>
        </w:rPr>
        <w:t>Researching Transitions in Lifelong Learning</w:t>
      </w:r>
      <w:r w:rsidRPr="00452C80">
        <w:rPr>
          <w:sz w:val="24"/>
          <w:szCs w:val="24"/>
        </w:rPr>
        <w:t>. London and New York: Routledge.</w:t>
      </w:r>
    </w:p>
    <w:p w14:paraId="7C8D9D48" w14:textId="77777777" w:rsidR="00640A2D" w:rsidRPr="00452C80" w:rsidRDefault="00640A2D" w:rsidP="00E304B8">
      <w:pPr>
        <w:spacing w:line="360" w:lineRule="auto"/>
        <w:ind w:left="833" w:hanging="720"/>
        <w:rPr>
          <w:sz w:val="24"/>
          <w:szCs w:val="24"/>
        </w:rPr>
      </w:pPr>
      <w:r w:rsidRPr="00452C80">
        <w:rPr>
          <w:sz w:val="24"/>
          <w:szCs w:val="24"/>
        </w:rPr>
        <w:t xml:space="preserve">Ecclestone, K. and Hayes, D. (2009) </w:t>
      </w:r>
      <w:r w:rsidRPr="00452C80">
        <w:rPr>
          <w:i/>
          <w:iCs/>
          <w:sz w:val="24"/>
          <w:szCs w:val="24"/>
        </w:rPr>
        <w:t>The Dangerous Rise of Therapeutic Education</w:t>
      </w:r>
      <w:r w:rsidRPr="00452C80">
        <w:rPr>
          <w:sz w:val="24"/>
          <w:szCs w:val="24"/>
        </w:rPr>
        <w:t xml:space="preserve">. Abingdon, Oxon: Routledge. </w:t>
      </w:r>
    </w:p>
    <w:p w14:paraId="74E15D22" w14:textId="77777777" w:rsidR="00640A2D" w:rsidRPr="00452C80" w:rsidRDefault="00640A2D" w:rsidP="00E304B8">
      <w:pPr>
        <w:spacing w:line="360" w:lineRule="auto"/>
        <w:ind w:left="833" w:hanging="720"/>
        <w:rPr>
          <w:sz w:val="24"/>
          <w:szCs w:val="24"/>
        </w:rPr>
      </w:pPr>
      <w:r w:rsidRPr="00452C80">
        <w:rPr>
          <w:sz w:val="24"/>
          <w:szCs w:val="24"/>
        </w:rPr>
        <w:t xml:space="preserve">Edmondson, A. C. (2019) </w:t>
      </w:r>
      <w:r w:rsidRPr="00452C80">
        <w:rPr>
          <w:i/>
          <w:iCs/>
          <w:sz w:val="24"/>
          <w:szCs w:val="24"/>
        </w:rPr>
        <w:t>The Fearless Organisation: creating psychological safety in the workplace for learning, innovation and growth</w:t>
      </w:r>
      <w:r w:rsidRPr="00452C80">
        <w:rPr>
          <w:sz w:val="24"/>
          <w:szCs w:val="24"/>
        </w:rPr>
        <w:t>. Harvard Business School, Hoboken, NJ: John Wiley and Sons.</w:t>
      </w:r>
    </w:p>
    <w:p w14:paraId="2611621A" w14:textId="77777777" w:rsidR="00640A2D" w:rsidRPr="00452C80" w:rsidRDefault="00640A2D" w:rsidP="00E304B8">
      <w:pPr>
        <w:spacing w:line="360" w:lineRule="auto"/>
        <w:ind w:left="833" w:hanging="720"/>
        <w:rPr>
          <w:sz w:val="24"/>
          <w:szCs w:val="24"/>
        </w:rPr>
      </w:pPr>
      <w:r w:rsidRPr="00452C80">
        <w:rPr>
          <w:sz w:val="24"/>
          <w:szCs w:val="24"/>
        </w:rPr>
        <w:t xml:space="preserve">Edwards, H. (2023) </w:t>
      </w:r>
      <w:r w:rsidRPr="00452C80">
        <w:rPr>
          <w:i/>
          <w:iCs/>
          <w:sz w:val="24"/>
          <w:szCs w:val="24"/>
        </w:rPr>
        <w:t xml:space="preserve">Reflective Supervision in Education: Using Supervision to Support Pupil and Staff Wellbeing. </w:t>
      </w:r>
      <w:r w:rsidRPr="00452C80">
        <w:rPr>
          <w:sz w:val="24"/>
          <w:szCs w:val="24"/>
        </w:rPr>
        <w:t>London: Jessica Kingsley Publishers.</w:t>
      </w:r>
    </w:p>
    <w:p w14:paraId="401A5EA3" w14:textId="58739229" w:rsidR="00640A2D" w:rsidRPr="00452C80" w:rsidRDefault="00640A2D" w:rsidP="00E304B8">
      <w:pPr>
        <w:spacing w:line="360" w:lineRule="auto"/>
        <w:ind w:left="833" w:hanging="720"/>
        <w:rPr>
          <w:sz w:val="24"/>
          <w:szCs w:val="24"/>
        </w:rPr>
      </w:pPr>
      <w:r w:rsidRPr="00452C80">
        <w:rPr>
          <w:sz w:val="24"/>
          <w:szCs w:val="24"/>
        </w:rPr>
        <w:t xml:space="preserve">Eisenberg, D., Golberstein, E., and Gollust, S. E. (2007) Help-seeking and access to mental health care in a university student population. </w:t>
      </w:r>
      <w:r w:rsidRPr="00452C80">
        <w:rPr>
          <w:i/>
          <w:iCs/>
          <w:sz w:val="24"/>
          <w:szCs w:val="24"/>
        </w:rPr>
        <w:t>Medical Care</w:t>
      </w:r>
      <w:r w:rsidRPr="00452C80">
        <w:rPr>
          <w:sz w:val="24"/>
          <w:szCs w:val="24"/>
        </w:rPr>
        <w:t xml:space="preserve">, </w:t>
      </w:r>
      <w:r w:rsidRPr="00452C80">
        <w:rPr>
          <w:b/>
          <w:bCs/>
          <w:sz w:val="24"/>
          <w:szCs w:val="24"/>
        </w:rPr>
        <w:t>45</w:t>
      </w:r>
      <w:r w:rsidRPr="00452C80">
        <w:rPr>
          <w:sz w:val="24"/>
          <w:szCs w:val="24"/>
        </w:rPr>
        <w:t xml:space="preserve">(7): pp. 594– 601. </w:t>
      </w:r>
      <w:hyperlink r:id="rId188" w:history="1">
        <w:r w:rsidRPr="00E228AA">
          <w:rPr>
            <w:rStyle w:val="Hyperlink"/>
            <w:color w:val="0070C0"/>
            <w:sz w:val="24"/>
            <w:szCs w:val="24"/>
          </w:rPr>
          <w:t>https://doi.org/10.1097/MLR.0b013e31803bb4c1</w:t>
        </w:r>
      </w:hyperlink>
      <w:r w:rsidRPr="00452C80">
        <w:rPr>
          <w:sz w:val="24"/>
          <w:szCs w:val="24"/>
        </w:rPr>
        <w:tab/>
      </w:r>
    </w:p>
    <w:p w14:paraId="4EAD638A" w14:textId="77777777" w:rsidR="00640A2D" w:rsidRPr="00452C80" w:rsidRDefault="00640A2D" w:rsidP="00E304B8">
      <w:pPr>
        <w:spacing w:line="360" w:lineRule="auto"/>
        <w:ind w:left="833" w:hanging="720"/>
        <w:rPr>
          <w:sz w:val="24"/>
          <w:szCs w:val="24"/>
        </w:rPr>
      </w:pPr>
      <w:r w:rsidRPr="00452C80">
        <w:rPr>
          <w:sz w:val="24"/>
          <w:szCs w:val="24"/>
        </w:rPr>
        <w:lastRenderedPageBreak/>
        <w:t xml:space="preserve">Eisenberg, D., Golberstein, E., and Hunt, J.B. (2009) Mental health and academic success in college. </w:t>
      </w:r>
      <w:r w:rsidRPr="00452C80">
        <w:rPr>
          <w:i/>
          <w:iCs/>
          <w:sz w:val="24"/>
          <w:szCs w:val="24"/>
        </w:rPr>
        <w:t>The B. E. Journal of Economic Analysis and Policy,</w:t>
      </w:r>
      <w:r w:rsidRPr="00452C80">
        <w:rPr>
          <w:sz w:val="24"/>
          <w:szCs w:val="24"/>
        </w:rPr>
        <w:t xml:space="preserve"> </w:t>
      </w:r>
      <w:r w:rsidRPr="00861294">
        <w:rPr>
          <w:b/>
          <w:bCs/>
          <w:sz w:val="24"/>
          <w:szCs w:val="24"/>
        </w:rPr>
        <w:t>9</w:t>
      </w:r>
      <w:r w:rsidRPr="00452C80">
        <w:rPr>
          <w:sz w:val="24"/>
          <w:szCs w:val="24"/>
        </w:rPr>
        <w:t xml:space="preserve">(1): pp.1-35. </w:t>
      </w:r>
      <w:hyperlink r:id="rId189" w:history="1">
        <w:r w:rsidRPr="00E228AA">
          <w:rPr>
            <w:rStyle w:val="Hyperlink"/>
            <w:color w:val="0070C0"/>
            <w:sz w:val="24"/>
            <w:szCs w:val="24"/>
          </w:rPr>
          <w:t>https://doi.org/10.2202/1935-1682.2191</w:t>
        </w:r>
      </w:hyperlink>
    </w:p>
    <w:p w14:paraId="3A66D492" w14:textId="77777777" w:rsidR="009B1D26" w:rsidRPr="009B1D26" w:rsidRDefault="009B1D26" w:rsidP="009B1D26">
      <w:pPr>
        <w:spacing w:line="360" w:lineRule="auto"/>
        <w:ind w:left="833" w:hanging="720"/>
        <w:rPr>
          <w:sz w:val="24"/>
          <w:szCs w:val="24"/>
        </w:rPr>
      </w:pPr>
      <w:r w:rsidRPr="009B1D26">
        <w:rPr>
          <w:sz w:val="24"/>
          <w:szCs w:val="24"/>
        </w:rPr>
        <w:t xml:space="preserve">Eisenberg, N., Cumberland, A., and Spinrad, T.L. (1998) Parental socialization of emotion. </w:t>
      </w:r>
      <w:r w:rsidRPr="009B1D26">
        <w:rPr>
          <w:i/>
          <w:iCs/>
          <w:sz w:val="24"/>
          <w:szCs w:val="24"/>
        </w:rPr>
        <w:t>Psychological Inquiry</w:t>
      </w:r>
      <w:r w:rsidRPr="009B1D26">
        <w:rPr>
          <w:sz w:val="24"/>
          <w:szCs w:val="24"/>
        </w:rPr>
        <w:t xml:space="preserve">, </w:t>
      </w:r>
      <w:r w:rsidRPr="009B1D26">
        <w:rPr>
          <w:b/>
          <w:bCs/>
          <w:sz w:val="24"/>
          <w:szCs w:val="24"/>
        </w:rPr>
        <w:t>9</w:t>
      </w:r>
      <w:r w:rsidRPr="009B1D26">
        <w:rPr>
          <w:sz w:val="24"/>
          <w:szCs w:val="24"/>
        </w:rPr>
        <w:t xml:space="preserve">(4): pp.241-273. </w:t>
      </w:r>
      <w:hyperlink r:id="rId190" w:history="1">
        <w:r w:rsidRPr="009B1D26">
          <w:rPr>
            <w:rStyle w:val="Hyperlink"/>
            <w:sz w:val="24"/>
            <w:szCs w:val="24"/>
          </w:rPr>
          <w:t>https://10.1207/s15327965pli0904_1</w:t>
        </w:r>
      </w:hyperlink>
    </w:p>
    <w:p w14:paraId="6CD0742E" w14:textId="31DB2D01" w:rsidR="00640A2D" w:rsidRPr="00452C80" w:rsidRDefault="00F77A28" w:rsidP="003F5091">
      <w:pPr>
        <w:spacing w:line="360" w:lineRule="auto"/>
        <w:ind w:left="720" w:hanging="720"/>
        <w:rPr>
          <w:sz w:val="24"/>
          <w:szCs w:val="24"/>
        </w:rPr>
      </w:pPr>
      <w:r>
        <w:rPr>
          <w:sz w:val="24"/>
          <w:szCs w:val="24"/>
        </w:rPr>
        <w:t xml:space="preserve">  </w:t>
      </w:r>
      <w:r w:rsidR="00640A2D" w:rsidRPr="00452C80">
        <w:rPr>
          <w:sz w:val="24"/>
          <w:szCs w:val="24"/>
        </w:rPr>
        <w:t>Eisenstein-Naveh, A.</w:t>
      </w:r>
      <w:r w:rsidR="00631114">
        <w:rPr>
          <w:sz w:val="24"/>
          <w:szCs w:val="24"/>
        </w:rPr>
        <w:t xml:space="preserve"> </w:t>
      </w:r>
      <w:r w:rsidR="00640A2D" w:rsidRPr="00452C80">
        <w:rPr>
          <w:sz w:val="24"/>
          <w:szCs w:val="24"/>
        </w:rPr>
        <w:t xml:space="preserve">R. (2003) ‘The Center for Families at Risk: A Facilitating Environment’. </w:t>
      </w:r>
      <w:r w:rsidR="00640A2D" w:rsidRPr="00452C80">
        <w:rPr>
          <w:i/>
          <w:iCs/>
          <w:sz w:val="24"/>
          <w:szCs w:val="24"/>
        </w:rPr>
        <w:t>Family Journal:</w:t>
      </w:r>
      <w:r w:rsidR="00640A2D" w:rsidRPr="00452C80">
        <w:rPr>
          <w:sz w:val="24"/>
          <w:szCs w:val="24"/>
        </w:rPr>
        <w:t xml:space="preserve"> </w:t>
      </w:r>
      <w:r w:rsidR="00640A2D" w:rsidRPr="00452C80">
        <w:rPr>
          <w:i/>
          <w:iCs/>
          <w:sz w:val="24"/>
          <w:szCs w:val="24"/>
        </w:rPr>
        <w:t>Counselling and Therapy for Couples and Families</w:t>
      </w:r>
      <w:r w:rsidR="00640A2D" w:rsidRPr="00452C80">
        <w:rPr>
          <w:sz w:val="24"/>
          <w:szCs w:val="24"/>
        </w:rPr>
        <w:t xml:space="preserve"> (2): pp.191-201.</w:t>
      </w:r>
      <w:r w:rsidR="00640A2D" w:rsidRPr="00452C80">
        <w:t xml:space="preserve"> </w:t>
      </w:r>
      <w:hyperlink r:id="rId191" w:history="1">
        <w:r w:rsidR="00640A2D" w:rsidRPr="00E228AA">
          <w:rPr>
            <w:rStyle w:val="Hyperlink"/>
            <w:color w:val="0070C0"/>
            <w:sz w:val="24"/>
            <w:szCs w:val="24"/>
          </w:rPr>
          <w:t>https://doi.org/10.1177/1066480702250152</w:t>
        </w:r>
      </w:hyperlink>
    </w:p>
    <w:p w14:paraId="1405FAC1" w14:textId="77777777" w:rsidR="00640A2D" w:rsidRPr="00452C80" w:rsidRDefault="00640A2D" w:rsidP="00E304B8">
      <w:pPr>
        <w:spacing w:line="360" w:lineRule="auto"/>
        <w:ind w:left="833" w:hanging="720"/>
        <w:rPr>
          <w:bCs/>
          <w:sz w:val="24"/>
          <w:szCs w:val="24"/>
        </w:rPr>
      </w:pPr>
      <w:r w:rsidRPr="00452C80">
        <w:rPr>
          <w:bCs/>
          <w:sz w:val="24"/>
          <w:szCs w:val="24"/>
        </w:rPr>
        <w:t xml:space="preserve">Eliade, M. (1975) </w:t>
      </w:r>
      <w:r w:rsidRPr="00452C80">
        <w:rPr>
          <w:bCs/>
          <w:i/>
          <w:iCs/>
          <w:sz w:val="24"/>
          <w:szCs w:val="24"/>
        </w:rPr>
        <w:t>Rites and Symbols of Initiation</w:t>
      </w:r>
      <w:r w:rsidRPr="00452C80">
        <w:rPr>
          <w:bCs/>
          <w:sz w:val="24"/>
          <w:szCs w:val="24"/>
        </w:rPr>
        <w:t>. San Francisco, USA: Harper Torch books.</w:t>
      </w:r>
    </w:p>
    <w:p w14:paraId="51C5E101" w14:textId="404997D6" w:rsidR="00640A2D" w:rsidRPr="00452C80" w:rsidRDefault="00640A2D" w:rsidP="00E304B8">
      <w:pPr>
        <w:spacing w:line="360" w:lineRule="auto"/>
        <w:ind w:left="833" w:hanging="720"/>
        <w:rPr>
          <w:bCs/>
          <w:sz w:val="24"/>
          <w:szCs w:val="24"/>
        </w:rPr>
      </w:pPr>
      <w:r w:rsidRPr="00452C80">
        <w:rPr>
          <w:bCs/>
          <w:sz w:val="24"/>
          <w:szCs w:val="24"/>
        </w:rPr>
        <w:t>Elson, M. (1989) The teacher as learner, the learner as teacher. In K. Field, B. Cohler and G. Wool (</w:t>
      </w:r>
      <w:r w:rsidR="00F77A28">
        <w:rPr>
          <w:bCs/>
          <w:sz w:val="24"/>
          <w:szCs w:val="24"/>
        </w:rPr>
        <w:t>e</w:t>
      </w:r>
      <w:r w:rsidRPr="00452C80">
        <w:rPr>
          <w:bCs/>
          <w:sz w:val="24"/>
          <w:szCs w:val="24"/>
        </w:rPr>
        <w:t xml:space="preserve">ds) </w:t>
      </w:r>
      <w:r w:rsidRPr="00452C80">
        <w:rPr>
          <w:bCs/>
          <w:i/>
          <w:iCs/>
          <w:sz w:val="24"/>
          <w:szCs w:val="24"/>
        </w:rPr>
        <w:t>Learning and Education: Psychoanalytic perspectives.</w:t>
      </w:r>
      <w:r w:rsidRPr="00452C80">
        <w:rPr>
          <w:bCs/>
          <w:sz w:val="24"/>
          <w:szCs w:val="24"/>
        </w:rPr>
        <w:t xml:space="preserve"> Madison, CT: International Universities Press.</w:t>
      </w:r>
    </w:p>
    <w:p w14:paraId="2F55D5A1" w14:textId="77777777" w:rsidR="00640A2D" w:rsidRPr="00452C80" w:rsidRDefault="00640A2D" w:rsidP="00E304B8">
      <w:pPr>
        <w:spacing w:line="360" w:lineRule="auto"/>
        <w:ind w:left="833" w:hanging="720"/>
        <w:rPr>
          <w:bCs/>
          <w:sz w:val="24"/>
          <w:szCs w:val="24"/>
        </w:rPr>
      </w:pPr>
      <w:r w:rsidRPr="00452C80">
        <w:rPr>
          <w:bCs/>
          <w:sz w:val="24"/>
          <w:szCs w:val="24"/>
        </w:rPr>
        <w:t xml:space="preserve">Emerald, E., and Carpenter, L. (2015) Vulnerability and emotions in research: Risks, dilemmas and doubts. </w:t>
      </w:r>
      <w:r w:rsidRPr="00452C80">
        <w:rPr>
          <w:bCs/>
          <w:i/>
          <w:iCs/>
          <w:sz w:val="24"/>
          <w:szCs w:val="24"/>
        </w:rPr>
        <w:t>Qualitative Inquiry</w:t>
      </w:r>
      <w:r w:rsidRPr="00452C80">
        <w:rPr>
          <w:bCs/>
          <w:sz w:val="24"/>
          <w:szCs w:val="24"/>
        </w:rPr>
        <w:t xml:space="preserve">, </w:t>
      </w:r>
      <w:r w:rsidRPr="00452C80">
        <w:rPr>
          <w:b/>
          <w:sz w:val="24"/>
          <w:szCs w:val="24"/>
        </w:rPr>
        <w:t>21</w:t>
      </w:r>
      <w:r w:rsidRPr="00452C80">
        <w:rPr>
          <w:bCs/>
          <w:sz w:val="24"/>
          <w:szCs w:val="24"/>
        </w:rPr>
        <w:t xml:space="preserve">(8): pp. 741-50. </w:t>
      </w:r>
      <w:hyperlink r:id="rId192" w:history="1">
        <w:r w:rsidRPr="00D84878">
          <w:rPr>
            <w:rStyle w:val="Hyperlink"/>
            <w:bCs/>
            <w:color w:val="0070C0"/>
            <w:sz w:val="24"/>
            <w:szCs w:val="24"/>
          </w:rPr>
          <w:t>https://doi.org/10.1177/1077800414566688</w:t>
        </w:r>
      </w:hyperlink>
    </w:p>
    <w:p w14:paraId="0AF15B68" w14:textId="5E8E816E" w:rsidR="00640A2D" w:rsidRPr="00452C80" w:rsidRDefault="00640A2D" w:rsidP="00E304B8">
      <w:pPr>
        <w:spacing w:line="360" w:lineRule="auto"/>
        <w:ind w:left="833" w:hanging="720"/>
        <w:rPr>
          <w:sz w:val="24"/>
          <w:szCs w:val="24"/>
        </w:rPr>
      </w:pPr>
      <w:r w:rsidRPr="00452C80">
        <w:rPr>
          <w:sz w:val="24"/>
          <w:szCs w:val="24"/>
        </w:rPr>
        <w:t xml:space="preserve">Ende, M. (1973) </w:t>
      </w:r>
      <w:r w:rsidRPr="00452C80">
        <w:rPr>
          <w:i/>
          <w:iCs/>
          <w:sz w:val="24"/>
          <w:szCs w:val="24"/>
        </w:rPr>
        <w:t xml:space="preserve">Momo oder </w:t>
      </w:r>
      <w:r w:rsidR="00FC7A5E">
        <w:rPr>
          <w:i/>
          <w:iCs/>
          <w:sz w:val="24"/>
          <w:szCs w:val="24"/>
        </w:rPr>
        <w:t>d</w:t>
      </w:r>
      <w:r w:rsidRPr="00452C80">
        <w:rPr>
          <w:i/>
          <w:iCs/>
          <w:sz w:val="24"/>
          <w:szCs w:val="24"/>
        </w:rPr>
        <w:t>ie seltsame Geschichte von den Zeit-Dieben und von dem Kind, das den Menschen die gestohlene Zeit zuruckbrachte</w:t>
      </w:r>
      <w:r w:rsidRPr="00452C80">
        <w:rPr>
          <w:sz w:val="24"/>
          <w:szCs w:val="24"/>
        </w:rPr>
        <w:t xml:space="preserve"> (Translation: </w:t>
      </w:r>
      <w:r w:rsidRPr="00452C80">
        <w:rPr>
          <w:i/>
          <w:iCs/>
          <w:sz w:val="24"/>
          <w:szCs w:val="24"/>
        </w:rPr>
        <w:t>Momo, or the strange story of the time-thieves and the child who brought the stolen time back to the people</w:t>
      </w:r>
      <w:r w:rsidRPr="00452C80">
        <w:rPr>
          <w:sz w:val="24"/>
          <w:szCs w:val="24"/>
        </w:rPr>
        <w:t>). Germany: Thieneman Verlag.</w:t>
      </w:r>
    </w:p>
    <w:p w14:paraId="684C570E" w14:textId="77777777" w:rsidR="00640A2D" w:rsidRPr="00452C80" w:rsidRDefault="00640A2D" w:rsidP="00E304B8">
      <w:pPr>
        <w:spacing w:line="360" w:lineRule="auto"/>
        <w:ind w:left="833" w:hanging="720"/>
        <w:rPr>
          <w:sz w:val="24"/>
          <w:szCs w:val="24"/>
        </w:rPr>
      </w:pPr>
      <w:r w:rsidRPr="00452C80">
        <w:rPr>
          <w:sz w:val="24"/>
          <w:szCs w:val="24"/>
        </w:rPr>
        <w:t xml:space="preserve">Eraut, M. (1985) Knowledge creation and knowledge use in professional contexts. </w:t>
      </w:r>
      <w:r w:rsidRPr="00452C80">
        <w:rPr>
          <w:i/>
          <w:iCs/>
          <w:sz w:val="24"/>
          <w:szCs w:val="24"/>
        </w:rPr>
        <w:t xml:space="preserve">Studies in Higher Education </w:t>
      </w:r>
      <w:r w:rsidRPr="00452C80">
        <w:rPr>
          <w:sz w:val="24"/>
          <w:szCs w:val="24"/>
        </w:rPr>
        <w:t>10: pp.117-133.</w:t>
      </w:r>
      <w:r w:rsidRPr="00452C80">
        <w:t xml:space="preserve"> </w:t>
      </w:r>
      <w:hyperlink r:id="rId193" w:history="1">
        <w:r w:rsidRPr="00D84878">
          <w:rPr>
            <w:rStyle w:val="Hyperlink"/>
            <w:color w:val="0070C0"/>
            <w:sz w:val="24"/>
            <w:szCs w:val="24"/>
          </w:rPr>
          <w:t>http://dx.doi.org/10.1080/03075078512331378549</w:t>
        </w:r>
      </w:hyperlink>
    </w:p>
    <w:p w14:paraId="53B4AFB7" w14:textId="77777777" w:rsidR="00640A2D" w:rsidRPr="00452C80" w:rsidRDefault="00640A2D" w:rsidP="00E304B8">
      <w:pPr>
        <w:spacing w:line="360" w:lineRule="auto"/>
        <w:ind w:left="833" w:hanging="720"/>
        <w:rPr>
          <w:bCs/>
          <w:sz w:val="24"/>
          <w:szCs w:val="24"/>
        </w:rPr>
      </w:pPr>
      <w:r w:rsidRPr="00452C80">
        <w:rPr>
          <w:bCs/>
          <w:sz w:val="24"/>
          <w:szCs w:val="24"/>
        </w:rPr>
        <w:t xml:space="preserve">Eraut, M., Nash, C., Fielding, D., and Attard, P. (1991) </w:t>
      </w:r>
      <w:r w:rsidRPr="00452C80">
        <w:rPr>
          <w:bCs/>
          <w:i/>
          <w:iCs/>
          <w:sz w:val="24"/>
          <w:szCs w:val="24"/>
        </w:rPr>
        <w:t>Flexible Learning in Schools</w:t>
      </w:r>
      <w:r w:rsidRPr="00452C80">
        <w:rPr>
          <w:bCs/>
          <w:sz w:val="24"/>
          <w:szCs w:val="24"/>
        </w:rPr>
        <w:t>. Sheffield: University of Sussex/Employment Department.</w:t>
      </w:r>
    </w:p>
    <w:p w14:paraId="55C5F471" w14:textId="77777777" w:rsidR="00640A2D" w:rsidRPr="00452C80" w:rsidRDefault="00640A2D" w:rsidP="00E304B8">
      <w:pPr>
        <w:spacing w:line="360" w:lineRule="auto"/>
        <w:ind w:left="833" w:hanging="720"/>
        <w:rPr>
          <w:bCs/>
          <w:sz w:val="24"/>
          <w:szCs w:val="24"/>
        </w:rPr>
      </w:pPr>
      <w:r w:rsidRPr="00452C80">
        <w:rPr>
          <w:bCs/>
          <w:sz w:val="24"/>
          <w:szCs w:val="24"/>
        </w:rPr>
        <w:t xml:space="preserve">Eraut, M. (1994) </w:t>
      </w:r>
      <w:r w:rsidRPr="00452C80">
        <w:rPr>
          <w:bCs/>
          <w:i/>
          <w:iCs/>
          <w:sz w:val="24"/>
          <w:szCs w:val="24"/>
        </w:rPr>
        <w:t>Developing Professional Knowledge and Competence</w:t>
      </w:r>
      <w:r w:rsidRPr="00452C80">
        <w:rPr>
          <w:bCs/>
          <w:sz w:val="24"/>
          <w:szCs w:val="24"/>
        </w:rPr>
        <w:t>. Abingdon: Routledge Falmer.</w:t>
      </w:r>
    </w:p>
    <w:p w14:paraId="263F81A6" w14:textId="15EBF064" w:rsidR="00640A2D" w:rsidRPr="00452C80" w:rsidRDefault="00640A2D" w:rsidP="00E304B8">
      <w:pPr>
        <w:spacing w:line="360" w:lineRule="auto"/>
        <w:ind w:left="833" w:hanging="720"/>
        <w:rPr>
          <w:sz w:val="24"/>
          <w:szCs w:val="24"/>
        </w:rPr>
      </w:pPr>
      <w:r w:rsidRPr="00452C80">
        <w:rPr>
          <w:sz w:val="24"/>
          <w:szCs w:val="24"/>
        </w:rPr>
        <w:lastRenderedPageBreak/>
        <w:t>Erickson, F. (1986) Qualitative methods and research on teaching. In</w:t>
      </w:r>
      <w:r w:rsidR="00BC090A">
        <w:rPr>
          <w:sz w:val="24"/>
          <w:szCs w:val="24"/>
        </w:rPr>
        <w:t>:</w:t>
      </w:r>
      <w:r w:rsidRPr="00452C80">
        <w:rPr>
          <w:sz w:val="24"/>
          <w:szCs w:val="24"/>
        </w:rPr>
        <w:t xml:space="preserve"> M. Wittrock (ed), </w:t>
      </w:r>
      <w:r w:rsidRPr="00452C80">
        <w:rPr>
          <w:i/>
          <w:iCs/>
          <w:sz w:val="24"/>
          <w:szCs w:val="24"/>
        </w:rPr>
        <w:t>Handbook of Research on Teaching</w:t>
      </w:r>
      <w:r w:rsidRPr="00452C80">
        <w:rPr>
          <w:sz w:val="24"/>
          <w:szCs w:val="24"/>
        </w:rPr>
        <w:t xml:space="preserve"> (3rd edition): pp. 119-161. New York: Macmillan.</w:t>
      </w:r>
    </w:p>
    <w:p w14:paraId="6D5D74AD" w14:textId="77777777" w:rsidR="00640A2D" w:rsidRPr="00452C80" w:rsidRDefault="00640A2D" w:rsidP="00E304B8">
      <w:pPr>
        <w:spacing w:line="360" w:lineRule="auto"/>
        <w:ind w:left="833" w:hanging="720"/>
        <w:rPr>
          <w:sz w:val="24"/>
          <w:szCs w:val="24"/>
        </w:rPr>
      </w:pPr>
      <w:r w:rsidRPr="00452C80">
        <w:rPr>
          <w:sz w:val="24"/>
          <w:szCs w:val="24"/>
        </w:rPr>
        <w:t xml:space="preserve">Erikson, E. (1963) </w:t>
      </w:r>
      <w:r w:rsidRPr="00452C80">
        <w:rPr>
          <w:i/>
          <w:iCs/>
          <w:sz w:val="24"/>
          <w:szCs w:val="24"/>
        </w:rPr>
        <w:t>Childhood and Society</w:t>
      </w:r>
      <w:r w:rsidRPr="00452C80">
        <w:rPr>
          <w:sz w:val="24"/>
          <w:szCs w:val="24"/>
        </w:rPr>
        <w:t>. (2</w:t>
      </w:r>
      <w:r w:rsidRPr="00452C80">
        <w:rPr>
          <w:sz w:val="24"/>
          <w:szCs w:val="24"/>
          <w:vertAlign w:val="superscript"/>
        </w:rPr>
        <w:t>nd</w:t>
      </w:r>
      <w:r w:rsidRPr="00452C80">
        <w:rPr>
          <w:sz w:val="24"/>
          <w:szCs w:val="24"/>
        </w:rPr>
        <w:t xml:space="preserve"> ed.) New York: Norton.</w:t>
      </w:r>
    </w:p>
    <w:p w14:paraId="3551F39B" w14:textId="70473F55" w:rsidR="00640A2D" w:rsidRPr="00452C80" w:rsidRDefault="00640A2D" w:rsidP="00E304B8">
      <w:pPr>
        <w:spacing w:line="360" w:lineRule="auto"/>
        <w:ind w:left="833" w:hanging="720"/>
      </w:pPr>
      <w:r w:rsidRPr="00452C80">
        <w:rPr>
          <w:sz w:val="24"/>
          <w:szCs w:val="24"/>
        </w:rPr>
        <w:t xml:space="preserve">Erskine, R. (1993) Inquiry, Attunement, and Involvement in the Psychotherapy of Dissociation. </w:t>
      </w:r>
      <w:r w:rsidRPr="00452C80">
        <w:rPr>
          <w:i/>
          <w:iCs/>
          <w:sz w:val="24"/>
          <w:szCs w:val="24"/>
        </w:rPr>
        <w:t>Transactional Analysis Journal</w:t>
      </w:r>
      <w:r w:rsidRPr="00452C80">
        <w:rPr>
          <w:sz w:val="24"/>
          <w:szCs w:val="24"/>
        </w:rPr>
        <w:t xml:space="preserve">, </w:t>
      </w:r>
      <w:r w:rsidRPr="00452C80">
        <w:rPr>
          <w:b/>
          <w:bCs/>
          <w:sz w:val="24"/>
          <w:szCs w:val="24"/>
        </w:rPr>
        <w:t>23</w:t>
      </w:r>
      <w:r w:rsidRPr="00452C80">
        <w:rPr>
          <w:sz w:val="24"/>
          <w:szCs w:val="24"/>
        </w:rPr>
        <w:t>(4): pp.184-190.</w:t>
      </w:r>
      <w:r w:rsidRPr="00452C80">
        <w:rPr>
          <w:rFonts w:ascii="Roboto" w:hAnsi="Roboto"/>
          <w:sz w:val="21"/>
          <w:szCs w:val="21"/>
          <w:shd w:val="clear" w:color="auto" w:fill="FFFFFF"/>
        </w:rPr>
        <w:t xml:space="preserve"> </w:t>
      </w:r>
      <w:r w:rsidRPr="00D84878">
        <w:rPr>
          <w:color w:val="0070C0"/>
          <w:sz w:val="24"/>
          <w:szCs w:val="24"/>
          <w:u w:val="single"/>
        </w:rPr>
        <w:t>https://doi.org/</w:t>
      </w:r>
      <w:hyperlink r:id="rId194" w:tgtFrame="_blank" w:history="1">
        <w:r w:rsidRPr="00D84878">
          <w:rPr>
            <w:rStyle w:val="Hyperlink"/>
            <w:color w:val="0070C0"/>
            <w:sz w:val="24"/>
            <w:szCs w:val="24"/>
          </w:rPr>
          <w:t>10.1177/036215379302300402</w:t>
        </w:r>
      </w:hyperlink>
    </w:p>
    <w:p w14:paraId="23FB445F" w14:textId="3EC14948" w:rsidR="00640A2D" w:rsidRPr="00452C80" w:rsidRDefault="00640A2D" w:rsidP="00D84878">
      <w:pPr>
        <w:spacing w:line="360" w:lineRule="auto"/>
        <w:ind w:left="833" w:hanging="720"/>
        <w:rPr>
          <w:bCs/>
          <w:sz w:val="24"/>
          <w:szCs w:val="24"/>
        </w:rPr>
      </w:pPr>
      <w:r w:rsidRPr="00452C80">
        <w:rPr>
          <w:bCs/>
          <w:sz w:val="24"/>
          <w:szCs w:val="24"/>
        </w:rPr>
        <w:t>Erskine, R.</w:t>
      </w:r>
      <w:r w:rsidR="00631114">
        <w:rPr>
          <w:bCs/>
          <w:sz w:val="24"/>
          <w:szCs w:val="24"/>
        </w:rPr>
        <w:t xml:space="preserve"> </w:t>
      </w:r>
      <w:r w:rsidRPr="00452C80">
        <w:rPr>
          <w:bCs/>
          <w:sz w:val="24"/>
          <w:szCs w:val="24"/>
        </w:rPr>
        <w:t>G. and Trautman, R.</w:t>
      </w:r>
      <w:r w:rsidR="00631114">
        <w:rPr>
          <w:bCs/>
          <w:sz w:val="24"/>
          <w:szCs w:val="24"/>
        </w:rPr>
        <w:t xml:space="preserve"> </w:t>
      </w:r>
      <w:r w:rsidRPr="00452C80">
        <w:rPr>
          <w:bCs/>
          <w:sz w:val="24"/>
          <w:szCs w:val="24"/>
        </w:rPr>
        <w:t xml:space="preserve">L. (1996) Methods of an integrative psychotherapy. </w:t>
      </w:r>
      <w:r w:rsidRPr="00452C80">
        <w:rPr>
          <w:bCs/>
          <w:i/>
          <w:iCs/>
          <w:sz w:val="24"/>
          <w:szCs w:val="24"/>
        </w:rPr>
        <w:t>Transactional Analysis Journal</w:t>
      </w:r>
      <w:r w:rsidRPr="00452C80">
        <w:rPr>
          <w:bCs/>
          <w:sz w:val="24"/>
          <w:szCs w:val="24"/>
        </w:rPr>
        <w:t xml:space="preserve">, </w:t>
      </w:r>
      <w:r w:rsidRPr="00452C80">
        <w:rPr>
          <w:b/>
          <w:sz w:val="24"/>
          <w:szCs w:val="24"/>
        </w:rPr>
        <w:t>26</w:t>
      </w:r>
      <w:r w:rsidRPr="00452C80">
        <w:rPr>
          <w:bCs/>
          <w:sz w:val="24"/>
          <w:szCs w:val="24"/>
        </w:rPr>
        <w:t xml:space="preserve">(4): pp.316-328. </w:t>
      </w:r>
      <w:hyperlink r:id="rId195" w:history="1">
        <w:r w:rsidRPr="00D84878">
          <w:rPr>
            <w:rStyle w:val="Hyperlink"/>
            <w:bCs/>
            <w:color w:val="0070C0"/>
            <w:sz w:val="24"/>
            <w:szCs w:val="24"/>
          </w:rPr>
          <w:t>https://doi.org/10.1177/036215379602600410</w:t>
        </w:r>
      </w:hyperlink>
    </w:p>
    <w:p w14:paraId="797AB9CA" w14:textId="77777777" w:rsidR="00640A2D" w:rsidRPr="00452C80" w:rsidRDefault="00640A2D" w:rsidP="00D84878">
      <w:pPr>
        <w:spacing w:line="360" w:lineRule="auto"/>
        <w:ind w:left="833" w:hanging="720"/>
        <w:rPr>
          <w:bCs/>
          <w:sz w:val="24"/>
          <w:szCs w:val="24"/>
        </w:rPr>
      </w:pPr>
      <w:r w:rsidRPr="00452C80">
        <w:rPr>
          <w:bCs/>
          <w:sz w:val="24"/>
          <w:szCs w:val="24"/>
        </w:rPr>
        <w:t xml:space="preserve">Etherington, K. (2004) Using our “selves” in narrative Research.  In Sheila Trahar (ed.) </w:t>
      </w:r>
      <w:r w:rsidRPr="00452C80">
        <w:rPr>
          <w:bCs/>
          <w:i/>
          <w:iCs/>
          <w:sz w:val="24"/>
          <w:szCs w:val="24"/>
        </w:rPr>
        <w:t>Narrative Research on Learning: Comparative and International Perspectives</w:t>
      </w:r>
      <w:r w:rsidRPr="00452C80">
        <w:rPr>
          <w:bCs/>
          <w:sz w:val="24"/>
          <w:szCs w:val="24"/>
        </w:rPr>
        <w:t>. Oxford: Symposium Books.</w:t>
      </w:r>
    </w:p>
    <w:p w14:paraId="74366CF2" w14:textId="18251A16" w:rsidR="00640A2D" w:rsidRPr="00452C80" w:rsidRDefault="00640A2D" w:rsidP="00D84878">
      <w:pPr>
        <w:spacing w:line="360" w:lineRule="auto"/>
        <w:ind w:left="833" w:hanging="720"/>
        <w:rPr>
          <w:sz w:val="24"/>
          <w:szCs w:val="24"/>
        </w:rPr>
      </w:pPr>
      <w:r w:rsidRPr="00452C80">
        <w:rPr>
          <w:sz w:val="24"/>
          <w:szCs w:val="24"/>
        </w:rPr>
        <w:t>Ewing, J.</w:t>
      </w:r>
      <w:r w:rsidR="00631114">
        <w:rPr>
          <w:sz w:val="24"/>
          <w:szCs w:val="24"/>
        </w:rPr>
        <w:t xml:space="preserve"> </w:t>
      </w:r>
      <w:r w:rsidRPr="00452C80">
        <w:rPr>
          <w:sz w:val="24"/>
          <w:szCs w:val="24"/>
        </w:rPr>
        <w:t>E. (1882) </w:t>
      </w:r>
      <w:hyperlink r:id="rId196" w:history="1">
        <w:r w:rsidRPr="00D84878">
          <w:rPr>
            <w:rStyle w:val="Hyperlink"/>
            <w:color w:val="auto"/>
            <w:sz w:val="24"/>
            <w:szCs w:val="24"/>
            <w:u w:val="none"/>
          </w:rPr>
          <w:t>"VII. On the production of transient electric currents in iron and steel conductors by twisting them when magnetised or by magnetising them when twisted"</w:t>
        </w:r>
      </w:hyperlink>
      <w:r w:rsidRPr="00D84878">
        <w:rPr>
          <w:sz w:val="24"/>
          <w:szCs w:val="24"/>
        </w:rPr>
        <w:t>. </w:t>
      </w:r>
      <w:r w:rsidRPr="00452C80">
        <w:rPr>
          <w:i/>
          <w:iCs/>
          <w:sz w:val="24"/>
          <w:szCs w:val="24"/>
        </w:rPr>
        <w:t>Proceedings of the Royal Society of London</w:t>
      </w:r>
      <w:r w:rsidRPr="00452C80">
        <w:rPr>
          <w:sz w:val="24"/>
          <w:szCs w:val="24"/>
        </w:rPr>
        <w:t>. </w:t>
      </w:r>
      <w:r w:rsidRPr="00452C80">
        <w:rPr>
          <w:b/>
          <w:bCs/>
          <w:sz w:val="24"/>
          <w:szCs w:val="24"/>
        </w:rPr>
        <w:t>33</w:t>
      </w:r>
      <w:r w:rsidRPr="00452C80">
        <w:rPr>
          <w:sz w:val="24"/>
          <w:szCs w:val="24"/>
        </w:rPr>
        <w:t>: pp. 21–23. 1882. </w:t>
      </w:r>
      <w:r w:rsidRPr="00D84878">
        <w:rPr>
          <w:color w:val="0070C0"/>
          <w:sz w:val="24"/>
          <w:szCs w:val="24"/>
        </w:rPr>
        <w:t xml:space="preserve"> </w:t>
      </w:r>
      <w:hyperlink r:id="rId197" w:history="1">
        <w:r w:rsidRPr="00D84878">
          <w:rPr>
            <w:rStyle w:val="Hyperlink"/>
            <w:color w:val="0070C0"/>
            <w:sz w:val="24"/>
            <w:szCs w:val="24"/>
          </w:rPr>
          <w:t>http://doi.org/10.1098/rspl.1881.0067</w:t>
        </w:r>
      </w:hyperlink>
    </w:p>
    <w:p w14:paraId="4AF9227E" w14:textId="74665B0A" w:rsidR="00640A2D" w:rsidRPr="00452C80" w:rsidRDefault="00640A2D" w:rsidP="00D84878">
      <w:pPr>
        <w:spacing w:line="360" w:lineRule="auto"/>
        <w:ind w:left="833" w:hanging="720"/>
        <w:rPr>
          <w:sz w:val="24"/>
          <w:szCs w:val="24"/>
        </w:rPr>
      </w:pPr>
      <w:r w:rsidRPr="00452C80">
        <w:rPr>
          <w:sz w:val="24"/>
          <w:szCs w:val="24"/>
        </w:rPr>
        <w:t>Fairbairn, W.</w:t>
      </w:r>
      <w:r w:rsidR="00BB533A">
        <w:rPr>
          <w:sz w:val="24"/>
          <w:szCs w:val="24"/>
        </w:rPr>
        <w:t xml:space="preserve"> </w:t>
      </w:r>
      <w:r w:rsidRPr="00452C80">
        <w:rPr>
          <w:sz w:val="24"/>
          <w:szCs w:val="24"/>
        </w:rPr>
        <w:t>R.</w:t>
      </w:r>
      <w:r w:rsidR="00BB533A">
        <w:rPr>
          <w:sz w:val="24"/>
          <w:szCs w:val="24"/>
        </w:rPr>
        <w:t xml:space="preserve"> </w:t>
      </w:r>
      <w:r w:rsidRPr="00452C80">
        <w:rPr>
          <w:sz w:val="24"/>
          <w:szCs w:val="24"/>
        </w:rPr>
        <w:t xml:space="preserve">D. (1952) </w:t>
      </w:r>
      <w:r w:rsidRPr="00452C80">
        <w:rPr>
          <w:i/>
          <w:iCs/>
          <w:sz w:val="24"/>
          <w:szCs w:val="24"/>
        </w:rPr>
        <w:t>Psychoanalytic Studies of the Personality</w:t>
      </w:r>
      <w:r w:rsidRPr="00452C80">
        <w:rPr>
          <w:sz w:val="24"/>
          <w:szCs w:val="24"/>
        </w:rPr>
        <w:t>. London and New York: Routledge.</w:t>
      </w:r>
    </w:p>
    <w:p w14:paraId="1D109DC5" w14:textId="51DEFAE9" w:rsidR="00606A5E" w:rsidRDefault="00640A2D" w:rsidP="00F5229D">
      <w:pPr>
        <w:spacing w:line="360" w:lineRule="auto"/>
        <w:ind w:left="833" w:hanging="720"/>
        <w:rPr>
          <w:sz w:val="24"/>
          <w:szCs w:val="24"/>
        </w:rPr>
      </w:pPr>
      <w:r w:rsidRPr="00452C80">
        <w:rPr>
          <w:sz w:val="24"/>
          <w:szCs w:val="24"/>
        </w:rPr>
        <w:t xml:space="preserve">Falchikov, N., and Boud, D. (2007) Assessment and Emotion: The impact of being assessed. In: D. Boud, and N. Falchikov, N. (eds) </w:t>
      </w:r>
      <w:r w:rsidRPr="00452C80">
        <w:rPr>
          <w:i/>
          <w:iCs/>
          <w:sz w:val="24"/>
          <w:szCs w:val="24"/>
        </w:rPr>
        <w:t>Rethinking Assessment in Higher Education: Learning for the longer term</w:t>
      </w:r>
      <w:r w:rsidRPr="00452C80">
        <w:rPr>
          <w:sz w:val="24"/>
          <w:szCs w:val="24"/>
        </w:rPr>
        <w:t>. London/New York: Routledge.</w:t>
      </w:r>
    </w:p>
    <w:p w14:paraId="551A5A18" w14:textId="15BF8805" w:rsidR="00640A2D" w:rsidRPr="00452C80" w:rsidRDefault="00640A2D" w:rsidP="00D84878">
      <w:pPr>
        <w:spacing w:line="360" w:lineRule="auto"/>
        <w:ind w:left="833" w:hanging="720"/>
        <w:rPr>
          <w:sz w:val="24"/>
          <w:szCs w:val="24"/>
        </w:rPr>
      </w:pPr>
      <w:r w:rsidRPr="00452C80">
        <w:rPr>
          <w:sz w:val="24"/>
          <w:szCs w:val="24"/>
        </w:rPr>
        <w:t>Farrell, E.</w:t>
      </w:r>
      <w:r w:rsidR="00BB533A">
        <w:rPr>
          <w:sz w:val="24"/>
          <w:szCs w:val="24"/>
        </w:rPr>
        <w:t xml:space="preserve"> </w:t>
      </w:r>
      <w:r w:rsidRPr="00452C80">
        <w:rPr>
          <w:sz w:val="24"/>
          <w:szCs w:val="24"/>
        </w:rPr>
        <w:t xml:space="preserve">F., and Van der Werf, M. (2007) Playing the Rankings Game. </w:t>
      </w:r>
      <w:r w:rsidRPr="00452C80">
        <w:rPr>
          <w:i/>
          <w:iCs/>
          <w:sz w:val="24"/>
          <w:szCs w:val="24"/>
        </w:rPr>
        <w:t>The Chronicle of Higher Education</w:t>
      </w:r>
      <w:r w:rsidRPr="00452C80">
        <w:rPr>
          <w:sz w:val="24"/>
          <w:szCs w:val="24"/>
        </w:rPr>
        <w:t xml:space="preserve">, Washington, </w:t>
      </w:r>
      <w:r w:rsidRPr="00452C80">
        <w:rPr>
          <w:b/>
          <w:bCs/>
          <w:sz w:val="24"/>
          <w:szCs w:val="24"/>
        </w:rPr>
        <w:t>53</w:t>
      </w:r>
      <w:r w:rsidRPr="00452C80">
        <w:rPr>
          <w:sz w:val="24"/>
          <w:szCs w:val="24"/>
        </w:rPr>
        <w:t xml:space="preserve">(38): A.11-A.12+. </w:t>
      </w:r>
      <w:hyperlink r:id="rId198" w:history="1">
        <w:r w:rsidRPr="00D84878">
          <w:rPr>
            <w:rStyle w:val="Hyperlink"/>
            <w:color w:val="0070C0"/>
            <w:sz w:val="24"/>
            <w:szCs w:val="24"/>
          </w:rPr>
          <w:t>https://www.proquest.com/trade-journals/docview/playing-rankings-game/214657138/se-2</w:t>
        </w:r>
      </w:hyperlink>
    </w:p>
    <w:p w14:paraId="4EF35F0F" w14:textId="77777777" w:rsidR="00640A2D" w:rsidRPr="00452C80" w:rsidRDefault="00640A2D" w:rsidP="00D84878">
      <w:pPr>
        <w:spacing w:line="360" w:lineRule="auto"/>
        <w:ind w:left="833" w:hanging="720"/>
        <w:rPr>
          <w:rFonts w:ascii="Aptos" w:eastAsia="Aptos" w:hAnsi="Aptos" w:cs="Times New Roman"/>
          <w:kern w:val="2"/>
          <w14:ligatures w14:val="standardContextual"/>
        </w:rPr>
      </w:pPr>
      <w:r w:rsidRPr="00452C80">
        <w:rPr>
          <w:rFonts w:ascii="Calibri" w:eastAsia="Aptos" w:hAnsi="Calibri" w:cs="Calibri"/>
          <w:kern w:val="2"/>
          <w:sz w:val="24"/>
          <w:szCs w:val="24"/>
          <w14:ligatures w14:val="standardContextual"/>
        </w:rPr>
        <w:lastRenderedPageBreak/>
        <w:t xml:space="preserve">Feeney, B. and Collins, N. (2015) A new look at social support. </w:t>
      </w:r>
      <w:r w:rsidRPr="00452C80">
        <w:rPr>
          <w:rFonts w:ascii="Calibri" w:eastAsia="Aptos" w:hAnsi="Calibri" w:cs="Calibri"/>
          <w:i/>
          <w:iCs/>
          <w:kern w:val="2"/>
          <w:sz w:val="24"/>
          <w:szCs w:val="24"/>
          <w14:ligatures w14:val="standardContextual"/>
        </w:rPr>
        <w:t>Personality and Social Psychology Review</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19</w:t>
      </w:r>
      <w:r w:rsidRPr="00452C80">
        <w:rPr>
          <w:rFonts w:ascii="Calibri" w:eastAsia="Aptos" w:hAnsi="Calibri" w:cs="Calibri"/>
          <w:kern w:val="2"/>
          <w:sz w:val="24"/>
          <w:szCs w:val="24"/>
          <w14:ligatures w14:val="standardContextual"/>
        </w:rPr>
        <w:t>(2): pp.113–147.</w:t>
      </w:r>
      <w:r w:rsidRPr="00452C80">
        <w:rPr>
          <w:rFonts w:ascii="Aptos" w:eastAsia="Aptos" w:hAnsi="Aptos" w:cs="Times New Roman"/>
          <w:kern w:val="2"/>
          <w:sz w:val="24"/>
          <w:szCs w:val="24"/>
          <w14:ligatures w14:val="standardContextual"/>
        </w:rPr>
        <w:t xml:space="preserve"> </w:t>
      </w:r>
      <w:hyperlink r:id="rId199" w:history="1">
        <w:r w:rsidRPr="00D84878">
          <w:rPr>
            <w:rStyle w:val="Hyperlink"/>
            <w:rFonts w:eastAsia="Aptos" w:cstheme="minorHAnsi"/>
            <w:color w:val="0070C0"/>
            <w:kern w:val="2"/>
            <w:sz w:val="24"/>
            <w:szCs w:val="24"/>
            <w14:ligatures w14:val="standardContextual"/>
          </w:rPr>
          <w:t>https://doi.org/10.1177/1088868314544222</w:t>
        </w:r>
      </w:hyperlink>
    </w:p>
    <w:p w14:paraId="699298D7" w14:textId="77777777" w:rsidR="00640A2D" w:rsidRPr="00452C80" w:rsidRDefault="00640A2D" w:rsidP="00D84878">
      <w:pPr>
        <w:spacing w:line="360" w:lineRule="auto"/>
        <w:ind w:left="833" w:hanging="720"/>
        <w:rPr>
          <w:sz w:val="24"/>
          <w:szCs w:val="24"/>
        </w:rPr>
      </w:pPr>
      <w:r w:rsidRPr="00452C80">
        <w:rPr>
          <w:sz w:val="24"/>
          <w:szCs w:val="24"/>
        </w:rPr>
        <w:t xml:space="preserve">Feiman, S. (1979) Technique and enquiry in teacher education: A curricular case study. </w:t>
      </w:r>
      <w:r w:rsidRPr="00452C80">
        <w:rPr>
          <w:i/>
          <w:iCs/>
          <w:sz w:val="24"/>
          <w:szCs w:val="24"/>
        </w:rPr>
        <w:t>Curriculum Enquiry</w:t>
      </w:r>
      <w:r w:rsidRPr="00452C80">
        <w:rPr>
          <w:sz w:val="24"/>
          <w:szCs w:val="24"/>
        </w:rPr>
        <w:t xml:space="preserve">, </w:t>
      </w:r>
      <w:r w:rsidRPr="00452C80">
        <w:rPr>
          <w:b/>
          <w:bCs/>
          <w:sz w:val="24"/>
          <w:szCs w:val="24"/>
        </w:rPr>
        <w:t>9</w:t>
      </w:r>
      <w:r w:rsidRPr="00452C80">
        <w:rPr>
          <w:sz w:val="24"/>
          <w:szCs w:val="24"/>
        </w:rPr>
        <w:t>(1): pp. 63-79.</w:t>
      </w:r>
      <w:r w:rsidRPr="00452C80">
        <w:rPr>
          <w:rFonts w:ascii="Open Sans" w:hAnsi="Open Sans" w:cs="Open Sans"/>
          <w:shd w:val="clear" w:color="auto" w:fill="EAEAEA"/>
        </w:rPr>
        <w:t xml:space="preserve"> </w:t>
      </w:r>
      <w:hyperlink r:id="rId200" w:history="1">
        <w:r w:rsidRPr="00D84878">
          <w:rPr>
            <w:rStyle w:val="Hyperlink"/>
            <w:color w:val="0070C0"/>
            <w:sz w:val="24"/>
            <w:szCs w:val="24"/>
          </w:rPr>
          <w:t>https://doi.org/10.1080/03626784.1979.11075593</w:t>
        </w:r>
      </w:hyperlink>
    </w:p>
    <w:p w14:paraId="37FE5A81" w14:textId="76CB30DC" w:rsidR="00640A2D" w:rsidRDefault="00640A2D" w:rsidP="00D84878">
      <w:pPr>
        <w:spacing w:line="360" w:lineRule="auto"/>
        <w:ind w:left="833" w:hanging="720"/>
        <w:rPr>
          <w:sz w:val="24"/>
          <w:szCs w:val="24"/>
        </w:rPr>
      </w:pPr>
      <w:r w:rsidRPr="00452C80">
        <w:rPr>
          <w:sz w:val="24"/>
          <w:szCs w:val="24"/>
        </w:rPr>
        <w:t xml:space="preserve">Feltham, C. (2002) Supervision: A surveillance culture? </w:t>
      </w:r>
      <w:r w:rsidRPr="00452C80">
        <w:rPr>
          <w:i/>
          <w:iCs/>
          <w:sz w:val="24"/>
          <w:szCs w:val="24"/>
        </w:rPr>
        <w:t>Counselling and Psychotherapy Journal</w:t>
      </w:r>
      <w:r w:rsidRPr="00452C80">
        <w:rPr>
          <w:sz w:val="24"/>
          <w:szCs w:val="24"/>
        </w:rPr>
        <w:t>, February 2002, 26–27.</w:t>
      </w:r>
      <w:r w:rsidR="00F44578" w:rsidRPr="00F44578">
        <w:t xml:space="preserve"> </w:t>
      </w:r>
      <w:hyperlink r:id="rId201" w:history="1">
        <w:r w:rsidR="00F44578" w:rsidRPr="001B7C2F">
          <w:rPr>
            <w:rStyle w:val="Hyperlink"/>
            <w:sz w:val="24"/>
            <w:szCs w:val="24"/>
          </w:rPr>
          <w:t>https://www.researchgate.net/profile/William-West-9/publication/247520343_The_culture_of_psychotherapy_supervision/links/0c960525e928d6fa36000000/The-culture-of-psychotherapy-supervision.pdf</w:t>
        </w:r>
      </w:hyperlink>
    </w:p>
    <w:p w14:paraId="33E2DE02" w14:textId="7FE62C14" w:rsidR="00640A2D" w:rsidRPr="00452C80" w:rsidRDefault="00640A2D" w:rsidP="00D84878">
      <w:pPr>
        <w:spacing w:line="360" w:lineRule="auto"/>
        <w:ind w:left="833" w:hanging="720"/>
        <w:rPr>
          <w:sz w:val="24"/>
          <w:szCs w:val="24"/>
        </w:rPr>
      </w:pPr>
      <w:r w:rsidRPr="00452C80">
        <w:rPr>
          <w:sz w:val="24"/>
          <w:szCs w:val="24"/>
          <w:lang w:val="en-US"/>
        </w:rPr>
        <w:t xml:space="preserve">Fereday, J., and Muir-Cochrane, E. (2006) </w:t>
      </w:r>
      <w:r w:rsidRPr="00452C80">
        <w:rPr>
          <w:rFonts w:ascii="Source Sans Pro" w:eastAsia="Times New Roman" w:hAnsi="Source Sans Pro" w:cs="Times New Roman"/>
          <w:sz w:val="24"/>
          <w:szCs w:val="24"/>
          <w:lang w:eastAsia="en-GB"/>
        </w:rPr>
        <w:t xml:space="preserve"> </w:t>
      </w:r>
      <w:hyperlink r:id="rId202" w:history="1">
        <w:r w:rsidRPr="00D84878">
          <w:rPr>
            <w:rStyle w:val="Hyperlink"/>
            <w:color w:val="auto"/>
            <w:sz w:val="24"/>
            <w:szCs w:val="24"/>
            <w:u w:val="none"/>
          </w:rPr>
          <w:t>Demonstrating Rigor Using Thematic Analysis: A Hybrid Approach of Inductive and Deductive Coding and Theme Development</w:t>
        </w:r>
      </w:hyperlink>
      <w:r w:rsidRPr="00452C80">
        <w:t>.</w:t>
      </w:r>
      <w:r w:rsidRPr="00452C80">
        <w:rPr>
          <w:sz w:val="24"/>
          <w:szCs w:val="24"/>
        </w:rPr>
        <w:t xml:space="preserve"> </w:t>
      </w:r>
      <w:r w:rsidRPr="00452C80">
        <w:rPr>
          <w:i/>
          <w:iCs/>
          <w:sz w:val="24"/>
          <w:szCs w:val="24"/>
        </w:rPr>
        <w:t>International Journal of Qualitative Methods</w:t>
      </w:r>
      <w:r w:rsidRPr="00452C80">
        <w:rPr>
          <w:sz w:val="24"/>
          <w:szCs w:val="24"/>
        </w:rPr>
        <w:t xml:space="preserve">, </w:t>
      </w:r>
      <w:r w:rsidRPr="00452C80">
        <w:rPr>
          <w:b/>
          <w:bCs/>
          <w:sz w:val="24"/>
          <w:szCs w:val="24"/>
        </w:rPr>
        <w:t>5</w:t>
      </w:r>
      <w:r w:rsidRPr="00452C80">
        <w:rPr>
          <w:sz w:val="24"/>
          <w:szCs w:val="24"/>
        </w:rPr>
        <w:t>(1): pp.80-92</w:t>
      </w:r>
      <w:r w:rsidRPr="00452C80">
        <w:rPr>
          <w:b/>
          <w:bCs/>
          <w:u w:val="single"/>
        </w:rPr>
        <w:t>.</w:t>
      </w:r>
      <w:r w:rsidRPr="00452C80">
        <w:rPr>
          <w:sz w:val="24"/>
          <w:szCs w:val="24"/>
        </w:rPr>
        <w:t xml:space="preserve"> </w:t>
      </w:r>
      <w:hyperlink r:id="rId203" w:history="1">
        <w:r w:rsidRPr="00D84878">
          <w:rPr>
            <w:rStyle w:val="Hyperlink"/>
            <w:color w:val="0070C0"/>
            <w:sz w:val="24"/>
            <w:szCs w:val="24"/>
          </w:rPr>
          <w:t>https://doi.org/10.1177/00380385030373002</w:t>
        </w:r>
      </w:hyperlink>
    </w:p>
    <w:p w14:paraId="216BAFB8" w14:textId="2EAD601A" w:rsidR="00640A2D" w:rsidRPr="00452C80" w:rsidRDefault="00640A2D" w:rsidP="00D84878">
      <w:pPr>
        <w:spacing w:line="360" w:lineRule="auto"/>
        <w:ind w:left="833" w:hanging="720"/>
        <w:rPr>
          <w:bCs/>
          <w:sz w:val="24"/>
          <w:szCs w:val="24"/>
        </w:rPr>
      </w:pPr>
      <w:r w:rsidRPr="00452C80">
        <w:rPr>
          <w:bCs/>
          <w:sz w:val="24"/>
          <w:szCs w:val="24"/>
        </w:rPr>
        <w:t>Ferlie</w:t>
      </w:r>
      <w:r w:rsidR="00CA17BB">
        <w:rPr>
          <w:bCs/>
          <w:sz w:val="24"/>
          <w:szCs w:val="24"/>
        </w:rPr>
        <w:t>,</w:t>
      </w:r>
      <w:r w:rsidRPr="00452C80">
        <w:rPr>
          <w:bCs/>
          <w:sz w:val="24"/>
          <w:szCs w:val="24"/>
        </w:rPr>
        <w:t xml:space="preserve"> E., Hartley</w:t>
      </w:r>
      <w:r w:rsidR="00CA17BB">
        <w:rPr>
          <w:bCs/>
          <w:sz w:val="24"/>
          <w:szCs w:val="24"/>
        </w:rPr>
        <w:t>,</w:t>
      </w:r>
      <w:r w:rsidRPr="00452C80">
        <w:rPr>
          <w:bCs/>
          <w:sz w:val="24"/>
          <w:szCs w:val="24"/>
        </w:rPr>
        <w:t xml:space="preserve"> J., and Martin</w:t>
      </w:r>
      <w:r w:rsidR="00CA17BB">
        <w:rPr>
          <w:bCs/>
          <w:sz w:val="24"/>
          <w:szCs w:val="24"/>
        </w:rPr>
        <w:t>,</w:t>
      </w:r>
      <w:r w:rsidRPr="00452C80">
        <w:rPr>
          <w:bCs/>
          <w:sz w:val="24"/>
          <w:szCs w:val="24"/>
        </w:rPr>
        <w:t xml:space="preserve"> S. (2003) Changing Public Service Organizations: Current Perspectives and Future Prospects. </w:t>
      </w:r>
      <w:r w:rsidRPr="00452C80">
        <w:rPr>
          <w:bCs/>
          <w:i/>
          <w:iCs/>
          <w:sz w:val="24"/>
          <w:szCs w:val="24"/>
        </w:rPr>
        <w:t>British Journal of Management</w:t>
      </w:r>
      <w:r w:rsidRPr="00452C80">
        <w:rPr>
          <w:bCs/>
          <w:sz w:val="24"/>
          <w:szCs w:val="24"/>
        </w:rPr>
        <w:t xml:space="preserve">, </w:t>
      </w:r>
      <w:r w:rsidRPr="00E94C2D">
        <w:rPr>
          <w:b/>
          <w:sz w:val="24"/>
          <w:szCs w:val="24"/>
        </w:rPr>
        <w:t>14</w:t>
      </w:r>
      <w:r w:rsidRPr="00452C80">
        <w:rPr>
          <w:bCs/>
          <w:sz w:val="24"/>
          <w:szCs w:val="24"/>
        </w:rPr>
        <w:t>: S1-S14.</w:t>
      </w:r>
      <w:r w:rsidRPr="00452C80">
        <w:rPr>
          <w:rFonts w:ascii="Open Sans" w:eastAsia="Times New Roman" w:hAnsi="Open Sans" w:cs="Open Sans"/>
          <w:sz w:val="21"/>
          <w:szCs w:val="21"/>
          <w:shd w:val="clear" w:color="auto" w:fill="FFFFFF"/>
          <w:lang w:eastAsia="en-GB"/>
        </w:rPr>
        <w:t xml:space="preserve"> </w:t>
      </w:r>
      <w:r w:rsidRPr="00452C80">
        <w:rPr>
          <w:bCs/>
          <w:sz w:val="24"/>
          <w:szCs w:val="24"/>
        </w:rPr>
        <w:t> </w:t>
      </w:r>
      <w:hyperlink r:id="rId204" w:history="1">
        <w:r w:rsidRPr="00D84878">
          <w:rPr>
            <w:rStyle w:val="Hyperlink"/>
            <w:bCs/>
            <w:color w:val="0070C0"/>
            <w:sz w:val="24"/>
            <w:szCs w:val="24"/>
          </w:rPr>
          <w:t>https://doi.org/10.1111/j.1467-8551.2003.00389.x</w:t>
        </w:r>
      </w:hyperlink>
    </w:p>
    <w:p w14:paraId="3B40FA24" w14:textId="77777777" w:rsidR="00640A2D" w:rsidRPr="00452C80" w:rsidRDefault="00640A2D" w:rsidP="00D84878">
      <w:pPr>
        <w:spacing w:line="360" w:lineRule="auto"/>
        <w:ind w:left="833" w:hanging="720"/>
        <w:rPr>
          <w:bCs/>
          <w:sz w:val="24"/>
          <w:szCs w:val="24"/>
        </w:rPr>
      </w:pPr>
      <w:r w:rsidRPr="00452C80">
        <w:rPr>
          <w:bCs/>
          <w:sz w:val="24"/>
          <w:szCs w:val="24"/>
        </w:rPr>
        <w:t xml:space="preserve">Finlay, L. (2008) Reflecting on ‘Reflective Practice’. </w:t>
      </w:r>
      <w:r w:rsidRPr="00452C80">
        <w:rPr>
          <w:bCs/>
          <w:i/>
          <w:iCs/>
          <w:sz w:val="24"/>
          <w:szCs w:val="24"/>
        </w:rPr>
        <w:t>Practice-based Professional Learning Paper 52</w:t>
      </w:r>
      <w:r w:rsidRPr="00452C80">
        <w:rPr>
          <w:bCs/>
          <w:sz w:val="24"/>
          <w:szCs w:val="24"/>
        </w:rPr>
        <w:t>. Milton Keynes: Open University.</w:t>
      </w:r>
    </w:p>
    <w:p w14:paraId="46C8F7D1" w14:textId="04B89B29" w:rsidR="00640A2D" w:rsidRPr="00452C80" w:rsidRDefault="00640A2D" w:rsidP="00D84878">
      <w:pPr>
        <w:spacing w:line="360" w:lineRule="auto"/>
        <w:ind w:left="833" w:hanging="720"/>
        <w:rPr>
          <w:bCs/>
          <w:sz w:val="24"/>
          <w:szCs w:val="24"/>
        </w:rPr>
      </w:pPr>
      <w:r w:rsidRPr="00452C80">
        <w:rPr>
          <w:bCs/>
          <w:sz w:val="24"/>
          <w:szCs w:val="24"/>
        </w:rPr>
        <w:t>Finlay, L. (2021) Thematic Analysis: The ‘Good’, the ‘Bad’ and the ‘Ugly</w:t>
      </w:r>
      <w:r w:rsidR="00A41B82">
        <w:rPr>
          <w:bCs/>
          <w:sz w:val="24"/>
          <w:szCs w:val="24"/>
        </w:rPr>
        <w:t>’</w:t>
      </w:r>
      <w:r w:rsidRPr="00452C80">
        <w:rPr>
          <w:bCs/>
          <w:sz w:val="24"/>
          <w:szCs w:val="24"/>
        </w:rPr>
        <w:t xml:space="preserve">. </w:t>
      </w:r>
      <w:r w:rsidRPr="00452C80">
        <w:rPr>
          <w:bCs/>
          <w:i/>
          <w:iCs/>
          <w:sz w:val="24"/>
          <w:szCs w:val="24"/>
        </w:rPr>
        <w:t>European Journal for Qualitative Research in Psychotherapy</w:t>
      </w:r>
      <w:r w:rsidRPr="00452C80">
        <w:rPr>
          <w:bCs/>
          <w:sz w:val="24"/>
          <w:szCs w:val="24"/>
        </w:rPr>
        <w:t xml:space="preserve">, </w:t>
      </w:r>
      <w:r w:rsidRPr="00E94C2D">
        <w:rPr>
          <w:b/>
          <w:sz w:val="24"/>
          <w:szCs w:val="24"/>
        </w:rPr>
        <w:t>11</w:t>
      </w:r>
      <w:r w:rsidRPr="00452C80">
        <w:rPr>
          <w:bCs/>
          <w:sz w:val="24"/>
          <w:szCs w:val="24"/>
        </w:rPr>
        <w:t>: pp.103-116.</w:t>
      </w:r>
      <w:r w:rsidRPr="00452C80">
        <w:t xml:space="preserve"> </w:t>
      </w:r>
      <w:hyperlink r:id="rId205" w:history="1">
        <w:r w:rsidRPr="00D84878">
          <w:rPr>
            <w:rStyle w:val="Hyperlink"/>
            <w:bCs/>
            <w:color w:val="0070C0"/>
            <w:sz w:val="24"/>
            <w:szCs w:val="24"/>
          </w:rPr>
          <w:t>https://ejqrp.org/index.php/ejqrp/article/view/136</w:t>
        </w:r>
      </w:hyperlink>
    </w:p>
    <w:p w14:paraId="26D7E45E" w14:textId="77777777" w:rsidR="00640A2D" w:rsidRPr="00452C80" w:rsidRDefault="00640A2D" w:rsidP="00D84878">
      <w:pPr>
        <w:spacing w:line="360" w:lineRule="auto"/>
        <w:ind w:left="833" w:hanging="720"/>
        <w:rPr>
          <w:sz w:val="24"/>
          <w:szCs w:val="24"/>
        </w:rPr>
      </w:pPr>
      <w:r w:rsidRPr="00452C80">
        <w:rPr>
          <w:sz w:val="24"/>
          <w:szCs w:val="24"/>
        </w:rPr>
        <w:t xml:space="preserve">Fischer, C. T. (2006) Humanistic psychology and qualitative research: affinity, clarifications, and invitations. </w:t>
      </w:r>
      <w:r w:rsidRPr="00452C80">
        <w:rPr>
          <w:i/>
          <w:iCs/>
          <w:sz w:val="24"/>
          <w:szCs w:val="24"/>
        </w:rPr>
        <w:t>The</w:t>
      </w:r>
      <w:r w:rsidRPr="00452C80">
        <w:rPr>
          <w:sz w:val="24"/>
          <w:szCs w:val="24"/>
        </w:rPr>
        <w:t xml:space="preserve"> </w:t>
      </w:r>
      <w:r w:rsidRPr="00452C80">
        <w:rPr>
          <w:i/>
          <w:iCs/>
          <w:sz w:val="24"/>
          <w:szCs w:val="24"/>
        </w:rPr>
        <w:t>Humanistic Psychologist</w:t>
      </w:r>
      <w:r w:rsidRPr="00452C80">
        <w:rPr>
          <w:sz w:val="24"/>
          <w:szCs w:val="24"/>
        </w:rPr>
        <w:t xml:space="preserve">, </w:t>
      </w:r>
      <w:r w:rsidRPr="00452C80">
        <w:rPr>
          <w:b/>
          <w:bCs/>
          <w:sz w:val="24"/>
          <w:szCs w:val="24"/>
        </w:rPr>
        <w:t>34</w:t>
      </w:r>
      <w:r w:rsidRPr="00452C80">
        <w:rPr>
          <w:sz w:val="24"/>
          <w:szCs w:val="24"/>
        </w:rPr>
        <w:t xml:space="preserve">(1): pp. 3-11. </w:t>
      </w:r>
      <w:hyperlink r:id="rId206" w:tgtFrame="_blank" w:history="1">
        <w:r w:rsidRPr="00D84878">
          <w:rPr>
            <w:rStyle w:val="Hyperlink"/>
            <w:color w:val="0070C0"/>
            <w:sz w:val="24"/>
            <w:szCs w:val="24"/>
          </w:rPr>
          <w:t>https://doi.org/10.1207/s15473333thp3401_</w:t>
        </w:r>
        <w:r w:rsidRPr="00452C80">
          <w:rPr>
            <w:rStyle w:val="Hyperlink"/>
            <w:color w:val="auto"/>
            <w:sz w:val="24"/>
            <w:szCs w:val="24"/>
          </w:rPr>
          <w:t>2</w:t>
        </w:r>
      </w:hyperlink>
    </w:p>
    <w:p w14:paraId="4360C303" w14:textId="77777777" w:rsidR="00640A2D" w:rsidRPr="00452C80" w:rsidRDefault="00640A2D" w:rsidP="00D84878">
      <w:pPr>
        <w:spacing w:line="360" w:lineRule="auto"/>
        <w:ind w:left="833" w:hanging="720"/>
        <w:rPr>
          <w:sz w:val="24"/>
          <w:szCs w:val="24"/>
        </w:rPr>
      </w:pPr>
      <w:r w:rsidRPr="00452C80">
        <w:rPr>
          <w:sz w:val="24"/>
          <w:szCs w:val="24"/>
        </w:rPr>
        <w:t xml:space="preserve">Fish, D., Twinn, S., and Purr, B. (1989) </w:t>
      </w:r>
      <w:r w:rsidRPr="00452C80">
        <w:rPr>
          <w:i/>
          <w:iCs/>
          <w:sz w:val="24"/>
          <w:szCs w:val="24"/>
        </w:rPr>
        <w:t>How to Enable Learning Through Professional Practice</w:t>
      </w:r>
      <w:r w:rsidRPr="00452C80">
        <w:rPr>
          <w:sz w:val="24"/>
          <w:szCs w:val="24"/>
        </w:rPr>
        <w:t>. London: West London Press.</w:t>
      </w:r>
    </w:p>
    <w:p w14:paraId="72263443" w14:textId="77777777" w:rsidR="00640A2D" w:rsidRPr="00452C80" w:rsidRDefault="00640A2D" w:rsidP="00D84878">
      <w:pPr>
        <w:spacing w:line="360" w:lineRule="auto"/>
        <w:ind w:left="833" w:hanging="720"/>
        <w:rPr>
          <w:sz w:val="24"/>
          <w:szCs w:val="24"/>
        </w:rPr>
      </w:pPr>
      <w:r w:rsidRPr="00452C80">
        <w:rPr>
          <w:sz w:val="24"/>
          <w:szCs w:val="24"/>
        </w:rPr>
        <w:lastRenderedPageBreak/>
        <w:t xml:space="preserve">Fish, D., Twinn, S., and Purr, B. (1991) </w:t>
      </w:r>
      <w:r w:rsidRPr="00452C80">
        <w:rPr>
          <w:i/>
          <w:iCs/>
          <w:sz w:val="24"/>
          <w:szCs w:val="24"/>
        </w:rPr>
        <w:t>Promoting Reflection: Improving the supervision of practice in health visiting and an initial teacher training.</w:t>
      </w:r>
      <w:r w:rsidRPr="00452C80">
        <w:rPr>
          <w:sz w:val="24"/>
          <w:szCs w:val="24"/>
        </w:rPr>
        <w:t xml:space="preserve"> London: West London Institute.</w:t>
      </w:r>
    </w:p>
    <w:p w14:paraId="3EAFD6F1" w14:textId="77777777" w:rsidR="00640A2D" w:rsidRPr="00452C80" w:rsidRDefault="00640A2D" w:rsidP="00D84878">
      <w:pPr>
        <w:spacing w:line="360" w:lineRule="auto"/>
        <w:ind w:left="833" w:hanging="720"/>
        <w:rPr>
          <w:bCs/>
          <w:sz w:val="24"/>
          <w:szCs w:val="24"/>
        </w:rPr>
      </w:pPr>
      <w:r w:rsidRPr="00452C80">
        <w:rPr>
          <w:bCs/>
          <w:sz w:val="24"/>
          <w:szCs w:val="24"/>
        </w:rPr>
        <w:t xml:space="preserve">Fish, D. (1998) </w:t>
      </w:r>
      <w:r w:rsidRPr="00452C80">
        <w:rPr>
          <w:bCs/>
          <w:i/>
          <w:iCs/>
          <w:sz w:val="24"/>
          <w:szCs w:val="24"/>
        </w:rPr>
        <w:t>Appreciating Practice in the Caring Professions: Refocusing professional development and practitioner research</w:t>
      </w:r>
      <w:r w:rsidRPr="00452C80">
        <w:rPr>
          <w:bCs/>
          <w:sz w:val="24"/>
          <w:szCs w:val="24"/>
        </w:rPr>
        <w:t>. Oxford: Butterworth Heinemann.</w:t>
      </w:r>
    </w:p>
    <w:p w14:paraId="7AD5A4E7" w14:textId="77777777" w:rsidR="00640A2D" w:rsidRPr="00452C80" w:rsidRDefault="00640A2D" w:rsidP="00D84878">
      <w:pPr>
        <w:spacing w:line="360" w:lineRule="auto"/>
        <w:ind w:left="833" w:hanging="720"/>
        <w:rPr>
          <w:sz w:val="24"/>
          <w:szCs w:val="24"/>
        </w:rPr>
      </w:pPr>
      <w:r w:rsidRPr="00452C80">
        <w:rPr>
          <w:sz w:val="24"/>
          <w:szCs w:val="24"/>
        </w:rPr>
        <w:t xml:space="preserve">Fleck, R. (2012) Rating our experience: A case study of teachers and tutors’ reflections around images. </w:t>
      </w:r>
      <w:r w:rsidRPr="00452C80">
        <w:rPr>
          <w:i/>
          <w:iCs/>
          <w:sz w:val="24"/>
          <w:szCs w:val="24"/>
        </w:rPr>
        <w:t>Interacting with Computers</w:t>
      </w:r>
      <w:r w:rsidRPr="00452C80">
        <w:rPr>
          <w:sz w:val="24"/>
          <w:szCs w:val="24"/>
        </w:rPr>
        <w:t xml:space="preserve">. </w:t>
      </w:r>
      <w:r w:rsidRPr="00452C80">
        <w:rPr>
          <w:b/>
          <w:bCs/>
          <w:sz w:val="24"/>
          <w:szCs w:val="24"/>
        </w:rPr>
        <w:t>24</w:t>
      </w:r>
      <w:r w:rsidRPr="00452C80">
        <w:rPr>
          <w:sz w:val="24"/>
          <w:szCs w:val="24"/>
        </w:rPr>
        <w:t>(6): pp.439-449.</w:t>
      </w:r>
      <w:r w:rsidRPr="00452C80">
        <w:t xml:space="preserve"> </w:t>
      </w:r>
      <w:hyperlink r:id="rId207" w:tgtFrame="_blank" w:tooltip="Persistent link using digital object identifier" w:history="1">
        <w:r w:rsidRPr="00D84878">
          <w:rPr>
            <w:rStyle w:val="Hyperlink"/>
            <w:color w:val="0070C0"/>
            <w:sz w:val="24"/>
            <w:szCs w:val="24"/>
          </w:rPr>
          <w:t>https://doi.org/10.1016/j.intcom.2012.07.003</w:t>
        </w:r>
      </w:hyperlink>
    </w:p>
    <w:p w14:paraId="71242B73" w14:textId="77777777" w:rsidR="00640A2D" w:rsidRPr="00452C80" w:rsidRDefault="00640A2D" w:rsidP="00D84878">
      <w:pPr>
        <w:spacing w:line="360" w:lineRule="auto"/>
        <w:ind w:left="833" w:hanging="720"/>
        <w:rPr>
          <w:sz w:val="24"/>
          <w:szCs w:val="24"/>
        </w:rPr>
      </w:pPr>
      <w:r w:rsidRPr="00452C80">
        <w:rPr>
          <w:sz w:val="24"/>
          <w:szCs w:val="24"/>
        </w:rPr>
        <w:t xml:space="preserve">Fleming, P. (2021) </w:t>
      </w:r>
      <w:r w:rsidRPr="00452C80">
        <w:rPr>
          <w:i/>
          <w:iCs/>
          <w:sz w:val="24"/>
          <w:szCs w:val="24"/>
        </w:rPr>
        <w:t>Dark Academia: How Universities Die</w:t>
      </w:r>
      <w:r w:rsidRPr="00452C80">
        <w:rPr>
          <w:sz w:val="24"/>
          <w:szCs w:val="24"/>
        </w:rPr>
        <w:t>. London: Pluto Press.</w:t>
      </w:r>
    </w:p>
    <w:p w14:paraId="13A3CC99" w14:textId="77777777" w:rsidR="00640A2D" w:rsidRPr="00452C80" w:rsidRDefault="00640A2D" w:rsidP="00D84878">
      <w:pPr>
        <w:spacing w:line="360" w:lineRule="auto"/>
        <w:ind w:left="833" w:hanging="720"/>
        <w:rPr>
          <w:sz w:val="24"/>
          <w:szCs w:val="24"/>
        </w:rPr>
      </w:pPr>
      <w:r w:rsidRPr="00452C80">
        <w:rPr>
          <w:sz w:val="24"/>
          <w:szCs w:val="24"/>
        </w:rPr>
        <w:t xml:space="preserve">Floyd, A. (2019) Investigating the PDR process in a UK university: continuing professional development or performative that he? </w:t>
      </w:r>
      <w:r w:rsidRPr="00452C80">
        <w:rPr>
          <w:i/>
          <w:iCs/>
          <w:sz w:val="24"/>
          <w:szCs w:val="24"/>
        </w:rPr>
        <w:t>Professional Development and Education</w:t>
      </w:r>
      <w:r w:rsidRPr="00452C80">
        <w:rPr>
          <w:sz w:val="24"/>
          <w:szCs w:val="24"/>
        </w:rPr>
        <w:t xml:space="preserve"> (formerly Journal of In-service Education), </w:t>
      </w:r>
      <w:r w:rsidRPr="00452C80">
        <w:rPr>
          <w:b/>
          <w:bCs/>
          <w:sz w:val="24"/>
          <w:szCs w:val="24"/>
        </w:rPr>
        <w:t>48</w:t>
      </w:r>
      <w:r w:rsidRPr="00452C80">
        <w:rPr>
          <w:sz w:val="24"/>
          <w:szCs w:val="24"/>
        </w:rPr>
        <w:t>(2): pp. 315-329.</w:t>
      </w:r>
      <w:r w:rsidRPr="00452C80">
        <w:rPr>
          <w:rFonts w:ascii="Open Sans" w:eastAsia="Times New Roman" w:hAnsi="Open Sans" w:cs="Open Sans"/>
          <w:sz w:val="20"/>
          <w:szCs w:val="20"/>
          <w:lang w:eastAsia="en-GB"/>
        </w:rPr>
        <w:t xml:space="preserve"> </w:t>
      </w:r>
      <w:hyperlink r:id="rId208" w:history="1">
        <w:r w:rsidRPr="00D84878">
          <w:rPr>
            <w:rStyle w:val="Hyperlink"/>
            <w:color w:val="0070C0"/>
            <w:sz w:val="24"/>
            <w:szCs w:val="24"/>
          </w:rPr>
          <w:t>https://doi.org/10.1080/19415257.2019.1696874</w:t>
        </w:r>
      </w:hyperlink>
    </w:p>
    <w:p w14:paraId="0DECB9C4" w14:textId="77777777" w:rsidR="00640A2D" w:rsidRPr="00452C80" w:rsidRDefault="00640A2D" w:rsidP="00D84878">
      <w:pPr>
        <w:spacing w:line="360" w:lineRule="auto"/>
        <w:ind w:left="833" w:hanging="720"/>
        <w:rPr>
          <w:sz w:val="24"/>
          <w:szCs w:val="24"/>
        </w:rPr>
      </w:pPr>
      <w:r w:rsidRPr="00452C80">
        <w:rPr>
          <w:sz w:val="24"/>
          <w:szCs w:val="24"/>
        </w:rPr>
        <w:t xml:space="preserve">Fonagy, P. (2018) </w:t>
      </w:r>
      <w:r w:rsidRPr="00452C80">
        <w:rPr>
          <w:i/>
          <w:iCs/>
          <w:sz w:val="24"/>
          <w:szCs w:val="24"/>
        </w:rPr>
        <w:t>Supporting Staff Wellbeing in Schools</w:t>
      </w:r>
      <w:r w:rsidRPr="00452C80">
        <w:rPr>
          <w:sz w:val="24"/>
          <w:szCs w:val="24"/>
        </w:rPr>
        <w:t>. London: Anna Freud Centre.</w:t>
      </w:r>
    </w:p>
    <w:p w14:paraId="4D9F3FD0" w14:textId="77777777" w:rsidR="00640A2D" w:rsidRPr="00452C80" w:rsidRDefault="00640A2D" w:rsidP="00D84878">
      <w:pPr>
        <w:spacing w:line="360" w:lineRule="auto"/>
        <w:ind w:left="833" w:hanging="720"/>
        <w:rPr>
          <w:sz w:val="24"/>
          <w:szCs w:val="24"/>
        </w:rPr>
      </w:pPr>
      <w:r w:rsidRPr="00452C80">
        <w:rPr>
          <w:sz w:val="24"/>
          <w:szCs w:val="24"/>
        </w:rPr>
        <w:t xml:space="preserve">Fook, J. (2006) </w:t>
      </w:r>
      <w:r w:rsidRPr="00452C80">
        <w:rPr>
          <w:i/>
          <w:iCs/>
          <w:sz w:val="24"/>
          <w:szCs w:val="24"/>
        </w:rPr>
        <w:t>Critical Reflection and Transformation Possibilities: Social work in a corporate era, practices of power and resistance</w:t>
      </w:r>
      <w:r w:rsidRPr="00452C80">
        <w:rPr>
          <w:sz w:val="24"/>
          <w:szCs w:val="24"/>
        </w:rPr>
        <w:t>. Canada: McGill University.</w:t>
      </w:r>
    </w:p>
    <w:p w14:paraId="715FDD76" w14:textId="7F1DFF26" w:rsidR="00640A2D" w:rsidRPr="00452C80" w:rsidRDefault="00640A2D" w:rsidP="00D84878">
      <w:pPr>
        <w:spacing w:line="360" w:lineRule="auto"/>
        <w:ind w:left="833" w:hanging="720"/>
        <w:rPr>
          <w:sz w:val="24"/>
          <w:szCs w:val="24"/>
        </w:rPr>
      </w:pPr>
      <w:r w:rsidRPr="00452C80">
        <w:rPr>
          <w:sz w:val="24"/>
          <w:szCs w:val="24"/>
        </w:rPr>
        <w:t>Fook, J., White, S., and Gardner, F. (2006) Critical Reflection: A review of contemporary literature and understandings. In</w:t>
      </w:r>
      <w:r w:rsidR="009156BA">
        <w:rPr>
          <w:sz w:val="24"/>
          <w:szCs w:val="24"/>
        </w:rPr>
        <w:t>:</w:t>
      </w:r>
      <w:r w:rsidRPr="00452C80">
        <w:rPr>
          <w:sz w:val="24"/>
          <w:szCs w:val="24"/>
        </w:rPr>
        <w:t xml:space="preserve"> S. White, J. Fook and F. Gardner (eds)</w:t>
      </w:r>
      <w:r w:rsidR="009156BA">
        <w:rPr>
          <w:sz w:val="24"/>
          <w:szCs w:val="24"/>
        </w:rPr>
        <w:t>,</w:t>
      </w:r>
      <w:r w:rsidRPr="00452C80">
        <w:rPr>
          <w:sz w:val="24"/>
          <w:szCs w:val="24"/>
        </w:rPr>
        <w:t xml:space="preserve"> </w:t>
      </w:r>
      <w:r w:rsidRPr="00452C80">
        <w:rPr>
          <w:i/>
          <w:iCs/>
          <w:sz w:val="24"/>
          <w:szCs w:val="24"/>
        </w:rPr>
        <w:t>Critical Reflection in Health and Social Care.</w:t>
      </w:r>
      <w:r w:rsidRPr="00452C80">
        <w:rPr>
          <w:sz w:val="24"/>
          <w:szCs w:val="24"/>
        </w:rPr>
        <w:t xml:space="preserve"> Maidenhead, Berks: Open University Press. </w:t>
      </w:r>
    </w:p>
    <w:p w14:paraId="05BFDBFA" w14:textId="4B733922" w:rsidR="00640A2D" w:rsidRPr="00452C80" w:rsidRDefault="00640A2D" w:rsidP="00D84878">
      <w:pPr>
        <w:spacing w:line="360" w:lineRule="auto"/>
        <w:ind w:left="833" w:hanging="720"/>
        <w:rPr>
          <w:bCs/>
          <w:sz w:val="24"/>
          <w:szCs w:val="24"/>
        </w:rPr>
      </w:pPr>
      <w:r w:rsidRPr="00452C80">
        <w:rPr>
          <w:bCs/>
          <w:sz w:val="24"/>
          <w:szCs w:val="24"/>
        </w:rPr>
        <w:t>Forrester, W. R., and Tashchian, A. (2010) Effects of personality on attitudes toward academic group work.</w:t>
      </w:r>
      <w:r w:rsidRPr="00452C80">
        <w:rPr>
          <w:bCs/>
          <w:i/>
          <w:iCs/>
          <w:sz w:val="24"/>
          <w:szCs w:val="24"/>
        </w:rPr>
        <w:t> American Journal of Business Education,</w:t>
      </w:r>
      <w:r w:rsidRPr="00452C80">
        <w:rPr>
          <w:b/>
          <w:sz w:val="24"/>
          <w:szCs w:val="24"/>
        </w:rPr>
        <w:t> 3</w:t>
      </w:r>
      <w:r w:rsidRPr="00452C80">
        <w:rPr>
          <w:bCs/>
          <w:sz w:val="24"/>
          <w:szCs w:val="24"/>
        </w:rPr>
        <w:t xml:space="preserve">(3): pp.39-45. </w:t>
      </w:r>
      <w:hyperlink r:id="rId209" w:history="1">
        <w:r w:rsidRPr="00D84878">
          <w:rPr>
            <w:rStyle w:val="Hyperlink"/>
            <w:bCs/>
            <w:color w:val="0070C0"/>
            <w:sz w:val="24"/>
            <w:szCs w:val="24"/>
          </w:rPr>
          <w:t>https://www.proquest.com/scholarly-journals/effects-personality-on-attitudes-toward-academic/docview/195900586/se-2</w:t>
        </w:r>
      </w:hyperlink>
    </w:p>
    <w:p w14:paraId="4AB4B3A0" w14:textId="77777777" w:rsidR="00640A2D" w:rsidRPr="00452C80" w:rsidRDefault="00640A2D" w:rsidP="00D84878">
      <w:pPr>
        <w:spacing w:line="360" w:lineRule="auto"/>
        <w:ind w:left="833" w:hanging="720"/>
        <w:rPr>
          <w:sz w:val="24"/>
          <w:szCs w:val="24"/>
        </w:rPr>
      </w:pPr>
      <w:r w:rsidRPr="00452C80">
        <w:rPr>
          <w:sz w:val="24"/>
          <w:szCs w:val="24"/>
        </w:rPr>
        <w:t xml:space="preserve">Frank, A. W. (2010) </w:t>
      </w:r>
      <w:r w:rsidRPr="00452C80">
        <w:rPr>
          <w:i/>
          <w:iCs/>
          <w:sz w:val="24"/>
          <w:szCs w:val="24"/>
        </w:rPr>
        <w:t>Letting Stories Breathe: A socio-narratology</w:t>
      </w:r>
      <w:r w:rsidRPr="00452C80">
        <w:rPr>
          <w:sz w:val="24"/>
          <w:szCs w:val="24"/>
        </w:rPr>
        <w:t xml:space="preserve">. London: The University of Chicago Press. </w:t>
      </w:r>
    </w:p>
    <w:p w14:paraId="115BD1FA" w14:textId="470A766D" w:rsidR="00640A2D" w:rsidRPr="00452C80" w:rsidRDefault="00640A2D" w:rsidP="00D84878">
      <w:pPr>
        <w:spacing w:line="360" w:lineRule="auto"/>
        <w:ind w:left="833" w:hanging="720"/>
        <w:rPr>
          <w:sz w:val="24"/>
          <w:szCs w:val="24"/>
        </w:rPr>
      </w:pPr>
      <w:r w:rsidRPr="00452C80">
        <w:rPr>
          <w:sz w:val="24"/>
          <w:szCs w:val="24"/>
        </w:rPr>
        <w:lastRenderedPageBreak/>
        <w:t>Fraser, S. W.</w:t>
      </w:r>
      <w:r w:rsidR="00F0747E">
        <w:rPr>
          <w:sz w:val="24"/>
          <w:szCs w:val="24"/>
        </w:rPr>
        <w:t>,</w:t>
      </w:r>
      <w:r w:rsidRPr="00452C80">
        <w:rPr>
          <w:sz w:val="24"/>
          <w:szCs w:val="24"/>
        </w:rPr>
        <w:t xml:space="preserve"> and Greenhalgh, T. (2001) Coping with complexity: educating for capability. </w:t>
      </w:r>
      <w:r w:rsidRPr="00452C80">
        <w:rPr>
          <w:i/>
          <w:iCs/>
          <w:sz w:val="24"/>
          <w:szCs w:val="24"/>
        </w:rPr>
        <w:t>British Medical Journal</w:t>
      </w:r>
      <w:r w:rsidRPr="00452C80">
        <w:rPr>
          <w:sz w:val="24"/>
          <w:szCs w:val="24"/>
        </w:rPr>
        <w:t>, 323: pp. 799-803.</w:t>
      </w:r>
      <w:r w:rsidRPr="00452C80">
        <w:rPr>
          <w:rFonts w:ascii="Helvetica" w:hAnsi="Helvetica" w:cs="Helvetica"/>
          <w:bdr w:val="none" w:sz="0" w:space="0" w:color="auto" w:frame="1"/>
          <w:shd w:val="clear" w:color="auto" w:fill="FFFFFF"/>
        </w:rPr>
        <w:t xml:space="preserve"> </w:t>
      </w:r>
      <w:hyperlink r:id="rId210" w:history="1">
        <w:r w:rsidRPr="00D84878">
          <w:rPr>
            <w:rStyle w:val="Hyperlink"/>
            <w:color w:val="0070C0"/>
            <w:sz w:val="24"/>
            <w:szCs w:val="24"/>
          </w:rPr>
          <w:t>https://doi.org/10.1136/bmj.323.7316.799</w:t>
        </w:r>
      </w:hyperlink>
      <w:r w:rsidRPr="00452C80">
        <w:rPr>
          <w:sz w:val="24"/>
          <w:szCs w:val="24"/>
        </w:rPr>
        <w:t> </w:t>
      </w:r>
      <w:r w:rsidRPr="00452C80">
        <w:rPr>
          <w:rFonts w:ascii="Segoe UI" w:hAnsi="Segoe UI" w:cs="Segoe UI"/>
          <w:shd w:val="clear" w:color="auto" w:fill="FFFFFF"/>
        </w:rPr>
        <w:t xml:space="preserve"> </w:t>
      </w:r>
    </w:p>
    <w:p w14:paraId="0A9316ED" w14:textId="77777777" w:rsidR="00640A2D" w:rsidRPr="00452C80" w:rsidRDefault="00640A2D" w:rsidP="00D84878">
      <w:pPr>
        <w:spacing w:before="240" w:after="240" w:line="360" w:lineRule="auto"/>
        <w:ind w:left="833" w:hanging="720"/>
        <w:rPr>
          <w:rFonts w:ascii="Arial" w:hAnsi="Arial" w:cs="Arial"/>
          <w:sz w:val="21"/>
          <w:szCs w:val="21"/>
        </w:rPr>
      </w:pPr>
      <w:r w:rsidRPr="00452C80">
        <w:rPr>
          <w:sz w:val="24"/>
          <w:szCs w:val="24"/>
        </w:rPr>
        <w:t xml:space="preserve">Frayling, C. (1993) Research in Art and Design.  </w:t>
      </w:r>
      <w:r w:rsidRPr="00452C80">
        <w:rPr>
          <w:i/>
          <w:iCs/>
          <w:sz w:val="24"/>
          <w:szCs w:val="24"/>
        </w:rPr>
        <w:t>Royal College of Art Research Papers</w:t>
      </w:r>
      <w:r w:rsidRPr="00452C80">
        <w:rPr>
          <w:sz w:val="24"/>
          <w:szCs w:val="24"/>
        </w:rPr>
        <w:t xml:space="preserve">, </w:t>
      </w:r>
      <w:r w:rsidRPr="00452C80">
        <w:rPr>
          <w:b/>
          <w:bCs/>
          <w:sz w:val="24"/>
          <w:szCs w:val="24"/>
        </w:rPr>
        <w:t>1</w:t>
      </w:r>
      <w:r w:rsidRPr="00452C80">
        <w:rPr>
          <w:sz w:val="24"/>
          <w:szCs w:val="24"/>
        </w:rPr>
        <w:t>(1) (1993/4): pp.1-5.</w:t>
      </w:r>
      <w:hyperlink r:id="rId211" w:history="1">
        <w:r w:rsidRPr="00452C80">
          <w:rPr>
            <w:rStyle w:val="Hyperlink"/>
            <w:rFonts w:ascii="Arial" w:hAnsi="Arial" w:cs="Arial"/>
            <w:color w:val="auto"/>
            <w:sz w:val="21"/>
            <w:szCs w:val="21"/>
            <w:shd w:val="clear" w:color="auto" w:fill="FAFAFA"/>
          </w:rPr>
          <w:t xml:space="preserve"> </w:t>
        </w:r>
        <w:r w:rsidRPr="00D84878">
          <w:rPr>
            <w:rStyle w:val="Hyperlink"/>
            <w:rFonts w:ascii="Calibri" w:hAnsi="Calibri" w:cs="Calibri"/>
            <w:color w:val="0070C0"/>
            <w:sz w:val="24"/>
            <w:szCs w:val="24"/>
            <w:shd w:val="clear" w:color="auto" w:fill="FAFAFA"/>
          </w:rPr>
          <w:t>https://researchonline.rca.ac.uk/id/eprint/384</w:t>
        </w:r>
      </w:hyperlink>
    </w:p>
    <w:p w14:paraId="47E330ED" w14:textId="2DCF3274" w:rsidR="00640A2D" w:rsidRPr="00452C80" w:rsidRDefault="00640A2D" w:rsidP="00D84878">
      <w:pPr>
        <w:spacing w:line="360" w:lineRule="auto"/>
        <w:ind w:left="833" w:hanging="720"/>
        <w:rPr>
          <w:sz w:val="24"/>
          <w:szCs w:val="24"/>
        </w:rPr>
      </w:pPr>
      <w:r w:rsidRPr="00452C80">
        <w:rPr>
          <w:sz w:val="24"/>
          <w:szCs w:val="24"/>
        </w:rPr>
        <w:t>Frazier, M. L., Fainshmidt, S., Klinger, R. L., Pezeshkan, A., and Vracheva, V. (2017)</w:t>
      </w:r>
      <w:r w:rsidR="00D0133D">
        <w:rPr>
          <w:sz w:val="24"/>
          <w:szCs w:val="24"/>
        </w:rPr>
        <w:t xml:space="preserve"> </w:t>
      </w:r>
      <w:r w:rsidRPr="00452C80">
        <w:rPr>
          <w:sz w:val="24"/>
          <w:szCs w:val="24"/>
        </w:rPr>
        <w:t xml:space="preserve">Psychological Safety: A Meta– Analytic Review and Extension. </w:t>
      </w:r>
      <w:r w:rsidRPr="00452C80">
        <w:rPr>
          <w:i/>
          <w:iCs/>
          <w:sz w:val="24"/>
          <w:szCs w:val="24"/>
        </w:rPr>
        <w:t>Personnel Psychology</w:t>
      </w:r>
      <w:r w:rsidRPr="00452C80">
        <w:rPr>
          <w:sz w:val="24"/>
          <w:szCs w:val="24"/>
        </w:rPr>
        <w:t xml:space="preserve">, </w:t>
      </w:r>
      <w:r w:rsidRPr="00452C80">
        <w:rPr>
          <w:b/>
          <w:bCs/>
          <w:sz w:val="24"/>
          <w:szCs w:val="24"/>
        </w:rPr>
        <w:t>70</w:t>
      </w:r>
      <w:r w:rsidRPr="00452C80">
        <w:rPr>
          <w:sz w:val="24"/>
          <w:szCs w:val="24"/>
        </w:rPr>
        <w:t xml:space="preserve">(1): pp. 113–165. </w:t>
      </w:r>
      <w:hyperlink r:id="rId212" w:history="1">
        <w:r w:rsidRPr="00D84878">
          <w:rPr>
            <w:rStyle w:val="Hyperlink"/>
            <w:color w:val="0070C0"/>
            <w:sz w:val="24"/>
            <w:szCs w:val="24"/>
          </w:rPr>
          <w:t>https://doi.org/10.1111/peps.12183</w:t>
        </w:r>
      </w:hyperlink>
    </w:p>
    <w:p w14:paraId="71D8E217" w14:textId="747E8D66" w:rsidR="00640A2D" w:rsidRPr="00452C80" w:rsidRDefault="00640A2D" w:rsidP="00D84878">
      <w:pPr>
        <w:spacing w:line="360" w:lineRule="auto"/>
        <w:ind w:left="833" w:hanging="720"/>
        <w:rPr>
          <w:sz w:val="24"/>
          <w:szCs w:val="24"/>
        </w:rPr>
      </w:pPr>
      <w:r w:rsidRPr="00452C80">
        <w:rPr>
          <w:sz w:val="24"/>
          <w:szCs w:val="24"/>
        </w:rPr>
        <w:t xml:space="preserve">Frederickson, B. L. (2001) The Role of Positive Emotions in Positive Psychology: The Broaden-And-Build Theory of Positive Emotions. </w:t>
      </w:r>
      <w:r w:rsidRPr="00452C80">
        <w:rPr>
          <w:i/>
          <w:iCs/>
          <w:sz w:val="24"/>
          <w:szCs w:val="24"/>
        </w:rPr>
        <w:t>American Psychologist</w:t>
      </w:r>
      <w:r w:rsidRPr="00452C80">
        <w:rPr>
          <w:sz w:val="24"/>
          <w:szCs w:val="24"/>
        </w:rPr>
        <w:t xml:space="preserve">, </w:t>
      </w:r>
      <w:r w:rsidRPr="00452C80">
        <w:rPr>
          <w:b/>
          <w:bCs/>
          <w:sz w:val="24"/>
          <w:szCs w:val="24"/>
        </w:rPr>
        <w:t>56</w:t>
      </w:r>
      <w:r w:rsidRPr="00452C80">
        <w:rPr>
          <w:sz w:val="24"/>
          <w:szCs w:val="24"/>
        </w:rPr>
        <w:t>(3): p.218-226.</w:t>
      </w:r>
      <w:r w:rsidRPr="00452C80">
        <w:rPr>
          <w:rFonts w:ascii="Segoe UI" w:eastAsia="Times New Roman" w:hAnsi="Segoe UI" w:cs="Segoe UI"/>
          <w:sz w:val="24"/>
          <w:szCs w:val="24"/>
          <w:lang w:eastAsia="en-GB"/>
        </w:rPr>
        <w:t xml:space="preserve"> </w:t>
      </w:r>
      <w:r w:rsidR="00D84878" w:rsidRPr="00D84878">
        <w:rPr>
          <w:rFonts w:eastAsia="Times New Roman" w:cstheme="minorHAnsi"/>
          <w:color w:val="0070C0"/>
          <w:sz w:val="24"/>
          <w:szCs w:val="24"/>
          <w:lang w:eastAsia="en-GB"/>
        </w:rPr>
        <w:t>DOI:</w:t>
      </w:r>
      <w:hyperlink r:id="rId213" w:tgtFrame="_blank" w:history="1">
        <w:r w:rsidRPr="00D84878">
          <w:rPr>
            <w:rStyle w:val="Hyperlink"/>
            <w:color w:val="0070C0"/>
            <w:sz w:val="24"/>
            <w:szCs w:val="24"/>
          </w:rPr>
          <w:t>10.1037//0003-066x.56.3.218</w:t>
        </w:r>
      </w:hyperlink>
    </w:p>
    <w:p w14:paraId="28667F13" w14:textId="77777777" w:rsidR="00640A2D" w:rsidRPr="00452C80" w:rsidRDefault="00640A2D" w:rsidP="00D84878">
      <w:pPr>
        <w:spacing w:line="360" w:lineRule="auto"/>
        <w:ind w:left="833" w:hanging="720"/>
        <w:rPr>
          <w:bCs/>
          <w:sz w:val="24"/>
          <w:szCs w:val="24"/>
        </w:rPr>
      </w:pPr>
      <w:r w:rsidRPr="00452C80">
        <w:rPr>
          <w:bCs/>
          <w:sz w:val="24"/>
          <w:szCs w:val="24"/>
        </w:rPr>
        <w:t>Freire, P. (1970)</w:t>
      </w:r>
      <w:r w:rsidRPr="00452C80">
        <w:rPr>
          <w:bCs/>
          <w:i/>
          <w:sz w:val="24"/>
          <w:szCs w:val="24"/>
        </w:rPr>
        <w:t xml:space="preserve"> Pedagogy of the Oppressed</w:t>
      </w:r>
      <w:r w:rsidRPr="00452C80">
        <w:rPr>
          <w:bCs/>
          <w:sz w:val="24"/>
          <w:szCs w:val="24"/>
        </w:rPr>
        <w:t xml:space="preserve">. London: Penguin Classics. </w:t>
      </w:r>
    </w:p>
    <w:p w14:paraId="7F25B2F9" w14:textId="18117488" w:rsidR="00640A2D" w:rsidRPr="00452C80" w:rsidRDefault="00640A2D" w:rsidP="00D84878">
      <w:pPr>
        <w:spacing w:line="360" w:lineRule="auto"/>
        <w:ind w:left="833" w:hanging="720"/>
        <w:rPr>
          <w:sz w:val="24"/>
          <w:szCs w:val="24"/>
        </w:rPr>
      </w:pPr>
      <w:r w:rsidRPr="00452C80">
        <w:rPr>
          <w:sz w:val="24"/>
          <w:szCs w:val="24"/>
        </w:rPr>
        <w:t xml:space="preserve">Freshwater, D., and Rolfe, G. (2001) Critical reflexivity: a politically and ethically engage method for nursing, </w:t>
      </w:r>
      <w:r w:rsidRPr="00452C80">
        <w:rPr>
          <w:i/>
          <w:iCs/>
          <w:sz w:val="24"/>
          <w:szCs w:val="24"/>
        </w:rPr>
        <w:t>Nursing Times Research</w:t>
      </w:r>
      <w:r w:rsidRPr="00452C80">
        <w:rPr>
          <w:sz w:val="24"/>
          <w:szCs w:val="24"/>
        </w:rPr>
        <w:t>,</w:t>
      </w:r>
      <w:r w:rsidR="00CC09EA" w:rsidRPr="00452C80">
        <w:rPr>
          <w:sz w:val="24"/>
          <w:szCs w:val="24"/>
        </w:rPr>
        <w:t xml:space="preserve"> </w:t>
      </w:r>
      <w:r w:rsidR="00CC09EA" w:rsidRPr="00452C80">
        <w:rPr>
          <w:b/>
          <w:bCs/>
          <w:sz w:val="24"/>
          <w:szCs w:val="24"/>
        </w:rPr>
        <w:t>6</w:t>
      </w:r>
      <w:r w:rsidR="00CC09EA" w:rsidRPr="00452C80">
        <w:rPr>
          <w:sz w:val="24"/>
          <w:szCs w:val="24"/>
        </w:rPr>
        <w:t>(1): pp. 526-537.</w:t>
      </w:r>
      <w:r w:rsidRPr="00452C80">
        <w:rPr>
          <w:sz w:val="24"/>
          <w:szCs w:val="24"/>
        </w:rPr>
        <w:t xml:space="preserve"> </w:t>
      </w:r>
      <w:hyperlink r:id="rId214" w:history="1">
        <w:r w:rsidR="009906B6" w:rsidRPr="00D84878">
          <w:rPr>
            <w:rStyle w:val="Hyperlink"/>
            <w:color w:val="0070C0"/>
            <w:sz w:val="24"/>
            <w:szCs w:val="24"/>
          </w:rPr>
          <w:t>https://doi.org/10.1177/136140960100600109</w:t>
        </w:r>
      </w:hyperlink>
    </w:p>
    <w:p w14:paraId="644FE7B3" w14:textId="77777777" w:rsidR="00640A2D" w:rsidRPr="00452C80" w:rsidRDefault="00640A2D" w:rsidP="00D84878">
      <w:pPr>
        <w:spacing w:line="360" w:lineRule="auto"/>
        <w:ind w:left="833" w:hanging="720"/>
        <w:rPr>
          <w:bCs/>
          <w:sz w:val="24"/>
          <w:szCs w:val="24"/>
        </w:rPr>
      </w:pPr>
      <w:r w:rsidRPr="00452C80">
        <w:rPr>
          <w:bCs/>
          <w:sz w:val="24"/>
          <w:szCs w:val="24"/>
        </w:rPr>
        <w:t xml:space="preserve">Freud, S. (1908) Character and Anal Eroticism. </w:t>
      </w:r>
      <w:r w:rsidRPr="00452C80">
        <w:rPr>
          <w:bCs/>
          <w:i/>
          <w:iCs/>
          <w:sz w:val="24"/>
          <w:szCs w:val="24"/>
        </w:rPr>
        <w:t>The Standard Edition of the Complete Psychological Works of Sigmund Freud,</w:t>
      </w:r>
      <w:r w:rsidRPr="00452C80">
        <w:rPr>
          <w:bCs/>
          <w:sz w:val="24"/>
          <w:szCs w:val="24"/>
        </w:rPr>
        <w:t xml:space="preserve"> Vol. XI (1906-1908): Jensen’s “Gravida” and Other Works (1906-1909). London: Hogarth Press and the Institute of Psychoanalysis.</w:t>
      </w:r>
    </w:p>
    <w:p w14:paraId="6878B7EF" w14:textId="77777777" w:rsidR="00640A2D" w:rsidRPr="00452C80" w:rsidRDefault="00640A2D" w:rsidP="00D84878">
      <w:pPr>
        <w:spacing w:line="360" w:lineRule="auto"/>
        <w:ind w:left="833" w:hanging="720"/>
        <w:rPr>
          <w:bCs/>
          <w:sz w:val="24"/>
          <w:szCs w:val="24"/>
        </w:rPr>
      </w:pPr>
      <w:r w:rsidRPr="00452C80">
        <w:rPr>
          <w:bCs/>
          <w:sz w:val="24"/>
          <w:szCs w:val="24"/>
        </w:rPr>
        <w:t xml:space="preserve">Freud, S. (1927) Fetishism. </w:t>
      </w:r>
      <w:r w:rsidRPr="00452C80">
        <w:rPr>
          <w:bCs/>
          <w:i/>
          <w:iCs/>
          <w:sz w:val="24"/>
          <w:szCs w:val="24"/>
        </w:rPr>
        <w:t>S.E</w:t>
      </w:r>
      <w:r w:rsidRPr="00452C80">
        <w:rPr>
          <w:bCs/>
          <w:sz w:val="24"/>
          <w:szCs w:val="24"/>
        </w:rPr>
        <w:t>, 21: pp.147-157.</w:t>
      </w:r>
    </w:p>
    <w:p w14:paraId="7A3539F7" w14:textId="77777777" w:rsidR="00640A2D" w:rsidRPr="00452C80" w:rsidRDefault="00640A2D" w:rsidP="00D84878">
      <w:pPr>
        <w:spacing w:line="360" w:lineRule="auto"/>
        <w:ind w:left="833" w:hanging="720"/>
        <w:rPr>
          <w:bCs/>
          <w:sz w:val="24"/>
          <w:szCs w:val="24"/>
        </w:rPr>
      </w:pPr>
      <w:r w:rsidRPr="00452C80">
        <w:rPr>
          <w:bCs/>
          <w:sz w:val="24"/>
          <w:szCs w:val="24"/>
        </w:rPr>
        <w:t xml:space="preserve">Frosh, S. (2010) </w:t>
      </w:r>
      <w:r w:rsidRPr="00452C80">
        <w:rPr>
          <w:bCs/>
          <w:i/>
          <w:iCs/>
          <w:sz w:val="24"/>
          <w:szCs w:val="24"/>
        </w:rPr>
        <w:t>Psychoanalysis Outside the Clinic: Interventions in psychosocial studies.</w:t>
      </w:r>
      <w:r w:rsidRPr="00452C80">
        <w:rPr>
          <w:bCs/>
          <w:sz w:val="24"/>
          <w:szCs w:val="24"/>
        </w:rPr>
        <w:t xml:space="preserve"> London: Palgrave Macmillan.</w:t>
      </w:r>
    </w:p>
    <w:p w14:paraId="66FDB961" w14:textId="2AD0A10E" w:rsidR="00640A2D" w:rsidRPr="00452C80" w:rsidRDefault="00640A2D" w:rsidP="00D84878">
      <w:pPr>
        <w:spacing w:line="360" w:lineRule="auto"/>
        <w:ind w:left="833" w:hanging="720"/>
        <w:rPr>
          <w:bCs/>
          <w:sz w:val="24"/>
          <w:szCs w:val="24"/>
        </w:rPr>
      </w:pPr>
      <w:r w:rsidRPr="00452C80">
        <w:rPr>
          <w:bCs/>
          <w:sz w:val="24"/>
          <w:szCs w:val="24"/>
        </w:rPr>
        <w:t>Frosh, S. (2019) Psychosocial studies with psychoanalysis. </w:t>
      </w:r>
      <w:r w:rsidRPr="00452C80">
        <w:rPr>
          <w:bCs/>
          <w:i/>
          <w:iCs/>
          <w:sz w:val="24"/>
          <w:szCs w:val="24"/>
        </w:rPr>
        <w:t>Journal of Psychosocial Studies</w:t>
      </w:r>
      <w:r w:rsidRPr="00452C80">
        <w:rPr>
          <w:bCs/>
          <w:sz w:val="24"/>
          <w:szCs w:val="24"/>
        </w:rPr>
        <w:t>, </w:t>
      </w:r>
      <w:r w:rsidRPr="00452C80">
        <w:rPr>
          <w:b/>
          <w:sz w:val="24"/>
          <w:szCs w:val="24"/>
        </w:rPr>
        <w:t>12</w:t>
      </w:r>
      <w:r w:rsidRPr="00452C80">
        <w:rPr>
          <w:bCs/>
          <w:sz w:val="24"/>
          <w:szCs w:val="24"/>
        </w:rPr>
        <w:t>(1-2): pp.101</w:t>
      </w:r>
      <w:r w:rsidR="002C4F36">
        <w:rPr>
          <w:bCs/>
          <w:sz w:val="24"/>
          <w:szCs w:val="24"/>
        </w:rPr>
        <w:t>-</w:t>
      </w:r>
      <w:r w:rsidRPr="00452C80">
        <w:rPr>
          <w:bCs/>
          <w:sz w:val="24"/>
          <w:szCs w:val="24"/>
        </w:rPr>
        <w:t>114 </w:t>
      </w:r>
      <w:hyperlink r:id="rId215" w:tgtFrame="_blank" w:history="1">
        <w:r w:rsidRPr="00FE135A">
          <w:rPr>
            <w:rStyle w:val="Hyperlink"/>
            <w:bCs/>
            <w:color w:val="0070C0"/>
            <w:sz w:val="24"/>
            <w:szCs w:val="24"/>
          </w:rPr>
          <w:t>https://doi.org/10.1332/147867319X15608718110952</w:t>
        </w:r>
      </w:hyperlink>
    </w:p>
    <w:p w14:paraId="3F8D8EBE" w14:textId="77777777" w:rsidR="00640A2D" w:rsidRPr="00452C80" w:rsidRDefault="00640A2D" w:rsidP="00D84878">
      <w:pPr>
        <w:spacing w:line="360" w:lineRule="auto"/>
        <w:ind w:left="833" w:hanging="720"/>
        <w:rPr>
          <w:sz w:val="24"/>
          <w:szCs w:val="24"/>
        </w:rPr>
      </w:pPr>
      <w:r w:rsidRPr="00452C80">
        <w:rPr>
          <w:sz w:val="24"/>
          <w:szCs w:val="24"/>
        </w:rPr>
        <w:t xml:space="preserve">Fry, H., Ketteridge, S., and Marshall, S. (2006) </w:t>
      </w:r>
      <w:r w:rsidRPr="00452C80">
        <w:rPr>
          <w:i/>
          <w:iCs/>
          <w:sz w:val="24"/>
          <w:szCs w:val="24"/>
        </w:rPr>
        <w:t>A Handbook for Teaching and Learning in Higher Education: Enhancing academic practice.</w:t>
      </w:r>
      <w:r w:rsidRPr="00452C80">
        <w:rPr>
          <w:sz w:val="24"/>
          <w:szCs w:val="24"/>
        </w:rPr>
        <w:t xml:space="preserve"> London: Routledge Falmer.</w:t>
      </w:r>
    </w:p>
    <w:p w14:paraId="34A9DB60" w14:textId="77777777" w:rsidR="00640A2D" w:rsidRPr="00452C80" w:rsidRDefault="00640A2D" w:rsidP="00D84878">
      <w:pPr>
        <w:spacing w:line="360" w:lineRule="auto"/>
        <w:ind w:left="833" w:hanging="720"/>
        <w:rPr>
          <w:sz w:val="24"/>
          <w:szCs w:val="24"/>
        </w:rPr>
      </w:pPr>
      <w:r w:rsidRPr="00452C80">
        <w:rPr>
          <w:sz w:val="24"/>
          <w:szCs w:val="24"/>
        </w:rPr>
        <w:lastRenderedPageBreak/>
        <w:t xml:space="preserve">Furedi, F. (1997) </w:t>
      </w:r>
      <w:r w:rsidRPr="00452C80">
        <w:rPr>
          <w:i/>
          <w:iCs/>
          <w:sz w:val="24"/>
          <w:szCs w:val="24"/>
        </w:rPr>
        <w:t>Culture of Fear</w:t>
      </w:r>
      <w:r w:rsidRPr="00452C80">
        <w:rPr>
          <w:sz w:val="24"/>
          <w:szCs w:val="24"/>
        </w:rPr>
        <w:t>. London: Continuum.</w:t>
      </w:r>
    </w:p>
    <w:p w14:paraId="7351CF3C" w14:textId="77777777" w:rsidR="00640A2D" w:rsidRPr="00452C80" w:rsidRDefault="00640A2D" w:rsidP="00D84878">
      <w:pPr>
        <w:spacing w:line="360" w:lineRule="auto"/>
        <w:ind w:left="833" w:hanging="720"/>
        <w:rPr>
          <w:sz w:val="24"/>
          <w:szCs w:val="24"/>
        </w:rPr>
      </w:pPr>
      <w:r w:rsidRPr="00452C80">
        <w:rPr>
          <w:sz w:val="24"/>
          <w:szCs w:val="24"/>
        </w:rPr>
        <w:t xml:space="preserve">Furedi, F. (2017) </w:t>
      </w:r>
      <w:r w:rsidRPr="00452C80">
        <w:rPr>
          <w:i/>
          <w:iCs/>
          <w:sz w:val="24"/>
          <w:szCs w:val="24"/>
        </w:rPr>
        <w:t>What’s Happened to the University: A Sociological Explanation of Its Infantalisation</w:t>
      </w:r>
      <w:r w:rsidRPr="00452C80">
        <w:rPr>
          <w:sz w:val="24"/>
          <w:szCs w:val="24"/>
        </w:rPr>
        <w:t>. New York: Routledge.</w:t>
      </w:r>
    </w:p>
    <w:p w14:paraId="24881713" w14:textId="77777777" w:rsidR="00640A2D" w:rsidRPr="00452C80" w:rsidRDefault="00640A2D" w:rsidP="00D84878">
      <w:pPr>
        <w:spacing w:line="360" w:lineRule="auto"/>
        <w:ind w:left="833" w:hanging="720"/>
        <w:rPr>
          <w:sz w:val="24"/>
          <w:szCs w:val="24"/>
        </w:rPr>
      </w:pPr>
      <w:r w:rsidRPr="00452C80">
        <w:rPr>
          <w:sz w:val="24"/>
          <w:szCs w:val="24"/>
        </w:rPr>
        <w:t xml:space="preserve">Furedi, F. (2021) </w:t>
      </w:r>
      <w:r w:rsidRPr="00452C80">
        <w:rPr>
          <w:i/>
          <w:iCs/>
          <w:sz w:val="24"/>
          <w:szCs w:val="24"/>
        </w:rPr>
        <w:t>100 Years of Identity Crisis: Culture War Over Socialisation</w:t>
      </w:r>
      <w:r w:rsidRPr="00452C80">
        <w:rPr>
          <w:sz w:val="24"/>
          <w:szCs w:val="24"/>
        </w:rPr>
        <w:t>. Germany: De Gruyter.</w:t>
      </w:r>
    </w:p>
    <w:p w14:paraId="13EA0B7F" w14:textId="66036413" w:rsidR="00640A2D" w:rsidRPr="00452C80" w:rsidRDefault="00640A2D" w:rsidP="00D84878">
      <w:pPr>
        <w:spacing w:line="360" w:lineRule="auto"/>
        <w:ind w:left="833" w:hanging="720"/>
        <w:rPr>
          <w:sz w:val="24"/>
          <w:szCs w:val="24"/>
        </w:rPr>
      </w:pPr>
      <w:r w:rsidRPr="00452C80">
        <w:rPr>
          <w:sz w:val="24"/>
          <w:szCs w:val="24"/>
        </w:rPr>
        <w:t>Furnham, A.</w:t>
      </w:r>
      <w:r w:rsidR="002413C0">
        <w:rPr>
          <w:sz w:val="24"/>
          <w:szCs w:val="24"/>
        </w:rPr>
        <w:t>,</w:t>
      </w:r>
      <w:r w:rsidRPr="00452C80">
        <w:rPr>
          <w:sz w:val="24"/>
          <w:szCs w:val="24"/>
        </w:rPr>
        <w:t xml:space="preserve"> and Chamorrow-Premuzic, T. (2005) </w:t>
      </w:r>
      <w:r w:rsidRPr="00452C80">
        <w:rPr>
          <w:i/>
          <w:iCs/>
          <w:sz w:val="24"/>
          <w:szCs w:val="24"/>
        </w:rPr>
        <w:t>Personality and Intellectual Competence</w:t>
      </w:r>
      <w:r w:rsidRPr="00452C80">
        <w:rPr>
          <w:sz w:val="24"/>
          <w:szCs w:val="24"/>
        </w:rPr>
        <w:t>. London: Lawrence Erlbaum Associates Publishers.</w:t>
      </w:r>
    </w:p>
    <w:p w14:paraId="14C7C794" w14:textId="77777777" w:rsidR="00640A2D" w:rsidRPr="00452C80" w:rsidRDefault="00640A2D" w:rsidP="00D84878">
      <w:pPr>
        <w:spacing w:line="360" w:lineRule="auto"/>
        <w:ind w:left="833" w:hanging="720"/>
        <w:rPr>
          <w:sz w:val="24"/>
          <w:szCs w:val="24"/>
        </w:rPr>
      </w:pPr>
      <w:r w:rsidRPr="00452C80">
        <w:rPr>
          <w:sz w:val="24"/>
          <w:szCs w:val="24"/>
        </w:rPr>
        <w:t xml:space="preserve">Gabriel, L., and Casemore, R. (2009) </w:t>
      </w:r>
      <w:r w:rsidRPr="00452C80">
        <w:rPr>
          <w:i/>
          <w:iCs/>
          <w:sz w:val="24"/>
          <w:szCs w:val="24"/>
        </w:rPr>
        <w:t>Relational Ethics in Practice: Narratives from counselling and psychotherapy</w:t>
      </w:r>
      <w:r w:rsidRPr="00452C80">
        <w:rPr>
          <w:sz w:val="24"/>
          <w:szCs w:val="24"/>
        </w:rPr>
        <w:t xml:space="preserve">. East Sussex: Routledge. </w:t>
      </w:r>
    </w:p>
    <w:p w14:paraId="4F403455" w14:textId="7C7A0116" w:rsidR="00640A2D" w:rsidRPr="00452C80" w:rsidRDefault="00640A2D" w:rsidP="00D84878">
      <w:pPr>
        <w:spacing w:line="360" w:lineRule="auto"/>
        <w:ind w:left="833" w:hanging="720"/>
        <w:rPr>
          <w:sz w:val="24"/>
          <w:szCs w:val="24"/>
        </w:rPr>
      </w:pPr>
      <w:r w:rsidRPr="00452C80">
        <w:rPr>
          <w:sz w:val="24"/>
          <w:szCs w:val="24"/>
        </w:rPr>
        <w:t xml:space="preserve">Gabriel, Y. (2012) Organisations in a state of darkness: Towards a theory of organizational miasma. </w:t>
      </w:r>
      <w:r w:rsidRPr="00452C80">
        <w:rPr>
          <w:i/>
          <w:iCs/>
          <w:sz w:val="24"/>
          <w:szCs w:val="24"/>
        </w:rPr>
        <w:t>Organisation Studies</w:t>
      </w:r>
      <w:r w:rsidRPr="00452C80">
        <w:rPr>
          <w:sz w:val="24"/>
          <w:szCs w:val="24"/>
        </w:rPr>
        <w:t>,</w:t>
      </w:r>
      <w:r w:rsidRPr="00452C80">
        <w:rPr>
          <w:b/>
          <w:bCs/>
          <w:sz w:val="24"/>
          <w:szCs w:val="24"/>
        </w:rPr>
        <w:t xml:space="preserve"> 33</w:t>
      </w:r>
      <w:r w:rsidRPr="00452C80">
        <w:rPr>
          <w:sz w:val="24"/>
          <w:szCs w:val="24"/>
        </w:rPr>
        <w:t>(9): pp.1137-1152.</w:t>
      </w:r>
      <w:r w:rsidRPr="00452C80">
        <w:t xml:space="preserve"> </w:t>
      </w:r>
      <w:hyperlink r:id="rId216" w:history="1">
        <w:r w:rsidRPr="00FE135A">
          <w:rPr>
            <w:rStyle w:val="Hyperlink"/>
            <w:color w:val="0070C0"/>
            <w:sz w:val="24"/>
            <w:szCs w:val="24"/>
          </w:rPr>
          <w:t>https://doi.org/10.1177/017084061244815</w:t>
        </w:r>
      </w:hyperlink>
    </w:p>
    <w:p w14:paraId="6D248A3A" w14:textId="77777777" w:rsidR="00640A2D" w:rsidRPr="00452C80" w:rsidRDefault="00640A2D" w:rsidP="00D84878">
      <w:pPr>
        <w:spacing w:line="360" w:lineRule="auto"/>
        <w:ind w:left="833" w:hanging="720"/>
        <w:rPr>
          <w:sz w:val="24"/>
          <w:szCs w:val="24"/>
        </w:rPr>
      </w:pPr>
      <w:r w:rsidRPr="00452C80">
        <w:rPr>
          <w:sz w:val="24"/>
          <w:szCs w:val="24"/>
        </w:rPr>
        <w:t xml:space="preserve">Galloway, K. (1993) </w:t>
      </w:r>
      <w:r w:rsidRPr="00452C80">
        <w:rPr>
          <w:i/>
          <w:iCs/>
          <w:sz w:val="24"/>
          <w:szCs w:val="24"/>
        </w:rPr>
        <w:t>Love Burning Deep: Poems and Lyrics</w:t>
      </w:r>
      <w:r w:rsidRPr="00452C80">
        <w:rPr>
          <w:sz w:val="24"/>
          <w:szCs w:val="24"/>
        </w:rPr>
        <w:t>. London: SPCK Publishing.</w:t>
      </w:r>
    </w:p>
    <w:p w14:paraId="2DD7BBBF" w14:textId="437EB828" w:rsidR="00640A2D" w:rsidRPr="00452C80" w:rsidRDefault="00640A2D" w:rsidP="00D84878">
      <w:pPr>
        <w:spacing w:line="360" w:lineRule="auto"/>
        <w:ind w:left="833" w:hanging="720"/>
        <w:rPr>
          <w:rFonts w:ascii="Open Sans" w:eastAsia="Times New Roman" w:hAnsi="Open Sans" w:cs="Open Sans"/>
          <w:spacing w:val="7"/>
          <w:kern w:val="36"/>
          <w:sz w:val="36"/>
          <w:szCs w:val="36"/>
          <w:lang w:eastAsia="en-GB"/>
        </w:rPr>
      </w:pPr>
      <w:r w:rsidRPr="00452C80">
        <w:rPr>
          <w:sz w:val="24"/>
          <w:szCs w:val="24"/>
          <w:lang w:val="en-US"/>
        </w:rPr>
        <w:t xml:space="preserve">Gbrich, C. (2007) </w:t>
      </w:r>
      <w:r w:rsidRPr="00452C80">
        <w:rPr>
          <w:i/>
          <w:iCs/>
          <w:sz w:val="24"/>
          <w:szCs w:val="24"/>
          <w:lang w:val="en-US"/>
        </w:rPr>
        <w:t>Qualitative Data Analysis: an introduction</w:t>
      </w:r>
      <w:r w:rsidRPr="00452C80">
        <w:rPr>
          <w:sz w:val="24"/>
          <w:szCs w:val="24"/>
          <w:lang w:val="en-US"/>
        </w:rPr>
        <w:t xml:space="preserve"> (1</w:t>
      </w:r>
      <w:r w:rsidRPr="00452C80">
        <w:rPr>
          <w:sz w:val="24"/>
          <w:szCs w:val="24"/>
          <w:vertAlign w:val="superscript"/>
          <w:lang w:val="en-US"/>
        </w:rPr>
        <w:t>st</w:t>
      </w:r>
      <w:r w:rsidRPr="00452C80">
        <w:rPr>
          <w:sz w:val="24"/>
          <w:szCs w:val="24"/>
          <w:lang w:val="en-US"/>
        </w:rPr>
        <w:t xml:space="preserve"> ed</w:t>
      </w:r>
      <w:r w:rsidR="00EC54FC">
        <w:rPr>
          <w:sz w:val="24"/>
          <w:szCs w:val="24"/>
          <w:lang w:val="en-US"/>
        </w:rPr>
        <w:t>itio</w:t>
      </w:r>
      <w:r w:rsidRPr="00452C80">
        <w:rPr>
          <w:sz w:val="24"/>
          <w:szCs w:val="24"/>
          <w:lang w:val="en-US"/>
        </w:rPr>
        <w:t>n). London: Sage Publications.</w:t>
      </w:r>
      <w:r w:rsidRPr="00452C80">
        <w:rPr>
          <w:rFonts w:ascii="Open Sans" w:eastAsia="Times New Roman" w:hAnsi="Open Sans" w:cs="Open Sans"/>
          <w:spacing w:val="7"/>
          <w:kern w:val="36"/>
          <w:sz w:val="36"/>
          <w:szCs w:val="36"/>
          <w:lang w:eastAsia="en-GB"/>
        </w:rPr>
        <w:t xml:space="preserve"> </w:t>
      </w:r>
    </w:p>
    <w:p w14:paraId="68231B09" w14:textId="77777777" w:rsidR="00640A2D" w:rsidRPr="00452C80" w:rsidRDefault="00640A2D" w:rsidP="00D84878">
      <w:pPr>
        <w:spacing w:line="360" w:lineRule="auto"/>
        <w:ind w:left="833" w:hanging="720"/>
        <w:rPr>
          <w:bCs/>
          <w:sz w:val="24"/>
          <w:szCs w:val="24"/>
        </w:rPr>
      </w:pPr>
      <w:r w:rsidRPr="00452C80">
        <w:rPr>
          <w:bCs/>
          <w:sz w:val="24"/>
          <w:szCs w:val="24"/>
        </w:rPr>
        <w:t xml:space="preserve">Geertz, C. (1973) </w:t>
      </w:r>
      <w:r w:rsidRPr="00452C80">
        <w:rPr>
          <w:bCs/>
          <w:i/>
          <w:iCs/>
          <w:sz w:val="24"/>
          <w:szCs w:val="24"/>
        </w:rPr>
        <w:t>The Interpretation of Cultures</w:t>
      </w:r>
      <w:r w:rsidRPr="00452C80">
        <w:rPr>
          <w:bCs/>
          <w:sz w:val="24"/>
          <w:szCs w:val="24"/>
        </w:rPr>
        <w:t>. New York: Basic books.</w:t>
      </w:r>
    </w:p>
    <w:p w14:paraId="25D11631" w14:textId="77777777" w:rsidR="00640A2D" w:rsidRPr="00452C80" w:rsidRDefault="00640A2D" w:rsidP="00D84878">
      <w:pPr>
        <w:spacing w:line="360" w:lineRule="auto"/>
        <w:ind w:left="833" w:hanging="720"/>
        <w:rPr>
          <w:sz w:val="24"/>
          <w:szCs w:val="24"/>
        </w:rPr>
      </w:pPr>
      <w:r w:rsidRPr="00452C80">
        <w:rPr>
          <w:sz w:val="24"/>
          <w:szCs w:val="24"/>
        </w:rPr>
        <w:t xml:space="preserve">Gergen, K. (1985) The social constructionist movement in modern psychology. </w:t>
      </w:r>
      <w:r w:rsidRPr="00452C80">
        <w:rPr>
          <w:i/>
          <w:iCs/>
          <w:sz w:val="24"/>
          <w:szCs w:val="24"/>
        </w:rPr>
        <w:t>American Psychologist</w:t>
      </w:r>
      <w:r w:rsidRPr="00452C80">
        <w:rPr>
          <w:sz w:val="24"/>
          <w:szCs w:val="24"/>
        </w:rPr>
        <w:t>, 40: pp. 266-275.</w:t>
      </w:r>
      <w:r w:rsidRPr="00452C80">
        <w:t xml:space="preserve"> </w:t>
      </w:r>
      <w:hyperlink r:id="rId217" w:tgtFrame="_blank" w:history="1">
        <w:r w:rsidRPr="00FE135A">
          <w:rPr>
            <w:rStyle w:val="Hyperlink"/>
            <w:color w:val="0070C0"/>
            <w:sz w:val="24"/>
            <w:szCs w:val="24"/>
          </w:rPr>
          <w:t>https://doi.org/10.1037/0003-066X.40.3.266</w:t>
        </w:r>
      </w:hyperlink>
    </w:p>
    <w:p w14:paraId="614D1B2F" w14:textId="6F3841D4" w:rsidR="00640A2D" w:rsidRPr="00452C80" w:rsidRDefault="00640A2D" w:rsidP="00D84878">
      <w:pPr>
        <w:spacing w:line="360" w:lineRule="auto"/>
        <w:ind w:left="833" w:hanging="720"/>
        <w:rPr>
          <w:bCs/>
          <w:sz w:val="24"/>
          <w:szCs w:val="24"/>
        </w:rPr>
      </w:pPr>
      <w:r w:rsidRPr="00452C80">
        <w:rPr>
          <w:bCs/>
          <w:sz w:val="24"/>
          <w:szCs w:val="24"/>
        </w:rPr>
        <w:t>Gergen, K.</w:t>
      </w:r>
      <w:r w:rsidR="002413C0">
        <w:rPr>
          <w:bCs/>
          <w:sz w:val="24"/>
          <w:szCs w:val="24"/>
        </w:rPr>
        <w:t xml:space="preserve"> </w:t>
      </w:r>
      <w:r w:rsidRPr="00452C80">
        <w:rPr>
          <w:bCs/>
          <w:sz w:val="24"/>
          <w:szCs w:val="24"/>
        </w:rPr>
        <w:t xml:space="preserve">J. and Gergen, </w:t>
      </w:r>
      <w:r w:rsidR="002413C0" w:rsidRPr="00452C80">
        <w:rPr>
          <w:bCs/>
          <w:sz w:val="24"/>
          <w:szCs w:val="24"/>
        </w:rPr>
        <w:t>M</w:t>
      </w:r>
      <w:r w:rsidR="002413C0">
        <w:rPr>
          <w:bCs/>
          <w:sz w:val="24"/>
          <w:szCs w:val="24"/>
        </w:rPr>
        <w:t>.</w:t>
      </w:r>
      <w:r w:rsidRPr="00452C80">
        <w:rPr>
          <w:bCs/>
          <w:sz w:val="24"/>
          <w:szCs w:val="24"/>
        </w:rPr>
        <w:t xml:space="preserve">M. (1991) Toward Reflexive Methodologies. In F. Steier (ed.), </w:t>
      </w:r>
      <w:r w:rsidRPr="00452C80">
        <w:rPr>
          <w:bCs/>
          <w:i/>
          <w:iCs/>
          <w:sz w:val="24"/>
          <w:szCs w:val="24"/>
        </w:rPr>
        <w:t>Research and Reflexivity</w:t>
      </w:r>
      <w:r w:rsidRPr="00452C80">
        <w:rPr>
          <w:bCs/>
          <w:sz w:val="24"/>
          <w:szCs w:val="24"/>
        </w:rPr>
        <w:t>. London: Sage Publications Ltd.</w:t>
      </w:r>
    </w:p>
    <w:p w14:paraId="6618BB8E" w14:textId="789D4FD7" w:rsidR="00640A2D" w:rsidRPr="00452C80" w:rsidRDefault="00640A2D" w:rsidP="00D84878">
      <w:pPr>
        <w:spacing w:line="360" w:lineRule="auto"/>
        <w:ind w:left="833" w:hanging="720"/>
        <w:rPr>
          <w:sz w:val="24"/>
          <w:szCs w:val="24"/>
        </w:rPr>
      </w:pPr>
      <w:r w:rsidRPr="00452C80">
        <w:rPr>
          <w:sz w:val="24"/>
          <w:szCs w:val="24"/>
        </w:rPr>
        <w:t>Gerver, R., and Sgroi, R.</w:t>
      </w:r>
      <w:r w:rsidR="002413C0">
        <w:rPr>
          <w:sz w:val="24"/>
          <w:szCs w:val="24"/>
        </w:rPr>
        <w:t xml:space="preserve"> </w:t>
      </w:r>
      <w:r w:rsidRPr="00452C80">
        <w:rPr>
          <w:sz w:val="24"/>
          <w:szCs w:val="24"/>
        </w:rPr>
        <w:t xml:space="preserve">J. (2017) </w:t>
      </w:r>
      <w:r w:rsidRPr="00452C80">
        <w:rPr>
          <w:i/>
          <w:iCs/>
          <w:sz w:val="24"/>
          <w:szCs w:val="24"/>
        </w:rPr>
        <w:t>Financial Algebra: Advanced algebra with financial applications</w:t>
      </w:r>
      <w:r w:rsidRPr="00452C80">
        <w:rPr>
          <w:sz w:val="24"/>
          <w:szCs w:val="24"/>
        </w:rPr>
        <w:t>. Boston, USA: Cengage Learning.</w:t>
      </w:r>
    </w:p>
    <w:p w14:paraId="5DE01C7D" w14:textId="77777777" w:rsidR="00640A2D" w:rsidRPr="00452C80" w:rsidRDefault="00640A2D" w:rsidP="00D84878">
      <w:pPr>
        <w:spacing w:line="360" w:lineRule="auto"/>
        <w:ind w:left="833" w:hanging="720"/>
        <w:rPr>
          <w:sz w:val="24"/>
          <w:szCs w:val="24"/>
        </w:rPr>
      </w:pPr>
      <w:r w:rsidRPr="00452C80">
        <w:rPr>
          <w:sz w:val="24"/>
          <w:szCs w:val="24"/>
        </w:rPr>
        <w:t xml:space="preserve">Gibbs, G. (1988) </w:t>
      </w:r>
      <w:r w:rsidRPr="00452C80">
        <w:rPr>
          <w:i/>
          <w:iCs/>
          <w:sz w:val="24"/>
          <w:szCs w:val="24"/>
        </w:rPr>
        <w:t>Learning by Doing: A guide to teaching and learning methods</w:t>
      </w:r>
      <w:r w:rsidRPr="00452C80">
        <w:rPr>
          <w:sz w:val="24"/>
          <w:szCs w:val="24"/>
        </w:rPr>
        <w:t>. Oxford: Further Education Unit, Oxford Polytechnic.</w:t>
      </w:r>
    </w:p>
    <w:p w14:paraId="79B1C272" w14:textId="77777777" w:rsidR="00640A2D" w:rsidRPr="00452C80" w:rsidRDefault="00640A2D" w:rsidP="00D84878">
      <w:pPr>
        <w:spacing w:line="360" w:lineRule="auto"/>
        <w:ind w:left="833" w:hanging="720"/>
        <w:rPr>
          <w:sz w:val="24"/>
          <w:szCs w:val="24"/>
        </w:rPr>
      </w:pPr>
      <w:r w:rsidRPr="00452C80">
        <w:rPr>
          <w:sz w:val="24"/>
          <w:szCs w:val="24"/>
        </w:rPr>
        <w:t xml:space="preserve">Gibbs, G.R. (2007) </w:t>
      </w:r>
      <w:r w:rsidRPr="00452C80">
        <w:rPr>
          <w:i/>
          <w:iCs/>
          <w:sz w:val="24"/>
          <w:szCs w:val="24"/>
        </w:rPr>
        <w:t>Analysing Qualitative Data</w:t>
      </w:r>
      <w:r w:rsidRPr="00452C80">
        <w:rPr>
          <w:sz w:val="24"/>
          <w:szCs w:val="24"/>
        </w:rPr>
        <w:t xml:space="preserve">. London: Sage. </w:t>
      </w:r>
    </w:p>
    <w:p w14:paraId="337D83DB" w14:textId="77777777" w:rsidR="00640A2D" w:rsidRPr="00452C80" w:rsidRDefault="00640A2D" w:rsidP="00D84878">
      <w:pPr>
        <w:spacing w:line="360" w:lineRule="auto"/>
        <w:ind w:left="833" w:hanging="720"/>
        <w:rPr>
          <w:bCs/>
          <w:sz w:val="24"/>
          <w:szCs w:val="24"/>
        </w:rPr>
      </w:pPr>
      <w:r w:rsidRPr="00452C80">
        <w:rPr>
          <w:bCs/>
          <w:sz w:val="24"/>
          <w:szCs w:val="24"/>
        </w:rPr>
        <w:lastRenderedPageBreak/>
        <w:t xml:space="preserve">Gibran, K. (1923) </w:t>
      </w:r>
      <w:r w:rsidRPr="00452C80">
        <w:rPr>
          <w:bCs/>
          <w:i/>
          <w:iCs/>
          <w:sz w:val="24"/>
          <w:szCs w:val="24"/>
        </w:rPr>
        <w:t>The Prophet.</w:t>
      </w:r>
      <w:r w:rsidRPr="00452C80">
        <w:rPr>
          <w:bCs/>
          <w:sz w:val="24"/>
          <w:szCs w:val="24"/>
        </w:rPr>
        <w:t xml:space="preserve"> London: Heinemann.</w:t>
      </w:r>
    </w:p>
    <w:p w14:paraId="71382686" w14:textId="77777777" w:rsidR="00640A2D" w:rsidRPr="00452C80" w:rsidRDefault="00640A2D" w:rsidP="00D84878">
      <w:pPr>
        <w:spacing w:line="360" w:lineRule="auto"/>
        <w:ind w:left="833" w:hanging="720"/>
        <w:rPr>
          <w:bCs/>
          <w:sz w:val="24"/>
          <w:szCs w:val="24"/>
        </w:rPr>
      </w:pPr>
      <w:r w:rsidRPr="00452C80">
        <w:rPr>
          <w:bCs/>
          <w:sz w:val="24"/>
          <w:szCs w:val="24"/>
        </w:rPr>
        <w:t xml:space="preserve">Giddens, A. (1991) </w:t>
      </w:r>
      <w:r w:rsidRPr="00452C80">
        <w:rPr>
          <w:bCs/>
          <w:i/>
          <w:iCs/>
          <w:sz w:val="24"/>
          <w:szCs w:val="24"/>
        </w:rPr>
        <w:t>Modernity and Self-Identity</w:t>
      </w:r>
      <w:r w:rsidRPr="00452C80">
        <w:rPr>
          <w:bCs/>
          <w:sz w:val="24"/>
          <w:szCs w:val="24"/>
        </w:rPr>
        <w:t>. Stanford, USA: Stanford University Press.</w:t>
      </w:r>
    </w:p>
    <w:p w14:paraId="122AC4D7" w14:textId="31C94919" w:rsidR="00640A2D" w:rsidRPr="00FE135A" w:rsidRDefault="00640A2D" w:rsidP="00D84878">
      <w:pPr>
        <w:spacing w:line="360" w:lineRule="auto"/>
        <w:ind w:left="833" w:hanging="720"/>
        <w:rPr>
          <w:bCs/>
          <w:color w:val="0070C0"/>
          <w:sz w:val="24"/>
          <w:szCs w:val="24"/>
          <w:u w:val="single"/>
        </w:rPr>
      </w:pPr>
      <w:r w:rsidRPr="00452C80">
        <w:rPr>
          <w:bCs/>
          <w:sz w:val="24"/>
          <w:szCs w:val="24"/>
        </w:rPr>
        <w:t>Gilbert, T., Doolan, M.</w:t>
      </w:r>
      <w:r w:rsidR="007865D5">
        <w:rPr>
          <w:bCs/>
          <w:sz w:val="24"/>
          <w:szCs w:val="24"/>
        </w:rPr>
        <w:t xml:space="preserve"> </w:t>
      </w:r>
      <w:r w:rsidRPr="00452C80">
        <w:rPr>
          <w:bCs/>
          <w:sz w:val="24"/>
          <w:szCs w:val="24"/>
        </w:rPr>
        <w:t>A., Beka, S., Spencer, M.</w:t>
      </w:r>
      <w:r w:rsidR="00C17D06">
        <w:rPr>
          <w:bCs/>
          <w:sz w:val="24"/>
          <w:szCs w:val="24"/>
        </w:rPr>
        <w:t xml:space="preserve"> </w:t>
      </w:r>
      <w:r w:rsidRPr="00452C80">
        <w:rPr>
          <w:bCs/>
          <w:sz w:val="24"/>
          <w:szCs w:val="24"/>
        </w:rPr>
        <w:t xml:space="preserve">H., Crotta, M., and Davari, S. (2018) Compassion on university degree programmes at a UK university. </w:t>
      </w:r>
      <w:r w:rsidRPr="00452C80">
        <w:rPr>
          <w:bCs/>
          <w:i/>
          <w:iCs/>
          <w:sz w:val="24"/>
          <w:szCs w:val="24"/>
        </w:rPr>
        <w:t>Journal of Research, Innovation, Teaching and Learning</w:t>
      </w:r>
      <w:r w:rsidRPr="00452C80">
        <w:rPr>
          <w:bCs/>
          <w:sz w:val="24"/>
          <w:szCs w:val="24"/>
        </w:rPr>
        <w:t xml:space="preserve">, </w:t>
      </w:r>
      <w:r w:rsidRPr="00C33B9E">
        <w:rPr>
          <w:b/>
          <w:sz w:val="24"/>
          <w:szCs w:val="24"/>
        </w:rPr>
        <w:t>11</w:t>
      </w:r>
      <w:r w:rsidRPr="00452C80">
        <w:rPr>
          <w:b/>
          <w:sz w:val="24"/>
          <w:szCs w:val="24"/>
        </w:rPr>
        <w:t>(</w:t>
      </w:r>
      <w:r w:rsidRPr="00C33B9E">
        <w:rPr>
          <w:bCs/>
          <w:sz w:val="24"/>
          <w:szCs w:val="24"/>
        </w:rPr>
        <w:t xml:space="preserve">1): </w:t>
      </w:r>
      <w:r w:rsidRPr="00452C80">
        <w:rPr>
          <w:bCs/>
          <w:sz w:val="24"/>
          <w:szCs w:val="24"/>
        </w:rPr>
        <w:t xml:space="preserve">pp.4-21. </w:t>
      </w:r>
      <w:r w:rsidRPr="00FE135A">
        <w:rPr>
          <w:bCs/>
          <w:color w:val="0070C0"/>
          <w:sz w:val="24"/>
          <w:szCs w:val="24"/>
          <w:u w:val="single"/>
        </w:rPr>
        <w:t>DOI:</w:t>
      </w:r>
      <w:hyperlink r:id="rId218" w:tgtFrame="_blank" w:history="1">
        <w:r w:rsidRPr="00FE135A">
          <w:rPr>
            <w:rStyle w:val="Hyperlink"/>
            <w:bCs/>
            <w:color w:val="0070C0"/>
            <w:sz w:val="24"/>
            <w:szCs w:val="24"/>
          </w:rPr>
          <w:t>10.1108/JRIT-09-2017-0020</w:t>
        </w:r>
      </w:hyperlink>
    </w:p>
    <w:p w14:paraId="0DCE1DC9" w14:textId="5FB4C734" w:rsidR="00640A2D" w:rsidRPr="00452C80" w:rsidRDefault="00640A2D" w:rsidP="00D84878">
      <w:pPr>
        <w:spacing w:line="360" w:lineRule="auto"/>
        <w:ind w:left="833" w:hanging="720"/>
        <w:rPr>
          <w:bCs/>
          <w:sz w:val="24"/>
          <w:szCs w:val="24"/>
        </w:rPr>
      </w:pPr>
      <w:r w:rsidRPr="00452C80">
        <w:rPr>
          <w:bCs/>
          <w:sz w:val="24"/>
          <w:szCs w:val="24"/>
        </w:rPr>
        <w:t xml:space="preserve">Gilbert, N. </w:t>
      </w:r>
      <w:r w:rsidR="00BC090A">
        <w:rPr>
          <w:bCs/>
          <w:sz w:val="24"/>
          <w:szCs w:val="24"/>
        </w:rPr>
        <w:t xml:space="preserve">(ed) </w:t>
      </w:r>
      <w:r w:rsidRPr="00452C80">
        <w:rPr>
          <w:bCs/>
          <w:sz w:val="24"/>
          <w:szCs w:val="24"/>
        </w:rPr>
        <w:t xml:space="preserve">(2008) </w:t>
      </w:r>
      <w:r w:rsidRPr="00452C80">
        <w:rPr>
          <w:bCs/>
          <w:i/>
          <w:iCs/>
          <w:sz w:val="24"/>
          <w:szCs w:val="24"/>
        </w:rPr>
        <w:t>Researching Social Life</w:t>
      </w:r>
      <w:r w:rsidRPr="00452C80">
        <w:rPr>
          <w:bCs/>
          <w:sz w:val="24"/>
          <w:szCs w:val="24"/>
        </w:rPr>
        <w:t xml:space="preserve"> (3</w:t>
      </w:r>
      <w:r w:rsidRPr="00452C80">
        <w:rPr>
          <w:bCs/>
          <w:sz w:val="24"/>
          <w:szCs w:val="24"/>
          <w:vertAlign w:val="superscript"/>
        </w:rPr>
        <w:t>rd</w:t>
      </w:r>
      <w:r w:rsidRPr="00452C80">
        <w:rPr>
          <w:bCs/>
          <w:sz w:val="24"/>
          <w:szCs w:val="24"/>
        </w:rPr>
        <w:t xml:space="preserve"> edition). London: Sage. </w:t>
      </w:r>
    </w:p>
    <w:p w14:paraId="37596BE8" w14:textId="2CA7CE68" w:rsidR="00640A2D" w:rsidRPr="00452C80" w:rsidRDefault="00640A2D" w:rsidP="00D84878">
      <w:pPr>
        <w:spacing w:line="360" w:lineRule="auto"/>
        <w:ind w:left="833" w:hanging="720"/>
        <w:rPr>
          <w:sz w:val="24"/>
          <w:szCs w:val="24"/>
        </w:rPr>
      </w:pPr>
      <w:r w:rsidRPr="00452C80">
        <w:rPr>
          <w:sz w:val="24"/>
          <w:szCs w:val="24"/>
        </w:rPr>
        <w:t>Gilbert, M.</w:t>
      </w:r>
      <w:r w:rsidR="007865D5">
        <w:rPr>
          <w:sz w:val="24"/>
          <w:szCs w:val="24"/>
        </w:rPr>
        <w:t xml:space="preserve"> </w:t>
      </w:r>
      <w:r w:rsidRPr="00452C80">
        <w:rPr>
          <w:sz w:val="24"/>
          <w:szCs w:val="24"/>
        </w:rPr>
        <w:t>C.</w:t>
      </w:r>
      <w:r w:rsidR="00A033C8">
        <w:rPr>
          <w:sz w:val="24"/>
          <w:szCs w:val="24"/>
        </w:rPr>
        <w:t>,</w:t>
      </w:r>
      <w:r w:rsidRPr="00452C80">
        <w:rPr>
          <w:sz w:val="24"/>
          <w:szCs w:val="24"/>
        </w:rPr>
        <w:t xml:space="preserve"> and Evans, K. (2000) </w:t>
      </w:r>
      <w:r w:rsidRPr="00452C80">
        <w:rPr>
          <w:i/>
          <w:iCs/>
          <w:sz w:val="24"/>
          <w:szCs w:val="24"/>
        </w:rPr>
        <w:t>Psychotherapy Supervision: An integrated relational approach</w:t>
      </w:r>
      <w:r w:rsidRPr="00452C80">
        <w:rPr>
          <w:sz w:val="24"/>
          <w:szCs w:val="24"/>
        </w:rPr>
        <w:t>. Buckingham: Open University Press.</w:t>
      </w:r>
    </w:p>
    <w:p w14:paraId="7C8D6C7C" w14:textId="3CD249FE" w:rsidR="00640A2D" w:rsidRPr="00452C80" w:rsidRDefault="00640A2D" w:rsidP="00D84878">
      <w:pPr>
        <w:spacing w:line="360" w:lineRule="auto"/>
        <w:ind w:left="833" w:hanging="720"/>
        <w:rPr>
          <w:sz w:val="24"/>
          <w:szCs w:val="24"/>
        </w:rPr>
      </w:pPr>
      <w:r w:rsidRPr="00452C80">
        <w:rPr>
          <w:sz w:val="24"/>
          <w:szCs w:val="24"/>
        </w:rPr>
        <w:t>Gill, R. (2009) Breaking the Silence: The Hidden Injuries of Neoliberal Academia. In</w:t>
      </w:r>
      <w:r w:rsidR="009156BA">
        <w:rPr>
          <w:sz w:val="24"/>
          <w:szCs w:val="24"/>
        </w:rPr>
        <w:t>:</w:t>
      </w:r>
      <w:r w:rsidRPr="00452C80">
        <w:rPr>
          <w:sz w:val="24"/>
          <w:szCs w:val="24"/>
        </w:rPr>
        <w:t xml:space="preserve"> R. Flood and R. Gill (eds), </w:t>
      </w:r>
      <w:r w:rsidRPr="00452C80">
        <w:rPr>
          <w:i/>
          <w:iCs/>
          <w:sz w:val="24"/>
          <w:szCs w:val="24"/>
        </w:rPr>
        <w:t>Secrecy and Silence in the Research Process:</w:t>
      </w:r>
      <w:r w:rsidRPr="00452C80">
        <w:rPr>
          <w:sz w:val="24"/>
          <w:szCs w:val="24"/>
        </w:rPr>
        <w:t xml:space="preserve"> </w:t>
      </w:r>
      <w:r w:rsidRPr="00452C80">
        <w:rPr>
          <w:i/>
          <w:iCs/>
          <w:sz w:val="24"/>
          <w:szCs w:val="24"/>
        </w:rPr>
        <w:t>Feminist Reflections</w:t>
      </w:r>
      <w:r w:rsidRPr="00452C80">
        <w:rPr>
          <w:sz w:val="24"/>
          <w:szCs w:val="24"/>
        </w:rPr>
        <w:t xml:space="preserve">. London: Routledge. </w:t>
      </w:r>
    </w:p>
    <w:p w14:paraId="5887BCA5" w14:textId="3CA63FB4" w:rsidR="00640A2D" w:rsidRPr="00452C80" w:rsidRDefault="00640A2D" w:rsidP="00D84878">
      <w:pPr>
        <w:spacing w:line="360" w:lineRule="auto"/>
        <w:ind w:left="833" w:hanging="720"/>
        <w:rPr>
          <w:sz w:val="24"/>
          <w:szCs w:val="24"/>
        </w:rPr>
      </w:pPr>
      <w:r w:rsidRPr="00452C80">
        <w:rPr>
          <w:sz w:val="24"/>
          <w:szCs w:val="24"/>
        </w:rPr>
        <w:t>Gilmore, J., Maher, M. A., Feldon, D. F.</w:t>
      </w:r>
      <w:r w:rsidR="00A033C8">
        <w:rPr>
          <w:sz w:val="24"/>
          <w:szCs w:val="24"/>
        </w:rPr>
        <w:t>,</w:t>
      </w:r>
      <w:r w:rsidRPr="00452C80">
        <w:rPr>
          <w:sz w:val="24"/>
          <w:szCs w:val="24"/>
        </w:rPr>
        <w:t xml:space="preserve"> and Timmerman, B. (2014) Exploration of factors related to the development of science, technology, engineering and mathematics graduate teaching assistants teaching orientations. </w:t>
      </w:r>
      <w:r w:rsidRPr="00452C80">
        <w:rPr>
          <w:i/>
          <w:iCs/>
          <w:sz w:val="24"/>
          <w:szCs w:val="24"/>
        </w:rPr>
        <w:t>Studies in Higher Education</w:t>
      </w:r>
      <w:r w:rsidRPr="00452C80">
        <w:rPr>
          <w:sz w:val="24"/>
          <w:szCs w:val="24"/>
        </w:rPr>
        <w:t xml:space="preserve">, </w:t>
      </w:r>
      <w:r w:rsidRPr="00452C80">
        <w:rPr>
          <w:b/>
          <w:bCs/>
          <w:sz w:val="24"/>
          <w:szCs w:val="24"/>
        </w:rPr>
        <w:t>39</w:t>
      </w:r>
      <w:r w:rsidRPr="00452C80">
        <w:rPr>
          <w:sz w:val="24"/>
          <w:szCs w:val="24"/>
        </w:rPr>
        <w:t xml:space="preserve">(10): pp. 1910-1928. </w:t>
      </w:r>
      <w:hyperlink r:id="rId219" w:history="1">
        <w:r w:rsidRPr="00FE135A">
          <w:rPr>
            <w:rStyle w:val="Hyperlink"/>
            <w:color w:val="0070C0"/>
            <w:sz w:val="24"/>
            <w:szCs w:val="24"/>
          </w:rPr>
          <w:t>https://cehs.usu.edu/itls/projects/early-career-research/files/exploration-of-factors-related-to-the-development-of-science.pdf</w:t>
        </w:r>
      </w:hyperlink>
    </w:p>
    <w:p w14:paraId="6A5CD97C" w14:textId="77777777" w:rsidR="00640A2D" w:rsidRPr="00452C80" w:rsidRDefault="00640A2D" w:rsidP="00D84878">
      <w:pPr>
        <w:spacing w:line="360" w:lineRule="auto"/>
        <w:ind w:left="833" w:hanging="720"/>
        <w:rPr>
          <w:sz w:val="24"/>
          <w:szCs w:val="24"/>
        </w:rPr>
      </w:pPr>
      <w:r w:rsidRPr="00452C80">
        <w:rPr>
          <w:sz w:val="24"/>
          <w:szCs w:val="24"/>
        </w:rPr>
        <w:t xml:space="preserve">Godkin, L., and Allcorn, S. (2009) Institutional narcissism, arrogant organization disorder and interruptions in organizational learning. </w:t>
      </w:r>
      <w:r w:rsidRPr="00452C80">
        <w:rPr>
          <w:i/>
          <w:iCs/>
          <w:sz w:val="24"/>
          <w:szCs w:val="24"/>
        </w:rPr>
        <w:t>The Learning Organization</w:t>
      </w:r>
      <w:r w:rsidRPr="00452C80">
        <w:rPr>
          <w:sz w:val="24"/>
          <w:szCs w:val="24"/>
        </w:rPr>
        <w:t xml:space="preserve">, </w:t>
      </w:r>
      <w:r w:rsidRPr="00452C80">
        <w:rPr>
          <w:b/>
          <w:bCs/>
          <w:sz w:val="24"/>
          <w:szCs w:val="24"/>
        </w:rPr>
        <w:t>16</w:t>
      </w:r>
      <w:r w:rsidRPr="00452C80">
        <w:rPr>
          <w:sz w:val="24"/>
          <w:szCs w:val="24"/>
        </w:rPr>
        <w:t xml:space="preserve">(1): pp.40-57. </w:t>
      </w:r>
      <w:hyperlink r:id="rId220" w:history="1">
        <w:r w:rsidRPr="00FE135A">
          <w:rPr>
            <w:rStyle w:val="Hyperlink"/>
            <w:color w:val="0070C0"/>
            <w:sz w:val="24"/>
            <w:szCs w:val="24"/>
          </w:rPr>
          <w:t>https://doi.org/10.1108/09696470910927669</w:t>
        </w:r>
      </w:hyperlink>
    </w:p>
    <w:p w14:paraId="07105832" w14:textId="2B8700C2" w:rsidR="00640A2D" w:rsidRPr="00452C80" w:rsidRDefault="00640A2D" w:rsidP="00D84878">
      <w:pPr>
        <w:spacing w:line="360" w:lineRule="auto"/>
        <w:ind w:left="833" w:hanging="720"/>
        <w:rPr>
          <w:sz w:val="24"/>
          <w:szCs w:val="24"/>
        </w:rPr>
      </w:pPr>
      <w:r w:rsidRPr="00452C80">
        <w:rPr>
          <w:sz w:val="24"/>
          <w:szCs w:val="24"/>
        </w:rPr>
        <w:t>Gohm, C., and Clore, G. (2002) G affect as information: an individual-differences approach</w:t>
      </w:r>
      <w:r w:rsidR="00BB58E2">
        <w:rPr>
          <w:sz w:val="24"/>
          <w:szCs w:val="24"/>
        </w:rPr>
        <w:t>.</w:t>
      </w:r>
      <w:r w:rsidRPr="00452C80">
        <w:rPr>
          <w:sz w:val="24"/>
          <w:szCs w:val="24"/>
        </w:rPr>
        <w:t xml:space="preserve"> </w:t>
      </w:r>
      <w:r w:rsidR="00BB58E2">
        <w:rPr>
          <w:sz w:val="24"/>
          <w:szCs w:val="24"/>
        </w:rPr>
        <w:t>I</w:t>
      </w:r>
      <w:r w:rsidRPr="00452C80">
        <w:rPr>
          <w:sz w:val="24"/>
          <w:szCs w:val="24"/>
        </w:rPr>
        <w:t>n</w:t>
      </w:r>
      <w:r w:rsidR="00BB58E2">
        <w:rPr>
          <w:sz w:val="24"/>
          <w:szCs w:val="24"/>
        </w:rPr>
        <w:t>:</w:t>
      </w:r>
      <w:r w:rsidRPr="00452C80">
        <w:rPr>
          <w:sz w:val="24"/>
          <w:szCs w:val="24"/>
        </w:rPr>
        <w:t xml:space="preserve"> L. Barrett and P. Salovey (eds), </w:t>
      </w:r>
      <w:r w:rsidRPr="00452C80">
        <w:rPr>
          <w:i/>
          <w:iCs/>
          <w:sz w:val="24"/>
          <w:szCs w:val="24"/>
        </w:rPr>
        <w:t>The Wisdom and Feeling: Psychological processes in emotional intelligence.</w:t>
      </w:r>
      <w:r w:rsidRPr="00452C80">
        <w:rPr>
          <w:sz w:val="24"/>
          <w:szCs w:val="24"/>
        </w:rPr>
        <w:t xml:space="preserve"> New York: Guildford.</w:t>
      </w:r>
    </w:p>
    <w:p w14:paraId="19142A18" w14:textId="6F88A479" w:rsidR="00640A2D" w:rsidRPr="00452C80" w:rsidRDefault="00640A2D" w:rsidP="00D84878">
      <w:pPr>
        <w:spacing w:line="360" w:lineRule="auto"/>
        <w:ind w:left="833" w:hanging="720"/>
        <w:rPr>
          <w:bCs/>
          <w:sz w:val="24"/>
          <w:szCs w:val="24"/>
        </w:rPr>
      </w:pPr>
      <w:r w:rsidRPr="00452C80">
        <w:rPr>
          <w:bCs/>
          <w:sz w:val="24"/>
          <w:szCs w:val="24"/>
        </w:rPr>
        <w:t xml:space="preserve">Golbasi, E., and Onder, A. (2017) The role of unconscious awareness within teacher-child relationship. </w:t>
      </w:r>
      <w:r w:rsidRPr="00452C80">
        <w:rPr>
          <w:bCs/>
          <w:i/>
          <w:iCs/>
          <w:sz w:val="24"/>
          <w:szCs w:val="24"/>
        </w:rPr>
        <w:t>Journal of Education and Training Studies</w:t>
      </w:r>
      <w:r w:rsidRPr="00452C80">
        <w:rPr>
          <w:bCs/>
          <w:sz w:val="24"/>
          <w:szCs w:val="24"/>
        </w:rPr>
        <w:t xml:space="preserve">, </w:t>
      </w:r>
      <w:r w:rsidRPr="00452C80">
        <w:rPr>
          <w:b/>
          <w:sz w:val="24"/>
          <w:szCs w:val="24"/>
        </w:rPr>
        <w:t>5</w:t>
      </w:r>
      <w:r w:rsidRPr="00452C80">
        <w:rPr>
          <w:bCs/>
          <w:sz w:val="24"/>
          <w:szCs w:val="24"/>
        </w:rPr>
        <w:t xml:space="preserve">(8): pp.132-38. </w:t>
      </w:r>
      <w:hyperlink r:id="rId221" w:history="1">
        <w:r w:rsidRPr="00FE135A">
          <w:rPr>
            <w:rStyle w:val="Hyperlink"/>
            <w:bCs/>
            <w:color w:val="0070C0"/>
            <w:sz w:val="24"/>
            <w:szCs w:val="24"/>
          </w:rPr>
          <w:t>https://doi.org/10.1114/jets.v5i8.2482</w:t>
        </w:r>
      </w:hyperlink>
    </w:p>
    <w:p w14:paraId="359F897A" w14:textId="3E011853" w:rsidR="00640A2D" w:rsidRPr="00A95770" w:rsidRDefault="00640A2D" w:rsidP="00D84878">
      <w:pPr>
        <w:spacing w:line="360" w:lineRule="auto"/>
        <w:ind w:left="833" w:hanging="720"/>
        <w:rPr>
          <w:bCs/>
          <w:sz w:val="24"/>
          <w:szCs w:val="24"/>
        </w:rPr>
      </w:pPr>
      <w:r w:rsidRPr="00452C80">
        <w:rPr>
          <w:bCs/>
          <w:sz w:val="24"/>
          <w:szCs w:val="24"/>
        </w:rPr>
        <w:lastRenderedPageBreak/>
        <w:t xml:space="preserve">Goldberg, E. (2024) First He Came for Cancel Culture; Now He Wants to Cancel Smart Phones. </w:t>
      </w:r>
      <w:r w:rsidRPr="00452C80">
        <w:rPr>
          <w:bCs/>
          <w:i/>
          <w:iCs/>
          <w:sz w:val="24"/>
          <w:szCs w:val="24"/>
        </w:rPr>
        <w:t>The New York Times</w:t>
      </w:r>
      <w:r w:rsidRPr="00452C80">
        <w:rPr>
          <w:bCs/>
          <w:sz w:val="24"/>
          <w:szCs w:val="24"/>
        </w:rPr>
        <w:t xml:space="preserve">.  </w:t>
      </w:r>
      <w:r w:rsidR="00A95770">
        <w:rPr>
          <w:bCs/>
          <w:sz w:val="24"/>
          <w:szCs w:val="24"/>
        </w:rPr>
        <w:t xml:space="preserve">Available at: </w:t>
      </w:r>
      <w:hyperlink r:id="rId222" w:history="1">
        <w:r w:rsidR="00A95770" w:rsidRPr="0019278B">
          <w:rPr>
            <w:rStyle w:val="Hyperlink"/>
            <w:bCs/>
            <w:sz w:val="24"/>
            <w:szCs w:val="24"/>
          </w:rPr>
          <w:t>https://www.nytimes.com/2024/03/23/business/jonathan-haidt-smartphones-coddling.html</w:t>
        </w:r>
      </w:hyperlink>
      <w:r w:rsidR="00A95770">
        <w:t xml:space="preserve">  </w:t>
      </w:r>
      <w:r w:rsidR="00A95770">
        <w:rPr>
          <w:sz w:val="24"/>
          <w:szCs w:val="24"/>
        </w:rPr>
        <w:t xml:space="preserve">[Accessed </w:t>
      </w:r>
      <w:r w:rsidR="00AF4D27">
        <w:rPr>
          <w:sz w:val="24"/>
          <w:szCs w:val="24"/>
        </w:rPr>
        <w:t>6</w:t>
      </w:r>
      <w:r w:rsidR="00AF4D27" w:rsidRPr="00AF4D27">
        <w:rPr>
          <w:sz w:val="24"/>
          <w:szCs w:val="24"/>
          <w:vertAlign w:val="superscript"/>
        </w:rPr>
        <w:t>th</w:t>
      </w:r>
      <w:r w:rsidR="00AF4D27">
        <w:rPr>
          <w:sz w:val="24"/>
          <w:szCs w:val="24"/>
        </w:rPr>
        <w:t xml:space="preserve"> May 2025]</w:t>
      </w:r>
    </w:p>
    <w:p w14:paraId="2A100D06" w14:textId="77777777" w:rsidR="00640A2D" w:rsidRPr="00452C80" w:rsidRDefault="00640A2D" w:rsidP="00D84878">
      <w:pPr>
        <w:spacing w:line="360" w:lineRule="auto"/>
        <w:ind w:left="833" w:hanging="720"/>
        <w:rPr>
          <w:sz w:val="24"/>
          <w:szCs w:val="24"/>
        </w:rPr>
      </w:pPr>
      <w:r w:rsidRPr="00452C80">
        <w:rPr>
          <w:sz w:val="24"/>
          <w:szCs w:val="24"/>
        </w:rPr>
        <w:t xml:space="preserve">Goleman, D. (1996) </w:t>
      </w:r>
      <w:r w:rsidRPr="00452C80">
        <w:rPr>
          <w:i/>
          <w:iCs/>
          <w:sz w:val="24"/>
          <w:szCs w:val="24"/>
        </w:rPr>
        <w:t>Emotional Intelligence: Why it can matter more than I.Q.</w:t>
      </w:r>
      <w:r w:rsidRPr="00452C80">
        <w:rPr>
          <w:sz w:val="24"/>
          <w:szCs w:val="24"/>
        </w:rPr>
        <w:t xml:space="preserve"> London: Bloomsbury Publishing.</w:t>
      </w:r>
    </w:p>
    <w:p w14:paraId="44D055CD" w14:textId="455E97A2" w:rsidR="00640A2D" w:rsidRPr="00452C80" w:rsidRDefault="00640A2D" w:rsidP="00D84878">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Goodhew, L</w:t>
      </w:r>
      <w:r w:rsidR="00C02363">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and Loy, D. (2001) Momo, Dogen and the commodification of time. </w:t>
      </w:r>
      <w:r w:rsidRPr="00452C80">
        <w:rPr>
          <w:rFonts w:ascii="Calibri" w:eastAsia="Aptos" w:hAnsi="Calibri" w:cs="Calibri"/>
          <w:i/>
          <w:iCs/>
          <w:kern w:val="2"/>
          <w:sz w:val="24"/>
          <w:szCs w:val="24"/>
          <w14:ligatures w14:val="standardContextual"/>
        </w:rPr>
        <w:t>KronoScope</w:t>
      </w:r>
      <w:r w:rsidRPr="00452C80">
        <w:rPr>
          <w:rFonts w:ascii="Calibri" w:eastAsia="Aptos" w:hAnsi="Calibri" w:cs="Calibri"/>
          <w:kern w:val="2"/>
          <w:sz w:val="24"/>
          <w:szCs w:val="24"/>
          <w14:ligatures w14:val="standardContextual"/>
        </w:rPr>
        <w:t xml:space="preserve">, </w:t>
      </w:r>
      <w:r w:rsidRPr="00AF4D27">
        <w:rPr>
          <w:rFonts w:ascii="Calibri" w:eastAsia="Aptos" w:hAnsi="Calibri" w:cs="Calibri"/>
          <w:b/>
          <w:bCs/>
          <w:kern w:val="2"/>
          <w:sz w:val="24"/>
          <w:szCs w:val="24"/>
          <w14:ligatures w14:val="standardContextual"/>
        </w:rPr>
        <w:t>2</w:t>
      </w:r>
      <w:r w:rsidRPr="00452C80">
        <w:rPr>
          <w:rFonts w:ascii="Calibri" w:eastAsia="Aptos" w:hAnsi="Calibri" w:cs="Calibri"/>
          <w:kern w:val="2"/>
          <w:sz w:val="24"/>
          <w:szCs w:val="24"/>
          <w14:ligatures w14:val="standardContextual"/>
        </w:rPr>
        <w:t xml:space="preserve">(1): pp.97-107. </w:t>
      </w:r>
      <w:hyperlink r:id="rId223" w:history="1">
        <w:r w:rsidR="0024137B" w:rsidRPr="00FE135A">
          <w:rPr>
            <w:rStyle w:val="Hyperlink"/>
            <w:rFonts w:ascii="Calibri" w:eastAsia="Aptos" w:hAnsi="Calibri" w:cs="Calibri"/>
            <w:color w:val="0070C0"/>
            <w:kern w:val="2"/>
            <w:sz w:val="24"/>
            <w:szCs w:val="24"/>
            <w14:ligatures w14:val="standardContextual"/>
          </w:rPr>
          <w:t>https://www.semanticscholar.org/paper/Momo%2C-Dogen%2C-and-the-Commodification-of-Time-Goodhew-Loy/7b63219c6ac0c945ab1cf31e5e7e6eea3d299575</w:t>
        </w:r>
      </w:hyperlink>
    </w:p>
    <w:p w14:paraId="07788346" w14:textId="77777777" w:rsidR="00640A2D" w:rsidRPr="00452C80" w:rsidRDefault="00640A2D" w:rsidP="00D84878">
      <w:pPr>
        <w:spacing w:line="360" w:lineRule="auto"/>
        <w:ind w:left="833" w:hanging="720"/>
        <w:rPr>
          <w:bCs/>
          <w:sz w:val="24"/>
          <w:szCs w:val="24"/>
        </w:rPr>
      </w:pPr>
      <w:r w:rsidRPr="00452C80">
        <w:rPr>
          <w:bCs/>
          <w:sz w:val="24"/>
          <w:szCs w:val="24"/>
        </w:rPr>
        <w:t xml:space="preserve">Gorard, S. (2010) Education can compensate for society-a bit. </w:t>
      </w:r>
      <w:r w:rsidRPr="00452C80">
        <w:rPr>
          <w:bCs/>
          <w:i/>
          <w:iCs/>
          <w:sz w:val="24"/>
          <w:szCs w:val="24"/>
        </w:rPr>
        <w:t>British Journal of Educational Studies</w:t>
      </w:r>
      <w:r w:rsidRPr="00452C80">
        <w:rPr>
          <w:bCs/>
          <w:sz w:val="24"/>
          <w:szCs w:val="24"/>
        </w:rPr>
        <w:t xml:space="preserve">, </w:t>
      </w:r>
      <w:r w:rsidRPr="00452C80">
        <w:rPr>
          <w:b/>
          <w:sz w:val="24"/>
          <w:szCs w:val="24"/>
        </w:rPr>
        <w:t>58</w:t>
      </w:r>
      <w:r w:rsidRPr="00452C80">
        <w:rPr>
          <w:bCs/>
          <w:sz w:val="24"/>
          <w:szCs w:val="24"/>
        </w:rPr>
        <w:t>(1): pp.47-65.</w:t>
      </w:r>
      <w:r w:rsidRPr="00452C80">
        <w:rPr>
          <w:rFonts w:ascii="Open Sans" w:eastAsia="Times New Roman" w:hAnsi="Open Sans" w:cs="Open Sans"/>
          <w:sz w:val="20"/>
          <w:szCs w:val="20"/>
          <w:lang w:eastAsia="en-GB"/>
        </w:rPr>
        <w:t xml:space="preserve"> </w:t>
      </w:r>
      <w:hyperlink r:id="rId224" w:history="1">
        <w:r w:rsidRPr="00FE135A">
          <w:rPr>
            <w:rStyle w:val="Hyperlink"/>
            <w:bCs/>
            <w:color w:val="0070C0"/>
            <w:sz w:val="24"/>
            <w:szCs w:val="24"/>
          </w:rPr>
          <w:t>https://doi.org/10.1080/00071000903516411</w:t>
        </w:r>
      </w:hyperlink>
    </w:p>
    <w:p w14:paraId="3550DA30" w14:textId="37189B5B" w:rsidR="00640A2D" w:rsidRPr="00452C80" w:rsidRDefault="00640A2D" w:rsidP="00D84878">
      <w:pPr>
        <w:spacing w:line="360" w:lineRule="auto"/>
        <w:ind w:left="833" w:hanging="720"/>
        <w:rPr>
          <w:b/>
          <w:bCs/>
          <w:sz w:val="24"/>
          <w:szCs w:val="24"/>
        </w:rPr>
      </w:pPr>
      <w:hyperlink r:id="rId225" w:anchor="con" w:history="1">
        <w:r w:rsidRPr="007865D5">
          <w:rPr>
            <w:rStyle w:val="Hyperlink"/>
            <w:bCs/>
            <w:color w:val="auto"/>
            <w:sz w:val="24"/>
            <w:szCs w:val="24"/>
            <w:u w:val="none"/>
          </w:rPr>
          <w:t>Göritz</w:t>
        </w:r>
      </w:hyperlink>
      <w:r w:rsidRPr="007865D5">
        <w:rPr>
          <w:bCs/>
          <w:sz w:val="24"/>
          <w:szCs w:val="24"/>
        </w:rPr>
        <w:t>,</w:t>
      </w:r>
      <w:r w:rsidRPr="00452C80">
        <w:rPr>
          <w:bCs/>
          <w:sz w:val="24"/>
          <w:szCs w:val="24"/>
        </w:rPr>
        <w:t xml:space="preserve"> A.</w:t>
      </w:r>
      <w:r w:rsidR="007865D5">
        <w:rPr>
          <w:bCs/>
          <w:sz w:val="24"/>
          <w:szCs w:val="24"/>
        </w:rPr>
        <w:t xml:space="preserve"> </w:t>
      </w:r>
      <w:r w:rsidRPr="00452C80">
        <w:rPr>
          <w:bCs/>
          <w:sz w:val="24"/>
          <w:szCs w:val="24"/>
        </w:rPr>
        <w:t xml:space="preserve">S. (2004) The Long-Term Effect of Material Incentives on Participation in Online Panels. </w:t>
      </w:r>
      <w:r w:rsidRPr="00452C80">
        <w:rPr>
          <w:bCs/>
          <w:i/>
          <w:iCs/>
          <w:sz w:val="24"/>
          <w:szCs w:val="24"/>
        </w:rPr>
        <w:t>Field Methods,</w:t>
      </w:r>
      <w:r w:rsidRPr="00452C80">
        <w:rPr>
          <w:bCs/>
          <w:sz w:val="24"/>
          <w:szCs w:val="24"/>
        </w:rPr>
        <w:t xml:space="preserve"> </w:t>
      </w:r>
      <w:hyperlink r:id="rId226" w:history="1">
        <w:r w:rsidRPr="00FE135A">
          <w:rPr>
            <w:rStyle w:val="Hyperlink"/>
            <w:b/>
            <w:color w:val="auto"/>
            <w:sz w:val="24"/>
            <w:szCs w:val="24"/>
            <w:u w:val="none"/>
          </w:rPr>
          <w:t>20</w:t>
        </w:r>
        <w:r w:rsidRPr="00FE135A">
          <w:rPr>
            <w:rStyle w:val="Hyperlink"/>
            <w:bCs/>
            <w:color w:val="auto"/>
            <w:sz w:val="24"/>
            <w:szCs w:val="24"/>
            <w:u w:val="none"/>
          </w:rPr>
          <w:t>(3</w:t>
        </w:r>
      </w:hyperlink>
      <w:r w:rsidRPr="00452C80">
        <w:rPr>
          <w:bCs/>
          <w:sz w:val="24"/>
          <w:szCs w:val="24"/>
        </w:rPr>
        <w:t>): pp.211-225.</w:t>
      </w:r>
      <w:r w:rsidRPr="00452C80">
        <w:rPr>
          <w:b/>
          <w:bCs/>
          <w:sz w:val="24"/>
          <w:szCs w:val="24"/>
        </w:rPr>
        <w:t xml:space="preserve"> </w:t>
      </w:r>
      <w:hyperlink r:id="rId227" w:history="1">
        <w:r w:rsidRPr="00FE135A">
          <w:rPr>
            <w:rStyle w:val="Hyperlink"/>
            <w:bCs/>
            <w:color w:val="0070C0"/>
            <w:sz w:val="24"/>
            <w:szCs w:val="24"/>
          </w:rPr>
          <w:t>https://doi.org/10.1177/1525822X083170</w:t>
        </w:r>
      </w:hyperlink>
    </w:p>
    <w:p w14:paraId="79CF4165" w14:textId="51945AB5" w:rsidR="00640A2D" w:rsidRPr="00452C80" w:rsidRDefault="00640A2D" w:rsidP="007E0CE4">
      <w:pPr>
        <w:spacing w:line="360" w:lineRule="auto"/>
        <w:ind w:left="833" w:hanging="720"/>
        <w:rPr>
          <w:bCs/>
          <w:sz w:val="24"/>
          <w:szCs w:val="24"/>
        </w:rPr>
      </w:pPr>
      <w:r w:rsidRPr="00452C80">
        <w:rPr>
          <w:bCs/>
          <w:sz w:val="24"/>
          <w:szCs w:val="24"/>
        </w:rPr>
        <w:t xml:space="preserve">Gower, J. (1390) </w:t>
      </w:r>
      <w:r w:rsidRPr="00452C80">
        <w:rPr>
          <w:bCs/>
          <w:i/>
          <w:iCs/>
          <w:sz w:val="24"/>
          <w:szCs w:val="24"/>
        </w:rPr>
        <w:t xml:space="preserve">Confessio amantis or tales of the seven deadly sins: insipit liber quintus, part three. </w:t>
      </w:r>
      <w:r w:rsidRPr="00452C80">
        <w:rPr>
          <w:bCs/>
          <w:sz w:val="24"/>
          <w:szCs w:val="24"/>
        </w:rPr>
        <w:t xml:space="preserve">Dieterich: The Mediaeval and Classical Literature Library, </w:t>
      </w:r>
      <w:r w:rsidR="00FE135A">
        <w:rPr>
          <w:bCs/>
          <w:sz w:val="24"/>
          <w:szCs w:val="24"/>
        </w:rPr>
        <w:tab/>
      </w:r>
      <w:r w:rsidRPr="00452C80">
        <w:rPr>
          <w:bCs/>
          <w:sz w:val="24"/>
          <w:szCs w:val="24"/>
        </w:rPr>
        <w:t>Vriedankes Bescheidenheit.</w:t>
      </w:r>
      <w:r w:rsidRPr="00452C80">
        <w:t xml:space="preserve"> </w:t>
      </w:r>
      <w:r w:rsidRPr="00452C80">
        <w:rPr>
          <w:bCs/>
          <w:sz w:val="24"/>
          <w:szCs w:val="24"/>
        </w:rPr>
        <w:t>G. C. Macaulay (</w:t>
      </w:r>
      <w:r w:rsidR="00A96647">
        <w:rPr>
          <w:bCs/>
          <w:sz w:val="24"/>
          <w:szCs w:val="24"/>
        </w:rPr>
        <w:t>e</w:t>
      </w:r>
      <w:r w:rsidRPr="00452C80">
        <w:rPr>
          <w:bCs/>
          <w:sz w:val="24"/>
          <w:szCs w:val="24"/>
        </w:rPr>
        <w:t xml:space="preserve">d.), </w:t>
      </w:r>
      <w:r w:rsidRPr="009B0476">
        <w:rPr>
          <w:bCs/>
          <w:i/>
          <w:iCs/>
          <w:sz w:val="24"/>
          <w:szCs w:val="24"/>
        </w:rPr>
        <w:t>The English Works of John Gower</w:t>
      </w:r>
      <w:r w:rsidRPr="00452C80">
        <w:rPr>
          <w:bCs/>
          <w:sz w:val="24"/>
          <w:szCs w:val="24"/>
        </w:rPr>
        <w:t>, 2 vols, EETS, ES, 81^2 (1900^1)</w:t>
      </w:r>
      <w:r w:rsidR="00162FCA">
        <w:rPr>
          <w:bCs/>
          <w:sz w:val="24"/>
          <w:szCs w:val="24"/>
        </w:rPr>
        <w:t>.</w:t>
      </w:r>
      <w:r w:rsidR="009B0476">
        <w:rPr>
          <w:bCs/>
          <w:sz w:val="24"/>
          <w:szCs w:val="24"/>
        </w:rPr>
        <w:t xml:space="preserve"> Available at: </w:t>
      </w:r>
      <w:hyperlink r:id="rId228" w:history="1">
        <w:r w:rsidR="007E0CE4" w:rsidRPr="0019278B">
          <w:rPr>
            <w:rStyle w:val="Hyperlink"/>
            <w:bCs/>
            <w:sz w:val="24"/>
            <w:szCs w:val="24"/>
          </w:rPr>
          <w:t>https://www.gutenberg.org/ebooks/266</w:t>
        </w:r>
      </w:hyperlink>
      <w:r w:rsidR="009B0476">
        <w:rPr>
          <w:bCs/>
          <w:sz w:val="24"/>
          <w:szCs w:val="24"/>
        </w:rPr>
        <w:t xml:space="preserve"> </w:t>
      </w:r>
      <w:r w:rsidR="007E0CE4">
        <w:rPr>
          <w:bCs/>
          <w:sz w:val="24"/>
          <w:szCs w:val="24"/>
        </w:rPr>
        <w:t xml:space="preserve"> [Accessed </w:t>
      </w:r>
      <w:r w:rsidR="002A4111">
        <w:rPr>
          <w:bCs/>
          <w:sz w:val="24"/>
          <w:szCs w:val="24"/>
        </w:rPr>
        <w:t>1</w:t>
      </w:r>
      <w:r w:rsidR="002A4111" w:rsidRPr="002A4111">
        <w:rPr>
          <w:bCs/>
          <w:sz w:val="24"/>
          <w:szCs w:val="24"/>
          <w:vertAlign w:val="superscript"/>
        </w:rPr>
        <w:t>st</w:t>
      </w:r>
      <w:r w:rsidR="002A4111">
        <w:rPr>
          <w:bCs/>
          <w:sz w:val="24"/>
          <w:szCs w:val="24"/>
        </w:rPr>
        <w:t xml:space="preserve"> June 2022]</w:t>
      </w:r>
    </w:p>
    <w:p w14:paraId="1F0CB75B" w14:textId="77777777" w:rsidR="00640A2D" w:rsidRPr="00452C80" w:rsidRDefault="00640A2D" w:rsidP="00D84878">
      <w:pPr>
        <w:spacing w:line="360" w:lineRule="auto"/>
        <w:ind w:left="833" w:hanging="720"/>
        <w:rPr>
          <w:sz w:val="24"/>
          <w:szCs w:val="24"/>
        </w:rPr>
      </w:pPr>
      <w:r w:rsidRPr="00452C80">
        <w:rPr>
          <w:sz w:val="24"/>
          <w:szCs w:val="24"/>
        </w:rPr>
        <w:t xml:space="preserve">Gray, A. (1994) </w:t>
      </w:r>
      <w:r w:rsidRPr="00452C80">
        <w:rPr>
          <w:i/>
          <w:iCs/>
          <w:sz w:val="24"/>
          <w:szCs w:val="24"/>
        </w:rPr>
        <w:t>An Introduction to the Therapeutic Frame</w:t>
      </w:r>
      <w:r w:rsidRPr="00452C80">
        <w:rPr>
          <w:sz w:val="24"/>
          <w:szCs w:val="24"/>
        </w:rPr>
        <w:t>. London: Routledge.</w:t>
      </w:r>
    </w:p>
    <w:p w14:paraId="2A060103" w14:textId="16E73143" w:rsidR="00640A2D" w:rsidRPr="00452C80" w:rsidRDefault="00640A2D" w:rsidP="00D84878">
      <w:pPr>
        <w:spacing w:line="360" w:lineRule="auto"/>
        <w:ind w:left="833" w:hanging="720"/>
        <w:rPr>
          <w:sz w:val="24"/>
          <w:szCs w:val="24"/>
        </w:rPr>
      </w:pPr>
      <w:r w:rsidRPr="00452C80">
        <w:rPr>
          <w:sz w:val="24"/>
          <w:szCs w:val="24"/>
        </w:rPr>
        <w:t xml:space="preserve">Green, J., Willis, K., Hughes, E., Small, R., Welch, N., Gibbs, L., and Daly, J. (2007) Generating best evidence from qualitative research: the role of data analysis. </w:t>
      </w:r>
      <w:r w:rsidRPr="00452C80">
        <w:rPr>
          <w:i/>
          <w:iCs/>
          <w:sz w:val="24"/>
          <w:szCs w:val="24"/>
        </w:rPr>
        <w:t>Aust N Z J Public Health</w:t>
      </w:r>
      <w:r w:rsidRPr="00452C80">
        <w:rPr>
          <w:sz w:val="24"/>
          <w:szCs w:val="24"/>
        </w:rPr>
        <w:t xml:space="preserve">, </w:t>
      </w:r>
      <w:r w:rsidRPr="00452C80">
        <w:rPr>
          <w:b/>
          <w:bCs/>
          <w:sz w:val="24"/>
          <w:szCs w:val="24"/>
        </w:rPr>
        <w:t>31</w:t>
      </w:r>
      <w:r w:rsidRPr="00452C80">
        <w:rPr>
          <w:sz w:val="24"/>
          <w:szCs w:val="24"/>
        </w:rPr>
        <w:t xml:space="preserve">(6): pp.545-50. </w:t>
      </w:r>
      <w:hyperlink r:id="rId229" w:history="1">
        <w:r w:rsidRPr="00FE135A">
          <w:rPr>
            <w:rStyle w:val="Hyperlink"/>
            <w:color w:val="0070C0"/>
            <w:sz w:val="24"/>
            <w:szCs w:val="24"/>
          </w:rPr>
          <w:t>https://doi.org/10.1111/j.1753-6405.2007.00141.x</w:t>
        </w:r>
      </w:hyperlink>
    </w:p>
    <w:p w14:paraId="436195D9" w14:textId="304B142A" w:rsidR="00640A2D" w:rsidRPr="00452C80" w:rsidRDefault="00640A2D" w:rsidP="00D84878">
      <w:pPr>
        <w:spacing w:line="360" w:lineRule="auto"/>
        <w:ind w:left="833" w:hanging="720"/>
        <w:rPr>
          <w:sz w:val="24"/>
          <w:szCs w:val="24"/>
        </w:rPr>
      </w:pPr>
      <w:r w:rsidRPr="00452C80">
        <w:rPr>
          <w:sz w:val="24"/>
          <w:szCs w:val="24"/>
        </w:rPr>
        <w:t>Green, Z.</w:t>
      </w:r>
      <w:r w:rsidR="00CF102D">
        <w:rPr>
          <w:sz w:val="24"/>
          <w:szCs w:val="24"/>
        </w:rPr>
        <w:t xml:space="preserve"> </w:t>
      </w:r>
      <w:r w:rsidRPr="00452C80">
        <w:rPr>
          <w:sz w:val="24"/>
          <w:szCs w:val="24"/>
        </w:rPr>
        <w:t xml:space="preserve">A., Faizi, F., Jalal, R., and Zadran, Z. (2021) Emotional support received moderates academic stress and mental well-being in a sample of Afghan university students </w:t>
      </w:r>
      <w:r w:rsidRPr="00452C80">
        <w:rPr>
          <w:sz w:val="24"/>
          <w:szCs w:val="24"/>
        </w:rPr>
        <w:lastRenderedPageBreak/>
        <w:t xml:space="preserve">amid COVID-19. </w:t>
      </w:r>
      <w:r w:rsidRPr="00452C80">
        <w:rPr>
          <w:i/>
          <w:iCs/>
          <w:sz w:val="24"/>
          <w:szCs w:val="24"/>
        </w:rPr>
        <w:t>International Journal of Social Psychiatry</w:t>
      </w:r>
      <w:r w:rsidRPr="00452C80">
        <w:rPr>
          <w:sz w:val="24"/>
          <w:szCs w:val="24"/>
        </w:rPr>
        <w:t xml:space="preserve">, </w:t>
      </w:r>
      <w:r w:rsidRPr="00FE135A">
        <w:rPr>
          <w:b/>
          <w:bCs/>
          <w:sz w:val="24"/>
          <w:szCs w:val="24"/>
        </w:rPr>
        <w:t>68</w:t>
      </w:r>
      <w:r w:rsidRPr="00452C80">
        <w:rPr>
          <w:sz w:val="24"/>
          <w:szCs w:val="24"/>
        </w:rPr>
        <w:t xml:space="preserve">(8): pp. 1748-1755.    </w:t>
      </w:r>
      <w:hyperlink r:id="rId230" w:history="1">
        <w:r w:rsidRPr="00FE135A">
          <w:rPr>
            <w:rStyle w:val="Hyperlink"/>
            <w:color w:val="0070C0"/>
            <w:sz w:val="24"/>
            <w:szCs w:val="24"/>
          </w:rPr>
          <w:t>https://doi.org/10.1177/00207640211057729</w:t>
        </w:r>
      </w:hyperlink>
    </w:p>
    <w:p w14:paraId="11BE83CC" w14:textId="4B515863" w:rsidR="00640A2D" w:rsidRPr="00452C80" w:rsidRDefault="00640A2D" w:rsidP="00D84878">
      <w:pPr>
        <w:spacing w:line="360" w:lineRule="auto"/>
        <w:ind w:left="833" w:hanging="720"/>
        <w:rPr>
          <w:sz w:val="24"/>
          <w:szCs w:val="24"/>
        </w:rPr>
      </w:pPr>
      <w:r w:rsidRPr="00452C80">
        <w:rPr>
          <w:sz w:val="24"/>
          <w:szCs w:val="24"/>
        </w:rPr>
        <w:t>Greenbaum, T.</w:t>
      </w:r>
      <w:r w:rsidR="00CF102D">
        <w:rPr>
          <w:sz w:val="24"/>
          <w:szCs w:val="24"/>
        </w:rPr>
        <w:t xml:space="preserve"> </w:t>
      </w:r>
      <w:r w:rsidRPr="00452C80">
        <w:rPr>
          <w:sz w:val="24"/>
          <w:szCs w:val="24"/>
        </w:rPr>
        <w:t xml:space="preserve">L. (2000) </w:t>
      </w:r>
      <w:r w:rsidRPr="00452C80">
        <w:rPr>
          <w:i/>
          <w:iCs/>
          <w:sz w:val="24"/>
          <w:szCs w:val="24"/>
        </w:rPr>
        <w:t>Moderating Focus Groups: A practical guide for group facilitation.</w:t>
      </w:r>
      <w:r w:rsidRPr="00452C80">
        <w:rPr>
          <w:sz w:val="24"/>
          <w:szCs w:val="24"/>
        </w:rPr>
        <w:t xml:space="preserve"> Thousand Oaks, CA: Sage Publications.</w:t>
      </w:r>
    </w:p>
    <w:p w14:paraId="371D86E8" w14:textId="6AA848E2" w:rsidR="00640A2D" w:rsidRPr="00452C80" w:rsidRDefault="00640A2D" w:rsidP="00D84878">
      <w:pPr>
        <w:spacing w:line="360" w:lineRule="auto"/>
        <w:ind w:left="833" w:hanging="720"/>
        <w:rPr>
          <w:sz w:val="24"/>
          <w:szCs w:val="24"/>
        </w:rPr>
      </w:pPr>
      <w:r w:rsidRPr="00452C80">
        <w:rPr>
          <w:sz w:val="24"/>
          <w:szCs w:val="24"/>
        </w:rPr>
        <w:t>Greenberg, M.</w:t>
      </w:r>
      <w:r w:rsidR="00CF102D">
        <w:rPr>
          <w:sz w:val="24"/>
          <w:szCs w:val="24"/>
        </w:rPr>
        <w:t xml:space="preserve"> </w:t>
      </w:r>
      <w:r w:rsidRPr="00452C80">
        <w:rPr>
          <w:sz w:val="24"/>
          <w:szCs w:val="24"/>
        </w:rPr>
        <w:t>T., and Black, T.</w:t>
      </w:r>
      <w:r w:rsidR="00CF102D">
        <w:rPr>
          <w:sz w:val="24"/>
          <w:szCs w:val="24"/>
        </w:rPr>
        <w:t xml:space="preserve"> </w:t>
      </w:r>
      <w:r w:rsidRPr="00452C80">
        <w:rPr>
          <w:sz w:val="24"/>
          <w:szCs w:val="24"/>
        </w:rPr>
        <w:t>M. (2022) August 10</w:t>
      </w:r>
      <w:r w:rsidRPr="00452C80">
        <w:rPr>
          <w:sz w:val="24"/>
          <w:szCs w:val="24"/>
          <w:vertAlign w:val="superscript"/>
        </w:rPr>
        <w:t>th</w:t>
      </w:r>
      <w:r w:rsidRPr="00452C80">
        <w:rPr>
          <w:sz w:val="24"/>
          <w:szCs w:val="24"/>
        </w:rPr>
        <w:t xml:space="preserve">, 2022, SEL and the Future of Our Democracy. </w:t>
      </w:r>
      <w:hyperlink r:id="rId231" w:history="1">
        <w:r w:rsidRPr="00FE135A">
          <w:rPr>
            <w:rStyle w:val="Hyperlink"/>
            <w:color w:val="0070C0"/>
            <w:sz w:val="24"/>
            <w:szCs w:val="24"/>
          </w:rPr>
          <w:t>https://doi.org/casel.org/blog/sel-and-the-future-of-our-democracy/</w:t>
        </w:r>
      </w:hyperlink>
    </w:p>
    <w:p w14:paraId="02CD551E" w14:textId="77777777" w:rsidR="00640A2D" w:rsidRPr="00452C80" w:rsidRDefault="00640A2D" w:rsidP="00D84878">
      <w:pPr>
        <w:spacing w:line="360" w:lineRule="auto"/>
        <w:ind w:left="833" w:hanging="720"/>
        <w:rPr>
          <w:sz w:val="24"/>
          <w:szCs w:val="24"/>
        </w:rPr>
      </w:pPr>
      <w:r w:rsidRPr="00452C80">
        <w:rPr>
          <w:sz w:val="24"/>
          <w:szCs w:val="24"/>
        </w:rPr>
        <w:t>Greene, M. (1995)</w:t>
      </w:r>
      <w:r w:rsidRPr="00452C80">
        <w:rPr>
          <w:i/>
          <w:iCs/>
          <w:sz w:val="24"/>
          <w:szCs w:val="24"/>
        </w:rPr>
        <w:t xml:space="preserve"> Releasing the Imagination: Essays on Education, the Arts and Social Change</w:t>
      </w:r>
      <w:r w:rsidRPr="00452C80">
        <w:rPr>
          <w:sz w:val="24"/>
          <w:szCs w:val="24"/>
        </w:rPr>
        <w:t xml:space="preserve">. San Franscico, CA: Jossey-Bass. </w:t>
      </w:r>
    </w:p>
    <w:p w14:paraId="1A47036B" w14:textId="67F7DDA4" w:rsidR="00640A2D" w:rsidRDefault="00640A2D" w:rsidP="00D84878">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Greenfield, B. (2016)</w:t>
      </w:r>
      <w:r w:rsidRPr="00452C80">
        <w:rPr>
          <w:rFonts w:ascii="Calibri" w:eastAsia="Aptos" w:hAnsi="Calibri" w:cs="Calibri"/>
          <w:i/>
          <w:iCs/>
          <w:kern w:val="2"/>
          <w:sz w:val="24"/>
          <w:szCs w:val="24"/>
          <w14:ligatures w14:val="standardContextual"/>
        </w:rPr>
        <w:t xml:space="preserve"> Bridging Understanding and Action: An exploration of teacher resilience and the potential benefits of establishing peer group supervision in primary schools. </w:t>
      </w:r>
      <w:r w:rsidRPr="00452C80">
        <w:rPr>
          <w:rFonts w:ascii="Calibri" w:eastAsia="Aptos" w:hAnsi="Calibri" w:cs="Calibri"/>
          <w:kern w:val="2"/>
          <w:sz w:val="24"/>
          <w:szCs w:val="24"/>
          <w14:ligatures w14:val="standardContextual"/>
        </w:rPr>
        <w:t xml:space="preserve">Doctoral dissertation. Newcastle University.  Available </w:t>
      </w:r>
      <w:r w:rsidR="00EF2E73">
        <w:rPr>
          <w:rFonts w:ascii="Calibri" w:eastAsia="Aptos" w:hAnsi="Calibri" w:cs="Calibri"/>
          <w:kern w:val="2"/>
          <w:sz w:val="24"/>
          <w:szCs w:val="24"/>
          <w14:ligatures w14:val="standardContextual"/>
        </w:rPr>
        <w:t>a</w:t>
      </w:r>
      <w:r w:rsidR="009A6017">
        <w:rPr>
          <w:rFonts w:ascii="Calibri" w:eastAsia="Aptos" w:hAnsi="Calibri" w:cs="Calibri"/>
          <w:kern w:val="2"/>
          <w:sz w:val="24"/>
          <w:szCs w:val="24"/>
          <w14:ligatures w14:val="standardContextual"/>
        </w:rPr>
        <w:t xml:space="preserve">t: </w:t>
      </w:r>
      <w:hyperlink r:id="rId232" w:history="1">
        <w:r w:rsidR="009A6017" w:rsidRPr="0019278B">
          <w:rPr>
            <w:rStyle w:val="Hyperlink"/>
            <w:rFonts w:ascii="Calibri" w:eastAsia="Aptos" w:hAnsi="Calibri" w:cs="Calibri"/>
            <w:kern w:val="2"/>
            <w:sz w:val="24"/>
            <w:szCs w:val="24"/>
            <w14:ligatures w14:val="standardContextual"/>
          </w:rPr>
          <w:t>https://theses.ncl.ac.uk/jspui/bitstream/10443/3429/1/Greenfield%20B.%202016%20%28DAppEdPsy%29.pdf</w:t>
        </w:r>
      </w:hyperlink>
      <w:r w:rsidR="009A6017">
        <w:rPr>
          <w:rFonts w:ascii="Calibri" w:eastAsia="Aptos" w:hAnsi="Calibri" w:cs="Calibri"/>
          <w:kern w:val="2"/>
          <w:sz w:val="24"/>
          <w:szCs w:val="24"/>
          <w14:ligatures w14:val="standardContextual"/>
        </w:rPr>
        <w:t xml:space="preserve"> [Accessed </w:t>
      </w:r>
      <w:r w:rsidR="00C3119C">
        <w:rPr>
          <w:rFonts w:ascii="Calibri" w:eastAsia="Aptos" w:hAnsi="Calibri" w:cs="Calibri"/>
          <w:kern w:val="2"/>
          <w:sz w:val="24"/>
          <w:szCs w:val="24"/>
          <w14:ligatures w14:val="standardContextual"/>
        </w:rPr>
        <w:t>3</w:t>
      </w:r>
      <w:r w:rsidR="00C3119C" w:rsidRPr="00C3119C">
        <w:rPr>
          <w:rFonts w:ascii="Calibri" w:eastAsia="Aptos" w:hAnsi="Calibri" w:cs="Calibri"/>
          <w:kern w:val="2"/>
          <w:sz w:val="24"/>
          <w:szCs w:val="24"/>
          <w:vertAlign w:val="superscript"/>
          <w14:ligatures w14:val="standardContextual"/>
        </w:rPr>
        <w:t>rd</w:t>
      </w:r>
      <w:r w:rsidR="00C3119C">
        <w:rPr>
          <w:rFonts w:ascii="Calibri" w:eastAsia="Aptos" w:hAnsi="Calibri" w:cs="Calibri"/>
          <w:kern w:val="2"/>
          <w:sz w:val="24"/>
          <w:szCs w:val="24"/>
          <w14:ligatures w14:val="standardContextual"/>
        </w:rPr>
        <w:t xml:space="preserve"> July 2023]</w:t>
      </w:r>
    </w:p>
    <w:p w14:paraId="315AD719" w14:textId="29FD8F8F" w:rsidR="00640A2D" w:rsidRPr="00452C80" w:rsidRDefault="00C3119C" w:rsidP="00C3119C">
      <w:pPr>
        <w:spacing w:line="360" w:lineRule="auto"/>
        <w:rPr>
          <w:sz w:val="24"/>
          <w:szCs w:val="24"/>
        </w:rPr>
      </w:pPr>
      <w:r>
        <w:rPr>
          <w:sz w:val="24"/>
          <w:szCs w:val="24"/>
        </w:rPr>
        <w:t xml:space="preserve">  </w:t>
      </w:r>
      <w:r w:rsidR="00640A2D" w:rsidRPr="00452C80">
        <w:rPr>
          <w:sz w:val="24"/>
          <w:szCs w:val="24"/>
        </w:rPr>
        <w:t xml:space="preserve">Greenhalgh, P. (1994) </w:t>
      </w:r>
      <w:r w:rsidR="00640A2D" w:rsidRPr="00452C80">
        <w:rPr>
          <w:i/>
          <w:iCs/>
          <w:sz w:val="24"/>
          <w:szCs w:val="24"/>
        </w:rPr>
        <w:t>Emotional Growth and Learning</w:t>
      </w:r>
      <w:r w:rsidR="00640A2D" w:rsidRPr="00452C80">
        <w:rPr>
          <w:sz w:val="24"/>
          <w:szCs w:val="24"/>
        </w:rPr>
        <w:t>. London: Routledge.</w:t>
      </w:r>
    </w:p>
    <w:p w14:paraId="04FA9F8B" w14:textId="5CE38D15" w:rsidR="00640A2D" w:rsidRPr="00452C80" w:rsidRDefault="00640A2D" w:rsidP="00D84878">
      <w:pPr>
        <w:spacing w:line="360" w:lineRule="auto"/>
        <w:ind w:left="833" w:hanging="720"/>
        <w:rPr>
          <w:sz w:val="24"/>
          <w:szCs w:val="24"/>
        </w:rPr>
      </w:pPr>
      <w:r w:rsidRPr="00452C80">
        <w:rPr>
          <w:sz w:val="24"/>
          <w:szCs w:val="24"/>
        </w:rPr>
        <w:t>Greiman, B., and Covington, H. (2007) Reflective thinking and journal writing: Examining student teachers; perceptions of preferred reflective modality, journal writing outcomes, and journal structure. </w:t>
      </w:r>
      <w:r w:rsidRPr="00452C80">
        <w:rPr>
          <w:i/>
          <w:iCs/>
          <w:sz w:val="24"/>
          <w:szCs w:val="24"/>
        </w:rPr>
        <w:t>Career and Technical Education Research</w:t>
      </w:r>
      <w:r w:rsidRPr="00452C80">
        <w:rPr>
          <w:sz w:val="24"/>
          <w:szCs w:val="24"/>
        </w:rPr>
        <w:t xml:space="preserve">, </w:t>
      </w:r>
      <w:r w:rsidRPr="00452C80">
        <w:rPr>
          <w:b/>
          <w:bCs/>
          <w:sz w:val="24"/>
          <w:szCs w:val="24"/>
        </w:rPr>
        <w:t>32</w:t>
      </w:r>
      <w:r w:rsidRPr="00452C80">
        <w:rPr>
          <w:sz w:val="24"/>
          <w:szCs w:val="24"/>
        </w:rPr>
        <w:t>(2): pp. 115–139.</w:t>
      </w:r>
      <w:r w:rsidRPr="00452C80">
        <w:t xml:space="preserve"> </w:t>
      </w:r>
      <w:hyperlink r:id="rId233" w:history="1">
        <w:r w:rsidRPr="00FE135A">
          <w:rPr>
            <w:rStyle w:val="Hyperlink"/>
            <w:color w:val="0070C0"/>
            <w:sz w:val="24"/>
            <w:szCs w:val="24"/>
          </w:rPr>
          <w:t>https://scholar.lib.vt.edu/ejournals/CTER/v32n2/pdf/greiman.pdf</w:t>
        </w:r>
      </w:hyperlink>
    </w:p>
    <w:p w14:paraId="1DC75996" w14:textId="4C56BC46" w:rsidR="00640A2D" w:rsidRPr="00452C80" w:rsidRDefault="00640A2D" w:rsidP="00D84878">
      <w:pPr>
        <w:spacing w:line="360" w:lineRule="auto"/>
        <w:ind w:left="833" w:hanging="720"/>
        <w:rPr>
          <w:sz w:val="24"/>
          <w:szCs w:val="24"/>
        </w:rPr>
      </w:pPr>
      <w:r w:rsidRPr="00452C80">
        <w:rPr>
          <w:rFonts w:ascii="Calibri" w:eastAsia="Aptos" w:hAnsi="Calibri" w:cs="Calibri"/>
          <w:kern w:val="2"/>
          <w:sz w:val="24"/>
          <w:szCs w:val="24"/>
          <w14:ligatures w14:val="standardContextual"/>
        </w:rPr>
        <w:t xml:space="preserve">Grimm, J., and Grimm, W. (1869) </w:t>
      </w:r>
      <w:r w:rsidRPr="00452C80">
        <w:rPr>
          <w:rFonts w:ascii="Calibri" w:eastAsia="Aptos" w:hAnsi="Calibri" w:cs="Calibri"/>
          <w:i/>
          <w:iCs/>
          <w:kern w:val="2"/>
          <w:sz w:val="24"/>
          <w:szCs w:val="24"/>
          <w14:ligatures w14:val="standardContextual"/>
        </w:rPr>
        <w:t>Kinder und Haus</w:t>
      </w:r>
      <w:r w:rsidR="00496178">
        <w:rPr>
          <w:rFonts w:ascii="Calibri" w:eastAsia="Aptos" w:hAnsi="Calibri" w:cs="Calibri"/>
          <w:i/>
          <w:iCs/>
          <w:kern w:val="2"/>
          <w:sz w:val="24"/>
          <w:szCs w:val="24"/>
          <w14:ligatures w14:val="standardContextual"/>
        </w:rPr>
        <w:t xml:space="preserve"> </w:t>
      </w:r>
      <w:r w:rsidRPr="00452C80">
        <w:rPr>
          <w:rFonts w:ascii="Calibri" w:eastAsia="Aptos" w:hAnsi="Calibri" w:cs="Calibri"/>
          <w:i/>
          <w:iCs/>
          <w:kern w:val="2"/>
          <w:sz w:val="24"/>
          <w:szCs w:val="24"/>
          <w14:ligatures w14:val="standardContextual"/>
        </w:rPr>
        <w:t>Märchen</w:t>
      </w:r>
      <w:r w:rsidRPr="00452C80">
        <w:rPr>
          <w:rFonts w:ascii="Calibri" w:eastAsia="Aptos" w:hAnsi="Calibri" w:cs="Calibri"/>
          <w:kern w:val="2"/>
          <w:sz w:val="24"/>
          <w:szCs w:val="24"/>
          <w14:ligatures w14:val="standardContextual"/>
        </w:rPr>
        <w:t xml:space="preserve"> </w:t>
      </w:r>
      <w:r w:rsidR="001047AB">
        <w:rPr>
          <w:rFonts w:ascii="Calibri" w:eastAsia="Aptos" w:hAnsi="Calibri" w:cs="Calibri"/>
          <w:kern w:val="2"/>
          <w:sz w:val="24"/>
          <w:szCs w:val="24"/>
          <w14:ligatures w14:val="standardContextual"/>
        </w:rPr>
        <w:t>[Trans</w:t>
      </w:r>
      <w:r w:rsidRPr="00452C80">
        <w:rPr>
          <w:rFonts w:ascii="Calibri" w:eastAsia="Aptos" w:hAnsi="Calibri" w:cs="Calibri"/>
          <w:kern w:val="2"/>
          <w:sz w:val="24"/>
          <w:szCs w:val="24"/>
          <w14:ligatures w14:val="standardContextual"/>
        </w:rPr>
        <w:t xml:space="preserve">: </w:t>
      </w:r>
      <w:r w:rsidR="005634D4">
        <w:rPr>
          <w:rFonts w:ascii="Calibri" w:eastAsia="Aptos" w:hAnsi="Calibri" w:cs="Calibri"/>
          <w:kern w:val="2"/>
          <w:sz w:val="24"/>
          <w:szCs w:val="24"/>
          <w14:ligatures w14:val="standardContextual"/>
        </w:rPr>
        <w:t>Children’s Popular Fairytales]</w:t>
      </w:r>
      <w:r w:rsidRPr="00452C80">
        <w:rPr>
          <w:rFonts w:ascii="Calibri" w:eastAsia="Aptos" w:hAnsi="Calibri" w:cs="Calibri"/>
          <w:kern w:val="2"/>
          <w:sz w:val="24"/>
          <w:szCs w:val="24"/>
          <w14:ligatures w14:val="standardContextual"/>
        </w:rPr>
        <w:t>, Edgar Taylor (ed). London: J.C. Hotten.</w:t>
      </w:r>
    </w:p>
    <w:p w14:paraId="2611E80F" w14:textId="3E598FC3" w:rsidR="00640A2D" w:rsidRPr="00FE135A" w:rsidRDefault="00640A2D" w:rsidP="00D84878">
      <w:pPr>
        <w:spacing w:line="360" w:lineRule="auto"/>
        <w:ind w:left="833" w:hanging="720"/>
        <w:rPr>
          <w:color w:val="0070C0"/>
          <w:sz w:val="24"/>
          <w:szCs w:val="24"/>
        </w:rPr>
      </w:pPr>
      <w:r w:rsidRPr="00452C80">
        <w:rPr>
          <w:sz w:val="24"/>
          <w:szCs w:val="24"/>
        </w:rPr>
        <w:t xml:space="preserve">Gross, J. J. (2001) Emotion regulation in adulthood: timing is everything. </w:t>
      </w:r>
      <w:r w:rsidRPr="00452C80">
        <w:rPr>
          <w:i/>
          <w:iCs/>
          <w:sz w:val="24"/>
          <w:szCs w:val="24"/>
        </w:rPr>
        <w:t>Current Directions in Psychological Science</w:t>
      </w:r>
      <w:r w:rsidRPr="00452C80">
        <w:rPr>
          <w:sz w:val="24"/>
          <w:szCs w:val="24"/>
        </w:rPr>
        <w:t xml:space="preserve">, </w:t>
      </w:r>
      <w:r w:rsidRPr="00452C80">
        <w:rPr>
          <w:b/>
          <w:bCs/>
          <w:sz w:val="24"/>
          <w:szCs w:val="24"/>
        </w:rPr>
        <w:t>10</w:t>
      </w:r>
      <w:r w:rsidRPr="00452C80">
        <w:rPr>
          <w:sz w:val="24"/>
          <w:szCs w:val="24"/>
        </w:rPr>
        <w:t xml:space="preserve">(6): pp.214-219. </w:t>
      </w:r>
      <w:hyperlink r:id="rId234" w:history="1">
        <w:r w:rsidRPr="00FE135A">
          <w:rPr>
            <w:rStyle w:val="Hyperlink"/>
            <w:color w:val="0070C0"/>
            <w:sz w:val="24"/>
            <w:szCs w:val="24"/>
          </w:rPr>
          <w:t>https://doi.org/10.1111/1467-8721.00152</w:t>
        </w:r>
      </w:hyperlink>
    </w:p>
    <w:p w14:paraId="5F56BFEF" w14:textId="4485FFBF" w:rsidR="00640A2D" w:rsidRPr="00452C80" w:rsidRDefault="00640A2D" w:rsidP="00D84878">
      <w:pPr>
        <w:spacing w:line="360" w:lineRule="auto"/>
        <w:ind w:left="833" w:hanging="720"/>
        <w:rPr>
          <w:sz w:val="24"/>
          <w:szCs w:val="24"/>
        </w:rPr>
      </w:pPr>
      <w:r w:rsidRPr="00452C80">
        <w:rPr>
          <w:sz w:val="24"/>
          <w:szCs w:val="24"/>
        </w:rPr>
        <w:t>Guba E. G., and Lincoln</w:t>
      </w:r>
      <w:r w:rsidR="00496178">
        <w:rPr>
          <w:sz w:val="24"/>
          <w:szCs w:val="24"/>
        </w:rPr>
        <w:t>,</w:t>
      </w:r>
      <w:r w:rsidRPr="00452C80">
        <w:rPr>
          <w:sz w:val="24"/>
          <w:szCs w:val="24"/>
        </w:rPr>
        <w:t xml:space="preserve"> Y. S. (1994) Competing paradigms in qualitative research. In Denzin N. K., Lincoln Y. S. (</w:t>
      </w:r>
      <w:r w:rsidR="00496178">
        <w:rPr>
          <w:sz w:val="24"/>
          <w:szCs w:val="24"/>
        </w:rPr>
        <w:t>e</w:t>
      </w:r>
      <w:r w:rsidRPr="00452C80">
        <w:rPr>
          <w:sz w:val="24"/>
          <w:szCs w:val="24"/>
        </w:rPr>
        <w:t>ds), </w:t>
      </w:r>
      <w:r w:rsidRPr="00452C80">
        <w:rPr>
          <w:i/>
          <w:iCs/>
          <w:sz w:val="24"/>
          <w:szCs w:val="24"/>
        </w:rPr>
        <w:t>The SAGE Handbook of Qualitative Research</w:t>
      </w:r>
      <w:r w:rsidRPr="00452C80">
        <w:rPr>
          <w:sz w:val="24"/>
          <w:szCs w:val="24"/>
        </w:rPr>
        <w:t>.  London: Sage.</w:t>
      </w:r>
    </w:p>
    <w:p w14:paraId="1E0E3048" w14:textId="059C8806" w:rsidR="00640A2D" w:rsidRPr="00452C80" w:rsidRDefault="00640A2D" w:rsidP="00D84878">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lastRenderedPageBreak/>
        <w:t xml:space="preserve">Guillemin, M., and Gilham, L. (2004) Ethics, reflexivity and ‘ethically important moments’ in research. </w:t>
      </w:r>
      <w:r w:rsidRPr="00452C80">
        <w:rPr>
          <w:rFonts w:ascii="Calibri" w:eastAsia="Aptos" w:hAnsi="Calibri" w:cs="Calibri"/>
          <w:i/>
          <w:iCs/>
          <w:kern w:val="2"/>
          <w:sz w:val="24"/>
          <w:szCs w:val="24"/>
          <w14:ligatures w14:val="standardContextual"/>
        </w:rPr>
        <w:t>Qualitative Inquiry</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10</w:t>
      </w:r>
      <w:r w:rsidRPr="00452C80">
        <w:rPr>
          <w:rFonts w:ascii="Calibri" w:eastAsia="Aptos" w:hAnsi="Calibri" w:cs="Calibri"/>
          <w:kern w:val="2"/>
          <w:sz w:val="24"/>
          <w:szCs w:val="24"/>
          <w14:ligatures w14:val="standardContextual"/>
        </w:rPr>
        <w:t>(2):</w:t>
      </w:r>
      <w:r w:rsidR="00E82DA2">
        <w:rPr>
          <w:rFonts w:ascii="Calibri" w:eastAsia="Aptos" w:hAnsi="Calibri" w:cs="Calibri"/>
          <w:kern w:val="2"/>
          <w:sz w:val="24"/>
          <w:szCs w:val="24"/>
          <w14:ligatures w14:val="standardContextual"/>
        </w:rPr>
        <w:t xml:space="preserve"> pp.261-298.</w:t>
      </w:r>
      <w:r w:rsidRPr="00452C80">
        <w:rPr>
          <w:rFonts w:ascii="Calibri" w:eastAsia="Aptos" w:hAnsi="Calibri" w:cs="Calibri"/>
          <w:kern w:val="2"/>
          <w:sz w:val="24"/>
          <w:szCs w:val="24"/>
          <w14:ligatures w14:val="standardContextual"/>
        </w:rPr>
        <w:t xml:space="preserve"> </w:t>
      </w:r>
      <w:hyperlink r:id="rId235" w:history="1">
        <w:r w:rsidRPr="00FE135A">
          <w:rPr>
            <w:rStyle w:val="Hyperlink"/>
            <w:rFonts w:ascii="Calibri" w:eastAsia="Aptos" w:hAnsi="Calibri" w:cs="Calibri"/>
            <w:color w:val="0070C0"/>
            <w:kern w:val="2"/>
            <w:sz w:val="24"/>
            <w:szCs w:val="24"/>
            <w14:ligatures w14:val="standardContextual"/>
          </w:rPr>
          <w:t>https://doi.org/10.1177/1077800403262360</w:t>
        </w:r>
      </w:hyperlink>
    </w:p>
    <w:p w14:paraId="215F08AF" w14:textId="77777777" w:rsidR="00640A2D" w:rsidRPr="00452C80" w:rsidRDefault="00640A2D" w:rsidP="00D84878">
      <w:pPr>
        <w:spacing w:line="360" w:lineRule="auto"/>
        <w:ind w:left="833" w:hanging="720"/>
        <w:rPr>
          <w:sz w:val="24"/>
          <w:szCs w:val="24"/>
        </w:rPr>
      </w:pPr>
      <w:r w:rsidRPr="00452C80">
        <w:rPr>
          <w:sz w:val="24"/>
          <w:szCs w:val="24"/>
        </w:rPr>
        <w:t>Gunn, N. (1940/1986) Second Sight. Glasgow, Scotland: Richard Drew Publishing Ltd.</w:t>
      </w:r>
    </w:p>
    <w:p w14:paraId="55DCE2D6" w14:textId="77777777" w:rsidR="00640A2D" w:rsidRPr="00452C80" w:rsidRDefault="00640A2D" w:rsidP="00D84878">
      <w:pPr>
        <w:spacing w:line="360" w:lineRule="auto"/>
        <w:ind w:left="833" w:hanging="720"/>
        <w:rPr>
          <w:sz w:val="24"/>
          <w:szCs w:val="24"/>
        </w:rPr>
      </w:pPr>
      <w:r w:rsidRPr="00452C80">
        <w:rPr>
          <w:sz w:val="24"/>
          <w:szCs w:val="24"/>
        </w:rPr>
        <w:t xml:space="preserve">Habermas, J. (1974) </w:t>
      </w:r>
      <w:r w:rsidRPr="00452C80">
        <w:rPr>
          <w:i/>
          <w:iCs/>
          <w:sz w:val="24"/>
          <w:szCs w:val="24"/>
        </w:rPr>
        <w:t>Theory and Practice</w:t>
      </w:r>
      <w:r w:rsidRPr="00452C80">
        <w:rPr>
          <w:sz w:val="24"/>
          <w:szCs w:val="24"/>
        </w:rPr>
        <w:t>. London: Heineman.</w:t>
      </w:r>
    </w:p>
    <w:p w14:paraId="15F70D9A" w14:textId="77777777" w:rsidR="00640A2D" w:rsidRPr="00452C80" w:rsidRDefault="00640A2D" w:rsidP="00D84878">
      <w:pPr>
        <w:spacing w:line="360" w:lineRule="auto"/>
        <w:ind w:left="833" w:hanging="720"/>
        <w:rPr>
          <w:sz w:val="24"/>
          <w:szCs w:val="24"/>
        </w:rPr>
      </w:pPr>
      <w:r w:rsidRPr="00452C80">
        <w:rPr>
          <w:sz w:val="24"/>
          <w:szCs w:val="24"/>
        </w:rPr>
        <w:t xml:space="preserve">Hagenauer, G., and Volet, S.F. (2014) Teacher-student relationship at university: An important yet under researched field. </w:t>
      </w:r>
      <w:r w:rsidRPr="00452C80">
        <w:rPr>
          <w:i/>
          <w:iCs/>
          <w:sz w:val="24"/>
          <w:szCs w:val="24"/>
        </w:rPr>
        <w:t>Oxford Review of Education,</w:t>
      </w:r>
      <w:r w:rsidRPr="00452C80">
        <w:rPr>
          <w:sz w:val="24"/>
          <w:szCs w:val="24"/>
        </w:rPr>
        <w:t xml:space="preserve"> </w:t>
      </w:r>
      <w:r w:rsidRPr="00452C80">
        <w:rPr>
          <w:b/>
          <w:bCs/>
          <w:sz w:val="24"/>
          <w:szCs w:val="24"/>
        </w:rPr>
        <w:t>40</w:t>
      </w:r>
      <w:r w:rsidRPr="00452C80">
        <w:rPr>
          <w:sz w:val="24"/>
          <w:szCs w:val="24"/>
        </w:rPr>
        <w:t>(3): pp.370-388.</w:t>
      </w:r>
      <w:r w:rsidRPr="00452C80">
        <w:rPr>
          <w:rFonts w:ascii="Open Sans" w:eastAsia="Times New Roman" w:hAnsi="Open Sans" w:cs="Open Sans"/>
          <w:sz w:val="20"/>
          <w:szCs w:val="20"/>
          <w:lang w:eastAsia="en-GB"/>
        </w:rPr>
        <w:t xml:space="preserve"> </w:t>
      </w:r>
      <w:hyperlink r:id="rId236" w:history="1">
        <w:r w:rsidRPr="00FE135A">
          <w:rPr>
            <w:rStyle w:val="Hyperlink"/>
            <w:color w:val="0070C0"/>
            <w:sz w:val="24"/>
            <w:szCs w:val="24"/>
          </w:rPr>
          <w:t>https://doi.org/10.1080/03054985.2014.921613</w:t>
        </w:r>
      </w:hyperlink>
    </w:p>
    <w:p w14:paraId="1E80322A" w14:textId="4C81C790" w:rsidR="00640A2D" w:rsidRPr="00452C80" w:rsidRDefault="00640A2D" w:rsidP="00D84878">
      <w:pPr>
        <w:spacing w:line="360" w:lineRule="auto"/>
        <w:ind w:left="833" w:hanging="720"/>
        <w:rPr>
          <w:sz w:val="24"/>
          <w:szCs w:val="24"/>
        </w:rPr>
      </w:pPr>
      <w:r w:rsidRPr="00452C80">
        <w:rPr>
          <w:sz w:val="24"/>
          <w:szCs w:val="24"/>
        </w:rPr>
        <w:t>Hall, R.</w:t>
      </w:r>
      <w:r w:rsidR="0093473A">
        <w:rPr>
          <w:sz w:val="24"/>
          <w:szCs w:val="24"/>
        </w:rPr>
        <w:t>,</w:t>
      </w:r>
      <w:r w:rsidRPr="00452C80">
        <w:rPr>
          <w:sz w:val="24"/>
          <w:szCs w:val="24"/>
        </w:rPr>
        <w:t xml:space="preserve"> and Bowles, K. (2016) Re-engineering Higher Education: The Subsumption of Academic Labour and the Exploitation of Anxiety, </w:t>
      </w:r>
      <w:r w:rsidRPr="00452C80">
        <w:rPr>
          <w:i/>
          <w:iCs/>
          <w:sz w:val="24"/>
          <w:szCs w:val="24"/>
        </w:rPr>
        <w:t>Workplace:</w:t>
      </w:r>
      <w:r w:rsidRPr="00452C80">
        <w:rPr>
          <w:sz w:val="24"/>
          <w:szCs w:val="24"/>
        </w:rPr>
        <w:t xml:space="preserve"> </w:t>
      </w:r>
      <w:r w:rsidRPr="00452C80">
        <w:rPr>
          <w:i/>
          <w:iCs/>
          <w:sz w:val="24"/>
          <w:szCs w:val="24"/>
        </w:rPr>
        <w:t>A Journal for Academic Labour</w:t>
      </w:r>
      <w:r w:rsidRPr="00452C80">
        <w:rPr>
          <w:sz w:val="24"/>
          <w:szCs w:val="24"/>
        </w:rPr>
        <w:t xml:space="preserve">, 28: pp.30-47. </w:t>
      </w:r>
      <w:hyperlink r:id="rId237" w:history="1">
        <w:r w:rsidRPr="00FE135A">
          <w:rPr>
            <w:rStyle w:val="Hyperlink"/>
            <w:color w:val="0070C0"/>
            <w:sz w:val="24"/>
            <w:szCs w:val="24"/>
          </w:rPr>
          <w:t>https://doi.org/10.14288/workplace.v0i28.186211</w:t>
        </w:r>
      </w:hyperlink>
    </w:p>
    <w:p w14:paraId="37114535" w14:textId="77777777" w:rsidR="00640A2D" w:rsidRPr="00452C80" w:rsidRDefault="00640A2D" w:rsidP="00D84878">
      <w:pPr>
        <w:spacing w:line="360" w:lineRule="auto"/>
        <w:ind w:left="833" w:hanging="720"/>
        <w:rPr>
          <w:sz w:val="24"/>
          <w:szCs w:val="24"/>
        </w:rPr>
      </w:pPr>
      <w:r w:rsidRPr="00452C80">
        <w:rPr>
          <w:sz w:val="24"/>
          <w:szCs w:val="24"/>
        </w:rPr>
        <w:t xml:space="preserve">Hall, E., and Wall, K. (2019) </w:t>
      </w:r>
      <w:r w:rsidRPr="00452C80">
        <w:rPr>
          <w:i/>
          <w:iCs/>
          <w:sz w:val="24"/>
          <w:szCs w:val="24"/>
        </w:rPr>
        <w:t>Research Methods for Understanding Professional Learning</w:t>
      </w:r>
      <w:r w:rsidRPr="00452C80">
        <w:rPr>
          <w:sz w:val="24"/>
          <w:szCs w:val="24"/>
        </w:rPr>
        <w:t xml:space="preserve">. London: Bloomsbury Academic. </w:t>
      </w:r>
    </w:p>
    <w:p w14:paraId="7E2982EF" w14:textId="1C1A69B9" w:rsidR="00640A2D" w:rsidRPr="00452C80" w:rsidRDefault="00640A2D" w:rsidP="00D84878">
      <w:pPr>
        <w:spacing w:line="360" w:lineRule="auto"/>
        <w:ind w:left="833" w:hanging="720"/>
        <w:rPr>
          <w:bCs/>
          <w:sz w:val="24"/>
          <w:szCs w:val="24"/>
        </w:rPr>
      </w:pPr>
      <w:r w:rsidRPr="00452C80">
        <w:rPr>
          <w:bCs/>
          <w:sz w:val="24"/>
          <w:szCs w:val="24"/>
        </w:rPr>
        <w:t>Hammersley, M.</w:t>
      </w:r>
      <w:r w:rsidR="0093473A">
        <w:rPr>
          <w:bCs/>
          <w:sz w:val="24"/>
          <w:szCs w:val="24"/>
        </w:rPr>
        <w:t>,</w:t>
      </w:r>
      <w:r w:rsidRPr="00452C80">
        <w:rPr>
          <w:bCs/>
          <w:sz w:val="24"/>
          <w:szCs w:val="24"/>
        </w:rPr>
        <w:t xml:space="preserve"> and Traianou, A. (2012) Ethics and Educational Research, British Educational Research Association on-line resource. </w:t>
      </w:r>
      <w:r w:rsidR="00E82DA2">
        <w:rPr>
          <w:bCs/>
          <w:sz w:val="24"/>
          <w:szCs w:val="24"/>
        </w:rPr>
        <w:t xml:space="preserve">Available at: </w:t>
      </w:r>
      <w:hyperlink r:id="rId238" w:history="1">
        <w:r w:rsidR="0010248C" w:rsidRPr="0019278B">
          <w:rPr>
            <w:rStyle w:val="Hyperlink"/>
            <w:bCs/>
            <w:sz w:val="24"/>
            <w:szCs w:val="24"/>
          </w:rPr>
          <w:t>https://www.bera.ac.uk/publication/ethics-and-educational-research</w:t>
        </w:r>
      </w:hyperlink>
      <w:r w:rsidR="0010248C">
        <w:rPr>
          <w:bCs/>
          <w:sz w:val="24"/>
          <w:szCs w:val="24"/>
        </w:rPr>
        <w:t xml:space="preserve"> [Accessed 2nd December 2022]</w:t>
      </w:r>
    </w:p>
    <w:p w14:paraId="1990F453" w14:textId="77777777" w:rsidR="00640A2D" w:rsidRPr="00452C80" w:rsidRDefault="00640A2D" w:rsidP="00D84878">
      <w:pPr>
        <w:spacing w:line="360" w:lineRule="auto"/>
        <w:ind w:left="833" w:hanging="720"/>
        <w:rPr>
          <w:sz w:val="24"/>
          <w:szCs w:val="24"/>
        </w:rPr>
      </w:pPr>
      <w:r w:rsidRPr="00452C80">
        <w:rPr>
          <w:sz w:val="24"/>
          <w:szCs w:val="24"/>
        </w:rPr>
        <w:t xml:space="preserve">Harber, K. (2005) Self-esteem and affect as information. </w:t>
      </w:r>
      <w:r w:rsidRPr="00452C80">
        <w:rPr>
          <w:i/>
          <w:iCs/>
          <w:sz w:val="24"/>
          <w:szCs w:val="24"/>
        </w:rPr>
        <w:t>Personality and Social Psychology</w:t>
      </w:r>
      <w:r w:rsidRPr="00452C80">
        <w:rPr>
          <w:sz w:val="24"/>
          <w:szCs w:val="24"/>
        </w:rPr>
        <w:t>, 31: pp.276-288.</w:t>
      </w:r>
      <w:r w:rsidRPr="00452C80">
        <w:t xml:space="preserve"> </w:t>
      </w:r>
      <w:hyperlink r:id="rId239" w:history="1">
        <w:r w:rsidRPr="00FE135A">
          <w:rPr>
            <w:rStyle w:val="Hyperlink"/>
            <w:color w:val="0070C0"/>
            <w:sz w:val="24"/>
            <w:szCs w:val="24"/>
          </w:rPr>
          <w:t>https://doi.org/10.1177/0146167204271323</w:t>
        </w:r>
      </w:hyperlink>
    </w:p>
    <w:p w14:paraId="55BC0B7F" w14:textId="77777777" w:rsidR="00640A2D" w:rsidRPr="00452C80" w:rsidRDefault="00640A2D" w:rsidP="00D84878">
      <w:pPr>
        <w:spacing w:line="360" w:lineRule="auto"/>
        <w:ind w:left="833" w:hanging="720"/>
        <w:rPr>
          <w:bCs/>
          <w:sz w:val="24"/>
          <w:szCs w:val="24"/>
        </w:rPr>
      </w:pPr>
      <w:r w:rsidRPr="00452C80">
        <w:rPr>
          <w:bCs/>
          <w:sz w:val="24"/>
          <w:szCs w:val="24"/>
        </w:rPr>
        <w:t xml:space="preserve">Hardy, B. (1975) </w:t>
      </w:r>
      <w:r w:rsidRPr="00452C80">
        <w:rPr>
          <w:bCs/>
          <w:i/>
          <w:iCs/>
          <w:sz w:val="24"/>
          <w:szCs w:val="24"/>
        </w:rPr>
        <w:t>Tellers and Listeners: The Narrative Imagination</w:t>
      </w:r>
      <w:r w:rsidRPr="00452C80">
        <w:rPr>
          <w:bCs/>
          <w:sz w:val="24"/>
          <w:szCs w:val="24"/>
        </w:rPr>
        <w:t xml:space="preserve">. London: The Athlone </w:t>
      </w:r>
      <w:r w:rsidRPr="00452C80">
        <w:rPr>
          <w:bCs/>
          <w:sz w:val="24"/>
          <w:szCs w:val="24"/>
        </w:rPr>
        <w:tab/>
        <w:t xml:space="preserve">Press. </w:t>
      </w:r>
    </w:p>
    <w:p w14:paraId="2A11FD4D" w14:textId="006DF372" w:rsidR="00640A2D" w:rsidRPr="00452C80" w:rsidRDefault="00640A2D" w:rsidP="00D84878">
      <w:pPr>
        <w:spacing w:line="360" w:lineRule="auto"/>
        <w:ind w:left="833" w:hanging="720"/>
        <w:rPr>
          <w:bCs/>
          <w:sz w:val="24"/>
          <w:szCs w:val="24"/>
        </w:rPr>
      </w:pPr>
      <w:r w:rsidRPr="00452C80">
        <w:rPr>
          <w:rFonts w:ascii="Calibri" w:eastAsia="Aptos" w:hAnsi="Calibri" w:cs="Calibri"/>
          <w:kern w:val="2"/>
          <w:sz w:val="24"/>
          <w:szCs w:val="24"/>
          <w14:ligatures w14:val="standardContextual"/>
        </w:rPr>
        <w:t>Harlow, E. (2019)</w:t>
      </w:r>
      <w:r w:rsidR="00C87A33">
        <w:rPr>
          <w:rFonts w:ascii="Calibri" w:eastAsia="Aptos" w:hAnsi="Calibri" w:cs="Calibri"/>
          <w:kern w:val="2"/>
          <w:sz w:val="24"/>
          <w:szCs w:val="24"/>
          <w14:ligatures w14:val="standardContextual"/>
        </w:rPr>
        <w:t xml:space="preserve"> </w:t>
      </w:r>
      <w:r w:rsidRPr="00452C80">
        <w:rPr>
          <w:rFonts w:ascii="Calibri" w:eastAsia="Aptos" w:hAnsi="Calibri" w:cs="Calibri"/>
          <w:kern w:val="2"/>
          <w:sz w:val="24"/>
          <w:szCs w:val="24"/>
          <w14:ligatures w14:val="standardContextual"/>
        </w:rPr>
        <w:t>Attachment theory: Developments, debates and recent applications in social work, social care and education. </w:t>
      </w:r>
      <w:r w:rsidRPr="00452C80">
        <w:rPr>
          <w:rFonts w:ascii="Calibri" w:eastAsia="Aptos" w:hAnsi="Calibri" w:cs="Calibri"/>
          <w:i/>
          <w:iCs/>
          <w:kern w:val="2"/>
          <w:sz w:val="24"/>
          <w:szCs w:val="24"/>
          <w14:ligatures w14:val="standardContextual"/>
        </w:rPr>
        <w:t xml:space="preserve">Journal of Social Work Practice, </w:t>
      </w:r>
      <w:r w:rsidRPr="00FE135A">
        <w:rPr>
          <w:rFonts w:ascii="Calibri" w:eastAsia="Aptos" w:hAnsi="Calibri" w:cs="Calibri"/>
          <w:b/>
          <w:bCs/>
          <w:kern w:val="2"/>
          <w:sz w:val="24"/>
          <w:szCs w:val="24"/>
          <w14:ligatures w14:val="standardContextual"/>
        </w:rPr>
        <w:t>35</w:t>
      </w:r>
      <w:r w:rsidRPr="00452C80">
        <w:rPr>
          <w:rFonts w:ascii="Calibri" w:eastAsia="Aptos" w:hAnsi="Calibri" w:cs="Calibri"/>
          <w:kern w:val="2"/>
          <w:sz w:val="24"/>
          <w:szCs w:val="24"/>
          <w14:ligatures w14:val="standardContextual"/>
        </w:rPr>
        <w:t>(1): pp. 79–91. </w:t>
      </w:r>
      <w:hyperlink r:id="rId240" w:tgtFrame="_blank" w:history="1">
        <w:r w:rsidRPr="00FE135A">
          <w:rPr>
            <w:rFonts w:ascii="Calibri" w:eastAsia="Aptos" w:hAnsi="Calibri" w:cs="Calibri"/>
            <w:color w:val="0070C0"/>
            <w:kern w:val="2"/>
            <w:sz w:val="24"/>
            <w:szCs w:val="24"/>
            <w:u w:val="single"/>
            <w14:ligatures w14:val="standardContextual"/>
          </w:rPr>
          <w:t>https://doi.org/10.1080/02650533.2019.1700493</w:t>
        </w:r>
      </w:hyperlink>
    </w:p>
    <w:p w14:paraId="0F2F379C" w14:textId="406E32F2" w:rsidR="00640A2D" w:rsidRPr="00452C80" w:rsidRDefault="00640A2D" w:rsidP="00D84878">
      <w:pPr>
        <w:spacing w:line="360" w:lineRule="auto"/>
        <w:ind w:left="833" w:hanging="720"/>
        <w:rPr>
          <w:bCs/>
          <w:sz w:val="24"/>
          <w:szCs w:val="24"/>
        </w:rPr>
      </w:pPr>
      <w:r w:rsidRPr="00452C80">
        <w:rPr>
          <w:bCs/>
          <w:sz w:val="24"/>
          <w:szCs w:val="24"/>
        </w:rPr>
        <w:t xml:space="preserve">Harpur, P. (2002) </w:t>
      </w:r>
      <w:r w:rsidRPr="00452C80">
        <w:rPr>
          <w:bCs/>
          <w:i/>
          <w:iCs/>
          <w:sz w:val="24"/>
          <w:szCs w:val="24"/>
        </w:rPr>
        <w:t>The Philosopher</w:t>
      </w:r>
      <w:r w:rsidR="00FD4DB5">
        <w:rPr>
          <w:bCs/>
          <w:i/>
          <w:iCs/>
          <w:sz w:val="24"/>
          <w:szCs w:val="24"/>
        </w:rPr>
        <w:t>’</w:t>
      </w:r>
      <w:r w:rsidRPr="00452C80">
        <w:rPr>
          <w:bCs/>
          <w:i/>
          <w:iCs/>
          <w:sz w:val="24"/>
          <w:szCs w:val="24"/>
        </w:rPr>
        <w:t>s</w:t>
      </w:r>
      <w:r w:rsidR="00FD4DB5">
        <w:rPr>
          <w:bCs/>
          <w:i/>
          <w:iCs/>
          <w:sz w:val="24"/>
          <w:szCs w:val="24"/>
        </w:rPr>
        <w:t xml:space="preserve"> </w:t>
      </w:r>
      <w:r w:rsidRPr="00452C80">
        <w:rPr>
          <w:bCs/>
          <w:i/>
          <w:iCs/>
          <w:sz w:val="24"/>
          <w:szCs w:val="24"/>
        </w:rPr>
        <w:t>Secret Fire: A History of the Imagination.</w:t>
      </w:r>
      <w:r w:rsidRPr="00452C80">
        <w:rPr>
          <w:bCs/>
          <w:sz w:val="24"/>
          <w:szCs w:val="24"/>
        </w:rPr>
        <w:t xml:space="preserve"> London: Penguin Books Ltd.</w:t>
      </w:r>
    </w:p>
    <w:p w14:paraId="21751DD6" w14:textId="152111B1" w:rsidR="00640A2D" w:rsidRPr="00CD2C61" w:rsidRDefault="00640A2D" w:rsidP="00D84878">
      <w:pPr>
        <w:spacing w:line="360" w:lineRule="auto"/>
        <w:ind w:left="833" w:hanging="720"/>
        <w:rPr>
          <w:bCs/>
          <w:color w:val="0070C0"/>
          <w:sz w:val="24"/>
          <w:szCs w:val="24"/>
        </w:rPr>
      </w:pPr>
      <w:r w:rsidRPr="00452C80">
        <w:rPr>
          <w:bCs/>
          <w:sz w:val="24"/>
          <w:szCs w:val="24"/>
        </w:rPr>
        <w:lastRenderedPageBreak/>
        <w:t>Harris, L. R., and Brown, G. T. (2019) Mixing interview and questionnaire methods: Practical problems in aligning data. </w:t>
      </w:r>
      <w:r w:rsidRPr="00452C80">
        <w:rPr>
          <w:bCs/>
          <w:i/>
          <w:iCs/>
          <w:sz w:val="24"/>
          <w:szCs w:val="24"/>
        </w:rPr>
        <w:t>Practical assessment, research, and evaluation</w:t>
      </w:r>
      <w:r w:rsidRPr="00452C80">
        <w:rPr>
          <w:bCs/>
          <w:sz w:val="24"/>
          <w:szCs w:val="24"/>
        </w:rPr>
        <w:t>, </w:t>
      </w:r>
      <w:r w:rsidRPr="00FE135A">
        <w:rPr>
          <w:b/>
          <w:sz w:val="24"/>
          <w:szCs w:val="24"/>
        </w:rPr>
        <w:t>15</w:t>
      </w:r>
      <w:r w:rsidRPr="00452C80">
        <w:rPr>
          <w:bCs/>
          <w:sz w:val="24"/>
          <w:szCs w:val="24"/>
        </w:rPr>
        <w:t>(1): p.1.</w:t>
      </w:r>
      <w:r w:rsidRPr="00452C80">
        <w:t xml:space="preserve"> </w:t>
      </w:r>
      <w:hyperlink r:id="rId241" w:history="1">
        <w:r w:rsidRPr="00CD2C61">
          <w:rPr>
            <w:rStyle w:val="Hyperlink"/>
            <w:bCs/>
            <w:color w:val="0070C0"/>
            <w:sz w:val="24"/>
            <w:szCs w:val="24"/>
          </w:rPr>
          <w:t>https://scholarworks.umass.edu/items/19fee5c2-f54c-4c05-8dfd-f51c212134e8</w:t>
        </w:r>
      </w:hyperlink>
    </w:p>
    <w:p w14:paraId="25065D21" w14:textId="1C3293CD" w:rsidR="00640A2D" w:rsidRPr="00452C80" w:rsidRDefault="00640A2D" w:rsidP="00D84878">
      <w:pPr>
        <w:spacing w:line="360" w:lineRule="auto"/>
        <w:ind w:left="833" w:hanging="720"/>
        <w:rPr>
          <w:sz w:val="24"/>
          <w:szCs w:val="24"/>
        </w:rPr>
      </w:pPr>
      <w:r w:rsidRPr="00452C80">
        <w:rPr>
          <w:sz w:val="24"/>
          <w:szCs w:val="24"/>
        </w:rPr>
        <w:t xml:space="preserve">Hartel, C., Zerbe, W., and Ashkanasy, N. </w:t>
      </w:r>
      <w:r w:rsidR="00AB01A3">
        <w:rPr>
          <w:sz w:val="24"/>
          <w:szCs w:val="24"/>
        </w:rPr>
        <w:t xml:space="preserve">(eds) </w:t>
      </w:r>
      <w:r w:rsidRPr="00452C80">
        <w:rPr>
          <w:sz w:val="24"/>
          <w:szCs w:val="24"/>
        </w:rPr>
        <w:t>(2005)</w:t>
      </w:r>
      <w:r w:rsidR="006B0350">
        <w:rPr>
          <w:sz w:val="24"/>
          <w:szCs w:val="24"/>
        </w:rPr>
        <w:t xml:space="preserve"> </w:t>
      </w:r>
      <w:r w:rsidRPr="00452C80">
        <w:rPr>
          <w:i/>
          <w:iCs/>
          <w:sz w:val="24"/>
          <w:szCs w:val="24"/>
        </w:rPr>
        <w:t>Emotion and Organisational Behaviour</w:t>
      </w:r>
      <w:r w:rsidRPr="00452C80">
        <w:rPr>
          <w:sz w:val="24"/>
          <w:szCs w:val="24"/>
        </w:rPr>
        <w:t>. London: Lawrence Erlbaum Associates.</w:t>
      </w:r>
    </w:p>
    <w:p w14:paraId="002F9249" w14:textId="30B06C66" w:rsidR="00640A2D" w:rsidRPr="00452C80" w:rsidRDefault="00640A2D" w:rsidP="00D84878">
      <w:pPr>
        <w:spacing w:line="360" w:lineRule="auto"/>
        <w:ind w:left="833" w:hanging="720"/>
        <w:rPr>
          <w:sz w:val="24"/>
          <w:szCs w:val="24"/>
        </w:rPr>
      </w:pPr>
      <w:r w:rsidRPr="00452C80">
        <w:rPr>
          <w:sz w:val="24"/>
          <w:szCs w:val="24"/>
        </w:rPr>
        <w:t xml:space="preserve">Hatfield, E., Cacioppo, J. T., and Rapson, R. L. (1992) Primitive Emotional Contagion. In M. S. Clark (ed.), </w:t>
      </w:r>
      <w:r w:rsidRPr="00452C80">
        <w:rPr>
          <w:i/>
          <w:iCs/>
          <w:sz w:val="24"/>
          <w:szCs w:val="24"/>
        </w:rPr>
        <w:t xml:space="preserve">Emotion and Social Behavior: Review of Personality and Social Psychology </w:t>
      </w:r>
      <w:r w:rsidRPr="00452C80">
        <w:rPr>
          <w:sz w:val="24"/>
          <w:szCs w:val="24"/>
        </w:rPr>
        <w:t>(pp. 151-177). Newbury Park, CA: Sage.</w:t>
      </w:r>
    </w:p>
    <w:p w14:paraId="3C0B9F16" w14:textId="77777777" w:rsidR="00640A2D" w:rsidRPr="00452C80" w:rsidRDefault="00640A2D" w:rsidP="00D84878">
      <w:pPr>
        <w:spacing w:line="360" w:lineRule="auto"/>
        <w:ind w:left="833" w:hanging="720"/>
        <w:rPr>
          <w:sz w:val="24"/>
          <w:szCs w:val="24"/>
        </w:rPr>
      </w:pPr>
      <w:r w:rsidRPr="00452C80">
        <w:rPr>
          <w:sz w:val="24"/>
          <w:szCs w:val="24"/>
        </w:rPr>
        <w:t xml:space="preserve">Haugaard, E. (1978) (trans) </w:t>
      </w:r>
      <w:r w:rsidRPr="00452C80">
        <w:rPr>
          <w:i/>
          <w:iCs/>
          <w:sz w:val="24"/>
          <w:szCs w:val="24"/>
        </w:rPr>
        <w:t>Hans Christian Andersen: His Classic Fairytales.</w:t>
      </w:r>
      <w:r w:rsidRPr="00452C80">
        <w:rPr>
          <w:sz w:val="24"/>
          <w:szCs w:val="24"/>
        </w:rPr>
        <w:t xml:space="preserve"> New York: Doubleday and Company.</w:t>
      </w:r>
    </w:p>
    <w:p w14:paraId="24E2DB0C" w14:textId="77777777" w:rsidR="00640A2D" w:rsidRPr="00452C80" w:rsidRDefault="00640A2D" w:rsidP="00D84878">
      <w:pPr>
        <w:spacing w:line="360" w:lineRule="auto"/>
        <w:ind w:left="833" w:hanging="720"/>
        <w:rPr>
          <w:sz w:val="24"/>
          <w:szCs w:val="24"/>
        </w:rPr>
      </w:pPr>
      <w:r w:rsidRPr="00452C80">
        <w:rPr>
          <w:sz w:val="24"/>
          <w:szCs w:val="24"/>
        </w:rPr>
        <w:t xml:space="preserve">Hawkins, P., and Shohet, R. (2000) </w:t>
      </w:r>
      <w:r w:rsidRPr="00452C80">
        <w:rPr>
          <w:i/>
          <w:iCs/>
          <w:sz w:val="24"/>
          <w:szCs w:val="24"/>
        </w:rPr>
        <w:t>Supervision in the helping professions: An individual, group and organisational application</w:t>
      </w:r>
      <w:r w:rsidRPr="00452C80">
        <w:rPr>
          <w:sz w:val="24"/>
          <w:szCs w:val="24"/>
        </w:rPr>
        <w:t>. (2</w:t>
      </w:r>
      <w:r w:rsidRPr="00452C80">
        <w:rPr>
          <w:sz w:val="24"/>
          <w:szCs w:val="24"/>
          <w:vertAlign w:val="superscript"/>
        </w:rPr>
        <w:t>nd</w:t>
      </w:r>
      <w:r w:rsidRPr="00452C80">
        <w:rPr>
          <w:sz w:val="24"/>
          <w:szCs w:val="24"/>
        </w:rPr>
        <w:t xml:space="preserve"> edition). Buckingham: OU Press.</w:t>
      </w:r>
    </w:p>
    <w:p w14:paraId="2DFA2B3C" w14:textId="19565CF2" w:rsidR="00640A2D" w:rsidRPr="00452C80" w:rsidRDefault="00640A2D" w:rsidP="00D84878">
      <w:pPr>
        <w:spacing w:line="360" w:lineRule="auto"/>
        <w:ind w:left="833" w:hanging="720"/>
        <w:rPr>
          <w:sz w:val="24"/>
          <w:szCs w:val="24"/>
        </w:rPr>
      </w:pPr>
      <w:r w:rsidRPr="00452C80">
        <w:rPr>
          <w:sz w:val="24"/>
          <w:szCs w:val="24"/>
        </w:rPr>
        <w:t>Hawkins, P., and Shohet, R. (2006</w:t>
      </w:r>
      <w:r w:rsidR="0094108D">
        <w:rPr>
          <w:sz w:val="24"/>
          <w:szCs w:val="24"/>
        </w:rPr>
        <w:t>/</w:t>
      </w:r>
      <w:r w:rsidRPr="00452C80">
        <w:rPr>
          <w:sz w:val="24"/>
          <w:szCs w:val="24"/>
        </w:rPr>
        <w:t xml:space="preserve">2012) </w:t>
      </w:r>
      <w:r w:rsidRPr="00452C80">
        <w:rPr>
          <w:i/>
          <w:iCs/>
          <w:sz w:val="24"/>
          <w:szCs w:val="24"/>
        </w:rPr>
        <w:t xml:space="preserve">Supervision in the Helping Professions. </w:t>
      </w:r>
      <w:r w:rsidRPr="00452C80">
        <w:rPr>
          <w:sz w:val="24"/>
          <w:szCs w:val="24"/>
        </w:rPr>
        <w:t>(4</w:t>
      </w:r>
      <w:r w:rsidRPr="00452C80">
        <w:rPr>
          <w:sz w:val="24"/>
          <w:szCs w:val="24"/>
          <w:vertAlign w:val="superscript"/>
        </w:rPr>
        <w:t>th</w:t>
      </w:r>
      <w:r w:rsidRPr="00452C80">
        <w:rPr>
          <w:sz w:val="24"/>
          <w:szCs w:val="24"/>
        </w:rPr>
        <w:t xml:space="preserve"> edition). Maidenhead: McGraw Hill/Open University Press.</w:t>
      </w:r>
    </w:p>
    <w:p w14:paraId="0E06F576" w14:textId="4E07FFAC" w:rsidR="00640A2D" w:rsidRPr="00452C80" w:rsidRDefault="00640A2D" w:rsidP="00D84878">
      <w:pPr>
        <w:spacing w:line="360" w:lineRule="auto"/>
        <w:ind w:left="833" w:hanging="720"/>
        <w:rPr>
          <w:sz w:val="24"/>
          <w:szCs w:val="24"/>
        </w:rPr>
      </w:pPr>
      <w:r w:rsidRPr="00452C80">
        <w:rPr>
          <w:sz w:val="24"/>
          <w:szCs w:val="24"/>
        </w:rPr>
        <w:t>Hayden, S.</w:t>
      </w:r>
      <w:r w:rsidR="0093473A">
        <w:rPr>
          <w:sz w:val="24"/>
          <w:szCs w:val="24"/>
        </w:rPr>
        <w:t xml:space="preserve"> </w:t>
      </w:r>
      <w:r w:rsidRPr="00452C80">
        <w:rPr>
          <w:sz w:val="24"/>
          <w:szCs w:val="24"/>
        </w:rPr>
        <w:t>C.</w:t>
      </w:r>
      <w:r w:rsidR="0093473A">
        <w:rPr>
          <w:sz w:val="24"/>
          <w:szCs w:val="24"/>
        </w:rPr>
        <w:t xml:space="preserve"> </w:t>
      </w:r>
      <w:r w:rsidRPr="00452C80">
        <w:rPr>
          <w:sz w:val="24"/>
          <w:szCs w:val="24"/>
        </w:rPr>
        <w:t xml:space="preserve">W., Williams, D. J., Canto, A. I., and Finklea, T. (2015) Shelter from the Storm: Addressing Vicarious Traumatization Through Wellness-Based Clinical Supervision. </w:t>
      </w:r>
      <w:r w:rsidRPr="00452C80">
        <w:rPr>
          <w:i/>
          <w:iCs/>
          <w:sz w:val="24"/>
          <w:szCs w:val="24"/>
        </w:rPr>
        <w:t>The Professional Counselor</w:t>
      </w:r>
      <w:r w:rsidRPr="00452C80">
        <w:rPr>
          <w:sz w:val="24"/>
          <w:szCs w:val="24"/>
        </w:rPr>
        <w:t xml:space="preserve">, </w:t>
      </w:r>
      <w:r w:rsidRPr="00CD2C61">
        <w:rPr>
          <w:b/>
          <w:bCs/>
          <w:sz w:val="24"/>
          <w:szCs w:val="24"/>
        </w:rPr>
        <w:t>5</w:t>
      </w:r>
      <w:r w:rsidRPr="00452C80">
        <w:rPr>
          <w:sz w:val="24"/>
          <w:szCs w:val="24"/>
        </w:rPr>
        <w:t xml:space="preserve">(4): pp. 529–542. </w:t>
      </w:r>
      <w:r w:rsidRPr="00FE135A">
        <w:rPr>
          <w:color w:val="0070C0"/>
          <w:sz w:val="24"/>
          <w:szCs w:val="24"/>
          <w:u w:val="single"/>
        </w:rPr>
        <w:t>DOI:10.15241/scwh.5.4.529</w:t>
      </w:r>
    </w:p>
    <w:p w14:paraId="3C0372A1" w14:textId="443D48E7" w:rsidR="00640A2D" w:rsidRPr="00452C80" w:rsidRDefault="00640A2D" w:rsidP="00D84878">
      <w:pPr>
        <w:spacing w:line="360" w:lineRule="auto"/>
        <w:ind w:left="833" w:hanging="720"/>
        <w:rPr>
          <w:sz w:val="24"/>
          <w:szCs w:val="24"/>
        </w:rPr>
      </w:pPr>
      <w:r w:rsidRPr="00452C80">
        <w:rPr>
          <w:sz w:val="24"/>
          <w:szCs w:val="24"/>
        </w:rPr>
        <w:t>Health and Care Professions Council (2006)</w:t>
      </w:r>
      <w:r w:rsidRPr="00452C80">
        <w:t xml:space="preserve"> </w:t>
      </w:r>
      <w:r w:rsidRPr="00452C80">
        <w:rPr>
          <w:sz w:val="24"/>
          <w:szCs w:val="24"/>
        </w:rPr>
        <w:t>The Health and Care Professions Council: CPD requirements.</w:t>
      </w:r>
      <w:r w:rsidR="00CD2C61">
        <w:rPr>
          <w:sz w:val="24"/>
          <w:szCs w:val="24"/>
        </w:rPr>
        <w:t xml:space="preserve"> Available at:</w:t>
      </w:r>
      <w:r w:rsidRPr="00452C80">
        <w:rPr>
          <w:sz w:val="24"/>
          <w:szCs w:val="24"/>
        </w:rPr>
        <w:t xml:space="preserve"> </w:t>
      </w:r>
      <w:hyperlink r:id="rId242" w:history="1">
        <w:r w:rsidR="000A750E" w:rsidRPr="0019278B">
          <w:rPr>
            <w:rStyle w:val="Hyperlink"/>
            <w:sz w:val="24"/>
            <w:szCs w:val="24"/>
          </w:rPr>
          <w:t>https://www.hcpc-uk.org/globalassets/meetings-attachments3/plg---continuing-professional-development/2006/february/continuing_professional_development_plg_20060206_-enclosure04ii/</w:t>
        </w:r>
      </w:hyperlink>
      <w:r w:rsidR="000A750E">
        <w:rPr>
          <w:sz w:val="24"/>
          <w:szCs w:val="24"/>
        </w:rPr>
        <w:t xml:space="preserve"> </w:t>
      </w:r>
      <w:r w:rsidR="003B7706">
        <w:rPr>
          <w:sz w:val="24"/>
          <w:szCs w:val="24"/>
        </w:rPr>
        <w:t xml:space="preserve"> [Accessed 4</w:t>
      </w:r>
      <w:r w:rsidR="003B7706" w:rsidRPr="003B7706">
        <w:rPr>
          <w:sz w:val="24"/>
          <w:szCs w:val="24"/>
          <w:vertAlign w:val="superscript"/>
        </w:rPr>
        <w:t>th</w:t>
      </w:r>
      <w:r w:rsidR="003B7706">
        <w:rPr>
          <w:sz w:val="24"/>
          <w:szCs w:val="24"/>
        </w:rPr>
        <w:t xml:space="preserve"> October 2022]</w:t>
      </w:r>
    </w:p>
    <w:p w14:paraId="6B515E41" w14:textId="563C2E4E" w:rsidR="00640A2D" w:rsidRDefault="00640A2D" w:rsidP="00D84878">
      <w:pPr>
        <w:spacing w:line="360" w:lineRule="auto"/>
        <w:ind w:left="833" w:hanging="720"/>
        <w:rPr>
          <w:bCs/>
          <w:sz w:val="24"/>
          <w:szCs w:val="24"/>
        </w:rPr>
      </w:pPr>
      <w:r w:rsidRPr="00452C80">
        <w:rPr>
          <w:bCs/>
          <w:sz w:val="24"/>
          <w:szCs w:val="24"/>
        </w:rPr>
        <w:t>Health and Care Professions Council (2024)</w:t>
      </w:r>
      <w:r w:rsidR="004D3109">
        <w:rPr>
          <w:bCs/>
          <w:sz w:val="24"/>
          <w:szCs w:val="24"/>
        </w:rPr>
        <w:t xml:space="preserve"> </w:t>
      </w:r>
      <w:r w:rsidR="004D3109" w:rsidRPr="004D3109">
        <w:rPr>
          <w:bCs/>
          <w:i/>
          <w:iCs/>
          <w:sz w:val="24"/>
          <w:szCs w:val="24"/>
        </w:rPr>
        <w:t>Maintaining Your Health and Wellbeing</w:t>
      </w:r>
      <w:r w:rsidR="004D3109">
        <w:rPr>
          <w:bCs/>
          <w:sz w:val="24"/>
          <w:szCs w:val="24"/>
        </w:rPr>
        <w:t>. Available at:</w:t>
      </w:r>
      <w:r w:rsidRPr="00452C80">
        <w:rPr>
          <w:bCs/>
          <w:sz w:val="24"/>
          <w:szCs w:val="24"/>
        </w:rPr>
        <w:t xml:space="preserve"> </w:t>
      </w:r>
      <w:hyperlink r:id="rId243" w:history="1">
        <w:r w:rsidR="00FB5AE8" w:rsidRPr="0019278B">
          <w:rPr>
            <w:rStyle w:val="Hyperlink"/>
            <w:bCs/>
            <w:sz w:val="24"/>
            <w:szCs w:val="24"/>
          </w:rPr>
          <w:t>https://www.hcpc-uk.org/standards/meeting-our-standards/health-safety-and-wellbeing/maintaining-your-health-and-wellbeing/</w:t>
        </w:r>
      </w:hyperlink>
      <w:r w:rsidR="00153A82">
        <w:rPr>
          <w:bCs/>
          <w:sz w:val="24"/>
          <w:szCs w:val="24"/>
        </w:rPr>
        <w:t xml:space="preserve">  [Accessed 15</w:t>
      </w:r>
      <w:r w:rsidR="00153A82" w:rsidRPr="00153A82">
        <w:rPr>
          <w:bCs/>
          <w:sz w:val="24"/>
          <w:szCs w:val="24"/>
          <w:vertAlign w:val="superscript"/>
        </w:rPr>
        <w:t>th</w:t>
      </w:r>
      <w:r w:rsidR="00153A82">
        <w:rPr>
          <w:bCs/>
          <w:sz w:val="24"/>
          <w:szCs w:val="24"/>
        </w:rPr>
        <w:t xml:space="preserve"> August 202</w:t>
      </w:r>
      <w:r w:rsidR="00F1104D">
        <w:rPr>
          <w:bCs/>
          <w:sz w:val="24"/>
          <w:szCs w:val="24"/>
        </w:rPr>
        <w:t>5]</w:t>
      </w:r>
    </w:p>
    <w:p w14:paraId="05824D85" w14:textId="77777777" w:rsidR="00FB5AE8" w:rsidRPr="00452C80" w:rsidRDefault="00FB5AE8" w:rsidP="00D84878">
      <w:pPr>
        <w:spacing w:line="360" w:lineRule="auto"/>
        <w:ind w:left="833" w:hanging="720"/>
        <w:rPr>
          <w:bCs/>
          <w:sz w:val="24"/>
          <w:szCs w:val="24"/>
        </w:rPr>
      </w:pPr>
    </w:p>
    <w:p w14:paraId="2B99E6AA" w14:textId="520BBFB8" w:rsidR="00640A2D" w:rsidRPr="00513C22" w:rsidRDefault="00640A2D" w:rsidP="00D84878">
      <w:pPr>
        <w:spacing w:line="360" w:lineRule="auto"/>
        <w:ind w:left="833" w:hanging="720"/>
        <w:rPr>
          <w:bCs/>
          <w:sz w:val="24"/>
          <w:szCs w:val="24"/>
        </w:rPr>
      </w:pPr>
      <w:r w:rsidRPr="00452C80">
        <w:rPr>
          <w:bCs/>
          <w:sz w:val="24"/>
          <w:szCs w:val="24"/>
        </w:rPr>
        <w:t>Health and Safety at Work Act (1974</w:t>
      </w:r>
      <w:r w:rsidR="00513C22" w:rsidRPr="00452C80">
        <w:rPr>
          <w:bCs/>
          <w:sz w:val="24"/>
          <w:szCs w:val="24"/>
        </w:rPr>
        <w:t>)</w:t>
      </w:r>
      <w:r w:rsidR="00C90743">
        <w:rPr>
          <w:bCs/>
          <w:sz w:val="24"/>
          <w:szCs w:val="24"/>
        </w:rPr>
        <w:t>.</w:t>
      </w:r>
      <w:r w:rsidR="00513C22">
        <w:rPr>
          <w:bCs/>
          <w:sz w:val="24"/>
          <w:szCs w:val="24"/>
        </w:rPr>
        <w:t xml:space="preserve"> Available</w:t>
      </w:r>
      <w:r w:rsidR="00F1104D">
        <w:rPr>
          <w:bCs/>
          <w:sz w:val="24"/>
          <w:szCs w:val="24"/>
        </w:rPr>
        <w:t xml:space="preserve"> at: </w:t>
      </w:r>
      <w:hyperlink r:id="rId244" w:history="1">
        <w:r w:rsidR="00F1104D" w:rsidRPr="0019278B">
          <w:rPr>
            <w:rStyle w:val="Hyperlink"/>
            <w:bCs/>
            <w:sz w:val="24"/>
            <w:szCs w:val="24"/>
          </w:rPr>
          <w:t>https://www.legislation.gov.uk/ukpga/1974/37/contents</w:t>
        </w:r>
      </w:hyperlink>
      <w:r w:rsidR="00F1104D">
        <w:t xml:space="preserve">  </w:t>
      </w:r>
      <w:r w:rsidR="00F1104D" w:rsidRPr="00513C22">
        <w:rPr>
          <w:sz w:val="24"/>
          <w:szCs w:val="24"/>
        </w:rPr>
        <w:t>[</w:t>
      </w:r>
      <w:r w:rsidR="00513C22" w:rsidRPr="00513C22">
        <w:rPr>
          <w:sz w:val="24"/>
          <w:szCs w:val="24"/>
        </w:rPr>
        <w:t>Accessed 8</w:t>
      </w:r>
      <w:r w:rsidR="00513C22" w:rsidRPr="00513C22">
        <w:rPr>
          <w:sz w:val="24"/>
          <w:szCs w:val="24"/>
          <w:vertAlign w:val="superscript"/>
        </w:rPr>
        <w:t>th</w:t>
      </w:r>
      <w:r w:rsidR="00513C22" w:rsidRPr="00513C22">
        <w:rPr>
          <w:sz w:val="24"/>
          <w:szCs w:val="24"/>
        </w:rPr>
        <w:t xml:space="preserve"> December 2022]</w:t>
      </w:r>
    </w:p>
    <w:p w14:paraId="4A32D5C2" w14:textId="77777777" w:rsidR="00640A2D" w:rsidRPr="00452C80" w:rsidRDefault="00640A2D" w:rsidP="00D84878">
      <w:pPr>
        <w:spacing w:line="360" w:lineRule="auto"/>
        <w:ind w:left="833" w:hanging="720"/>
        <w:rPr>
          <w:bCs/>
          <w:sz w:val="24"/>
          <w:szCs w:val="24"/>
        </w:rPr>
      </w:pPr>
      <w:r w:rsidRPr="00452C80">
        <w:rPr>
          <w:bCs/>
          <w:sz w:val="24"/>
          <w:szCs w:val="24"/>
        </w:rPr>
        <w:t xml:space="preserve">Heartfield, J. (2006) </w:t>
      </w:r>
      <w:r w:rsidRPr="00452C80">
        <w:rPr>
          <w:bCs/>
          <w:i/>
          <w:iCs/>
          <w:sz w:val="24"/>
          <w:szCs w:val="24"/>
        </w:rPr>
        <w:t>The ‘Death of the Subject’ Explained.</w:t>
      </w:r>
      <w:r w:rsidRPr="00452C80">
        <w:rPr>
          <w:bCs/>
          <w:sz w:val="24"/>
          <w:szCs w:val="24"/>
        </w:rPr>
        <w:t xml:space="preserve"> Sheffield: Sheffield Hallam University Press.</w:t>
      </w:r>
    </w:p>
    <w:p w14:paraId="1B3F50B1" w14:textId="77777777" w:rsidR="00640A2D" w:rsidRPr="00452C80" w:rsidRDefault="00640A2D" w:rsidP="00D84878">
      <w:pPr>
        <w:spacing w:line="360" w:lineRule="auto"/>
        <w:ind w:left="833" w:hanging="720"/>
        <w:rPr>
          <w:bCs/>
          <w:sz w:val="24"/>
          <w:szCs w:val="24"/>
        </w:rPr>
      </w:pPr>
      <w:r w:rsidRPr="00452C80">
        <w:rPr>
          <w:bCs/>
          <w:sz w:val="24"/>
          <w:szCs w:val="24"/>
        </w:rPr>
        <w:t xml:space="preserve">Heffernan, M. (2011/2019) </w:t>
      </w:r>
      <w:r w:rsidRPr="00452C80">
        <w:rPr>
          <w:bCs/>
          <w:i/>
          <w:iCs/>
          <w:sz w:val="24"/>
          <w:szCs w:val="24"/>
        </w:rPr>
        <w:t>Wilful Blindness</w:t>
      </w:r>
      <w:r w:rsidRPr="00452C80">
        <w:rPr>
          <w:bCs/>
          <w:sz w:val="24"/>
          <w:szCs w:val="24"/>
        </w:rPr>
        <w:t xml:space="preserve">. London: Simon &amp; Schuster UK Ltd. </w:t>
      </w:r>
    </w:p>
    <w:p w14:paraId="67074847" w14:textId="3B9FDA12" w:rsidR="00640A2D" w:rsidRPr="00452C80" w:rsidRDefault="00640A2D" w:rsidP="00D84878">
      <w:pPr>
        <w:spacing w:line="360" w:lineRule="auto"/>
        <w:ind w:left="833" w:hanging="720"/>
        <w:rPr>
          <w:sz w:val="24"/>
          <w:szCs w:val="24"/>
        </w:rPr>
      </w:pPr>
      <w:r w:rsidRPr="00452C80">
        <w:rPr>
          <w:sz w:val="24"/>
          <w:szCs w:val="24"/>
        </w:rPr>
        <w:t xml:space="preserve">Heffernan, T. (2021) Sexism, racism, prejudice and bias: A literature review and synthesis of research surrounding student evaluations of courses and teaching. </w:t>
      </w:r>
      <w:r w:rsidRPr="00452C80">
        <w:rPr>
          <w:i/>
          <w:iCs/>
          <w:sz w:val="24"/>
          <w:szCs w:val="24"/>
        </w:rPr>
        <w:t>Assessment and Evaluation in Higher Education</w:t>
      </w:r>
      <w:r w:rsidRPr="00452C80">
        <w:rPr>
          <w:sz w:val="24"/>
          <w:szCs w:val="24"/>
        </w:rPr>
        <w:t xml:space="preserve">, </w:t>
      </w:r>
      <w:r w:rsidRPr="005F557B">
        <w:rPr>
          <w:b/>
          <w:bCs/>
          <w:sz w:val="24"/>
          <w:szCs w:val="24"/>
        </w:rPr>
        <w:t>47</w:t>
      </w:r>
      <w:r w:rsidRPr="00452C80">
        <w:rPr>
          <w:sz w:val="24"/>
          <w:szCs w:val="24"/>
        </w:rPr>
        <w:t xml:space="preserve">(1): pp.144-154. </w:t>
      </w:r>
      <w:hyperlink r:id="rId245" w:history="1">
        <w:r w:rsidRPr="005F557B">
          <w:rPr>
            <w:rStyle w:val="Hyperlink"/>
            <w:color w:val="0070C0"/>
            <w:sz w:val="24"/>
            <w:szCs w:val="24"/>
          </w:rPr>
          <w:t>https://doi.org/10.1080/02602938.2021.1888075</w:t>
        </w:r>
      </w:hyperlink>
    </w:p>
    <w:p w14:paraId="1D6CAB8E" w14:textId="7B3B53C3" w:rsidR="00640A2D" w:rsidRPr="00452C80" w:rsidRDefault="00640A2D" w:rsidP="00D84878">
      <w:pPr>
        <w:spacing w:line="360" w:lineRule="auto"/>
        <w:ind w:left="833" w:hanging="720"/>
        <w:rPr>
          <w:sz w:val="24"/>
          <w:szCs w:val="24"/>
        </w:rPr>
      </w:pPr>
      <w:r w:rsidRPr="00452C80">
        <w:rPr>
          <w:sz w:val="24"/>
          <w:szCs w:val="24"/>
        </w:rPr>
        <w:t>Heidegger, M. (1954/1977) Science and reflection. In</w:t>
      </w:r>
      <w:r w:rsidR="00BC090A">
        <w:rPr>
          <w:sz w:val="24"/>
          <w:szCs w:val="24"/>
        </w:rPr>
        <w:t>:</w:t>
      </w:r>
      <w:r w:rsidRPr="00452C80">
        <w:rPr>
          <w:sz w:val="24"/>
          <w:szCs w:val="24"/>
        </w:rPr>
        <w:t xml:space="preserve"> W. Lovitt (</w:t>
      </w:r>
      <w:r w:rsidR="00C90743">
        <w:rPr>
          <w:sz w:val="24"/>
          <w:szCs w:val="24"/>
        </w:rPr>
        <w:t>E</w:t>
      </w:r>
      <w:r w:rsidRPr="00452C80">
        <w:rPr>
          <w:sz w:val="24"/>
          <w:szCs w:val="24"/>
        </w:rPr>
        <w:t>d)</w:t>
      </w:r>
      <w:r w:rsidR="00BC090A">
        <w:rPr>
          <w:sz w:val="24"/>
          <w:szCs w:val="24"/>
        </w:rPr>
        <w:t>,</w:t>
      </w:r>
      <w:r w:rsidRPr="00452C80">
        <w:rPr>
          <w:sz w:val="24"/>
          <w:szCs w:val="24"/>
        </w:rPr>
        <w:t xml:space="preserve"> </w:t>
      </w:r>
      <w:r w:rsidRPr="00452C80">
        <w:rPr>
          <w:i/>
          <w:iCs/>
          <w:sz w:val="24"/>
          <w:szCs w:val="24"/>
        </w:rPr>
        <w:t xml:space="preserve">The Question Concerning Technology and Other Essays </w:t>
      </w:r>
      <w:r w:rsidRPr="00452C80">
        <w:rPr>
          <w:sz w:val="24"/>
          <w:szCs w:val="24"/>
        </w:rPr>
        <w:t>(pp.155-182).</w:t>
      </w:r>
      <w:r w:rsidR="00685C58" w:rsidRPr="00452C80">
        <w:rPr>
          <w:sz w:val="24"/>
          <w:szCs w:val="24"/>
        </w:rPr>
        <w:t xml:space="preserve"> New York: Harper.</w:t>
      </w:r>
    </w:p>
    <w:p w14:paraId="6CFE1F4E" w14:textId="7944B59C" w:rsidR="00640A2D" w:rsidRPr="00452C80" w:rsidRDefault="00640A2D" w:rsidP="005F557B">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t xml:space="preserve">Henkel, M. (2000) </w:t>
      </w:r>
      <w:r w:rsidRPr="00452C80">
        <w:rPr>
          <w:rFonts w:ascii="Calibri" w:eastAsia="Calibri" w:hAnsi="Calibri" w:cs="Times New Roman"/>
          <w:i/>
          <w:iCs/>
          <w:sz w:val="24"/>
          <w:szCs w:val="24"/>
        </w:rPr>
        <w:t>Academic Identities and Policy Change in Higher Education</w:t>
      </w:r>
      <w:r w:rsidRPr="00452C80">
        <w:rPr>
          <w:rFonts w:ascii="Calibri" w:eastAsia="Calibri" w:hAnsi="Calibri" w:cs="Times New Roman"/>
          <w:sz w:val="24"/>
          <w:szCs w:val="24"/>
        </w:rPr>
        <w:t>. London, Jessica Kingsley.</w:t>
      </w:r>
    </w:p>
    <w:p w14:paraId="6C03E06E" w14:textId="7DAE3AB9" w:rsidR="00640A2D" w:rsidRPr="00452C80" w:rsidRDefault="00640A2D" w:rsidP="005F557B">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t>Hermanowicz, J.</w:t>
      </w:r>
      <w:r w:rsidR="0093473A">
        <w:rPr>
          <w:rFonts w:ascii="Calibri" w:eastAsia="Calibri" w:hAnsi="Calibri" w:cs="Times New Roman"/>
          <w:sz w:val="24"/>
          <w:szCs w:val="24"/>
        </w:rPr>
        <w:t xml:space="preserve"> </w:t>
      </w:r>
      <w:r w:rsidRPr="00452C80">
        <w:rPr>
          <w:rFonts w:ascii="Calibri" w:eastAsia="Calibri" w:hAnsi="Calibri" w:cs="Times New Roman"/>
          <w:sz w:val="24"/>
          <w:szCs w:val="24"/>
        </w:rPr>
        <w:t xml:space="preserve">C. (2024) The Therapeutic University. </w:t>
      </w:r>
      <w:r w:rsidRPr="00452C80">
        <w:rPr>
          <w:rFonts w:ascii="Calibri" w:eastAsia="Calibri" w:hAnsi="Calibri" w:cs="Times New Roman"/>
          <w:i/>
          <w:iCs/>
          <w:sz w:val="24"/>
          <w:szCs w:val="24"/>
        </w:rPr>
        <w:t>Minerva</w:t>
      </w:r>
      <w:r w:rsidRPr="00452C80">
        <w:rPr>
          <w:rFonts w:ascii="Calibri" w:eastAsia="Calibri" w:hAnsi="Calibri" w:cs="Times New Roman"/>
          <w:sz w:val="24"/>
          <w:szCs w:val="24"/>
        </w:rPr>
        <w:t xml:space="preserve"> (2024), </w:t>
      </w:r>
      <w:r w:rsidRPr="00452C80">
        <w:rPr>
          <w:rFonts w:ascii="Calibri" w:eastAsia="Calibri" w:hAnsi="Calibri" w:cs="Times New Roman"/>
          <w:b/>
          <w:bCs/>
          <w:sz w:val="24"/>
          <w:szCs w:val="24"/>
        </w:rPr>
        <w:t>62</w:t>
      </w:r>
      <w:r w:rsidRPr="00452C80">
        <w:rPr>
          <w:rFonts w:ascii="Calibri" w:eastAsia="Calibri" w:hAnsi="Calibri" w:cs="Times New Roman"/>
          <w:sz w:val="24"/>
          <w:szCs w:val="24"/>
        </w:rPr>
        <w:t xml:space="preserve">(4): pp. 505-526. </w:t>
      </w:r>
      <w:hyperlink r:id="rId246" w:history="1">
        <w:r w:rsidRPr="002A5A63">
          <w:rPr>
            <w:rStyle w:val="Hyperlink"/>
            <w:rFonts w:ascii="Calibri" w:eastAsia="Calibri" w:hAnsi="Calibri" w:cs="Times New Roman"/>
            <w:color w:val="0070C0"/>
            <w:sz w:val="24"/>
            <w:szCs w:val="24"/>
          </w:rPr>
          <w:t>https://doi.org/10.1007/s11024-024-09539-x</w:t>
        </w:r>
      </w:hyperlink>
    </w:p>
    <w:p w14:paraId="6BC5C7C8" w14:textId="5BF80DA4" w:rsidR="00640A2D" w:rsidRPr="00452C80" w:rsidRDefault="00640A2D" w:rsidP="005F557B">
      <w:pPr>
        <w:spacing w:line="360" w:lineRule="auto"/>
        <w:ind w:left="833" w:hanging="720"/>
        <w:rPr>
          <w:bCs/>
          <w:sz w:val="24"/>
          <w:szCs w:val="24"/>
        </w:rPr>
      </w:pPr>
      <w:r w:rsidRPr="00452C80">
        <w:rPr>
          <w:bCs/>
          <w:sz w:val="24"/>
          <w:szCs w:val="24"/>
        </w:rPr>
        <w:t xml:space="preserve">Heron, J., and Reason, P. (1997) A participatory inquiry paradigm. </w:t>
      </w:r>
      <w:r w:rsidRPr="00452C80">
        <w:rPr>
          <w:bCs/>
          <w:i/>
          <w:iCs/>
          <w:sz w:val="24"/>
          <w:szCs w:val="24"/>
        </w:rPr>
        <w:t>Qualitative Inquiry</w:t>
      </w:r>
      <w:r w:rsidRPr="00452C80">
        <w:rPr>
          <w:bCs/>
          <w:sz w:val="24"/>
          <w:szCs w:val="24"/>
        </w:rPr>
        <w:t>,</w:t>
      </w:r>
      <w:r w:rsidRPr="00452C80">
        <w:rPr>
          <w:b/>
          <w:sz w:val="24"/>
          <w:szCs w:val="24"/>
        </w:rPr>
        <w:t xml:space="preserve"> 3</w:t>
      </w:r>
      <w:r w:rsidRPr="00452C80">
        <w:rPr>
          <w:bCs/>
          <w:sz w:val="24"/>
          <w:szCs w:val="24"/>
        </w:rPr>
        <w:t>(3): pp.274-294.</w:t>
      </w:r>
      <w:r w:rsidRPr="00452C80">
        <w:t xml:space="preserve"> </w:t>
      </w:r>
      <w:hyperlink r:id="rId247" w:history="1">
        <w:r w:rsidRPr="002A5A63">
          <w:rPr>
            <w:rStyle w:val="Hyperlink"/>
            <w:bCs/>
            <w:color w:val="0070C0"/>
            <w:sz w:val="24"/>
            <w:szCs w:val="24"/>
          </w:rPr>
          <w:t>https://doi.org/10.1177/107780049700300302</w:t>
        </w:r>
      </w:hyperlink>
    </w:p>
    <w:p w14:paraId="1D8E2C2F" w14:textId="4D8506D1" w:rsidR="00640A2D" w:rsidRPr="00452C80" w:rsidRDefault="00640A2D" w:rsidP="005F557B">
      <w:pPr>
        <w:spacing w:line="360" w:lineRule="auto"/>
        <w:ind w:left="833" w:hanging="720"/>
        <w:rPr>
          <w:bCs/>
          <w:sz w:val="24"/>
          <w:szCs w:val="24"/>
        </w:rPr>
      </w:pPr>
      <w:r w:rsidRPr="00452C80">
        <w:rPr>
          <w:bCs/>
          <w:sz w:val="24"/>
          <w:szCs w:val="24"/>
        </w:rPr>
        <w:t xml:space="preserve">Hibbins, J. (2020) </w:t>
      </w:r>
      <w:r w:rsidRPr="00452C80">
        <w:rPr>
          <w:bCs/>
          <w:i/>
          <w:iCs/>
          <w:sz w:val="24"/>
          <w:szCs w:val="24"/>
        </w:rPr>
        <w:t>Mental Capacity and Suicide: “He has Mental Capacity is not a Reason for Clinicians to Stand Back and do Nothing. Saving Lives Blog</w:t>
      </w:r>
      <w:r w:rsidRPr="00452C80">
        <w:rPr>
          <w:bCs/>
          <w:sz w:val="24"/>
          <w:szCs w:val="24"/>
        </w:rPr>
        <w:t xml:space="preserve"> 2020; 6</w:t>
      </w:r>
      <w:r w:rsidRPr="00452C80">
        <w:rPr>
          <w:bCs/>
          <w:sz w:val="24"/>
          <w:szCs w:val="24"/>
          <w:vertAlign w:val="superscript"/>
        </w:rPr>
        <w:t>th</w:t>
      </w:r>
      <w:r w:rsidRPr="00452C80">
        <w:rPr>
          <w:bCs/>
          <w:sz w:val="24"/>
          <w:szCs w:val="24"/>
        </w:rPr>
        <w:t xml:space="preserve"> August. </w:t>
      </w:r>
      <w:r w:rsidR="00C90743">
        <w:rPr>
          <w:bCs/>
          <w:sz w:val="24"/>
          <w:szCs w:val="24"/>
        </w:rPr>
        <w:t xml:space="preserve">Available at: </w:t>
      </w:r>
      <w:hyperlink r:id="rId248" w:history="1">
        <w:r w:rsidR="00C90743" w:rsidRPr="0019278B">
          <w:rPr>
            <w:rStyle w:val="Hyperlink"/>
            <w:bCs/>
            <w:sz w:val="24"/>
            <w:szCs w:val="24"/>
          </w:rPr>
          <w:t>https://www.savinglives.blog/uncategroized/mental-capacity-and-suicide-he-has-mental capacity-is-not-a-reason-for-clinicians-to-stand-back-and-do-nothing/</w:t>
        </w:r>
      </w:hyperlink>
      <w:r w:rsidR="00C90743">
        <w:t xml:space="preserve">  </w:t>
      </w:r>
      <w:r w:rsidR="00C90743" w:rsidRPr="00533E2D">
        <w:rPr>
          <w:sz w:val="24"/>
          <w:szCs w:val="24"/>
        </w:rPr>
        <w:t>[</w:t>
      </w:r>
      <w:r w:rsidR="00533E2D" w:rsidRPr="00533E2D">
        <w:rPr>
          <w:sz w:val="24"/>
          <w:szCs w:val="24"/>
        </w:rPr>
        <w:t>Accessed</w:t>
      </w:r>
      <w:r w:rsidR="00C90743" w:rsidRPr="00533E2D">
        <w:rPr>
          <w:sz w:val="24"/>
          <w:szCs w:val="24"/>
        </w:rPr>
        <w:t xml:space="preserve"> </w:t>
      </w:r>
      <w:r w:rsidR="00533E2D" w:rsidRPr="00533E2D">
        <w:rPr>
          <w:sz w:val="24"/>
          <w:szCs w:val="24"/>
        </w:rPr>
        <w:t>20</w:t>
      </w:r>
      <w:r w:rsidR="00533E2D" w:rsidRPr="00533E2D">
        <w:rPr>
          <w:sz w:val="24"/>
          <w:szCs w:val="24"/>
          <w:vertAlign w:val="superscript"/>
        </w:rPr>
        <w:t>th</w:t>
      </w:r>
      <w:r w:rsidR="00533E2D" w:rsidRPr="00533E2D">
        <w:rPr>
          <w:sz w:val="24"/>
          <w:szCs w:val="24"/>
        </w:rPr>
        <w:t xml:space="preserve"> June 2023]</w:t>
      </w:r>
    </w:p>
    <w:p w14:paraId="7241C988" w14:textId="62AB78F6" w:rsidR="00640A2D" w:rsidRPr="00B10F08" w:rsidRDefault="00640A2D" w:rsidP="005F557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Higher Education Statistics Agency (2022)</w:t>
      </w:r>
      <w:r w:rsidR="00B10F08">
        <w:rPr>
          <w:rFonts w:ascii="Century Gothic" w:eastAsia="Times New Roman" w:hAnsi="Century Gothic" w:cs="Times New Roman"/>
          <w:kern w:val="36"/>
          <w:sz w:val="48"/>
          <w:szCs w:val="48"/>
          <w:lang w:eastAsia="en-GB"/>
        </w:rPr>
        <w:t xml:space="preserve"> </w:t>
      </w:r>
      <w:r w:rsidRPr="00452C80">
        <w:rPr>
          <w:rFonts w:ascii="Calibri" w:eastAsia="Aptos" w:hAnsi="Calibri" w:cs="Calibri"/>
          <w:kern w:val="2"/>
          <w:sz w:val="24"/>
          <w:szCs w:val="24"/>
          <w14:ligatures w14:val="standardContextual"/>
        </w:rPr>
        <w:t>Higher Education Student Statistics: UK, 2022/23 - Student numbers and characteristics.</w:t>
      </w:r>
      <w:r w:rsidR="00533E2D">
        <w:rPr>
          <w:rFonts w:ascii="Calibri" w:eastAsia="Aptos" w:hAnsi="Calibri" w:cs="Calibri"/>
          <w:kern w:val="2"/>
          <w:sz w:val="24"/>
          <w:szCs w:val="24"/>
          <w14:ligatures w14:val="standardContextual"/>
        </w:rPr>
        <w:t xml:space="preserve"> Available at:</w:t>
      </w:r>
      <w:r w:rsidRPr="00452C80">
        <w:rPr>
          <w:rFonts w:ascii="Calibri" w:eastAsia="Aptos" w:hAnsi="Calibri" w:cs="Calibri"/>
          <w:kern w:val="2"/>
          <w:sz w:val="24"/>
          <w:szCs w:val="24"/>
          <w14:ligatures w14:val="standardContextual"/>
        </w:rPr>
        <w:t xml:space="preserve"> </w:t>
      </w:r>
      <w:hyperlink r:id="rId249" w:history="1">
        <w:r w:rsidRPr="002A5A63">
          <w:rPr>
            <w:rStyle w:val="Hyperlink"/>
            <w:rFonts w:ascii="Calibri" w:eastAsia="Aptos" w:hAnsi="Calibri" w:cs="Calibri"/>
            <w:color w:val="0070C0"/>
            <w:kern w:val="2"/>
            <w:sz w:val="24"/>
            <w:szCs w:val="24"/>
            <w14:ligatures w14:val="standardContextual"/>
          </w:rPr>
          <w:t>https://www.hesa.ac.uk/news/08-08-2024/sb269-higher-education-student-statistics/numbers</w:t>
        </w:r>
      </w:hyperlink>
      <w:r w:rsidR="00B10F08">
        <w:t xml:space="preserve">  </w:t>
      </w:r>
      <w:r w:rsidR="00B10F08">
        <w:rPr>
          <w:sz w:val="24"/>
          <w:szCs w:val="24"/>
        </w:rPr>
        <w:t>[Accessed 6</w:t>
      </w:r>
      <w:r w:rsidR="00B10F08" w:rsidRPr="00B10F08">
        <w:rPr>
          <w:sz w:val="24"/>
          <w:szCs w:val="24"/>
          <w:vertAlign w:val="superscript"/>
        </w:rPr>
        <w:t>th</w:t>
      </w:r>
      <w:r w:rsidR="00B10F08">
        <w:rPr>
          <w:sz w:val="24"/>
          <w:szCs w:val="24"/>
        </w:rPr>
        <w:t xml:space="preserve"> March 2023]</w:t>
      </w:r>
    </w:p>
    <w:p w14:paraId="60DD6B07" w14:textId="77777777" w:rsidR="00640A2D" w:rsidRPr="00452C80" w:rsidRDefault="00640A2D" w:rsidP="005F557B">
      <w:pPr>
        <w:spacing w:line="360" w:lineRule="auto"/>
        <w:ind w:left="833" w:hanging="720"/>
        <w:rPr>
          <w:bCs/>
          <w:sz w:val="24"/>
          <w:szCs w:val="24"/>
        </w:rPr>
      </w:pPr>
      <w:r w:rsidRPr="00452C80">
        <w:rPr>
          <w:bCs/>
          <w:sz w:val="24"/>
          <w:szCs w:val="24"/>
        </w:rPr>
        <w:t xml:space="preserve">Hillman, J. (1975) </w:t>
      </w:r>
      <w:r w:rsidRPr="00452C80">
        <w:rPr>
          <w:bCs/>
          <w:i/>
          <w:iCs/>
          <w:sz w:val="24"/>
          <w:szCs w:val="24"/>
        </w:rPr>
        <w:t>Revisioning Psychology</w:t>
      </w:r>
      <w:r w:rsidRPr="00452C80">
        <w:rPr>
          <w:bCs/>
          <w:sz w:val="24"/>
          <w:szCs w:val="24"/>
        </w:rPr>
        <w:t>. New York: Harper and Row.</w:t>
      </w:r>
    </w:p>
    <w:p w14:paraId="295FD8DD" w14:textId="41AEB5ED" w:rsidR="00640A2D" w:rsidRPr="00452C80" w:rsidRDefault="00640A2D" w:rsidP="005F557B">
      <w:pPr>
        <w:spacing w:line="360" w:lineRule="auto"/>
        <w:ind w:left="833" w:hanging="720"/>
        <w:rPr>
          <w:bCs/>
          <w:sz w:val="24"/>
          <w:szCs w:val="24"/>
        </w:rPr>
      </w:pPr>
      <w:r w:rsidRPr="00452C80">
        <w:rPr>
          <w:bCs/>
          <w:sz w:val="24"/>
          <w:szCs w:val="24"/>
        </w:rPr>
        <w:t xml:space="preserve">Hillman, J. (1996/1997) </w:t>
      </w:r>
      <w:r w:rsidRPr="00452C80">
        <w:rPr>
          <w:bCs/>
          <w:i/>
          <w:iCs/>
          <w:sz w:val="24"/>
          <w:szCs w:val="24"/>
        </w:rPr>
        <w:t>The Soul’s Code: In Search of Character and Calling</w:t>
      </w:r>
      <w:r w:rsidRPr="00452C80">
        <w:rPr>
          <w:bCs/>
          <w:sz w:val="24"/>
          <w:szCs w:val="24"/>
        </w:rPr>
        <w:t>. London: Bantam Books.</w:t>
      </w:r>
    </w:p>
    <w:p w14:paraId="5D0F70A6" w14:textId="5BE6B81E" w:rsidR="00640A2D" w:rsidRPr="00452C80" w:rsidRDefault="00640A2D" w:rsidP="005F557B">
      <w:pPr>
        <w:spacing w:line="360" w:lineRule="auto"/>
        <w:ind w:left="833" w:hanging="720"/>
        <w:rPr>
          <w:bCs/>
          <w:sz w:val="24"/>
          <w:szCs w:val="24"/>
        </w:rPr>
      </w:pPr>
      <w:r w:rsidRPr="00452C80">
        <w:rPr>
          <w:bCs/>
          <w:sz w:val="24"/>
          <w:szCs w:val="24"/>
        </w:rPr>
        <w:t>Hinders, D.</w:t>
      </w:r>
      <w:r w:rsidR="000A7B6F">
        <w:rPr>
          <w:bCs/>
          <w:sz w:val="24"/>
          <w:szCs w:val="24"/>
        </w:rPr>
        <w:t xml:space="preserve"> </w:t>
      </w:r>
      <w:r w:rsidRPr="00452C80">
        <w:rPr>
          <w:bCs/>
          <w:sz w:val="24"/>
          <w:szCs w:val="24"/>
        </w:rPr>
        <w:t>C., Andreason, C., and Krause McDonald, D. (2019)</w:t>
      </w:r>
      <w:r w:rsidR="000A21D4">
        <w:rPr>
          <w:bCs/>
          <w:sz w:val="24"/>
          <w:szCs w:val="24"/>
        </w:rPr>
        <w:t xml:space="preserve"> </w:t>
      </w:r>
      <w:hyperlink r:id="rId250" w:tgtFrame="_blank" w:history="1">
        <w:r w:rsidRPr="002A5A63">
          <w:rPr>
            <w:rStyle w:val="Hyperlink"/>
            <w:bCs/>
            <w:i/>
            <w:iCs/>
            <w:color w:val="auto"/>
            <w:sz w:val="24"/>
            <w:szCs w:val="24"/>
            <w:u w:val="none"/>
          </w:rPr>
          <w:t>5 Steps to a 5: AP Statistics</w:t>
        </w:r>
        <w:r w:rsidRPr="002A5A63">
          <w:rPr>
            <w:rStyle w:val="Hyperlink"/>
            <w:bCs/>
            <w:color w:val="auto"/>
            <w:sz w:val="24"/>
            <w:szCs w:val="24"/>
            <w:u w:val="none"/>
          </w:rPr>
          <w:t>.</w:t>
        </w:r>
        <w:r w:rsidRPr="00452C80">
          <w:rPr>
            <w:rStyle w:val="Hyperlink"/>
            <w:bCs/>
            <w:i/>
            <w:iCs/>
            <w:color w:val="auto"/>
            <w:sz w:val="24"/>
            <w:szCs w:val="24"/>
          </w:rPr>
          <w:t> </w:t>
        </w:r>
      </w:hyperlink>
      <w:r w:rsidRPr="00452C80">
        <w:rPr>
          <w:bCs/>
          <w:sz w:val="24"/>
          <w:szCs w:val="24"/>
        </w:rPr>
        <w:t>London and New York: McGraw Hill Professional.</w:t>
      </w:r>
    </w:p>
    <w:p w14:paraId="34616C65" w14:textId="77777777" w:rsidR="00640A2D" w:rsidRPr="00452C80" w:rsidRDefault="00640A2D" w:rsidP="005F557B">
      <w:pPr>
        <w:spacing w:line="360" w:lineRule="auto"/>
        <w:ind w:left="833" w:hanging="720"/>
        <w:rPr>
          <w:b/>
          <w:bCs/>
          <w:sz w:val="24"/>
          <w:szCs w:val="24"/>
        </w:rPr>
      </w:pPr>
      <w:r w:rsidRPr="00452C80">
        <w:rPr>
          <w:sz w:val="24"/>
          <w:szCs w:val="24"/>
        </w:rPr>
        <w:t xml:space="preserve">Hirblinger, H. (2017) </w:t>
      </w:r>
      <w:r w:rsidRPr="00452C80">
        <w:rPr>
          <w:i/>
          <w:iCs/>
          <w:sz w:val="24"/>
          <w:szCs w:val="24"/>
        </w:rPr>
        <w:t>Lehrerbildung aus psychoanalytisch-pädagogischer Perspektive: Grundlagen für Theorie und Praxis</w:t>
      </w:r>
      <w:r w:rsidRPr="00452C80">
        <w:rPr>
          <w:b/>
          <w:bCs/>
          <w:sz w:val="24"/>
          <w:szCs w:val="24"/>
        </w:rPr>
        <w:t xml:space="preserve"> </w:t>
      </w:r>
      <w:r w:rsidRPr="00452C80">
        <w:rPr>
          <w:sz w:val="24"/>
          <w:szCs w:val="24"/>
        </w:rPr>
        <w:t>[</w:t>
      </w:r>
      <w:r w:rsidRPr="00452C80">
        <w:rPr>
          <w:i/>
          <w:iCs/>
          <w:sz w:val="24"/>
          <w:szCs w:val="24"/>
        </w:rPr>
        <w:t>Teacher education from a psychoanalytic-pedagogical perspective: Ground rules for theory and practice</w:t>
      </w:r>
      <w:r w:rsidRPr="00452C80">
        <w:rPr>
          <w:sz w:val="24"/>
          <w:szCs w:val="24"/>
        </w:rPr>
        <w:t>]. Germany: Psychosozial Verlag GbR.</w:t>
      </w:r>
    </w:p>
    <w:p w14:paraId="18881B3C" w14:textId="45A55294" w:rsidR="00640A2D" w:rsidRPr="00452C80" w:rsidRDefault="00640A2D" w:rsidP="005F557B">
      <w:pPr>
        <w:spacing w:line="360" w:lineRule="auto"/>
        <w:ind w:left="833" w:hanging="720"/>
        <w:rPr>
          <w:sz w:val="24"/>
          <w:szCs w:val="24"/>
        </w:rPr>
      </w:pPr>
      <w:r w:rsidRPr="00452C80">
        <w:rPr>
          <w:sz w:val="24"/>
          <w:szCs w:val="24"/>
        </w:rPr>
        <w:t>Hitchcock, G.</w:t>
      </w:r>
      <w:r w:rsidR="000A7B6F">
        <w:rPr>
          <w:sz w:val="24"/>
          <w:szCs w:val="24"/>
        </w:rPr>
        <w:t>,</w:t>
      </w:r>
      <w:r w:rsidRPr="00452C80">
        <w:rPr>
          <w:sz w:val="24"/>
          <w:szCs w:val="24"/>
        </w:rPr>
        <w:t xml:space="preserve"> and Hughes, D. (1995) </w:t>
      </w:r>
      <w:r w:rsidRPr="00452C80">
        <w:rPr>
          <w:i/>
          <w:iCs/>
          <w:sz w:val="24"/>
          <w:szCs w:val="24"/>
        </w:rPr>
        <w:t>Research and the Teacher: A Qualitative Introduction to School-based Research</w:t>
      </w:r>
      <w:r w:rsidRPr="00452C80">
        <w:rPr>
          <w:sz w:val="24"/>
          <w:szCs w:val="24"/>
        </w:rPr>
        <w:t>. London: Routledge.</w:t>
      </w:r>
    </w:p>
    <w:p w14:paraId="38899DA5" w14:textId="77777777" w:rsidR="00640A2D" w:rsidRPr="00452C80" w:rsidRDefault="00640A2D" w:rsidP="005F557B">
      <w:pPr>
        <w:spacing w:line="360" w:lineRule="auto"/>
        <w:ind w:left="833" w:hanging="720"/>
        <w:rPr>
          <w:sz w:val="24"/>
          <w:szCs w:val="24"/>
        </w:rPr>
      </w:pPr>
      <w:r w:rsidRPr="00452C80">
        <w:rPr>
          <w:sz w:val="24"/>
          <w:szCs w:val="24"/>
        </w:rPr>
        <w:t xml:space="preserve">Hitching, J. (2008) </w:t>
      </w:r>
      <w:r w:rsidRPr="00452C80">
        <w:rPr>
          <w:i/>
          <w:iCs/>
          <w:sz w:val="24"/>
          <w:szCs w:val="24"/>
        </w:rPr>
        <w:t>Maintaining Your Licence to Practice.</w:t>
      </w:r>
      <w:r w:rsidRPr="00452C80">
        <w:rPr>
          <w:sz w:val="24"/>
          <w:szCs w:val="24"/>
        </w:rPr>
        <w:t xml:space="preserve"> Exeter: Learning Matters.</w:t>
      </w:r>
    </w:p>
    <w:p w14:paraId="2B8A16FA" w14:textId="725DCB3C" w:rsidR="00640A2D" w:rsidRPr="00452C80" w:rsidRDefault="00640A2D" w:rsidP="005F557B">
      <w:pPr>
        <w:spacing w:line="360" w:lineRule="auto"/>
        <w:ind w:left="833" w:hanging="720"/>
        <w:rPr>
          <w:sz w:val="24"/>
          <w:szCs w:val="24"/>
        </w:rPr>
      </w:pPr>
      <w:r w:rsidRPr="00452C80">
        <w:rPr>
          <w:sz w:val="24"/>
          <w:szCs w:val="24"/>
        </w:rPr>
        <w:t>Hochschild, A.</w:t>
      </w:r>
      <w:r w:rsidR="000A7B6F">
        <w:rPr>
          <w:sz w:val="24"/>
          <w:szCs w:val="24"/>
        </w:rPr>
        <w:t xml:space="preserve"> </w:t>
      </w:r>
      <w:r w:rsidRPr="00452C80">
        <w:rPr>
          <w:sz w:val="24"/>
          <w:szCs w:val="24"/>
        </w:rPr>
        <w:t xml:space="preserve">R. (1983) </w:t>
      </w:r>
      <w:r w:rsidRPr="00452C80">
        <w:rPr>
          <w:i/>
          <w:iCs/>
          <w:sz w:val="24"/>
          <w:szCs w:val="24"/>
        </w:rPr>
        <w:t>The Managed Heart: commercialisation of human feeling.</w:t>
      </w:r>
      <w:r w:rsidRPr="00452C80">
        <w:rPr>
          <w:sz w:val="24"/>
          <w:szCs w:val="24"/>
        </w:rPr>
        <w:t xml:space="preserve"> Berkeley: University of California Press.</w:t>
      </w:r>
    </w:p>
    <w:p w14:paraId="6BA03C73" w14:textId="318165F1" w:rsidR="00640A2D" w:rsidRPr="00644675" w:rsidRDefault="00640A2D" w:rsidP="005F557B">
      <w:pPr>
        <w:spacing w:line="360" w:lineRule="auto"/>
        <w:ind w:left="833" w:hanging="720"/>
        <w:rPr>
          <w:color w:val="0070C0"/>
          <w:sz w:val="24"/>
          <w:szCs w:val="24"/>
        </w:rPr>
      </w:pPr>
      <w:r w:rsidRPr="00452C80">
        <w:rPr>
          <w:sz w:val="24"/>
          <w:szCs w:val="24"/>
        </w:rPr>
        <w:t>Hodkinson P., Biesta, G.</w:t>
      </w:r>
      <w:r w:rsidR="000A7B6F">
        <w:rPr>
          <w:sz w:val="24"/>
          <w:szCs w:val="24"/>
        </w:rPr>
        <w:t xml:space="preserve"> </w:t>
      </w:r>
      <w:r w:rsidRPr="00452C80">
        <w:rPr>
          <w:sz w:val="24"/>
          <w:szCs w:val="24"/>
        </w:rPr>
        <w:t>J.</w:t>
      </w:r>
      <w:r w:rsidR="000A7B6F">
        <w:rPr>
          <w:sz w:val="24"/>
          <w:szCs w:val="24"/>
        </w:rPr>
        <w:t xml:space="preserve"> </w:t>
      </w:r>
      <w:r w:rsidRPr="00452C80">
        <w:rPr>
          <w:sz w:val="24"/>
          <w:szCs w:val="24"/>
        </w:rPr>
        <w:t xml:space="preserve">J., and James, D. (2008) Understanding learning culturally: overcoming the dualism between social and individual views of learning. </w:t>
      </w:r>
      <w:r w:rsidRPr="00452C80">
        <w:rPr>
          <w:i/>
          <w:iCs/>
          <w:sz w:val="24"/>
          <w:szCs w:val="24"/>
        </w:rPr>
        <w:t>Vocations and Learning</w:t>
      </w:r>
      <w:r w:rsidRPr="00452C80">
        <w:rPr>
          <w:sz w:val="24"/>
          <w:szCs w:val="24"/>
        </w:rPr>
        <w:t xml:space="preserve">, </w:t>
      </w:r>
      <w:r w:rsidRPr="00644675">
        <w:rPr>
          <w:b/>
          <w:bCs/>
          <w:sz w:val="24"/>
          <w:szCs w:val="24"/>
        </w:rPr>
        <w:t>1(</w:t>
      </w:r>
      <w:r w:rsidRPr="00452C80">
        <w:rPr>
          <w:sz w:val="24"/>
          <w:szCs w:val="24"/>
        </w:rPr>
        <w:t xml:space="preserve">1): pp. pp. 27-47. </w:t>
      </w:r>
      <w:hyperlink r:id="rId251" w:history="1">
        <w:r w:rsidRPr="00644675">
          <w:rPr>
            <w:rStyle w:val="Hyperlink"/>
            <w:color w:val="0070C0"/>
            <w:sz w:val="24"/>
            <w:szCs w:val="24"/>
          </w:rPr>
          <w:t>https://doi.org/10.1007/s12186-007-9001-y</w:t>
        </w:r>
      </w:hyperlink>
    </w:p>
    <w:p w14:paraId="7D3BFA7D" w14:textId="77777777" w:rsidR="00640A2D" w:rsidRPr="00452C80" w:rsidRDefault="00640A2D" w:rsidP="005F557B">
      <w:pPr>
        <w:spacing w:line="360" w:lineRule="auto"/>
        <w:ind w:left="833" w:hanging="720"/>
        <w:rPr>
          <w:bCs/>
          <w:sz w:val="24"/>
          <w:szCs w:val="24"/>
        </w:rPr>
      </w:pPr>
      <w:r w:rsidRPr="00452C80">
        <w:rPr>
          <w:bCs/>
          <w:sz w:val="24"/>
          <w:szCs w:val="24"/>
        </w:rPr>
        <w:t xml:space="preserve">Holloway, I., and Freshwater, D. (2007) </w:t>
      </w:r>
      <w:r w:rsidRPr="00452C80">
        <w:rPr>
          <w:bCs/>
          <w:i/>
          <w:iCs/>
          <w:sz w:val="24"/>
          <w:szCs w:val="24"/>
        </w:rPr>
        <w:t>Narrative Research in Nursing.</w:t>
      </w:r>
      <w:r w:rsidRPr="00452C80">
        <w:rPr>
          <w:bCs/>
          <w:sz w:val="24"/>
          <w:szCs w:val="24"/>
        </w:rPr>
        <w:t xml:space="preserve"> Oxford: Blackwell publishing.</w:t>
      </w:r>
    </w:p>
    <w:p w14:paraId="231760C5" w14:textId="42EECE1A" w:rsidR="00640A2D" w:rsidRPr="00452C80" w:rsidRDefault="00640A2D" w:rsidP="005F557B">
      <w:pPr>
        <w:spacing w:line="360" w:lineRule="auto"/>
        <w:ind w:left="833" w:hanging="720"/>
        <w:rPr>
          <w:sz w:val="24"/>
          <w:szCs w:val="24"/>
        </w:rPr>
      </w:pPr>
      <w:r w:rsidRPr="00452C80">
        <w:rPr>
          <w:sz w:val="24"/>
          <w:szCs w:val="24"/>
        </w:rPr>
        <w:t>Hollway, W. (2001) From motherhood to maternal subjectivity. </w:t>
      </w:r>
      <w:r w:rsidRPr="00452C80">
        <w:rPr>
          <w:i/>
          <w:iCs/>
          <w:sz w:val="24"/>
          <w:szCs w:val="24"/>
        </w:rPr>
        <w:t>International Journal of Critical Psychology</w:t>
      </w:r>
      <w:r w:rsidRPr="00452C80">
        <w:rPr>
          <w:sz w:val="24"/>
          <w:szCs w:val="24"/>
        </w:rPr>
        <w:t>, </w:t>
      </w:r>
      <w:r w:rsidRPr="00644675">
        <w:rPr>
          <w:sz w:val="24"/>
          <w:szCs w:val="24"/>
        </w:rPr>
        <w:t>2</w:t>
      </w:r>
      <w:r w:rsidR="00644675">
        <w:rPr>
          <w:sz w:val="24"/>
          <w:szCs w:val="24"/>
        </w:rPr>
        <w:t xml:space="preserve">: </w:t>
      </w:r>
      <w:r w:rsidRPr="00452C80">
        <w:rPr>
          <w:sz w:val="24"/>
          <w:szCs w:val="24"/>
        </w:rPr>
        <w:t>pp.13-38.</w:t>
      </w:r>
      <w:r w:rsidRPr="00452C80">
        <w:t xml:space="preserve"> </w:t>
      </w:r>
      <w:hyperlink r:id="rId252" w:history="1">
        <w:r w:rsidRPr="00FA23E8">
          <w:rPr>
            <w:rStyle w:val="Hyperlink"/>
            <w:color w:val="0070C0"/>
            <w:sz w:val="24"/>
            <w:szCs w:val="24"/>
          </w:rPr>
          <w:t>https://scholar.google.co.uk/scholar?as_sauthors=W+Hollway&amp;as_q=From+motherhood+to+maternal+subjectivity&amp;as_occt=title</w:t>
        </w:r>
      </w:hyperlink>
    </w:p>
    <w:p w14:paraId="52E826C1" w14:textId="77777777" w:rsidR="00640A2D" w:rsidRPr="00452C80" w:rsidRDefault="00640A2D" w:rsidP="005F557B">
      <w:pPr>
        <w:spacing w:line="360" w:lineRule="auto"/>
        <w:ind w:left="833" w:hanging="720"/>
      </w:pPr>
      <w:r w:rsidRPr="00452C80">
        <w:rPr>
          <w:bCs/>
          <w:sz w:val="24"/>
          <w:szCs w:val="24"/>
        </w:rPr>
        <w:lastRenderedPageBreak/>
        <w:t>Holmes, A. D. G. (2023) Researcher Positionality - A Consideration of Its Influence and Place in Qualitative Research - A New Researcher Guide</w:t>
      </w:r>
      <w:r w:rsidRPr="00452C80">
        <w:rPr>
          <w:bCs/>
          <w:i/>
          <w:iCs/>
          <w:sz w:val="24"/>
          <w:szCs w:val="24"/>
        </w:rPr>
        <w:t xml:space="preserve">. </w:t>
      </w:r>
      <w:hyperlink r:id="rId253" w:history="1">
        <w:r w:rsidRPr="00FA23E8">
          <w:rPr>
            <w:rStyle w:val="Hyperlink"/>
            <w:bCs/>
            <w:i/>
            <w:iCs/>
            <w:color w:val="auto"/>
            <w:sz w:val="24"/>
            <w:szCs w:val="24"/>
            <w:u w:val="none"/>
          </w:rPr>
          <w:t>Shanlax International Journal of Education</w:t>
        </w:r>
      </w:hyperlink>
      <w:r w:rsidRPr="00FA23E8">
        <w:rPr>
          <w:bCs/>
          <w:i/>
          <w:iCs/>
          <w:sz w:val="24"/>
          <w:szCs w:val="24"/>
        </w:rPr>
        <w:t>,</w:t>
      </w:r>
      <w:r w:rsidRPr="00452C80">
        <w:rPr>
          <w:bCs/>
          <w:sz w:val="24"/>
          <w:szCs w:val="24"/>
        </w:rPr>
        <w:t> </w:t>
      </w:r>
      <w:r w:rsidRPr="00452C80">
        <w:rPr>
          <w:b/>
          <w:sz w:val="24"/>
          <w:szCs w:val="24"/>
        </w:rPr>
        <w:t>8</w:t>
      </w:r>
      <w:r w:rsidRPr="00452C80">
        <w:rPr>
          <w:bCs/>
          <w:sz w:val="24"/>
          <w:szCs w:val="24"/>
        </w:rPr>
        <w:t xml:space="preserve">(4): pp.1-10. </w:t>
      </w:r>
      <w:r w:rsidRPr="00452C80">
        <w:rPr>
          <w:b/>
          <w:bCs/>
          <w:sz w:val="24"/>
          <w:szCs w:val="24"/>
        </w:rPr>
        <w:t> </w:t>
      </w:r>
      <w:hyperlink r:id="rId254" w:history="1">
        <w:r w:rsidRPr="00FA23E8">
          <w:rPr>
            <w:rStyle w:val="Hyperlink"/>
            <w:bCs/>
            <w:color w:val="0070C0"/>
            <w:sz w:val="24"/>
            <w:szCs w:val="24"/>
          </w:rPr>
          <w:t>https://doi.org/10.34293/education.v8i4.3232</w:t>
        </w:r>
      </w:hyperlink>
    </w:p>
    <w:p w14:paraId="2F239501" w14:textId="77777777" w:rsidR="00640A2D" w:rsidRPr="00452C80" w:rsidRDefault="00640A2D" w:rsidP="005F557B">
      <w:pPr>
        <w:spacing w:line="360" w:lineRule="auto"/>
        <w:ind w:left="833" w:hanging="720"/>
        <w:rPr>
          <w:b/>
          <w:bCs/>
          <w:sz w:val="24"/>
          <w:szCs w:val="24"/>
        </w:rPr>
      </w:pPr>
      <w:r w:rsidRPr="00452C80">
        <w:rPr>
          <w:sz w:val="24"/>
          <w:szCs w:val="24"/>
        </w:rPr>
        <w:t>Honig</w:t>
      </w:r>
      <w:r w:rsidRPr="00452C80">
        <w:rPr>
          <w:b/>
          <w:bCs/>
          <w:sz w:val="24"/>
          <w:szCs w:val="24"/>
        </w:rPr>
        <w:t xml:space="preserve">, </w:t>
      </w:r>
      <w:r w:rsidRPr="00452C80">
        <w:rPr>
          <w:sz w:val="24"/>
          <w:szCs w:val="24"/>
        </w:rPr>
        <w:t>B. (2017)</w:t>
      </w:r>
      <w:r w:rsidRPr="00452C80">
        <w:rPr>
          <w:b/>
          <w:bCs/>
          <w:sz w:val="24"/>
          <w:szCs w:val="24"/>
        </w:rPr>
        <w:t xml:space="preserve"> </w:t>
      </w:r>
      <w:hyperlink r:id="rId255" w:history="1">
        <w:r w:rsidRPr="00FA23E8">
          <w:rPr>
            <w:rStyle w:val="Hyperlink"/>
            <w:i/>
            <w:iCs/>
            <w:color w:val="auto"/>
            <w:sz w:val="24"/>
            <w:szCs w:val="24"/>
            <w:u w:val="none"/>
          </w:rPr>
          <w:t>Public Things: Democracy in Disrepair</w:t>
        </w:r>
      </w:hyperlink>
      <w:r w:rsidRPr="00452C80">
        <w:rPr>
          <w:i/>
          <w:iCs/>
          <w:sz w:val="24"/>
          <w:szCs w:val="24"/>
        </w:rPr>
        <w:t>.</w:t>
      </w:r>
      <w:r w:rsidRPr="00452C80">
        <w:rPr>
          <w:b/>
          <w:bCs/>
          <w:sz w:val="24"/>
          <w:szCs w:val="24"/>
        </w:rPr>
        <w:t xml:space="preserve"> </w:t>
      </w:r>
      <w:r w:rsidRPr="00452C80">
        <w:rPr>
          <w:bCs/>
          <w:sz w:val="24"/>
          <w:szCs w:val="24"/>
        </w:rPr>
        <w:t>New York: Fordham University Press.</w:t>
      </w:r>
    </w:p>
    <w:p w14:paraId="03180782" w14:textId="77777777" w:rsidR="00640A2D" w:rsidRPr="00452C80" w:rsidRDefault="00640A2D" w:rsidP="005F557B">
      <w:pPr>
        <w:spacing w:line="360" w:lineRule="auto"/>
        <w:ind w:left="833" w:hanging="720"/>
        <w:rPr>
          <w:bCs/>
          <w:sz w:val="24"/>
          <w:szCs w:val="24"/>
        </w:rPr>
      </w:pPr>
      <w:r w:rsidRPr="00452C80">
        <w:rPr>
          <w:bCs/>
          <w:sz w:val="24"/>
          <w:szCs w:val="24"/>
        </w:rPr>
        <w:t xml:space="preserve">Honneth, A. (1995) </w:t>
      </w:r>
      <w:r w:rsidRPr="00452C80">
        <w:rPr>
          <w:bCs/>
          <w:i/>
          <w:iCs/>
          <w:sz w:val="24"/>
          <w:szCs w:val="24"/>
        </w:rPr>
        <w:t>The Struggle for Recognition: The Moral Grammar of Social Conflicts</w:t>
      </w:r>
      <w:r w:rsidRPr="00452C80">
        <w:rPr>
          <w:bCs/>
          <w:sz w:val="24"/>
          <w:szCs w:val="24"/>
        </w:rPr>
        <w:t>. Cambridge: Blackwell.</w:t>
      </w:r>
    </w:p>
    <w:p w14:paraId="4BE4A5EC" w14:textId="64B0B317" w:rsidR="00640A2D" w:rsidRPr="00452C80" w:rsidRDefault="00640A2D" w:rsidP="005F557B">
      <w:pPr>
        <w:spacing w:line="360" w:lineRule="auto"/>
        <w:ind w:left="833" w:hanging="720"/>
        <w:rPr>
          <w:sz w:val="24"/>
          <w:szCs w:val="24"/>
        </w:rPr>
      </w:pPr>
      <w:r w:rsidRPr="00452C80">
        <w:rPr>
          <w:sz w:val="24"/>
          <w:szCs w:val="24"/>
        </w:rPr>
        <w:t xml:space="preserve">hooks, B. (1994) </w:t>
      </w:r>
      <w:r w:rsidRPr="00452C80">
        <w:rPr>
          <w:i/>
          <w:iCs/>
          <w:sz w:val="24"/>
          <w:szCs w:val="24"/>
        </w:rPr>
        <w:t>Teaching to Transgress: Education as the Practice of Freedom</w:t>
      </w:r>
      <w:r w:rsidRPr="00452C80">
        <w:rPr>
          <w:sz w:val="24"/>
          <w:szCs w:val="24"/>
        </w:rPr>
        <w:t xml:space="preserve">. London: Routledge. </w:t>
      </w:r>
    </w:p>
    <w:p w14:paraId="1DBE2236" w14:textId="3D324126" w:rsidR="00640A2D" w:rsidRPr="00452C80" w:rsidRDefault="00640A2D" w:rsidP="005F557B">
      <w:pPr>
        <w:spacing w:line="360" w:lineRule="auto"/>
        <w:ind w:left="833" w:hanging="720"/>
        <w:rPr>
          <w:rFonts w:ascii="Aptos" w:eastAsia="Aptos" w:hAnsi="Aptos" w:cs="Times New Roman"/>
          <w:kern w:val="2"/>
          <w14:ligatures w14:val="standardContextual"/>
        </w:rPr>
      </w:pPr>
      <w:r w:rsidRPr="00452C80">
        <w:rPr>
          <w:rFonts w:ascii="Calibri" w:eastAsia="Aptos" w:hAnsi="Calibri" w:cs="Calibri"/>
          <w:kern w:val="2"/>
          <w:sz w:val="24"/>
          <w:szCs w:val="24"/>
          <w14:ligatures w14:val="standardContextual"/>
        </w:rPr>
        <w:t>Hope, J., and Quinlan, K. M. (2021) Staying local: How mature, working-class students on a satellite campus leverage community cultural wealth. </w:t>
      </w:r>
      <w:r w:rsidRPr="00452C80">
        <w:rPr>
          <w:rFonts w:ascii="Calibri" w:eastAsia="Aptos" w:hAnsi="Calibri" w:cs="Calibri"/>
          <w:i/>
          <w:iCs/>
          <w:kern w:val="2"/>
          <w:sz w:val="24"/>
          <w:szCs w:val="24"/>
          <w14:ligatures w14:val="standardContextual"/>
        </w:rPr>
        <w:t>Studies in Higher Education</w:t>
      </w:r>
      <w:r w:rsidRPr="00452C80">
        <w:rPr>
          <w:rFonts w:ascii="Calibri" w:eastAsia="Aptos" w:hAnsi="Calibri" w:cs="Calibri"/>
          <w:kern w:val="2"/>
          <w:sz w:val="24"/>
          <w:szCs w:val="24"/>
          <w14:ligatures w14:val="standardContextual"/>
        </w:rPr>
        <w:t>, </w:t>
      </w:r>
      <w:r w:rsidRPr="00FA23E8">
        <w:rPr>
          <w:rFonts w:ascii="Calibri" w:eastAsia="Aptos" w:hAnsi="Calibri" w:cs="Calibri"/>
          <w:b/>
          <w:bCs/>
          <w:kern w:val="2"/>
          <w:sz w:val="24"/>
          <w:szCs w:val="24"/>
          <w14:ligatures w14:val="standardContextual"/>
        </w:rPr>
        <w:t>46</w:t>
      </w:r>
      <w:r w:rsidRPr="00452C80">
        <w:rPr>
          <w:rFonts w:ascii="Calibri" w:eastAsia="Aptos" w:hAnsi="Calibri" w:cs="Calibri"/>
          <w:kern w:val="2"/>
          <w:sz w:val="24"/>
          <w:szCs w:val="24"/>
          <w14:ligatures w14:val="standardContextual"/>
        </w:rPr>
        <w:t xml:space="preserve">(12): pp. 2542–2555. </w:t>
      </w:r>
      <w:hyperlink r:id="rId256" w:history="1">
        <w:r w:rsidRPr="00FA23E8">
          <w:rPr>
            <w:rFonts w:ascii="Calibri" w:eastAsia="Aptos" w:hAnsi="Calibri" w:cs="Calibri"/>
            <w:color w:val="0070C0"/>
            <w:kern w:val="2"/>
            <w:sz w:val="24"/>
            <w:szCs w:val="24"/>
            <w:u w:val="single"/>
            <w14:ligatures w14:val="standardContextual"/>
          </w:rPr>
          <w:t>https://doi.org/10.1080/03075079.2020.1725874</w:t>
        </w:r>
      </w:hyperlink>
    </w:p>
    <w:p w14:paraId="22332312" w14:textId="77777777" w:rsidR="00640A2D" w:rsidRPr="00452C80" w:rsidRDefault="00640A2D" w:rsidP="005F557B">
      <w:pPr>
        <w:spacing w:line="360" w:lineRule="auto"/>
        <w:ind w:left="833" w:hanging="720"/>
        <w:rPr>
          <w:sz w:val="24"/>
          <w:szCs w:val="24"/>
        </w:rPr>
      </w:pPr>
      <w:r w:rsidRPr="00452C80">
        <w:rPr>
          <w:sz w:val="24"/>
          <w:szCs w:val="24"/>
        </w:rPr>
        <w:t xml:space="preserve">Hostie, R. (1957) </w:t>
      </w:r>
      <w:r w:rsidRPr="00452C80">
        <w:rPr>
          <w:i/>
          <w:iCs/>
          <w:sz w:val="24"/>
          <w:szCs w:val="24"/>
        </w:rPr>
        <w:t>Religion and the Psychology of Jung</w:t>
      </w:r>
      <w:r w:rsidRPr="00452C80">
        <w:rPr>
          <w:sz w:val="24"/>
          <w:szCs w:val="24"/>
        </w:rPr>
        <w:t>. New York: Sheed and Ward.</w:t>
      </w:r>
    </w:p>
    <w:p w14:paraId="1ED53EE2" w14:textId="77777777" w:rsidR="00640A2D" w:rsidRPr="00452C80" w:rsidRDefault="00640A2D" w:rsidP="005F557B">
      <w:pPr>
        <w:spacing w:line="360" w:lineRule="auto"/>
        <w:ind w:left="833" w:hanging="720"/>
        <w:rPr>
          <w:sz w:val="24"/>
          <w:szCs w:val="24"/>
        </w:rPr>
      </w:pPr>
      <w:r w:rsidRPr="00452C80">
        <w:rPr>
          <w:sz w:val="24"/>
          <w:szCs w:val="24"/>
        </w:rPr>
        <w:t xml:space="preserve">Howard, F. (2008) Managing stress or enhancing well-being? Positive psychology’s contribution to clinical supervision. </w:t>
      </w:r>
      <w:r w:rsidRPr="00452C80">
        <w:rPr>
          <w:i/>
          <w:iCs/>
          <w:sz w:val="24"/>
          <w:szCs w:val="24"/>
        </w:rPr>
        <w:t>Australian Psychologist</w:t>
      </w:r>
      <w:r w:rsidRPr="00452C80">
        <w:rPr>
          <w:sz w:val="24"/>
          <w:szCs w:val="24"/>
        </w:rPr>
        <w:t>, 43: pp. 105-113.</w:t>
      </w:r>
      <w:r w:rsidRPr="00452C80">
        <w:rPr>
          <w:rFonts w:ascii="Arial" w:hAnsi="Arial" w:cs="Arial"/>
          <w:sz w:val="21"/>
          <w:szCs w:val="21"/>
          <w:shd w:val="clear" w:color="auto" w:fill="FFFFFF"/>
        </w:rPr>
        <w:t xml:space="preserve"> </w:t>
      </w:r>
      <w:r w:rsidRPr="00452C80">
        <w:rPr>
          <w:sz w:val="24"/>
          <w:szCs w:val="24"/>
        </w:rPr>
        <w:t> </w:t>
      </w:r>
      <w:hyperlink r:id="rId257" w:tgtFrame="_blank" w:history="1">
        <w:r w:rsidRPr="00FA23E8">
          <w:rPr>
            <w:rStyle w:val="Hyperlink"/>
            <w:color w:val="0070C0"/>
            <w:sz w:val="24"/>
            <w:szCs w:val="24"/>
          </w:rPr>
          <w:t>https://doi.org/10.1080/00050060801978647</w:t>
        </w:r>
      </w:hyperlink>
    </w:p>
    <w:p w14:paraId="75DA39AB" w14:textId="77777777" w:rsidR="00640A2D" w:rsidRPr="00452C80" w:rsidRDefault="00640A2D" w:rsidP="005F557B">
      <w:pPr>
        <w:spacing w:line="360" w:lineRule="auto"/>
        <w:ind w:left="833" w:hanging="720"/>
        <w:rPr>
          <w:bCs/>
          <w:sz w:val="24"/>
          <w:szCs w:val="24"/>
        </w:rPr>
      </w:pPr>
      <w:r w:rsidRPr="00452C80">
        <w:rPr>
          <w:bCs/>
          <w:sz w:val="24"/>
          <w:szCs w:val="24"/>
        </w:rPr>
        <w:t xml:space="preserve">Howard, K. (2020) </w:t>
      </w:r>
      <w:r w:rsidRPr="00452C80">
        <w:rPr>
          <w:bCs/>
          <w:i/>
          <w:iCs/>
          <w:sz w:val="24"/>
          <w:szCs w:val="24"/>
        </w:rPr>
        <w:t>Stop Talking About Wellbeing</w:t>
      </w:r>
      <w:r w:rsidRPr="00452C80">
        <w:rPr>
          <w:bCs/>
          <w:sz w:val="24"/>
          <w:szCs w:val="24"/>
        </w:rPr>
        <w:t>. Woodbridge: John Catt.</w:t>
      </w:r>
    </w:p>
    <w:p w14:paraId="4FE33F98" w14:textId="336727F9" w:rsidR="00640A2D" w:rsidRPr="00452C80" w:rsidRDefault="00640A2D" w:rsidP="005F557B">
      <w:pPr>
        <w:spacing w:line="360" w:lineRule="auto"/>
        <w:ind w:left="833" w:hanging="720"/>
        <w:rPr>
          <w:bCs/>
          <w:sz w:val="24"/>
          <w:szCs w:val="24"/>
        </w:rPr>
      </w:pPr>
      <w:r w:rsidRPr="00452C80">
        <w:rPr>
          <w:bCs/>
          <w:sz w:val="24"/>
          <w:szCs w:val="24"/>
        </w:rPr>
        <w:t>Howes, C., and Spieker, S. (2016) Attachment relationships in the context of multiple caregivers. In</w:t>
      </w:r>
      <w:r w:rsidR="0041744E">
        <w:rPr>
          <w:bCs/>
          <w:sz w:val="24"/>
          <w:szCs w:val="24"/>
        </w:rPr>
        <w:t>:</w:t>
      </w:r>
      <w:r w:rsidRPr="00452C80">
        <w:rPr>
          <w:bCs/>
          <w:sz w:val="24"/>
          <w:szCs w:val="24"/>
        </w:rPr>
        <w:t xml:space="preserve"> J. Cassidy and P. Shaver (eds), </w:t>
      </w:r>
      <w:r w:rsidRPr="00452C80">
        <w:rPr>
          <w:bCs/>
          <w:i/>
          <w:iCs/>
          <w:sz w:val="24"/>
          <w:szCs w:val="24"/>
        </w:rPr>
        <w:t>Handbook of Attachment: Theory, Research and Clinical Applications</w:t>
      </w:r>
      <w:r w:rsidRPr="00452C80">
        <w:rPr>
          <w:bCs/>
          <w:sz w:val="24"/>
          <w:szCs w:val="24"/>
        </w:rPr>
        <w:t>. London: The Guilford Press.</w:t>
      </w:r>
    </w:p>
    <w:p w14:paraId="76C08689" w14:textId="4028B675" w:rsidR="00640A2D" w:rsidRPr="00B206A4" w:rsidRDefault="00640A2D" w:rsidP="005F557B">
      <w:pPr>
        <w:spacing w:line="360" w:lineRule="auto"/>
        <w:ind w:left="833" w:hanging="720"/>
        <w:rPr>
          <w:bCs/>
          <w:sz w:val="24"/>
          <w:szCs w:val="24"/>
        </w:rPr>
      </w:pPr>
      <w:r w:rsidRPr="00452C80">
        <w:rPr>
          <w:bCs/>
          <w:sz w:val="24"/>
          <w:szCs w:val="24"/>
        </w:rPr>
        <w:t xml:space="preserve">Hubble, S. (2010) </w:t>
      </w:r>
      <w:r w:rsidRPr="00452C80">
        <w:rPr>
          <w:bCs/>
          <w:i/>
          <w:iCs/>
          <w:sz w:val="24"/>
          <w:szCs w:val="24"/>
        </w:rPr>
        <w:t>The Browne Review of Higher Education Funding and Student Finance 2010: Securing a Sustainable Future for Higher Education</w:t>
      </w:r>
      <w:r w:rsidRPr="00452C80">
        <w:rPr>
          <w:bCs/>
          <w:sz w:val="24"/>
          <w:szCs w:val="24"/>
        </w:rPr>
        <w:t>. London: House of Commons Library.</w:t>
      </w:r>
      <w:r w:rsidR="00B206A4">
        <w:rPr>
          <w:bCs/>
          <w:sz w:val="24"/>
          <w:szCs w:val="24"/>
        </w:rPr>
        <w:t xml:space="preserve"> Available at: </w:t>
      </w:r>
      <w:r w:rsidRPr="00452C80">
        <w:rPr>
          <w:bCs/>
          <w:sz w:val="24"/>
          <w:szCs w:val="24"/>
        </w:rPr>
        <w:t xml:space="preserve"> </w:t>
      </w:r>
      <w:hyperlink r:id="rId258" w:history="1">
        <w:r w:rsidRPr="00FA23E8">
          <w:rPr>
            <w:rStyle w:val="Hyperlink"/>
            <w:bCs/>
            <w:color w:val="0070C0"/>
            <w:sz w:val="24"/>
            <w:szCs w:val="24"/>
          </w:rPr>
          <w:t>https://commonslibrary.parliament.uk/research-briefings/sn05739/</w:t>
        </w:r>
      </w:hyperlink>
      <w:r w:rsidR="00B206A4">
        <w:t xml:space="preserve">  </w:t>
      </w:r>
      <w:r w:rsidR="003960C9">
        <w:rPr>
          <w:sz w:val="24"/>
          <w:szCs w:val="24"/>
        </w:rPr>
        <w:t>[Accessed 18</w:t>
      </w:r>
      <w:r w:rsidR="003960C9" w:rsidRPr="003960C9">
        <w:rPr>
          <w:sz w:val="24"/>
          <w:szCs w:val="24"/>
          <w:vertAlign w:val="superscript"/>
        </w:rPr>
        <w:t>th</w:t>
      </w:r>
      <w:r w:rsidR="003960C9">
        <w:rPr>
          <w:sz w:val="24"/>
          <w:szCs w:val="24"/>
        </w:rPr>
        <w:t xml:space="preserve"> June 2022]</w:t>
      </w:r>
    </w:p>
    <w:p w14:paraId="1C493C4F" w14:textId="4A199046" w:rsidR="00640A2D" w:rsidRPr="00452C80" w:rsidRDefault="00640A2D" w:rsidP="005F557B">
      <w:pPr>
        <w:spacing w:line="360" w:lineRule="auto"/>
        <w:ind w:left="833" w:hanging="720"/>
        <w:rPr>
          <w:sz w:val="24"/>
          <w:szCs w:val="24"/>
        </w:rPr>
      </w:pPr>
      <w:r w:rsidRPr="00452C80">
        <w:rPr>
          <w:sz w:val="24"/>
          <w:szCs w:val="24"/>
        </w:rPr>
        <w:t>Hughes, G., Panjwani, M., Tulcidas, P.</w:t>
      </w:r>
      <w:r w:rsidR="000A7B6F">
        <w:rPr>
          <w:sz w:val="24"/>
          <w:szCs w:val="24"/>
        </w:rPr>
        <w:t>,</w:t>
      </w:r>
      <w:r w:rsidRPr="00452C80">
        <w:rPr>
          <w:sz w:val="24"/>
          <w:szCs w:val="24"/>
        </w:rPr>
        <w:t xml:space="preserve"> and Byrom, N. (2018) </w:t>
      </w:r>
      <w:r w:rsidRPr="00452C80">
        <w:rPr>
          <w:i/>
          <w:iCs/>
          <w:sz w:val="24"/>
          <w:szCs w:val="24"/>
        </w:rPr>
        <w:t>Student Mental Health: The role and responsibilities of academics</w:t>
      </w:r>
      <w:r w:rsidRPr="00452C80">
        <w:rPr>
          <w:sz w:val="24"/>
          <w:szCs w:val="24"/>
        </w:rPr>
        <w:t>. Oxford: Student Minds.</w:t>
      </w:r>
    </w:p>
    <w:p w14:paraId="409B5281" w14:textId="29EE1E84" w:rsidR="00640A2D" w:rsidRPr="00505105" w:rsidRDefault="00640A2D" w:rsidP="005F557B">
      <w:pPr>
        <w:spacing w:line="360" w:lineRule="auto"/>
        <w:ind w:left="833" w:hanging="720"/>
        <w:rPr>
          <w:sz w:val="24"/>
          <w:szCs w:val="24"/>
        </w:rPr>
      </w:pPr>
      <w:r w:rsidRPr="00452C80">
        <w:rPr>
          <w:sz w:val="24"/>
          <w:szCs w:val="24"/>
        </w:rPr>
        <w:lastRenderedPageBreak/>
        <w:t>Hughes, G.</w:t>
      </w:r>
      <w:r w:rsidR="000A7B6F">
        <w:rPr>
          <w:sz w:val="24"/>
          <w:szCs w:val="24"/>
        </w:rPr>
        <w:t>,</w:t>
      </w:r>
      <w:r w:rsidRPr="00452C80">
        <w:rPr>
          <w:sz w:val="24"/>
          <w:szCs w:val="24"/>
        </w:rPr>
        <w:t xml:space="preserve"> and Spanner, L. (2019) </w:t>
      </w:r>
      <w:r w:rsidRPr="00452C80">
        <w:rPr>
          <w:i/>
          <w:iCs/>
          <w:sz w:val="24"/>
          <w:szCs w:val="24"/>
        </w:rPr>
        <w:t>The University Mental Health Charter</w:t>
      </w:r>
      <w:r w:rsidRPr="00452C80">
        <w:rPr>
          <w:sz w:val="24"/>
          <w:szCs w:val="24"/>
        </w:rPr>
        <w:t xml:space="preserve">. Student Minds: Leeds. Available at: </w:t>
      </w:r>
      <w:hyperlink r:id="rId259" w:history="1">
        <w:r w:rsidRPr="00FA23E8">
          <w:rPr>
            <w:rStyle w:val="Hyperlink"/>
            <w:color w:val="0070C0"/>
            <w:sz w:val="24"/>
            <w:szCs w:val="24"/>
          </w:rPr>
          <w:t>https://www.studentminds.org.uk/uploads/3/7/8/4/3784584/191208_umhc_artwork.pdf</w:t>
        </w:r>
      </w:hyperlink>
      <w:r w:rsidR="003960C9">
        <w:t xml:space="preserve">  </w:t>
      </w:r>
      <w:r w:rsidR="00505105">
        <w:rPr>
          <w:sz w:val="24"/>
          <w:szCs w:val="24"/>
        </w:rPr>
        <w:t>[Accessed 1</w:t>
      </w:r>
      <w:r w:rsidR="00505105" w:rsidRPr="00505105">
        <w:rPr>
          <w:sz w:val="24"/>
          <w:szCs w:val="24"/>
          <w:vertAlign w:val="superscript"/>
        </w:rPr>
        <w:t>st</w:t>
      </w:r>
      <w:r w:rsidR="00505105">
        <w:rPr>
          <w:sz w:val="24"/>
          <w:szCs w:val="24"/>
        </w:rPr>
        <w:t xml:space="preserve"> May 202</w:t>
      </w:r>
      <w:r w:rsidR="006D65BA">
        <w:rPr>
          <w:sz w:val="24"/>
          <w:szCs w:val="24"/>
        </w:rPr>
        <w:t>1</w:t>
      </w:r>
      <w:r w:rsidR="00505105">
        <w:rPr>
          <w:sz w:val="24"/>
          <w:szCs w:val="24"/>
        </w:rPr>
        <w:t>]</w:t>
      </w:r>
    </w:p>
    <w:p w14:paraId="4F832A90" w14:textId="3D4853E5" w:rsidR="00640A2D" w:rsidRPr="00452C80" w:rsidRDefault="00640A2D" w:rsidP="005F557B">
      <w:pPr>
        <w:spacing w:line="360" w:lineRule="auto"/>
        <w:ind w:left="833" w:hanging="720"/>
        <w:rPr>
          <w:bCs/>
          <w:sz w:val="24"/>
          <w:szCs w:val="24"/>
        </w:rPr>
      </w:pPr>
      <w:r w:rsidRPr="00452C80">
        <w:rPr>
          <w:bCs/>
          <w:sz w:val="24"/>
          <w:szCs w:val="24"/>
        </w:rPr>
        <w:t xml:space="preserve">Hunt, C. (1998) Learning from The Learner: Reflections on facilitating reflective practice. </w:t>
      </w:r>
      <w:r w:rsidRPr="00452C80">
        <w:rPr>
          <w:bCs/>
          <w:i/>
          <w:sz w:val="24"/>
          <w:szCs w:val="24"/>
        </w:rPr>
        <w:t>Journal of Further and Higher Education</w:t>
      </w:r>
      <w:r w:rsidRPr="00452C80">
        <w:rPr>
          <w:bCs/>
          <w:sz w:val="24"/>
          <w:szCs w:val="24"/>
        </w:rPr>
        <w:t xml:space="preserve">, </w:t>
      </w:r>
      <w:r w:rsidRPr="00452C80">
        <w:rPr>
          <w:b/>
          <w:sz w:val="24"/>
          <w:szCs w:val="24"/>
        </w:rPr>
        <w:t>22</w:t>
      </w:r>
      <w:r w:rsidRPr="00452C80">
        <w:rPr>
          <w:bCs/>
          <w:sz w:val="24"/>
          <w:szCs w:val="24"/>
        </w:rPr>
        <w:t xml:space="preserve">(1): pp.25-31. </w:t>
      </w:r>
      <w:hyperlink r:id="rId260" w:history="1">
        <w:r w:rsidRPr="00FA23E8">
          <w:rPr>
            <w:rStyle w:val="Hyperlink"/>
            <w:bCs/>
            <w:color w:val="0070C0"/>
            <w:sz w:val="24"/>
            <w:szCs w:val="24"/>
          </w:rPr>
          <w:t>https://doi.org/10.1080/0309877980220103</w:t>
        </w:r>
      </w:hyperlink>
    </w:p>
    <w:p w14:paraId="2E288B5B" w14:textId="77777777" w:rsidR="00640A2D" w:rsidRPr="00452C80" w:rsidRDefault="00640A2D" w:rsidP="005F557B">
      <w:pPr>
        <w:spacing w:line="360" w:lineRule="auto"/>
        <w:ind w:left="833" w:hanging="720"/>
        <w:rPr>
          <w:sz w:val="24"/>
          <w:szCs w:val="24"/>
        </w:rPr>
      </w:pPr>
      <w:r w:rsidRPr="00452C80">
        <w:rPr>
          <w:sz w:val="24"/>
          <w:szCs w:val="24"/>
        </w:rPr>
        <w:t xml:space="preserve">Hyman, S. (2012) The School as Holding Environment. </w:t>
      </w:r>
      <w:r w:rsidRPr="00452C80">
        <w:rPr>
          <w:i/>
          <w:iCs/>
          <w:sz w:val="24"/>
          <w:szCs w:val="24"/>
        </w:rPr>
        <w:t>Journal of Infant, Child, and Adolescent Psychotherapy</w:t>
      </w:r>
      <w:r w:rsidRPr="00452C80">
        <w:rPr>
          <w:sz w:val="24"/>
          <w:szCs w:val="24"/>
        </w:rPr>
        <w:t>, 11: pp.205-216.</w:t>
      </w:r>
      <w:r w:rsidRPr="00452C80">
        <w:rPr>
          <w:rFonts w:ascii="Open Sans" w:hAnsi="Open Sans" w:cs="Open Sans"/>
          <w:shd w:val="clear" w:color="auto" w:fill="EAEAEA"/>
        </w:rPr>
        <w:t xml:space="preserve"> </w:t>
      </w:r>
      <w:hyperlink r:id="rId261" w:history="1">
        <w:r w:rsidRPr="00FA23E8">
          <w:rPr>
            <w:rStyle w:val="Hyperlink"/>
            <w:color w:val="0070C0"/>
            <w:sz w:val="24"/>
            <w:szCs w:val="24"/>
          </w:rPr>
          <w:t>https://doi.org/10.1080/15289168.2012.700793</w:t>
        </w:r>
      </w:hyperlink>
    </w:p>
    <w:p w14:paraId="34D6D6CE" w14:textId="77777777" w:rsidR="00640A2D" w:rsidRPr="00452C80" w:rsidRDefault="00640A2D" w:rsidP="005F557B">
      <w:pPr>
        <w:spacing w:line="360" w:lineRule="auto"/>
        <w:ind w:left="833" w:hanging="720"/>
        <w:rPr>
          <w:sz w:val="24"/>
          <w:szCs w:val="24"/>
        </w:rPr>
      </w:pPr>
      <w:r w:rsidRPr="00452C80">
        <w:rPr>
          <w:sz w:val="24"/>
          <w:szCs w:val="24"/>
        </w:rPr>
        <w:t xml:space="preserve">Ippolito, K., and Kingsbury, M. (2024) Reciprocal cognitive and emotional interaction in STEMM university learning and teaching. </w:t>
      </w:r>
      <w:r w:rsidRPr="00452C80">
        <w:rPr>
          <w:i/>
          <w:iCs/>
          <w:sz w:val="24"/>
          <w:szCs w:val="24"/>
        </w:rPr>
        <w:t>Scientific Reports</w:t>
      </w:r>
      <w:r w:rsidRPr="00452C80">
        <w:rPr>
          <w:sz w:val="24"/>
          <w:szCs w:val="24"/>
        </w:rPr>
        <w:t xml:space="preserve">, 14, Article Number 21660:2024. </w:t>
      </w:r>
      <w:hyperlink r:id="rId262" w:history="1">
        <w:r w:rsidRPr="00FA23E8">
          <w:rPr>
            <w:rStyle w:val="Hyperlink"/>
            <w:color w:val="0070C0"/>
            <w:sz w:val="24"/>
            <w:szCs w:val="24"/>
          </w:rPr>
          <w:t>https://doi.org/10.1038/s41598-024-72656-w</w:t>
        </w:r>
      </w:hyperlink>
    </w:p>
    <w:p w14:paraId="30FB7E9F" w14:textId="51C09E6D" w:rsidR="00640A2D" w:rsidRPr="00452C80" w:rsidRDefault="00640A2D" w:rsidP="005F557B">
      <w:pPr>
        <w:spacing w:line="360" w:lineRule="auto"/>
        <w:ind w:left="833" w:hanging="720"/>
        <w:rPr>
          <w:sz w:val="24"/>
          <w:szCs w:val="24"/>
        </w:rPr>
      </w:pPr>
      <w:r w:rsidRPr="00452C80">
        <w:rPr>
          <w:sz w:val="24"/>
          <w:szCs w:val="24"/>
        </w:rPr>
        <w:t>Ivey, G. (2022) Interpreting hidden meaning in qualitative research interview data: opportunities and challenges. </w:t>
      </w:r>
      <w:r w:rsidRPr="00452C80">
        <w:rPr>
          <w:i/>
          <w:iCs/>
          <w:sz w:val="24"/>
          <w:szCs w:val="24"/>
        </w:rPr>
        <w:t>Qualitative Research in Psychology</w:t>
      </w:r>
      <w:r w:rsidRPr="00452C80">
        <w:rPr>
          <w:sz w:val="24"/>
          <w:szCs w:val="24"/>
        </w:rPr>
        <w:t>, </w:t>
      </w:r>
      <w:r w:rsidRPr="00452C80">
        <w:rPr>
          <w:b/>
          <w:bCs/>
          <w:sz w:val="24"/>
          <w:szCs w:val="24"/>
        </w:rPr>
        <w:t>20</w:t>
      </w:r>
      <w:r w:rsidRPr="00452C80">
        <w:rPr>
          <w:sz w:val="24"/>
          <w:szCs w:val="24"/>
        </w:rPr>
        <w:t xml:space="preserve">(1): pp. 21–51. </w:t>
      </w:r>
      <w:hyperlink r:id="rId263" w:history="1">
        <w:r w:rsidRPr="00FA23E8">
          <w:rPr>
            <w:rStyle w:val="Hyperlink"/>
            <w:color w:val="0070C0"/>
            <w:sz w:val="24"/>
            <w:szCs w:val="24"/>
          </w:rPr>
          <w:t>https://doi.org/10.1080/14780887.2022.2067509</w:t>
        </w:r>
      </w:hyperlink>
    </w:p>
    <w:p w14:paraId="092E3453" w14:textId="77777777" w:rsidR="00640A2D" w:rsidRPr="00452C80" w:rsidRDefault="00640A2D" w:rsidP="005F557B">
      <w:pPr>
        <w:spacing w:line="360" w:lineRule="auto"/>
        <w:ind w:left="833" w:hanging="720"/>
        <w:rPr>
          <w:sz w:val="24"/>
          <w:szCs w:val="24"/>
        </w:rPr>
      </w:pPr>
      <w:r w:rsidRPr="00452C80">
        <w:rPr>
          <w:sz w:val="24"/>
          <w:szCs w:val="24"/>
        </w:rPr>
        <w:t xml:space="preserve">Jacobi, M. (1990) </w:t>
      </w:r>
      <w:r w:rsidRPr="00452C80">
        <w:rPr>
          <w:i/>
          <w:iCs/>
          <w:sz w:val="24"/>
          <w:szCs w:val="24"/>
        </w:rPr>
        <w:t>Individuation and Narcissism: The psychology of self in Jung and Kohut.</w:t>
      </w:r>
      <w:r w:rsidRPr="00452C80">
        <w:rPr>
          <w:sz w:val="24"/>
          <w:szCs w:val="24"/>
        </w:rPr>
        <w:t xml:space="preserve"> London and New York: Routledge.</w:t>
      </w:r>
    </w:p>
    <w:p w14:paraId="4C9A065B" w14:textId="15515649" w:rsidR="00640A2D" w:rsidRPr="00452C80" w:rsidRDefault="00640A2D" w:rsidP="005F557B">
      <w:pPr>
        <w:spacing w:line="360" w:lineRule="auto"/>
        <w:ind w:left="833" w:hanging="720"/>
        <w:rPr>
          <w:sz w:val="24"/>
          <w:szCs w:val="24"/>
        </w:rPr>
      </w:pPr>
      <w:r w:rsidRPr="00452C80">
        <w:rPr>
          <w:sz w:val="24"/>
          <w:szCs w:val="24"/>
        </w:rPr>
        <w:t>Jacobs, M. (1995)</w:t>
      </w:r>
      <w:r w:rsidRPr="00452C80">
        <w:rPr>
          <w:i/>
          <w:iCs/>
          <w:sz w:val="24"/>
          <w:szCs w:val="24"/>
        </w:rPr>
        <w:t xml:space="preserve"> D.</w:t>
      </w:r>
      <w:r w:rsidR="003554D4">
        <w:rPr>
          <w:i/>
          <w:iCs/>
          <w:sz w:val="24"/>
          <w:szCs w:val="24"/>
        </w:rPr>
        <w:t xml:space="preserve"> </w:t>
      </w:r>
      <w:r w:rsidRPr="00452C80">
        <w:rPr>
          <w:i/>
          <w:iCs/>
          <w:sz w:val="24"/>
          <w:szCs w:val="24"/>
        </w:rPr>
        <w:t>W. Winnicott</w:t>
      </w:r>
      <w:r w:rsidRPr="00452C80">
        <w:rPr>
          <w:sz w:val="24"/>
          <w:szCs w:val="24"/>
        </w:rPr>
        <w:t>. London: Sage Publications.</w:t>
      </w:r>
    </w:p>
    <w:p w14:paraId="4BF29F5C" w14:textId="77777777" w:rsidR="00640A2D" w:rsidRPr="00452C80" w:rsidRDefault="00640A2D" w:rsidP="005F557B">
      <w:pPr>
        <w:spacing w:line="360" w:lineRule="auto"/>
        <w:ind w:left="833" w:hanging="720"/>
        <w:rPr>
          <w:sz w:val="24"/>
          <w:szCs w:val="24"/>
        </w:rPr>
      </w:pPr>
      <w:r w:rsidRPr="00452C80">
        <w:rPr>
          <w:sz w:val="24"/>
          <w:szCs w:val="24"/>
        </w:rPr>
        <w:t xml:space="preserve">Jacobsson, K., and Akerstrom, M. (2013) Interviewees with an agenda: Learning from a ’failed’ interview. </w:t>
      </w:r>
      <w:r w:rsidRPr="00452C80">
        <w:rPr>
          <w:i/>
          <w:iCs/>
          <w:sz w:val="24"/>
          <w:szCs w:val="24"/>
        </w:rPr>
        <w:t>Qualitative Research,</w:t>
      </w:r>
      <w:r w:rsidRPr="00452C80">
        <w:rPr>
          <w:sz w:val="24"/>
          <w:szCs w:val="24"/>
        </w:rPr>
        <w:t xml:space="preserve"> </w:t>
      </w:r>
      <w:r w:rsidRPr="00452C80">
        <w:rPr>
          <w:b/>
          <w:bCs/>
          <w:sz w:val="24"/>
          <w:szCs w:val="24"/>
        </w:rPr>
        <w:t>13</w:t>
      </w:r>
      <w:r w:rsidRPr="00452C80">
        <w:rPr>
          <w:sz w:val="24"/>
          <w:szCs w:val="24"/>
        </w:rPr>
        <w:t xml:space="preserve">(6): pp. 717-734. </w:t>
      </w:r>
      <w:hyperlink r:id="rId264" w:history="1">
        <w:r w:rsidRPr="00FA23E8">
          <w:rPr>
            <w:rStyle w:val="Hyperlink"/>
            <w:color w:val="0070C0"/>
            <w:sz w:val="24"/>
            <w:szCs w:val="24"/>
          </w:rPr>
          <w:t>https://doi.org/10.1177/1468794112465631</w:t>
        </w:r>
      </w:hyperlink>
    </w:p>
    <w:p w14:paraId="48C6D64C" w14:textId="77777777" w:rsidR="00640A2D" w:rsidRPr="00452C80" w:rsidRDefault="00640A2D" w:rsidP="005F557B">
      <w:pPr>
        <w:spacing w:line="360" w:lineRule="auto"/>
        <w:ind w:left="833" w:hanging="720"/>
        <w:rPr>
          <w:sz w:val="24"/>
          <w:szCs w:val="24"/>
        </w:rPr>
      </w:pPr>
      <w:r w:rsidRPr="00452C80">
        <w:rPr>
          <w:sz w:val="24"/>
          <w:szCs w:val="24"/>
        </w:rPr>
        <w:t xml:space="preserve">Jarvis, P. (1987) </w:t>
      </w:r>
      <w:r w:rsidRPr="00452C80">
        <w:rPr>
          <w:i/>
          <w:iCs/>
          <w:sz w:val="24"/>
          <w:szCs w:val="24"/>
        </w:rPr>
        <w:t>Adult learning and the Social Context</w:t>
      </w:r>
      <w:r w:rsidRPr="00452C80">
        <w:rPr>
          <w:sz w:val="24"/>
          <w:szCs w:val="24"/>
        </w:rPr>
        <w:t>. London: Croom Helm.</w:t>
      </w:r>
    </w:p>
    <w:p w14:paraId="0F1802DF" w14:textId="77777777" w:rsidR="00640A2D" w:rsidRPr="00452C80" w:rsidRDefault="00640A2D" w:rsidP="005F557B">
      <w:pPr>
        <w:spacing w:line="360" w:lineRule="auto"/>
        <w:ind w:left="833" w:hanging="720"/>
      </w:pPr>
      <w:r w:rsidRPr="00452C80">
        <w:rPr>
          <w:sz w:val="24"/>
          <w:szCs w:val="24"/>
        </w:rPr>
        <w:t xml:space="preserve">Jarvis, P. (1992) Reflective Practice and Nursing. </w:t>
      </w:r>
      <w:r w:rsidRPr="00452C80">
        <w:rPr>
          <w:i/>
          <w:iCs/>
          <w:sz w:val="24"/>
          <w:szCs w:val="24"/>
        </w:rPr>
        <w:t>Nurse Education Today</w:t>
      </w:r>
      <w:r w:rsidRPr="00452C80">
        <w:rPr>
          <w:sz w:val="24"/>
          <w:szCs w:val="24"/>
        </w:rPr>
        <w:t xml:space="preserve">, </w:t>
      </w:r>
      <w:r w:rsidRPr="00452C80">
        <w:rPr>
          <w:b/>
          <w:bCs/>
          <w:sz w:val="24"/>
          <w:szCs w:val="24"/>
        </w:rPr>
        <w:t>19</w:t>
      </w:r>
      <w:r w:rsidRPr="00452C80">
        <w:rPr>
          <w:sz w:val="24"/>
          <w:szCs w:val="24"/>
        </w:rPr>
        <w:t>(6): pp. 452-463.</w:t>
      </w:r>
      <w:r w:rsidRPr="00452C80">
        <w:rPr>
          <w:rFonts w:ascii="Segoe UI" w:eastAsia="Times New Roman" w:hAnsi="Segoe UI" w:cs="Segoe UI"/>
          <w:sz w:val="24"/>
          <w:szCs w:val="24"/>
          <w:lang w:eastAsia="en-GB"/>
        </w:rPr>
        <w:t xml:space="preserve"> </w:t>
      </w:r>
      <w:r w:rsidRPr="00452C80">
        <w:rPr>
          <w:sz w:val="24"/>
          <w:szCs w:val="24"/>
        </w:rPr>
        <w:t> </w:t>
      </w:r>
      <w:r w:rsidRPr="00FA23E8">
        <w:rPr>
          <w:color w:val="0070C0"/>
          <w:sz w:val="24"/>
          <w:szCs w:val="24"/>
          <w:u w:val="single"/>
        </w:rPr>
        <w:t>https://doi.org/</w:t>
      </w:r>
      <w:hyperlink r:id="rId265" w:tgtFrame="_blank" w:history="1">
        <w:r w:rsidRPr="00FA23E8">
          <w:rPr>
            <w:rStyle w:val="Hyperlink"/>
            <w:color w:val="0070C0"/>
            <w:sz w:val="24"/>
            <w:szCs w:val="24"/>
          </w:rPr>
          <w:t>10.1016/0260-6917(92)90059-w</w:t>
        </w:r>
      </w:hyperlink>
    </w:p>
    <w:p w14:paraId="486300EB" w14:textId="77777777" w:rsidR="00640A2D" w:rsidRPr="00452C80" w:rsidRDefault="00640A2D" w:rsidP="005F557B">
      <w:pPr>
        <w:spacing w:line="360" w:lineRule="auto"/>
        <w:ind w:left="833" w:hanging="720"/>
      </w:pPr>
      <w:r w:rsidRPr="00452C80">
        <w:rPr>
          <w:sz w:val="24"/>
          <w:szCs w:val="24"/>
        </w:rPr>
        <w:t>Javadi, M., and Zarea, K. (2016) Understanding Thematic Analysis and its Pitfall.</w:t>
      </w:r>
      <w:r w:rsidRPr="00452C80">
        <w:rPr>
          <w:i/>
          <w:iCs/>
          <w:sz w:val="24"/>
          <w:szCs w:val="24"/>
        </w:rPr>
        <w:t xml:space="preserve"> Journal of Client Care</w:t>
      </w:r>
      <w:r w:rsidRPr="00452C80">
        <w:rPr>
          <w:sz w:val="24"/>
          <w:szCs w:val="24"/>
        </w:rPr>
        <w:t>,</w:t>
      </w:r>
      <w:r w:rsidRPr="00452C80">
        <w:rPr>
          <w:b/>
          <w:bCs/>
          <w:sz w:val="24"/>
          <w:szCs w:val="24"/>
        </w:rPr>
        <w:t xml:space="preserve"> 1</w:t>
      </w:r>
      <w:r w:rsidRPr="00452C80">
        <w:rPr>
          <w:sz w:val="24"/>
          <w:szCs w:val="24"/>
        </w:rPr>
        <w:t>(1): pp.34-40.</w:t>
      </w:r>
      <w:r w:rsidRPr="00452C80">
        <w:t xml:space="preserve"> </w:t>
      </w:r>
      <w:hyperlink r:id="rId266" w:history="1">
        <w:r w:rsidRPr="00FA23E8">
          <w:rPr>
            <w:rStyle w:val="Hyperlink"/>
            <w:color w:val="0070C0"/>
            <w:sz w:val="24"/>
            <w:szCs w:val="24"/>
          </w:rPr>
          <w:t>https://pdfs.semanticscholar.org/7e0d/d7ca59631b0cc61a1ce28effd6eb0c78a665.pdf</w:t>
        </w:r>
      </w:hyperlink>
    </w:p>
    <w:p w14:paraId="1927261E" w14:textId="6FD6EEA7" w:rsidR="00640A2D" w:rsidRPr="00452C80" w:rsidRDefault="00640A2D" w:rsidP="005F557B">
      <w:pPr>
        <w:spacing w:line="360" w:lineRule="auto"/>
        <w:ind w:left="833" w:hanging="720"/>
        <w:rPr>
          <w:sz w:val="24"/>
          <w:szCs w:val="24"/>
        </w:rPr>
      </w:pPr>
      <w:r w:rsidRPr="00452C80">
        <w:rPr>
          <w:sz w:val="24"/>
          <w:szCs w:val="24"/>
        </w:rPr>
        <w:t>Jayaratne, T.</w:t>
      </w:r>
      <w:r w:rsidR="000A7B6F">
        <w:rPr>
          <w:sz w:val="24"/>
          <w:szCs w:val="24"/>
        </w:rPr>
        <w:t xml:space="preserve"> </w:t>
      </w:r>
      <w:r w:rsidRPr="00452C80">
        <w:rPr>
          <w:sz w:val="24"/>
          <w:szCs w:val="24"/>
        </w:rPr>
        <w:t xml:space="preserve">E., and Stewart, A. (1991) Quantitative and qualitative methods in the social sciences: current feminist issues and practical strategies. In M. Fonow and J. Cook (eds.) </w:t>
      </w:r>
      <w:r w:rsidRPr="00452C80">
        <w:rPr>
          <w:i/>
          <w:iCs/>
          <w:sz w:val="24"/>
          <w:szCs w:val="24"/>
        </w:rPr>
        <w:t>Beyond Methodology: Feminist Scholarship as Lived Research.</w:t>
      </w:r>
      <w:r w:rsidRPr="00452C80">
        <w:rPr>
          <w:sz w:val="24"/>
          <w:szCs w:val="24"/>
        </w:rPr>
        <w:t xml:space="preserve"> Bloomington, IN: Indiana University Press.</w:t>
      </w:r>
    </w:p>
    <w:p w14:paraId="2D01F3CA" w14:textId="238E7AA0" w:rsidR="00071B9D" w:rsidRPr="00CB0EC0" w:rsidRDefault="00B65384" w:rsidP="00071B9D">
      <w:pPr>
        <w:spacing w:line="360" w:lineRule="auto"/>
        <w:ind w:left="833" w:hanging="720"/>
        <w:rPr>
          <w:color w:val="4F81BD" w:themeColor="accent1"/>
          <w:sz w:val="24"/>
          <w:szCs w:val="24"/>
          <w:u w:val="single"/>
        </w:rPr>
      </w:pPr>
      <w:r w:rsidRPr="00B65384">
        <w:rPr>
          <w:sz w:val="24"/>
          <w:szCs w:val="24"/>
        </w:rPr>
        <w:t>Jayman, M., Glazzard, J.</w:t>
      </w:r>
      <w:r w:rsidR="000A7B6F">
        <w:rPr>
          <w:sz w:val="24"/>
          <w:szCs w:val="24"/>
        </w:rPr>
        <w:t>,</w:t>
      </w:r>
      <w:r w:rsidRPr="00B65384">
        <w:rPr>
          <w:sz w:val="24"/>
          <w:szCs w:val="24"/>
        </w:rPr>
        <w:t xml:space="preserve"> and Rose, A. (2022) Tipping Point: The staff wellbeing crisis in higher education. </w:t>
      </w:r>
      <w:r w:rsidRPr="00B65384">
        <w:rPr>
          <w:i/>
          <w:iCs/>
          <w:sz w:val="24"/>
          <w:szCs w:val="24"/>
        </w:rPr>
        <w:t>Frontiers in Education</w:t>
      </w:r>
      <w:r w:rsidRPr="00B65384">
        <w:rPr>
          <w:sz w:val="24"/>
          <w:szCs w:val="24"/>
        </w:rPr>
        <w:t>, 7: pp.1-7</w:t>
      </w:r>
      <w:r w:rsidR="00071B9D">
        <w:rPr>
          <w:sz w:val="24"/>
          <w:szCs w:val="24"/>
        </w:rPr>
        <w:t xml:space="preserve">. </w:t>
      </w:r>
      <w:r w:rsidR="00071B9D" w:rsidRPr="00CB0EC0">
        <w:rPr>
          <w:color w:val="4F81BD" w:themeColor="accent1"/>
          <w:sz w:val="24"/>
          <w:szCs w:val="24"/>
          <w:u w:val="single"/>
        </w:rPr>
        <w:t>https://doi.org/ 10.3389/feduc.2022.929335</w:t>
      </w:r>
    </w:p>
    <w:p w14:paraId="0DEE1236" w14:textId="658AA2FF" w:rsidR="00640A2D" w:rsidRPr="00557B65" w:rsidRDefault="00640A2D" w:rsidP="00CB0EC0">
      <w:pPr>
        <w:spacing w:line="360" w:lineRule="auto"/>
        <w:ind w:left="720" w:hanging="720"/>
        <w:rPr>
          <w:sz w:val="24"/>
          <w:szCs w:val="24"/>
        </w:rPr>
      </w:pPr>
      <w:r w:rsidRPr="00452C80">
        <w:rPr>
          <w:sz w:val="24"/>
          <w:szCs w:val="24"/>
        </w:rPr>
        <w:t xml:space="preserve">Jayman, M., and Lynam, S. (2020) Stay Calm and E-Educate: Exploring HE Staff Experiences of Online Teaching and Learning in the Wake of Covid-19 [Paper presentation]. Stay calm and e-educate: Technology, Education, Mental health and wellbeing, </w:t>
      </w:r>
      <w:r w:rsidRPr="00452C80">
        <w:rPr>
          <w:i/>
          <w:iCs/>
          <w:sz w:val="24"/>
          <w:szCs w:val="24"/>
        </w:rPr>
        <w:t>British Educational Research Association</w:t>
      </w:r>
      <w:r w:rsidRPr="00452C80">
        <w:rPr>
          <w:sz w:val="24"/>
          <w:szCs w:val="24"/>
        </w:rPr>
        <w:t>.</w:t>
      </w:r>
      <w:r w:rsidR="00557B65">
        <w:rPr>
          <w:sz w:val="24"/>
          <w:szCs w:val="24"/>
        </w:rPr>
        <w:t xml:space="preserve"> Available at: </w:t>
      </w:r>
      <w:r w:rsidRPr="00452C80">
        <w:rPr>
          <w:sz w:val="24"/>
          <w:szCs w:val="24"/>
        </w:rPr>
        <w:t xml:space="preserve"> </w:t>
      </w:r>
      <w:r w:rsidRPr="00FA23E8">
        <w:rPr>
          <w:color w:val="0070C0"/>
          <w:sz w:val="24"/>
          <w:szCs w:val="24"/>
          <w:u w:val="single"/>
        </w:rPr>
        <w:t>https://</w:t>
      </w:r>
      <w:hyperlink r:id="rId267" w:history="1">
        <w:r w:rsidRPr="00FA23E8">
          <w:rPr>
            <w:rStyle w:val="Hyperlink"/>
            <w:color w:val="0070C0"/>
            <w:sz w:val="24"/>
            <w:szCs w:val="24"/>
          </w:rPr>
          <w:t>www.bera.ac.uk/event/stay-calm-and-e-educate-technology-education-andmental-wellbeing</w:t>
        </w:r>
      </w:hyperlink>
      <w:r w:rsidR="00557B65">
        <w:t xml:space="preserve">  </w:t>
      </w:r>
      <w:r w:rsidR="00557B65" w:rsidRPr="00557B65">
        <w:rPr>
          <w:sz w:val="24"/>
          <w:szCs w:val="24"/>
        </w:rPr>
        <w:t>[Accessed 12</w:t>
      </w:r>
      <w:r w:rsidR="00557B65" w:rsidRPr="00557B65">
        <w:rPr>
          <w:sz w:val="24"/>
          <w:szCs w:val="24"/>
          <w:vertAlign w:val="superscript"/>
        </w:rPr>
        <w:t>th</w:t>
      </w:r>
      <w:r w:rsidR="00557B65" w:rsidRPr="00557B65">
        <w:rPr>
          <w:sz w:val="24"/>
          <w:szCs w:val="24"/>
        </w:rPr>
        <w:t xml:space="preserve"> June 2022]</w:t>
      </w:r>
    </w:p>
    <w:p w14:paraId="6C30CDBB" w14:textId="59D53DC3" w:rsidR="00640A2D" w:rsidRDefault="00640A2D" w:rsidP="005F557B">
      <w:pPr>
        <w:spacing w:line="360" w:lineRule="auto"/>
        <w:ind w:left="833" w:hanging="720"/>
        <w:rPr>
          <w:sz w:val="24"/>
          <w:szCs w:val="24"/>
        </w:rPr>
      </w:pPr>
      <w:r w:rsidRPr="00452C80">
        <w:rPr>
          <w:sz w:val="24"/>
          <w:szCs w:val="24"/>
        </w:rPr>
        <w:t>Jennison, L., Credland, N., and Walker, J. (2024, April) Can restorative supervision positively impact the emotional wellbeing of HEI lecturers in healthcare? Paper presented at ANTF Symposium 2024: Association of National Teaching Fellows; Collaborative Award for Teaching Excellence Network, Nottingham.</w:t>
      </w:r>
      <w:r w:rsidR="005E1249">
        <w:rPr>
          <w:sz w:val="24"/>
          <w:szCs w:val="24"/>
        </w:rPr>
        <w:t xml:space="preserve"> Available at: </w:t>
      </w:r>
      <w:hyperlink r:id="rId268" w:history="1">
        <w:r w:rsidR="005E1249" w:rsidRPr="0019278B">
          <w:rPr>
            <w:rStyle w:val="Hyperlink"/>
            <w:sz w:val="24"/>
            <w:szCs w:val="24"/>
          </w:rPr>
          <w:t>https://hull-repository.worktribe.com/output/4577109/can-restorative-supervision-positively-impact-the-emotional-wellbeing-of-hei-lecturers-in-healthcare</w:t>
        </w:r>
      </w:hyperlink>
      <w:r w:rsidR="005E1249">
        <w:rPr>
          <w:sz w:val="24"/>
          <w:szCs w:val="24"/>
        </w:rPr>
        <w:t xml:space="preserve"> </w:t>
      </w:r>
      <w:r w:rsidR="00F15A47">
        <w:rPr>
          <w:sz w:val="24"/>
          <w:szCs w:val="24"/>
        </w:rPr>
        <w:t>[Accessed 7th June 2025]</w:t>
      </w:r>
    </w:p>
    <w:p w14:paraId="248BFF5F" w14:textId="64AF4E1C" w:rsidR="00A358A0" w:rsidRPr="00A358A0" w:rsidRDefault="00A358A0" w:rsidP="00A358A0">
      <w:pPr>
        <w:spacing w:line="360" w:lineRule="auto"/>
        <w:ind w:left="833" w:hanging="720"/>
        <w:rPr>
          <w:sz w:val="24"/>
          <w:szCs w:val="24"/>
        </w:rPr>
      </w:pPr>
      <w:r w:rsidRPr="00A358A0">
        <w:rPr>
          <w:sz w:val="24"/>
          <w:szCs w:val="24"/>
        </w:rPr>
        <w:t xml:space="preserve">Jennison, L., and Walker, J. (2023, December) 4Bii. </w:t>
      </w:r>
      <w:r w:rsidRPr="00A358A0">
        <w:rPr>
          <w:i/>
          <w:iCs/>
          <w:sz w:val="24"/>
          <w:szCs w:val="24"/>
        </w:rPr>
        <w:t>Improving undergraduate student attrition and experience through an innovative Restorative Supervision project.</w:t>
      </w:r>
      <w:r w:rsidRPr="00A358A0">
        <w:rPr>
          <w:sz w:val="24"/>
          <w:szCs w:val="24"/>
        </w:rPr>
        <w:t xml:space="preserve"> Paper presented at Advance HE Networking &amp; Innovation in Healthcare Education Conference, Liverpool.</w:t>
      </w:r>
      <w:r w:rsidR="00117A2E">
        <w:rPr>
          <w:sz w:val="24"/>
          <w:szCs w:val="24"/>
        </w:rPr>
        <w:t xml:space="preserve"> Available at: </w:t>
      </w:r>
      <w:hyperlink r:id="rId269" w:history="1">
        <w:r w:rsidR="00117A2E" w:rsidRPr="0019278B">
          <w:rPr>
            <w:rStyle w:val="Hyperlink"/>
            <w:sz w:val="24"/>
            <w:szCs w:val="24"/>
          </w:rPr>
          <w:t>https://hull-repository.worktribe.com/output/4469523/4bii-improving-undergraduate-student-attrition-and-experience-through-an-innovative-restorative-supervision-project</w:t>
        </w:r>
      </w:hyperlink>
      <w:r w:rsidR="00117A2E">
        <w:rPr>
          <w:sz w:val="24"/>
          <w:szCs w:val="24"/>
        </w:rPr>
        <w:t xml:space="preserve">  [Accessed </w:t>
      </w:r>
      <w:r w:rsidR="00BD0552">
        <w:rPr>
          <w:sz w:val="24"/>
          <w:szCs w:val="24"/>
        </w:rPr>
        <w:t>3</w:t>
      </w:r>
      <w:r w:rsidR="00BD0552" w:rsidRPr="00BD0552">
        <w:rPr>
          <w:sz w:val="24"/>
          <w:szCs w:val="24"/>
          <w:vertAlign w:val="superscript"/>
        </w:rPr>
        <w:t>rd</w:t>
      </w:r>
      <w:r w:rsidR="00BD0552">
        <w:rPr>
          <w:sz w:val="24"/>
          <w:szCs w:val="24"/>
        </w:rPr>
        <w:t xml:space="preserve"> July 2024]</w:t>
      </w:r>
    </w:p>
    <w:p w14:paraId="27518266" w14:textId="34547412" w:rsidR="00640A2D" w:rsidRPr="00452C80" w:rsidRDefault="00640A2D" w:rsidP="00A358A0">
      <w:pPr>
        <w:spacing w:line="360" w:lineRule="auto"/>
        <w:ind w:left="720" w:hanging="720"/>
        <w:rPr>
          <w:sz w:val="24"/>
          <w:szCs w:val="24"/>
        </w:rPr>
      </w:pPr>
      <w:r w:rsidRPr="00452C80">
        <w:rPr>
          <w:sz w:val="24"/>
          <w:szCs w:val="24"/>
        </w:rPr>
        <w:lastRenderedPageBreak/>
        <w:t>Jennison, L., Walker, J., Credland, N., Dixon, P., and Dunn, R. (2024a, April) ViPER - Introducing a service to deliver restorative supervision for nursing students, to improve retention and raise the quality of student experiences. Paper presented at RCN Education Forum National Conference and Exhibition 2024: Future Insights: Enabling professional practice in health and social care nursing education, York.</w:t>
      </w:r>
      <w:r w:rsidR="00A80CD5">
        <w:rPr>
          <w:sz w:val="24"/>
          <w:szCs w:val="24"/>
        </w:rPr>
        <w:t xml:space="preserve"> Available at: </w:t>
      </w:r>
      <w:hyperlink r:id="rId270" w:history="1">
        <w:r w:rsidR="00A80CD5" w:rsidRPr="0019278B">
          <w:rPr>
            <w:rStyle w:val="Hyperlink"/>
            <w:sz w:val="24"/>
            <w:szCs w:val="24"/>
          </w:rPr>
          <w:t>https://hull-repository.worktribe.com/output/4658819/viper-introducing-a-service-to-deliver-restorative-supervision-for-nursing-students-to-improve-retention-and-raise-the-quality-of-student-experiences</w:t>
        </w:r>
      </w:hyperlink>
      <w:r w:rsidR="00A80CD5">
        <w:rPr>
          <w:sz w:val="24"/>
          <w:szCs w:val="24"/>
        </w:rPr>
        <w:t xml:space="preserve"> </w:t>
      </w:r>
      <w:r w:rsidR="00604F02">
        <w:rPr>
          <w:sz w:val="24"/>
          <w:szCs w:val="24"/>
        </w:rPr>
        <w:t xml:space="preserve"> [Accessed 18</w:t>
      </w:r>
      <w:r w:rsidR="00604F02" w:rsidRPr="00604F02">
        <w:rPr>
          <w:sz w:val="24"/>
          <w:szCs w:val="24"/>
          <w:vertAlign w:val="superscript"/>
        </w:rPr>
        <w:t>th</w:t>
      </w:r>
      <w:r w:rsidR="00604F02">
        <w:rPr>
          <w:sz w:val="24"/>
          <w:szCs w:val="24"/>
        </w:rPr>
        <w:t xml:space="preserve"> October 2025]</w:t>
      </w:r>
    </w:p>
    <w:p w14:paraId="7D043DDF" w14:textId="77777777" w:rsidR="00640A2D" w:rsidRPr="00452C80" w:rsidRDefault="00640A2D" w:rsidP="005F557B">
      <w:pPr>
        <w:spacing w:line="360" w:lineRule="auto"/>
        <w:ind w:left="833" w:hanging="720"/>
        <w:rPr>
          <w:sz w:val="24"/>
          <w:szCs w:val="24"/>
        </w:rPr>
      </w:pPr>
      <w:r w:rsidRPr="00452C80">
        <w:rPr>
          <w:sz w:val="24"/>
          <w:szCs w:val="24"/>
        </w:rPr>
        <w:t xml:space="preserve">Jerak, T., Vidrih, A., and Žvelc, G. (2018) The experience of attunement and misattunement in dance movement therapy workshops. </w:t>
      </w:r>
      <w:r w:rsidRPr="00452C80">
        <w:rPr>
          <w:i/>
          <w:iCs/>
          <w:sz w:val="24"/>
          <w:szCs w:val="24"/>
        </w:rPr>
        <w:t>The Arts in Psychotherapy</w:t>
      </w:r>
      <w:r w:rsidRPr="00452C80">
        <w:rPr>
          <w:sz w:val="24"/>
          <w:szCs w:val="24"/>
        </w:rPr>
        <w:t xml:space="preserve">, 60: pp.55-62. </w:t>
      </w:r>
      <w:hyperlink r:id="rId271" w:tgtFrame="_blank" w:tooltip="Persistent link using digital object identifier" w:history="1">
        <w:r w:rsidRPr="00FA23E8">
          <w:rPr>
            <w:rStyle w:val="Hyperlink"/>
            <w:color w:val="0070C0"/>
            <w:sz w:val="24"/>
            <w:szCs w:val="24"/>
          </w:rPr>
          <w:t>https://doi.org/10.1016/j.aip.2018.06.001</w:t>
        </w:r>
      </w:hyperlink>
      <w:r w:rsidRPr="00FA23E8">
        <w:rPr>
          <w:color w:val="0070C0"/>
          <w:sz w:val="24"/>
          <w:szCs w:val="24"/>
        </w:rPr>
        <w:t xml:space="preserve"> </w:t>
      </w:r>
    </w:p>
    <w:p w14:paraId="26C68468" w14:textId="00E7AC95" w:rsidR="00640A2D" w:rsidRPr="00452C80" w:rsidRDefault="00640A2D" w:rsidP="005F557B">
      <w:pPr>
        <w:spacing w:line="360" w:lineRule="auto"/>
        <w:ind w:left="833" w:hanging="720"/>
        <w:rPr>
          <w:sz w:val="24"/>
          <w:szCs w:val="24"/>
        </w:rPr>
      </w:pPr>
      <w:r w:rsidRPr="00452C80">
        <w:rPr>
          <w:sz w:val="24"/>
          <w:szCs w:val="24"/>
        </w:rPr>
        <w:t xml:space="preserve">Johns, C. (1998) Opening the doors of perception. In C. Johns, and D. Freshwater (eds) </w:t>
      </w:r>
      <w:r w:rsidRPr="00452C80">
        <w:rPr>
          <w:i/>
          <w:iCs/>
          <w:sz w:val="24"/>
          <w:szCs w:val="24"/>
        </w:rPr>
        <w:t>Transforming Nursing Through Reflective Practice</w:t>
      </w:r>
      <w:r w:rsidRPr="00452C80">
        <w:rPr>
          <w:sz w:val="24"/>
          <w:szCs w:val="24"/>
        </w:rPr>
        <w:t>. Oxford: Blackwell Science.</w:t>
      </w:r>
    </w:p>
    <w:p w14:paraId="28D24EF1" w14:textId="635C4DB1" w:rsidR="00640A2D" w:rsidRPr="00452C80" w:rsidRDefault="00640A2D" w:rsidP="005F557B">
      <w:pPr>
        <w:spacing w:line="360" w:lineRule="auto"/>
        <w:ind w:left="833" w:hanging="720"/>
        <w:rPr>
          <w:sz w:val="24"/>
          <w:szCs w:val="24"/>
        </w:rPr>
      </w:pPr>
      <w:r w:rsidRPr="00452C80">
        <w:rPr>
          <w:sz w:val="24"/>
          <w:szCs w:val="24"/>
        </w:rPr>
        <w:t xml:space="preserve">Johns, C. (2000) </w:t>
      </w:r>
      <w:r w:rsidRPr="00452C80">
        <w:rPr>
          <w:i/>
          <w:iCs/>
          <w:sz w:val="24"/>
          <w:szCs w:val="24"/>
        </w:rPr>
        <w:t>Becoming a Reflective Practitioner</w:t>
      </w:r>
      <w:r w:rsidRPr="00452C80">
        <w:rPr>
          <w:sz w:val="24"/>
          <w:szCs w:val="24"/>
        </w:rPr>
        <w:t>. Oxford; Blackwell</w:t>
      </w:r>
    </w:p>
    <w:p w14:paraId="272B4021" w14:textId="77777777" w:rsidR="00640A2D" w:rsidRPr="00452C80" w:rsidRDefault="00640A2D" w:rsidP="005F557B">
      <w:pPr>
        <w:spacing w:line="360" w:lineRule="auto"/>
        <w:ind w:left="833" w:hanging="720"/>
        <w:rPr>
          <w:sz w:val="24"/>
          <w:szCs w:val="24"/>
        </w:rPr>
      </w:pPr>
      <w:r w:rsidRPr="00452C80">
        <w:rPr>
          <w:sz w:val="24"/>
          <w:szCs w:val="24"/>
        </w:rPr>
        <w:t xml:space="preserve">Johns, C. (2004) </w:t>
      </w:r>
      <w:r w:rsidRPr="00452C80">
        <w:rPr>
          <w:i/>
          <w:iCs/>
          <w:sz w:val="24"/>
          <w:szCs w:val="24"/>
        </w:rPr>
        <w:t>Becoming a Reflective Practitioner: The reflective and holistic approach to clinical nursing, practice development and clinical supervision</w:t>
      </w:r>
      <w:r w:rsidRPr="00452C80">
        <w:rPr>
          <w:sz w:val="24"/>
          <w:szCs w:val="24"/>
        </w:rPr>
        <w:t>. Oxford: Blackwell Science.</w:t>
      </w:r>
    </w:p>
    <w:p w14:paraId="4147FDE4" w14:textId="14BDD229" w:rsidR="00640A2D" w:rsidRPr="00452C80" w:rsidRDefault="00640A2D" w:rsidP="00A358A0">
      <w:pPr>
        <w:spacing w:line="360" w:lineRule="auto"/>
        <w:ind w:left="720" w:hanging="720"/>
        <w:rPr>
          <w:sz w:val="24"/>
          <w:szCs w:val="24"/>
        </w:rPr>
      </w:pPr>
      <w:r w:rsidRPr="00452C80">
        <w:rPr>
          <w:sz w:val="24"/>
          <w:szCs w:val="24"/>
        </w:rPr>
        <w:t xml:space="preserve">Johnson, S. J., Willis, S. M., and Evans, J. (2019) An examination of stressors, strain, and resilience in academic and non–academic UK university job roles. </w:t>
      </w:r>
      <w:r w:rsidRPr="00452C80">
        <w:rPr>
          <w:i/>
          <w:iCs/>
          <w:sz w:val="24"/>
          <w:szCs w:val="24"/>
        </w:rPr>
        <w:t>International Journal of Stress Management</w:t>
      </w:r>
      <w:r w:rsidRPr="00452C80">
        <w:rPr>
          <w:sz w:val="24"/>
          <w:szCs w:val="24"/>
        </w:rPr>
        <w:t xml:space="preserve">, </w:t>
      </w:r>
      <w:r w:rsidRPr="00452C80">
        <w:rPr>
          <w:b/>
          <w:bCs/>
          <w:sz w:val="24"/>
          <w:szCs w:val="24"/>
        </w:rPr>
        <w:t>26</w:t>
      </w:r>
      <w:r w:rsidRPr="00452C80">
        <w:rPr>
          <w:sz w:val="24"/>
          <w:szCs w:val="24"/>
        </w:rPr>
        <w:t>(2): pp. 162–172.</w:t>
      </w:r>
      <w:r w:rsidRPr="00452C80">
        <w:t xml:space="preserve"> </w:t>
      </w:r>
      <w:hyperlink r:id="rId272" w:tgtFrame="_blank" w:history="1">
        <w:r w:rsidRPr="00FA23E8">
          <w:rPr>
            <w:rStyle w:val="Hyperlink"/>
            <w:color w:val="0070C0"/>
            <w:sz w:val="24"/>
            <w:szCs w:val="24"/>
          </w:rPr>
          <w:t>https://doi.org/10.1037/str0000096</w:t>
        </w:r>
      </w:hyperlink>
      <w:r w:rsidRPr="00FA23E8">
        <w:rPr>
          <w:color w:val="0070C0"/>
          <w:sz w:val="24"/>
          <w:szCs w:val="24"/>
        </w:rPr>
        <w:t xml:space="preserve"> </w:t>
      </w:r>
    </w:p>
    <w:p w14:paraId="20246AAA" w14:textId="77777777" w:rsidR="00640A2D" w:rsidRPr="00452C80" w:rsidRDefault="00640A2D" w:rsidP="005F557B">
      <w:pPr>
        <w:spacing w:line="360" w:lineRule="auto"/>
        <w:ind w:left="833" w:hanging="720"/>
        <w:rPr>
          <w:sz w:val="24"/>
          <w:szCs w:val="24"/>
        </w:rPr>
      </w:pPr>
      <w:r w:rsidRPr="00452C80">
        <w:rPr>
          <w:sz w:val="24"/>
          <w:szCs w:val="24"/>
        </w:rPr>
        <w:t xml:space="preserve">Jovchelovitch, S., and Bauer, M.W. (2020) Narrative interviewing. In M.W. Bauer and G. Gaskell (eds.), </w:t>
      </w:r>
      <w:r w:rsidRPr="00452C80">
        <w:rPr>
          <w:i/>
          <w:iCs/>
          <w:sz w:val="24"/>
          <w:szCs w:val="24"/>
        </w:rPr>
        <w:t>Qualitative Researching with Text, Image and Sound: A Practical Handbook</w:t>
      </w:r>
      <w:r w:rsidRPr="00452C80">
        <w:rPr>
          <w:sz w:val="24"/>
          <w:szCs w:val="24"/>
        </w:rPr>
        <w:t>. London: Sage</w:t>
      </w:r>
    </w:p>
    <w:p w14:paraId="301CD108" w14:textId="77777777" w:rsidR="00640A2D" w:rsidRPr="00452C80" w:rsidRDefault="00640A2D" w:rsidP="005F557B">
      <w:pPr>
        <w:spacing w:line="360" w:lineRule="auto"/>
        <w:ind w:left="833" w:hanging="720"/>
        <w:rPr>
          <w:sz w:val="24"/>
          <w:szCs w:val="24"/>
        </w:rPr>
      </w:pPr>
      <w:r w:rsidRPr="00452C80">
        <w:rPr>
          <w:sz w:val="24"/>
          <w:szCs w:val="24"/>
        </w:rPr>
        <w:t xml:space="preserve">Joyce, J. (1934) </w:t>
      </w:r>
      <w:r w:rsidRPr="00452C80">
        <w:rPr>
          <w:i/>
          <w:iCs/>
          <w:sz w:val="24"/>
          <w:szCs w:val="24"/>
        </w:rPr>
        <w:t>Ulysses.</w:t>
      </w:r>
      <w:r w:rsidRPr="00452C80">
        <w:rPr>
          <w:sz w:val="24"/>
          <w:szCs w:val="24"/>
        </w:rPr>
        <w:t xml:space="preserve"> New York: Random House.</w:t>
      </w:r>
    </w:p>
    <w:p w14:paraId="5C8BDF25" w14:textId="77777777" w:rsidR="00640A2D" w:rsidRPr="00452C80" w:rsidRDefault="00640A2D" w:rsidP="005F557B">
      <w:pPr>
        <w:spacing w:line="360" w:lineRule="auto"/>
        <w:ind w:left="833" w:hanging="720"/>
        <w:rPr>
          <w:sz w:val="24"/>
          <w:szCs w:val="24"/>
        </w:rPr>
      </w:pPr>
      <w:r w:rsidRPr="00452C80">
        <w:rPr>
          <w:sz w:val="24"/>
          <w:szCs w:val="24"/>
        </w:rPr>
        <w:t xml:space="preserve">Joyce, J. (1939) </w:t>
      </w:r>
      <w:r w:rsidRPr="00452C80">
        <w:rPr>
          <w:i/>
          <w:iCs/>
          <w:sz w:val="24"/>
          <w:szCs w:val="24"/>
        </w:rPr>
        <w:t>Finnegans Wake</w:t>
      </w:r>
      <w:r w:rsidRPr="00452C80">
        <w:rPr>
          <w:sz w:val="24"/>
          <w:szCs w:val="24"/>
        </w:rPr>
        <w:t>. New York: Viking Press.</w:t>
      </w:r>
    </w:p>
    <w:p w14:paraId="7BF9CFA6" w14:textId="77777777" w:rsidR="00640A2D" w:rsidRPr="00452C80" w:rsidRDefault="00640A2D" w:rsidP="005F557B">
      <w:pPr>
        <w:spacing w:line="360" w:lineRule="auto"/>
        <w:ind w:left="833" w:hanging="720"/>
        <w:rPr>
          <w:sz w:val="24"/>
          <w:szCs w:val="24"/>
        </w:rPr>
      </w:pPr>
      <w:r w:rsidRPr="00452C80">
        <w:rPr>
          <w:sz w:val="24"/>
          <w:szCs w:val="24"/>
        </w:rPr>
        <w:lastRenderedPageBreak/>
        <w:t xml:space="preserve">Jung, C. G. (1953) </w:t>
      </w:r>
      <w:r w:rsidRPr="00452C80">
        <w:rPr>
          <w:i/>
          <w:iCs/>
          <w:sz w:val="24"/>
          <w:szCs w:val="24"/>
        </w:rPr>
        <w:t>Two Essays on Analytical Psychology</w:t>
      </w:r>
      <w:r w:rsidRPr="00452C80">
        <w:rPr>
          <w:sz w:val="24"/>
          <w:szCs w:val="24"/>
        </w:rPr>
        <w:t>. (R.F.C. Hull, Trans.) New York: Princeton University Press.</w:t>
      </w:r>
    </w:p>
    <w:p w14:paraId="39A01C80" w14:textId="77777777" w:rsidR="00640A2D" w:rsidRPr="00452C80" w:rsidRDefault="00640A2D" w:rsidP="005F557B">
      <w:pPr>
        <w:spacing w:line="360" w:lineRule="auto"/>
        <w:ind w:left="833" w:hanging="720"/>
        <w:rPr>
          <w:sz w:val="24"/>
          <w:szCs w:val="24"/>
        </w:rPr>
      </w:pPr>
      <w:r w:rsidRPr="00452C80">
        <w:rPr>
          <w:sz w:val="24"/>
          <w:szCs w:val="24"/>
        </w:rPr>
        <w:t xml:space="preserve">Jung, C. G. (1954) </w:t>
      </w:r>
      <w:r w:rsidRPr="00452C80">
        <w:rPr>
          <w:i/>
          <w:iCs/>
          <w:sz w:val="24"/>
          <w:szCs w:val="24"/>
        </w:rPr>
        <w:t xml:space="preserve">The Development of Personality: Papers on child psychology, education and related subjects. </w:t>
      </w:r>
      <w:r w:rsidRPr="00452C80">
        <w:rPr>
          <w:sz w:val="24"/>
          <w:szCs w:val="24"/>
        </w:rPr>
        <w:t xml:space="preserve">(R.F.C. Hull, Trans.). Princeton, NJ: Princeton University Press. </w:t>
      </w:r>
    </w:p>
    <w:p w14:paraId="0BED5AB3" w14:textId="616D24F6" w:rsidR="00640A2D" w:rsidRPr="00452C80" w:rsidRDefault="00640A2D" w:rsidP="005F557B">
      <w:pPr>
        <w:spacing w:line="360" w:lineRule="auto"/>
        <w:ind w:left="833" w:hanging="720"/>
        <w:rPr>
          <w:sz w:val="24"/>
          <w:szCs w:val="24"/>
        </w:rPr>
      </w:pPr>
      <w:r w:rsidRPr="00452C80">
        <w:rPr>
          <w:sz w:val="24"/>
          <w:szCs w:val="24"/>
        </w:rPr>
        <w:t xml:space="preserve">Jung, C. G. (1959/2002) </w:t>
      </w:r>
      <w:r w:rsidRPr="00452C80">
        <w:rPr>
          <w:i/>
          <w:iCs/>
          <w:sz w:val="24"/>
          <w:szCs w:val="24"/>
        </w:rPr>
        <w:t>The Archetypes and the Collective Unconscious</w:t>
      </w:r>
      <w:r w:rsidRPr="00452C80">
        <w:rPr>
          <w:sz w:val="24"/>
          <w:szCs w:val="24"/>
        </w:rPr>
        <w:t>. (</w:t>
      </w:r>
      <w:r w:rsidR="00551FBD">
        <w:rPr>
          <w:sz w:val="24"/>
          <w:szCs w:val="24"/>
        </w:rPr>
        <w:t>2nd</w:t>
      </w:r>
      <w:r w:rsidRPr="00452C80">
        <w:rPr>
          <w:sz w:val="24"/>
          <w:szCs w:val="24"/>
        </w:rPr>
        <w:t xml:space="preserve"> edition). London: Routledge and Kegan Paul Ltd.</w:t>
      </w:r>
    </w:p>
    <w:p w14:paraId="2BBD2F5D" w14:textId="77777777" w:rsidR="00640A2D" w:rsidRPr="00452C80" w:rsidRDefault="00640A2D" w:rsidP="005F557B">
      <w:pPr>
        <w:spacing w:line="360" w:lineRule="auto"/>
        <w:ind w:left="833" w:hanging="720"/>
        <w:rPr>
          <w:sz w:val="24"/>
          <w:szCs w:val="24"/>
        </w:rPr>
      </w:pPr>
      <w:r w:rsidRPr="00452C80">
        <w:rPr>
          <w:sz w:val="24"/>
          <w:szCs w:val="24"/>
        </w:rPr>
        <w:t xml:space="preserve">Jung, C. G. (1960/1973) </w:t>
      </w:r>
      <w:r w:rsidRPr="00452C80">
        <w:rPr>
          <w:i/>
          <w:iCs/>
          <w:sz w:val="24"/>
          <w:szCs w:val="24"/>
        </w:rPr>
        <w:t>Synchronicity: An Acausal Connecting Principle.</w:t>
      </w:r>
      <w:r w:rsidRPr="00452C80">
        <w:rPr>
          <w:sz w:val="24"/>
          <w:szCs w:val="24"/>
        </w:rPr>
        <w:t xml:space="preserve"> Bollingen Series,</w:t>
      </w:r>
      <w:r w:rsidRPr="00452C80">
        <w:rPr>
          <w:b/>
          <w:bCs/>
          <w:sz w:val="24"/>
          <w:szCs w:val="24"/>
        </w:rPr>
        <w:t xml:space="preserve"> 8</w:t>
      </w:r>
      <w:r w:rsidRPr="00452C80">
        <w:rPr>
          <w:sz w:val="24"/>
          <w:szCs w:val="24"/>
        </w:rPr>
        <w:t>. Translated by R.F.C. Hull. Princeton, NJ: Princeton University Press.</w:t>
      </w:r>
    </w:p>
    <w:p w14:paraId="7FCDB07F" w14:textId="77777777" w:rsidR="00640A2D" w:rsidRPr="00452C80" w:rsidRDefault="00640A2D" w:rsidP="005F557B">
      <w:pPr>
        <w:spacing w:line="360" w:lineRule="auto"/>
        <w:ind w:left="833" w:hanging="720"/>
        <w:rPr>
          <w:sz w:val="24"/>
          <w:szCs w:val="24"/>
        </w:rPr>
      </w:pPr>
      <w:r w:rsidRPr="00452C80">
        <w:rPr>
          <w:sz w:val="24"/>
          <w:szCs w:val="24"/>
        </w:rPr>
        <w:t xml:space="preserve">Jung, C. G. (1970) </w:t>
      </w:r>
      <w:r w:rsidRPr="00452C80">
        <w:rPr>
          <w:i/>
          <w:iCs/>
          <w:sz w:val="24"/>
          <w:szCs w:val="24"/>
        </w:rPr>
        <w:t>Collected Works of C. G. Jung, Volume 8</w:t>
      </w:r>
      <w:r w:rsidRPr="00452C80">
        <w:rPr>
          <w:sz w:val="24"/>
          <w:szCs w:val="24"/>
        </w:rPr>
        <w:t>, R. F.C. Hull (ed/trans). Princeton: Princeton University Press. (Originally work published 1919): pp. 129-138. </w:t>
      </w:r>
      <w:hyperlink r:id="rId273" w:history="1">
        <w:r w:rsidRPr="00FA23E8">
          <w:rPr>
            <w:rStyle w:val="Hyperlink"/>
            <w:color w:val="0070C0"/>
            <w:sz w:val="24"/>
            <w:szCs w:val="24"/>
          </w:rPr>
          <w:t>https://doi.org/10.1515/9781400850952.129</w:t>
        </w:r>
      </w:hyperlink>
    </w:p>
    <w:p w14:paraId="3784B426" w14:textId="77777777" w:rsidR="00640A2D" w:rsidRPr="00452C80" w:rsidRDefault="00640A2D" w:rsidP="005F557B">
      <w:pPr>
        <w:spacing w:line="360" w:lineRule="auto"/>
        <w:ind w:left="833" w:hanging="720"/>
        <w:rPr>
          <w:sz w:val="24"/>
          <w:szCs w:val="24"/>
        </w:rPr>
      </w:pPr>
      <w:r w:rsidRPr="00452C80">
        <w:rPr>
          <w:sz w:val="24"/>
          <w:szCs w:val="24"/>
        </w:rPr>
        <w:t xml:space="preserve">Kagge, E. (2017) </w:t>
      </w:r>
      <w:r w:rsidRPr="00452C80">
        <w:rPr>
          <w:i/>
          <w:iCs/>
          <w:sz w:val="24"/>
          <w:szCs w:val="24"/>
        </w:rPr>
        <w:t>Silence in the Age of Noise</w:t>
      </w:r>
      <w:r w:rsidRPr="00452C80">
        <w:rPr>
          <w:sz w:val="24"/>
          <w:szCs w:val="24"/>
        </w:rPr>
        <w:t>. London: Penguin Random House Group.</w:t>
      </w:r>
    </w:p>
    <w:p w14:paraId="78FFDD95" w14:textId="77777777" w:rsidR="00640A2D" w:rsidRPr="00452C80" w:rsidRDefault="00640A2D" w:rsidP="005F557B">
      <w:pPr>
        <w:spacing w:line="360" w:lineRule="auto"/>
        <w:ind w:left="833" w:hanging="720"/>
        <w:rPr>
          <w:sz w:val="24"/>
          <w:szCs w:val="24"/>
        </w:rPr>
      </w:pPr>
      <w:r w:rsidRPr="00452C80">
        <w:rPr>
          <w:sz w:val="24"/>
          <w:szCs w:val="24"/>
        </w:rPr>
        <w:t xml:space="preserve">Kahn, W. A. (1990) Psychological conditions of personal engagement and disengagement at work. </w:t>
      </w:r>
      <w:r w:rsidRPr="00452C80">
        <w:rPr>
          <w:i/>
          <w:iCs/>
          <w:sz w:val="24"/>
          <w:szCs w:val="24"/>
        </w:rPr>
        <w:t>Academy of Management Journal,</w:t>
      </w:r>
      <w:r w:rsidRPr="00452C80">
        <w:rPr>
          <w:sz w:val="24"/>
          <w:szCs w:val="24"/>
        </w:rPr>
        <w:t xml:space="preserve"> </w:t>
      </w:r>
      <w:r w:rsidRPr="00452C80">
        <w:rPr>
          <w:b/>
          <w:bCs/>
          <w:sz w:val="24"/>
          <w:szCs w:val="24"/>
        </w:rPr>
        <w:t>33</w:t>
      </w:r>
      <w:r w:rsidRPr="00452C80">
        <w:rPr>
          <w:sz w:val="24"/>
          <w:szCs w:val="24"/>
        </w:rPr>
        <w:t xml:space="preserve">(4): pp.692-724. </w:t>
      </w:r>
      <w:hyperlink r:id="rId274" w:history="1">
        <w:r w:rsidRPr="00FA23E8">
          <w:rPr>
            <w:rStyle w:val="Hyperlink"/>
            <w:color w:val="0070C0"/>
            <w:sz w:val="24"/>
            <w:szCs w:val="24"/>
          </w:rPr>
          <w:t>https://doi.org/10.2307/256287</w:t>
        </w:r>
      </w:hyperlink>
    </w:p>
    <w:p w14:paraId="7F85D6D9" w14:textId="77777777" w:rsidR="00640A2D" w:rsidRPr="00452C80" w:rsidRDefault="00640A2D" w:rsidP="005F557B">
      <w:pPr>
        <w:spacing w:line="360" w:lineRule="auto"/>
        <w:ind w:left="833" w:hanging="720"/>
        <w:rPr>
          <w:bCs/>
          <w:sz w:val="24"/>
          <w:szCs w:val="24"/>
        </w:rPr>
      </w:pPr>
      <w:r w:rsidRPr="00452C80">
        <w:rPr>
          <w:bCs/>
          <w:sz w:val="24"/>
          <w:szCs w:val="24"/>
        </w:rPr>
        <w:t xml:space="preserve">Kara, H., Lemon, N., Mannay, D. and McPherson, M. (2021) </w:t>
      </w:r>
      <w:r w:rsidRPr="00452C80">
        <w:rPr>
          <w:bCs/>
          <w:i/>
          <w:iCs/>
          <w:sz w:val="24"/>
          <w:szCs w:val="24"/>
        </w:rPr>
        <w:t>Creative Research Methods in Education: Principles and Practices</w:t>
      </w:r>
      <w:r w:rsidRPr="00452C80">
        <w:rPr>
          <w:bCs/>
          <w:sz w:val="24"/>
          <w:szCs w:val="24"/>
        </w:rPr>
        <w:t>. Bristol: University of Bristol, Policy Press.</w:t>
      </w:r>
    </w:p>
    <w:p w14:paraId="14587182" w14:textId="1CF0EAF0" w:rsidR="00640A2D" w:rsidRPr="00452C80" w:rsidRDefault="00640A2D" w:rsidP="005F557B">
      <w:pPr>
        <w:spacing w:line="360" w:lineRule="auto"/>
        <w:ind w:left="833" w:hanging="720"/>
        <w:rPr>
          <w:sz w:val="24"/>
          <w:szCs w:val="24"/>
        </w:rPr>
      </w:pPr>
      <w:r w:rsidRPr="00452C80">
        <w:rPr>
          <w:sz w:val="24"/>
          <w:szCs w:val="24"/>
        </w:rPr>
        <w:t>Keith, D.</w:t>
      </w:r>
      <w:r w:rsidR="000A7B6F">
        <w:rPr>
          <w:sz w:val="24"/>
          <w:szCs w:val="24"/>
        </w:rPr>
        <w:t xml:space="preserve"> </w:t>
      </w:r>
      <w:r w:rsidRPr="00452C80">
        <w:rPr>
          <w:sz w:val="24"/>
          <w:szCs w:val="24"/>
        </w:rPr>
        <w:t>V., Scaturo, D.</w:t>
      </w:r>
      <w:r w:rsidR="000A7B6F">
        <w:rPr>
          <w:sz w:val="24"/>
          <w:szCs w:val="24"/>
        </w:rPr>
        <w:t xml:space="preserve"> </w:t>
      </w:r>
      <w:r w:rsidRPr="00452C80">
        <w:rPr>
          <w:sz w:val="24"/>
          <w:szCs w:val="24"/>
        </w:rPr>
        <w:t>J., Marron, J.</w:t>
      </w:r>
      <w:r w:rsidR="000A7B6F">
        <w:rPr>
          <w:sz w:val="24"/>
          <w:szCs w:val="24"/>
        </w:rPr>
        <w:t xml:space="preserve"> </w:t>
      </w:r>
      <w:r w:rsidRPr="00452C80">
        <w:rPr>
          <w:sz w:val="24"/>
          <w:szCs w:val="24"/>
        </w:rPr>
        <w:t>T. and Baird, M.</w:t>
      </w:r>
      <w:r w:rsidR="000A7B6F">
        <w:rPr>
          <w:sz w:val="24"/>
          <w:szCs w:val="24"/>
        </w:rPr>
        <w:t xml:space="preserve"> </w:t>
      </w:r>
      <w:r w:rsidRPr="00452C80">
        <w:rPr>
          <w:sz w:val="24"/>
          <w:szCs w:val="24"/>
        </w:rPr>
        <w:t xml:space="preserve">A. (1993) A Balint-oriented case consultation group with residents in family practice: Considerations for training, mentoring and the doctor/patient relationship. </w:t>
      </w:r>
      <w:r w:rsidRPr="00452C80">
        <w:rPr>
          <w:i/>
          <w:iCs/>
          <w:sz w:val="24"/>
          <w:szCs w:val="24"/>
        </w:rPr>
        <w:t xml:space="preserve">Family Systems Medicine, </w:t>
      </w:r>
      <w:r w:rsidRPr="00FA23E8">
        <w:rPr>
          <w:b/>
          <w:bCs/>
          <w:sz w:val="24"/>
          <w:szCs w:val="24"/>
        </w:rPr>
        <w:t>11</w:t>
      </w:r>
      <w:r w:rsidRPr="00452C80">
        <w:rPr>
          <w:sz w:val="24"/>
          <w:szCs w:val="24"/>
        </w:rPr>
        <w:t>(4): pp. 375–383. </w:t>
      </w:r>
      <w:hyperlink r:id="rId275" w:tgtFrame="_blank" w:history="1">
        <w:r w:rsidRPr="00FA23E8">
          <w:rPr>
            <w:rStyle w:val="Hyperlink"/>
            <w:color w:val="0070C0"/>
            <w:sz w:val="24"/>
            <w:szCs w:val="24"/>
          </w:rPr>
          <w:t>https://doi.org/10.1037/h0089207</w:t>
        </w:r>
      </w:hyperlink>
    </w:p>
    <w:p w14:paraId="20073975" w14:textId="77777777" w:rsidR="00640A2D" w:rsidRPr="00452C80" w:rsidRDefault="00640A2D" w:rsidP="005F557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Kelly, L. (2023) </w:t>
      </w:r>
      <w:r w:rsidRPr="00452C80">
        <w:rPr>
          <w:rFonts w:ascii="Calibri" w:eastAsia="Aptos" w:hAnsi="Calibri" w:cs="Calibri"/>
          <w:i/>
          <w:iCs/>
          <w:kern w:val="2"/>
          <w:sz w:val="24"/>
          <w:szCs w:val="24"/>
          <w14:ligatures w14:val="standardContextual"/>
        </w:rPr>
        <w:t>Reimagining the Diary: reflective practice as a positive tool for educator wellbeing</w:t>
      </w:r>
      <w:r w:rsidRPr="00452C80">
        <w:rPr>
          <w:rFonts w:ascii="Calibri" w:eastAsia="Aptos" w:hAnsi="Calibri" w:cs="Calibri"/>
          <w:kern w:val="2"/>
          <w:sz w:val="24"/>
          <w:szCs w:val="24"/>
          <w14:ligatures w14:val="standardContextual"/>
        </w:rPr>
        <w:t>. Woodbridge, UK: John Catt Educational Ltd.</w:t>
      </w:r>
    </w:p>
    <w:p w14:paraId="5033FDF1" w14:textId="77777777" w:rsidR="00640A2D" w:rsidRPr="00452C80" w:rsidRDefault="00640A2D" w:rsidP="005F557B">
      <w:pPr>
        <w:spacing w:line="360" w:lineRule="auto"/>
        <w:ind w:left="833" w:hanging="720"/>
        <w:rPr>
          <w:sz w:val="24"/>
          <w:szCs w:val="24"/>
        </w:rPr>
      </w:pPr>
      <w:r w:rsidRPr="00452C80">
        <w:rPr>
          <w:sz w:val="24"/>
          <w:szCs w:val="24"/>
        </w:rPr>
        <w:t xml:space="preserve">Kember, D. (2000) </w:t>
      </w:r>
      <w:r w:rsidRPr="00452C80">
        <w:rPr>
          <w:i/>
          <w:iCs/>
          <w:sz w:val="24"/>
          <w:szCs w:val="24"/>
        </w:rPr>
        <w:t>Reflective teaching and learning in the health professions: An action research and professional education.</w:t>
      </w:r>
      <w:r w:rsidRPr="00452C80">
        <w:rPr>
          <w:sz w:val="24"/>
          <w:szCs w:val="24"/>
        </w:rPr>
        <w:t xml:space="preserve"> Oxford: Blackwell Science.</w:t>
      </w:r>
    </w:p>
    <w:p w14:paraId="5F60A008" w14:textId="6171C28A" w:rsidR="00640A2D" w:rsidRPr="00452C80" w:rsidRDefault="00640A2D" w:rsidP="005F557B">
      <w:pPr>
        <w:spacing w:line="360" w:lineRule="auto"/>
        <w:ind w:left="833" w:hanging="720"/>
      </w:pPr>
      <w:r w:rsidRPr="00452C80">
        <w:rPr>
          <w:sz w:val="24"/>
          <w:szCs w:val="24"/>
        </w:rPr>
        <w:t>Kennelly, R.</w:t>
      </w:r>
      <w:r w:rsidR="000A7B6F">
        <w:rPr>
          <w:sz w:val="24"/>
          <w:szCs w:val="24"/>
        </w:rPr>
        <w:t>,</w:t>
      </w:r>
      <w:r w:rsidRPr="00452C80">
        <w:rPr>
          <w:sz w:val="24"/>
          <w:szCs w:val="24"/>
        </w:rPr>
        <w:t xml:space="preserve"> and McCormack, C. (2015) Creating more ‘elbow room’ for collaborative reflective practice in the competitive, performative culture of today’s university. </w:t>
      </w:r>
      <w:r w:rsidRPr="00452C80">
        <w:rPr>
          <w:i/>
          <w:iCs/>
          <w:sz w:val="24"/>
          <w:szCs w:val="24"/>
        </w:rPr>
        <w:lastRenderedPageBreak/>
        <w:t>Higher Education Research and Development</w:t>
      </w:r>
      <w:r w:rsidRPr="00452C80">
        <w:rPr>
          <w:sz w:val="24"/>
          <w:szCs w:val="24"/>
        </w:rPr>
        <w:t xml:space="preserve">, </w:t>
      </w:r>
      <w:r w:rsidRPr="00452C80">
        <w:rPr>
          <w:b/>
          <w:bCs/>
          <w:sz w:val="24"/>
          <w:szCs w:val="24"/>
        </w:rPr>
        <w:t>34</w:t>
      </w:r>
      <w:r w:rsidRPr="00452C80">
        <w:rPr>
          <w:sz w:val="24"/>
          <w:szCs w:val="24"/>
        </w:rPr>
        <w:t xml:space="preserve">(5): pp. 1-15. </w:t>
      </w:r>
      <w:r w:rsidRPr="002A5A63">
        <w:rPr>
          <w:color w:val="0070C0"/>
          <w:sz w:val="24"/>
          <w:szCs w:val="24"/>
          <w:u w:val="single"/>
        </w:rPr>
        <w:t>https://doi.org/</w:t>
      </w:r>
      <w:hyperlink r:id="rId276" w:tgtFrame="_blank" w:history="1">
        <w:r w:rsidRPr="002A5A63">
          <w:rPr>
            <w:rStyle w:val="Hyperlink"/>
            <w:color w:val="0070C0"/>
            <w:sz w:val="24"/>
            <w:szCs w:val="24"/>
          </w:rPr>
          <w:t>10.1080/07294360.2014.911259</w:t>
        </w:r>
      </w:hyperlink>
    </w:p>
    <w:p w14:paraId="18E83BBC" w14:textId="77777777" w:rsidR="00640A2D" w:rsidRPr="00452C80" w:rsidRDefault="00640A2D" w:rsidP="005F557B">
      <w:pPr>
        <w:spacing w:line="360" w:lineRule="auto"/>
        <w:ind w:left="833" w:hanging="720"/>
        <w:rPr>
          <w:bCs/>
          <w:sz w:val="24"/>
          <w:szCs w:val="24"/>
        </w:rPr>
      </w:pPr>
      <w:r w:rsidRPr="00452C80">
        <w:rPr>
          <w:bCs/>
          <w:sz w:val="24"/>
          <w:szCs w:val="24"/>
        </w:rPr>
        <w:t xml:space="preserve">Keohane, N. (2006) </w:t>
      </w:r>
      <w:r w:rsidRPr="00452C80">
        <w:rPr>
          <w:bCs/>
          <w:i/>
          <w:iCs/>
          <w:sz w:val="24"/>
          <w:szCs w:val="24"/>
        </w:rPr>
        <w:t>Higher Ground: Ethics and leadership in the modern university</w:t>
      </w:r>
      <w:r w:rsidRPr="00452C80">
        <w:rPr>
          <w:bCs/>
          <w:sz w:val="24"/>
          <w:szCs w:val="24"/>
        </w:rPr>
        <w:t>. Durham, NC: Duke University Press.</w:t>
      </w:r>
    </w:p>
    <w:p w14:paraId="20485332" w14:textId="77777777" w:rsidR="00640A2D" w:rsidRPr="00452C80" w:rsidRDefault="00640A2D" w:rsidP="005F557B">
      <w:pPr>
        <w:spacing w:line="360" w:lineRule="auto"/>
        <w:ind w:left="833" w:hanging="720"/>
        <w:rPr>
          <w:bCs/>
          <w:sz w:val="24"/>
          <w:szCs w:val="24"/>
        </w:rPr>
      </w:pPr>
      <w:r w:rsidRPr="00452C80">
        <w:rPr>
          <w:bCs/>
          <w:sz w:val="24"/>
          <w:szCs w:val="24"/>
        </w:rPr>
        <w:t xml:space="preserve">Kezar, A. (2000) The Importance of Pilot Studies: Beginning the Hermeneutic Circle, </w:t>
      </w:r>
      <w:r w:rsidRPr="00452C80">
        <w:rPr>
          <w:bCs/>
          <w:i/>
          <w:iCs/>
          <w:sz w:val="24"/>
          <w:szCs w:val="24"/>
        </w:rPr>
        <w:t>Research in Higher Education</w:t>
      </w:r>
      <w:r w:rsidRPr="00452C80">
        <w:rPr>
          <w:bCs/>
          <w:sz w:val="24"/>
          <w:szCs w:val="24"/>
        </w:rPr>
        <w:t xml:space="preserve">, </w:t>
      </w:r>
      <w:r w:rsidRPr="00452C80">
        <w:rPr>
          <w:b/>
          <w:sz w:val="24"/>
          <w:szCs w:val="24"/>
        </w:rPr>
        <w:t>41</w:t>
      </w:r>
      <w:r w:rsidRPr="00452C80">
        <w:rPr>
          <w:bCs/>
          <w:sz w:val="24"/>
          <w:szCs w:val="24"/>
        </w:rPr>
        <w:t xml:space="preserve">(3): pp.385-400. </w:t>
      </w:r>
      <w:hyperlink r:id="rId277" w:history="1">
        <w:r w:rsidRPr="002A5A63">
          <w:rPr>
            <w:rStyle w:val="Hyperlink"/>
            <w:bCs/>
            <w:color w:val="0070C0"/>
            <w:sz w:val="24"/>
            <w:szCs w:val="24"/>
          </w:rPr>
          <w:t>https://doi.org/10.1023/A:1007047028758</w:t>
        </w:r>
      </w:hyperlink>
    </w:p>
    <w:p w14:paraId="1EB6FBE3" w14:textId="77777777" w:rsidR="00640A2D" w:rsidRPr="00452C80" w:rsidRDefault="00640A2D" w:rsidP="005F557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Killian, K. (2008) Helping till it hurts? A multimethod study of compassion fatigue, burnout, and selfcare in clinicians working with trauma survivors. </w:t>
      </w:r>
      <w:r w:rsidRPr="00452C80">
        <w:rPr>
          <w:rFonts w:ascii="Calibri" w:eastAsia="Aptos" w:hAnsi="Calibri" w:cs="Calibri"/>
          <w:i/>
          <w:iCs/>
          <w:kern w:val="2"/>
          <w:sz w:val="24"/>
          <w:szCs w:val="24"/>
          <w14:ligatures w14:val="standardContextual"/>
        </w:rPr>
        <w:t>Traumatology</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14</w:t>
      </w:r>
      <w:r w:rsidRPr="00452C80">
        <w:rPr>
          <w:rFonts w:ascii="Calibri" w:eastAsia="Aptos" w:hAnsi="Calibri" w:cs="Calibri"/>
          <w:kern w:val="2"/>
          <w:sz w:val="24"/>
          <w:szCs w:val="24"/>
          <w14:ligatures w14:val="standardContextual"/>
        </w:rPr>
        <w:t>(2): pp.32–44.</w:t>
      </w:r>
      <w:r w:rsidRPr="00452C80">
        <w:t xml:space="preserve"> </w:t>
      </w:r>
      <w:hyperlink r:id="rId278" w:history="1">
        <w:r w:rsidRPr="002A5A63">
          <w:rPr>
            <w:rStyle w:val="Hyperlink"/>
            <w:rFonts w:ascii="Calibri" w:eastAsia="Aptos" w:hAnsi="Calibri" w:cs="Calibri"/>
            <w:color w:val="0070C0"/>
            <w:kern w:val="2"/>
            <w:sz w:val="24"/>
            <w:szCs w:val="24"/>
            <w14:ligatures w14:val="standardContextual"/>
          </w:rPr>
          <w:t>https://doi.org/10.1177/1534765608319083</w:t>
        </w:r>
      </w:hyperlink>
    </w:p>
    <w:p w14:paraId="6CE9F16E" w14:textId="77777777" w:rsidR="00640A2D" w:rsidRPr="00452C80" w:rsidRDefault="00640A2D" w:rsidP="005F557B">
      <w:pPr>
        <w:spacing w:line="360" w:lineRule="auto"/>
        <w:ind w:left="833" w:hanging="720"/>
        <w:rPr>
          <w:sz w:val="24"/>
          <w:szCs w:val="24"/>
        </w:rPr>
      </w:pPr>
      <w:r w:rsidRPr="00452C80">
        <w:rPr>
          <w:sz w:val="24"/>
          <w:szCs w:val="24"/>
        </w:rPr>
        <w:t xml:space="preserve">King, P., and Steiner, R. (1991) (eds.) </w:t>
      </w:r>
      <w:r w:rsidRPr="00452C80">
        <w:rPr>
          <w:i/>
          <w:iCs/>
          <w:sz w:val="24"/>
          <w:szCs w:val="24"/>
        </w:rPr>
        <w:t>The Freud- Klein Controversies 1941-45.</w:t>
      </w:r>
      <w:r w:rsidRPr="00452C80">
        <w:rPr>
          <w:sz w:val="24"/>
          <w:szCs w:val="24"/>
        </w:rPr>
        <w:t xml:space="preserve"> London and New York: Routledge.</w:t>
      </w:r>
    </w:p>
    <w:p w14:paraId="65DFEB1D" w14:textId="46751C2F" w:rsidR="00640A2D" w:rsidRPr="00F62440" w:rsidRDefault="00640A2D" w:rsidP="005F557B">
      <w:pPr>
        <w:spacing w:line="360" w:lineRule="auto"/>
        <w:ind w:left="833" w:hanging="720"/>
        <w:rPr>
          <w:sz w:val="24"/>
          <w:szCs w:val="24"/>
        </w:rPr>
      </w:pPr>
      <w:r w:rsidRPr="00452C80">
        <w:rPr>
          <w:sz w:val="24"/>
          <w:szCs w:val="24"/>
        </w:rPr>
        <w:t xml:space="preserve">Kinman, G., Teoh, K., and Harriss, A. (2020) </w:t>
      </w:r>
      <w:r w:rsidRPr="00452C80">
        <w:rPr>
          <w:i/>
          <w:iCs/>
          <w:sz w:val="24"/>
          <w:szCs w:val="24"/>
        </w:rPr>
        <w:t>The Mental Health and Wellbeing of Nurses and Midwives in the UK</w:t>
      </w:r>
      <w:r w:rsidRPr="00452C80">
        <w:rPr>
          <w:sz w:val="24"/>
          <w:szCs w:val="24"/>
        </w:rPr>
        <w:t xml:space="preserve">. London: The Society of Occupational Medicine. </w:t>
      </w:r>
      <w:r w:rsidR="00F77334">
        <w:rPr>
          <w:sz w:val="24"/>
          <w:szCs w:val="24"/>
        </w:rPr>
        <w:t>Available at</w:t>
      </w:r>
      <w:r w:rsidR="00F62440">
        <w:rPr>
          <w:sz w:val="24"/>
          <w:szCs w:val="24"/>
        </w:rPr>
        <w:t xml:space="preserve">: </w:t>
      </w:r>
      <w:hyperlink r:id="rId279" w:history="1">
        <w:r w:rsidR="00F62440" w:rsidRPr="0019278B">
          <w:rPr>
            <w:rStyle w:val="Hyperlink"/>
            <w:sz w:val="24"/>
            <w:szCs w:val="24"/>
          </w:rPr>
          <w:t>https://www.som.org.uk/sites/som.org.uk/files/The_Mental_ Health_and_Wellbeing_of_Nurses_and_Midwives_in_the_United_Kingdom.pdf</w:t>
        </w:r>
      </w:hyperlink>
      <w:r w:rsidR="00F62440">
        <w:t xml:space="preserve">  </w:t>
      </w:r>
      <w:r w:rsidR="00F62440">
        <w:rPr>
          <w:sz w:val="24"/>
          <w:szCs w:val="24"/>
        </w:rPr>
        <w:t>[Accessed 31</w:t>
      </w:r>
      <w:r w:rsidR="00F62440" w:rsidRPr="00F62440">
        <w:rPr>
          <w:sz w:val="24"/>
          <w:szCs w:val="24"/>
          <w:vertAlign w:val="superscript"/>
        </w:rPr>
        <w:t>st</w:t>
      </w:r>
      <w:r w:rsidR="00F62440">
        <w:rPr>
          <w:sz w:val="24"/>
          <w:szCs w:val="24"/>
        </w:rPr>
        <w:t xml:space="preserve"> January 2023]</w:t>
      </w:r>
    </w:p>
    <w:p w14:paraId="258FA270" w14:textId="671D7A7B" w:rsidR="00640A2D" w:rsidRPr="00452C80" w:rsidRDefault="00640A2D" w:rsidP="005F557B">
      <w:pPr>
        <w:spacing w:line="360" w:lineRule="auto"/>
        <w:ind w:left="833" w:hanging="720"/>
        <w:rPr>
          <w:sz w:val="24"/>
          <w:szCs w:val="24"/>
        </w:rPr>
      </w:pPr>
      <w:r w:rsidRPr="00452C80">
        <w:rPr>
          <w:sz w:val="24"/>
          <w:szCs w:val="24"/>
        </w:rPr>
        <w:t>Kjærvik, S. L., and Bushman, B. J. (2021) The link between narcissism and aggression: A meta-analytic review. </w:t>
      </w:r>
      <w:r w:rsidRPr="00452C80">
        <w:rPr>
          <w:i/>
          <w:iCs/>
          <w:sz w:val="24"/>
          <w:szCs w:val="24"/>
        </w:rPr>
        <w:t xml:space="preserve">Psychological Bulletin, </w:t>
      </w:r>
      <w:r w:rsidRPr="00452C80">
        <w:rPr>
          <w:b/>
          <w:bCs/>
          <w:sz w:val="24"/>
          <w:szCs w:val="24"/>
        </w:rPr>
        <w:t>147</w:t>
      </w:r>
      <w:r w:rsidRPr="00452C80">
        <w:rPr>
          <w:sz w:val="24"/>
          <w:szCs w:val="24"/>
        </w:rPr>
        <w:t>(5): pp.457-503. </w:t>
      </w:r>
      <w:hyperlink r:id="rId280" w:tgtFrame="_blank" w:history="1">
        <w:r w:rsidRPr="000A7432">
          <w:rPr>
            <w:rStyle w:val="Hyperlink"/>
            <w:color w:val="0070C0"/>
            <w:sz w:val="24"/>
            <w:szCs w:val="24"/>
          </w:rPr>
          <w:t>https://doi.org/10.1037/bul0000323</w:t>
        </w:r>
      </w:hyperlink>
    </w:p>
    <w:p w14:paraId="3ED2F56D" w14:textId="02CFDDB6" w:rsidR="00640A2D" w:rsidRPr="00452C80" w:rsidRDefault="00640A2D" w:rsidP="005F557B">
      <w:pPr>
        <w:spacing w:line="360" w:lineRule="auto"/>
        <w:ind w:left="833" w:hanging="720"/>
        <w:rPr>
          <w:sz w:val="24"/>
          <w:szCs w:val="24"/>
        </w:rPr>
      </w:pPr>
      <w:r w:rsidRPr="00452C80">
        <w:rPr>
          <w:sz w:val="24"/>
          <w:szCs w:val="24"/>
        </w:rPr>
        <w:t>Klevan, T., Karlsson, B., and Ruud, T. (2017) “At the Extremities of Life”—Service User Experiences of Helpful Help in Mental Health Crises. </w:t>
      </w:r>
      <w:r w:rsidRPr="00452C80">
        <w:rPr>
          <w:i/>
          <w:iCs/>
          <w:sz w:val="24"/>
          <w:szCs w:val="24"/>
        </w:rPr>
        <w:t>American Journal of Psychiatric Rehabilitation,</w:t>
      </w:r>
      <w:r w:rsidRPr="00452C80">
        <w:rPr>
          <w:sz w:val="24"/>
          <w:szCs w:val="24"/>
        </w:rPr>
        <w:t> </w:t>
      </w:r>
      <w:r w:rsidRPr="00452C80">
        <w:rPr>
          <w:b/>
          <w:bCs/>
          <w:sz w:val="24"/>
          <w:szCs w:val="24"/>
        </w:rPr>
        <w:t>20</w:t>
      </w:r>
      <w:r w:rsidRPr="00452C80">
        <w:rPr>
          <w:sz w:val="24"/>
          <w:szCs w:val="24"/>
        </w:rPr>
        <w:t>(2): pp. 87–105. </w:t>
      </w:r>
      <w:hyperlink r:id="rId281" w:history="1">
        <w:r w:rsidRPr="000A7432">
          <w:rPr>
            <w:rStyle w:val="Hyperlink"/>
            <w:color w:val="0070C0"/>
            <w:sz w:val="24"/>
            <w:szCs w:val="24"/>
          </w:rPr>
          <w:t>https://doi.org/10.1080/15487768.2017.1302370</w:t>
        </w:r>
      </w:hyperlink>
    </w:p>
    <w:p w14:paraId="3E1E2A25" w14:textId="77777777" w:rsidR="00640A2D" w:rsidRPr="000A7432" w:rsidRDefault="00640A2D" w:rsidP="005F557B">
      <w:pPr>
        <w:spacing w:line="360" w:lineRule="auto"/>
        <w:ind w:left="833" w:hanging="720"/>
        <w:rPr>
          <w:color w:val="0070C0"/>
          <w:sz w:val="24"/>
          <w:szCs w:val="24"/>
        </w:rPr>
      </w:pPr>
      <w:r w:rsidRPr="00452C80">
        <w:rPr>
          <w:sz w:val="24"/>
          <w:szCs w:val="24"/>
        </w:rPr>
        <w:t>Kniker, C. R. (1990) Teacher Education and Religion: The Role of Foundations Courses in Preparing Students to Teach about Religions.</w:t>
      </w:r>
      <w:r w:rsidRPr="00452C80">
        <w:rPr>
          <w:b/>
          <w:bCs/>
          <w:sz w:val="24"/>
          <w:szCs w:val="24"/>
        </w:rPr>
        <w:t xml:space="preserve"> </w:t>
      </w:r>
      <w:r w:rsidRPr="00452C80">
        <w:rPr>
          <w:i/>
          <w:iCs/>
          <w:sz w:val="24"/>
          <w:szCs w:val="24"/>
        </w:rPr>
        <w:t>Religion &amp; Public Education</w:t>
      </w:r>
      <w:r w:rsidRPr="00452C80">
        <w:rPr>
          <w:sz w:val="24"/>
          <w:szCs w:val="24"/>
        </w:rPr>
        <w:t xml:space="preserve">, </w:t>
      </w:r>
      <w:r w:rsidRPr="00452C80">
        <w:rPr>
          <w:b/>
          <w:bCs/>
          <w:sz w:val="24"/>
          <w:szCs w:val="24"/>
        </w:rPr>
        <w:t>17</w:t>
      </w:r>
      <w:r w:rsidRPr="00452C80">
        <w:rPr>
          <w:sz w:val="24"/>
          <w:szCs w:val="24"/>
        </w:rPr>
        <w:t xml:space="preserve">(2): pp. 203-22. </w:t>
      </w:r>
      <w:hyperlink r:id="rId282" w:history="1">
        <w:r w:rsidRPr="000A7432">
          <w:rPr>
            <w:rStyle w:val="Hyperlink"/>
            <w:color w:val="0070C0"/>
            <w:sz w:val="24"/>
            <w:szCs w:val="24"/>
          </w:rPr>
          <w:t>https://eric.ed.gov/?id=EJ433722</w:t>
        </w:r>
      </w:hyperlink>
    </w:p>
    <w:p w14:paraId="26439539" w14:textId="7A981663" w:rsidR="00640A2D" w:rsidRPr="00887FF3" w:rsidRDefault="00640A2D" w:rsidP="005F557B">
      <w:pPr>
        <w:spacing w:line="360" w:lineRule="auto"/>
        <w:ind w:left="833" w:hanging="720"/>
        <w:rPr>
          <w:color w:val="0070C0"/>
          <w:sz w:val="24"/>
          <w:szCs w:val="24"/>
        </w:rPr>
      </w:pPr>
      <w:r w:rsidRPr="00452C80">
        <w:rPr>
          <w:sz w:val="24"/>
          <w:szCs w:val="24"/>
        </w:rPr>
        <w:lastRenderedPageBreak/>
        <w:t>Koch, T.</w:t>
      </w:r>
      <w:r w:rsidR="000A3557">
        <w:rPr>
          <w:sz w:val="24"/>
          <w:szCs w:val="24"/>
        </w:rPr>
        <w:t>,</w:t>
      </w:r>
      <w:r w:rsidRPr="00452C80">
        <w:rPr>
          <w:sz w:val="24"/>
          <w:szCs w:val="24"/>
        </w:rPr>
        <w:t xml:space="preserve"> and Harrington, A. (1998) Re-conceptualising rigour: the case for reflexivity, </w:t>
      </w:r>
      <w:r w:rsidRPr="00452C80">
        <w:rPr>
          <w:i/>
          <w:iCs/>
          <w:sz w:val="24"/>
          <w:szCs w:val="24"/>
        </w:rPr>
        <w:t>Journal of Advanced Nursing</w:t>
      </w:r>
      <w:r w:rsidRPr="00452C80">
        <w:rPr>
          <w:sz w:val="24"/>
          <w:szCs w:val="24"/>
        </w:rPr>
        <w:t xml:space="preserve">, </w:t>
      </w:r>
      <w:r w:rsidRPr="00452C80">
        <w:rPr>
          <w:b/>
          <w:bCs/>
          <w:sz w:val="24"/>
          <w:szCs w:val="24"/>
        </w:rPr>
        <w:t>28</w:t>
      </w:r>
      <w:r w:rsidRPr="00452C80">
        <w:rPr>
          <w:sz w:val="24"/>
          <w:szCs w:val="24"/>
        </w:rPr>
        <w:t>(</w:t>
      </w:r>
      <w:r w:rsidR="003348AB" w:rsidRPr="00452C80">
        <w:rPr>
          <w:sz w:val="24"/>
          <w:szCs w:val="24"/>
        </w:rPr>
        <w:t>4</w:t>
      </w:r>
      <w:r w:rsidRPr="00452C80">
        <w:rPr>
          <w:sz w:val="24"/>
          <w:szCs w:val="24"/>
        </w:rPr>
        <w:t>)</w:t>
      </w:r>
      <w:r w:rsidR="00521C9D" w:rsidRPr="00452C80">
        <w:rPr>
          <w:sz w:val="24"/>
          <w:szCs w:val="24"/>
        </w:rPr>
        <w:t xml:space="preserve">: pp. 882-890. </w:t>
      </w:r>
      <w:hyperlink r:id="rId283" w:history="1">
        <w:r w:rsidR="00521C9D" w:rsidRPr="00887FF3">
          <w:rPr>
            <w:rStyle w:val="Hyperlink"/>
            <w:color w:val="0070C0"/>
            <w:sz w:val="24"/>
            <w:szCs w:val="24"/>
          </w:rPr>
          <w:t>https://doi.org/10.1046/j.1365-2648.1998.00725.x</w:t>
        </w:r>
      </w:hyperlink>
    </w:p>
    <w:p w14:paraId="09C08600" w14:textId="379FE088" w:rsidR="00640A2D" w:rsidRPr="00452C80" w:rsidRDefault="00640A2D" w:rsidP="005F557B">
      <w:pPr>
        <w:spacing w:line="360" w:lineRule="auto"/>
        <w:ind w:left="833" w:hanging="720"/>
        <w:rPr>
          <w:sz w:val="24"/>
          <w:szCs w:val="24"/>
        </w:rPr>
      </w:pPr>
      <w:r w:rsidRPr="00452C80">
        <w:rPr>
          <w:sz w:val="24"/>
          <w:szCs w:val="24"/>
        </w:rPr>
        <w:t>Kok, S.</w:t>
      </w:r>
      <w:r w:rsidR="000A3557">
        <w:rPr>
          <w:sz w:val="24"/>
          <w:szCs w:val="24"/>
        </w:rPr>
        <w:t xml:space="preserve"> </w:t>
      </w:r>
      <w:r w:rsidRPr="00452C80">
        <w:rPr>
          <w:sz w:val="24"/>
          <w:szCs w:val="24"/>
        </w:rPr>
        <w:t xml:space="preserve">K., Douglas, A., and McClelland, R. (2008) Shifting Higher Education Management: Examining the Organisational Changes among Various UK University Types. </w:t>
      </w:r>
      <w:r w:rsidRPr="00452C80">
        <w:rPr>
          <w:i/>
          <w:iCs/>
          <w:sz w:val="24"/>
          <w:szCs w:val="24"/>
        </w:rPr>
        <w:t>The International Journal of Learning</w:t>
      </w:r>
      <w:r w:rsidRPr="00452C80">
        <w:rPr>
          <w:sz w:val="24"/>
          <w:szCs w:val="24"/>
        </w:rPr>
        <w:t xml:space="preserve">, 15: pp.227-239. </w:t>
      </w:r>
      <w:hyperlink r:id="rId284" w:history="1">
        <w:r w:rsidRPr="00887FF3">
          <w:rPr>
            <w:rStyle w:val="Hyperlink"/>
            <w:color w:val="0070C0"/>
            <w:sz w:val="24"/>
            <w:szCs w:val="24"/>
          </w:rPr>
          <w:t>https://www.researchgate.net/publication/257942423_Shifting_Higher_Education_Management_Examining_the_Organisational_Changes_among_Various_UK_University_Types</w:t>
        </w:r>
      </w:hyperlink>
    </w:p>
    <w:p w14:paraId="39E15CC2" w14:textId="0B7591F5" w:rsidR="00640A2D" w:rsidRPr="00452C80" w:rsidRDefault="00640A2D" w:rsidP="005F557B">
      <w:pPr>
        <w:spacing w:line="360" w:lineRule="auto"/>
        <w:ind w:left="833" w:hanging="720"/>
        <w:rPr>
          <w:sz w:val="24"/>
          <w:szCs w:val="24"/>
        </w:rPr>
      </w:pPr>
      <w:r w:rsidRPr="00452C80">
        <w:rPr>
          <w:sz w:val="24"/>
          <w:szCs w:val="24"/>
        </w:rPr>
        <w:t>Kolb, D.</w:t>
      </w:r>
      <w:r w:rsidR="000A3557">
        <w:rPr>
          <w:sz w:val="24"/>
          <w:szCs w:val="24"/>
        </w:rPr>
        <w:t xml:space="preserve"> </w:t>
      </w:r>
      <w:r w:rsidRPr="00452C80">
        <w:rPr>
          <w:sz w:val="24"/>
          <w:szCs w:val="24"/>
        </w:rPr>
        <w:t>A. (1984)</w:t>
      </w:r>
      <w:r w:rsidRPr="00452C80">
        <w:rPr>
          <w:i/>
          <w:iCs/>
          <w:sz w:val="24"/>
          <w:szCs w:val="24"/>
        </w:rPr>
        <w:t xml:space="preserve"> Experiential Learning: Experience as the Source of Learning and Development</w:t>
      </w:r>
      <w:r w:rsidRPr="00452C80">
        <w:rPr>
          <w:sz w:val="24"/>
          <w:szCs w:val="24"/>
        </w:rPr>
        <w:t>. Englewood Cliffs, New York: Prentice-Hall</w:t>
      </w:r>
    </w:p>
    <w:p w14:paraId="2573188E" w14:textId="11B92CDB" w:rsidR="00640A2D" w:rsidRPr="00F62440" w:rsidRDefault="00640A2D" w:rsidP="005F557B">
      <w:pPr>
        <w:spacing w:line="360" w:lineRule="auto"/>
        <w:ind w:left="833" w:hanging="720"/>
        <w:rPr>
          <w:color w:val="0070C0"/>
          <w:sz w:val="24"/>
          <w:szCs w:val="24"/>
        </w:rPr>
      </w:pPr>
      <w:r w:rsidRPr="00452C80">
        <w:rPr>
          <w:sz w:val="24"/>
          <w:szCs w:val="24"/>
        </w:rPr>
        <w:t>Kordts-Freudinger, R. (2014) A social emotional enterprise: positive emotions in higher education teaching. Paper presented at the International Consortium of educational development conference June 16, 2014, Stockholm, Sweden.</w:t>
      </w:r>
      <w:r w:rsidRPr="00452C80">
        <w:t xml:space="preserve"> </w:t>
      </w:r>
      <w:r w:rsidR="00F62440">
        <w:t xml:space="preserve">Available at: </w:t>
      </w:r>
      <w:hyperlink r:id="rId285" w:history="1">
        <w:r w:rsidR="00F62440" w:rsidRPr="0019278B">
          <w:rPr>
            <w:rStyle w:val="Hyperlink"/>
            <w:sz w:val="24"/>
            <w:szCs w:val="24"/>
          </w:rPr>
          <w:t>https://www.alexandria.unisg.ch/handle/20.500.14171/116592</w:t>
        </w:r>
      </w:hyperlink>
      <w:r w:rsidR="00F62440">
        <w:t xml:space="preserve">  </w:t>
      </w:r>
      <w:r w:rsidR="009D489B">
        <w:rPr>
          <w:sz w:val="24"/>
          <w:szCs w:val="24"/>
        </w:rPr>
        <w:t>[Accessed 9</w:t>
      </w:r>
      <w:r w:rsidR="009D489B" w:rsidRPr="009D489B">
        <w:rPr>
          <w:sz w:val="24"/>
          <w:szCs w:val="24"/>
          <w:vertAlign w:val="superscript"/>
        </w:rPr>
        <w:t>th</w:t>
      </w:r>
      <w:r w:rsidR="009D489B">
        <w:rPr>
          <w:sz w:val="24"/>
          <w:szCs w:val="24"/>
        </w:rPr>
        <w:t xml:space="preserve"> May 2021]</w:t>
      </w:r>
    </w:p>
    <w:p w14:paraId="4B81B635" w14:textId="77777777" w:rsidR="00640A2D" w:rsidRPr="00452C80" w:rsidRDefault="00640A2D" w:rsidP="005F557B">
      <w:pPr>
        <w:spacing w:line="360" w:lineRule="auto"/>
        <w:ind w:left="833" w:hanging="720"/>
        <w:rPr>
          <w:sz w:val="24"/>
          <w:szCs w:val="24"/>
        </w:rPr>
      </w:pPr>
      <w:r w:rsidRPr="00452C80">
        <w:rPr>
          <w:sz w:val="24"/>
          <w:szCs w:val="24"/>
        </w:rPr>
        <w:t xml:space="preserve">Korstjens, I., and Moser, A. (2017) Practical Guidance to Qualitative Research. Part 2: Context, research questions and designs. </w:t>
      </w:r>
      <w:r w:rsidRPr="00452C80">
        <w:rPr>
          <w:i/>
          <w:iCs/>
          <w:sz w:val="24"/>
          <w:szCs w:val="24"/>
        </w:rPr>
        <w:t>European Journal of General Practice</w:t>
      </w:r>
      <w:r w:rsidRPr="00452C80">
        <w:rPr>
          <w:sz w:val="24"/>
          <w:szCs w:val="24"/>
        </w:rPr>
        <w:t xml:space="preserve">, </w:t>
      </w:r>
      <w:r w:rsidRPr="00452C80">
        <w:rPr>
          <w:b/>
          <w:bCs/>
          <w:sz w:val="24"/>
          <w:szCs w:val="24"/>
        </w:rPr>
        <w:t>23</w:t>
      </w:r>
      <w:r w:rsidRPr="00452C80">
        <w:rPr>
          <w:sz w:val="24"/>
          <w:szCs w:val="24"/>
        </w:rPr>
        <w:t xml:space="preserve">(1): pp.274-279. </w:t>
      </w:r>
      <w:hyperlink r:id="rId286" w:history="1">
        <w:r w:rsidRPr="00887FF3">
          <w:rPr>
            <w:rStyle w:val="Hyperlink"/>
            <w:color w:val="0070C0"/>
            <w:sz w:val="24"/>
            <w:szCs w:val="24"/>
          </w:rPr>
          <w:t>https://doi.org/10.1080/13814788.2017.1375090</w:t>
        </w:r>
      </w:hyperlink>
    </w:p>
    <w:p w14:paraId="4A37F90D" w14:textId="35518C3C" w:rsidR="00640A2D" w:rsidRPr="00452C80" w:rsidRDefault="00640A2D" w:rsidP="005F557B">
      <w:pPr>
        <w:spacing w:line="360" w:lineRule="auto"/>
        <w:ind w:left="833" w:hanging="720"/>
        <w:rPr>
          <w:sz w:val="24"/>
          <w:szCs w:val="24"/>
        </w:rPr>
      </w:pPr>
      <w:r w:rsidRPr="00452C80">
        <w:rPr>
          <w:sz w:val="24"/>
          <w:szCs w:val="24"/>
        </w:rPr>
        <w:t xml:space="preserve">Korthagen, F. A. G. (1985) Reflective teaching in preservice teacher education in the Netherlands. </w:t>
      </w:r>
      <w:r w:rsidRPr="00452C80">
        <w:rPr>
          <w:i/>
          <w:iCs/>
          <w:sz w:val="24"/>
          <w:szCs w:val="24"/>
        </w:rPr>
        <w:t>Journal of Teacher Education</w:t>
      </w:r>
      <w:r w:rsidRPr="00452C80">
        <w:rPr>
          <w:sz w:val="24"/>
          <w:szCs w:val="24"/>
        </w:rPr>
        <w:t xml:space="preserve">, </w:t>
      </w:r>
      <w:r w:rsidRPr="00452C80">
        <w:rPr>
          <w:b/>
          <w:bCs/>
          <w:sz w:val="24"/>
          <w:szCs w:val="24"/>
        </w:rPr>
        <w:t>36</w:t>
      </w:r>
      <w:r w:rsidRPr="00452C80">
        <w:rPr>
          <w:sz w:val="24"/>
          <w:szCs w:val="24"/>
        </w:rPr>
        <w:t>(5): pp. 11-15.</w:t>
      </w:r>
      <w:r w:rsidRPr="00452C80">
        <w:t xml:space="preserve"> </w:t>
      </w:r>
      <w:hyperlink r:id="rId287" w:history="1">
        <w:r w:rsidRPr="00887FF3">
          <w:rPr>
            <w:rStyle w:val="Hyperlink"/>
            <w:color w:val="0070C0"/>
            <w:sz w:val="24"/>
            <w:szCs w:val="24"/>
          </w:rPr>
          <w:t>https://doi.org/10.1177/00224871850360050</w:t>
        </w:r>
      </w:hyperlink>
    </w:p>
    <w:p w14:paraId="605A53D8" w14:textId="147D9FEF" w:rsidR="00640A2D" w:rsidRPr="00452C80" w:rsidRDefault="00640A2D" w:rsidP="005F557B">
      <w:pPr>
        <w:spacing w:line="360" w:lineRule="auto"/>
        <w:ind w:left="833" w:hanging="720"/>
        <w:rPr>
          <w:sz w:val="24"/>
          <w:szCs w:val="24"/>
        </w:rPr>
      </w:pPr>
      <w:r w:rsidRPr="00452C80">
        <w:rPr>
          <w:sz w:val="24"/>
          <w:szCs w:val="24"/>
        </w:rPr>
        <w:t>Korthagen, F.</w:t>
      </w:r>
      <w:r w:rsidR="000A3557">
        <w:rPr>
          <w:sz w:val="24"/>
          <w:szCs w:val="24"/>
        </w:rPr>
        <w:t xml:space="preserve"> </w:t>
      </w:r>
      <w:r w:rsidRPr="00452C80">
        <w:rPr>
          <w:sz w:val="24"/>
          <w:szCs w:val="24"/>
        </w:rPr>
        <w:t xml:space="preserve">A. G. (2001) A Reflection on Reflection. In Korthagen, F. A. J., Kessels, J., Koster, B., Lagerwerf, B., and Wubbels, T. Linking practice and theory: The pedagogy of realistic teacher education (pp. 51-68). Mahwah, NJ: Lawrence Erlbaum Associates. </w:t>
      </w:r>
    </w:p>
    <w:p w14:paraId="044F636F" w14:textId="1633FE41" w:rsidR="00640A2D" w:rsidRPr="00452C80" w:rsidRDefault="00640A2D" w:rsidP="00887FF3">
      <w:pPr>
        <w:spacing w:line="360" w:lineRule="auto"/>
        <w:ind w:left="833" w:hanging="720"/>
        <w:rPr>
          <w:sz w:val="24"/>
          <w:szCs w:val="24"/>
        </w:rPr>
      </w:pPr>
      <w:r w:rsidRPr="00452C80">
        <w:rPr>
          <w:sz w:val="24"/>
          <w:szCs w:val="24"/>
        </w:rPr>
        <w:lastRenderedPageBreak/>
        <w:t>Korthagen, F. A.</w:t>
      </w:r>
      <w:r w:rsidR="00D230BA">
        <w:rPr>
          <w:sz w:val="24"/>
          <w:szCs w:val="24"/>
        </w:rPr>
        <w:t xml:space="preserve"> </w:t>
      </w:r>
      <w:r w:rsidRPr="00452C80">
        <w:rPr>
          <w:sz w:val="24"/>
          <w:szCs w:val="24"/>
        </w:rPr>
        <w:t xml:space="preserve">G. (2017) Inconvenient truths about teacher learning: towards professional development 3.0. </w:t>
      </w:r>
      <w:r w:rsidRPr="00452C80">
        <w:rPr>
          <w:i/>
          <w:iCs/>
          <w:sz w:val="24"/>
          <w:szCs w:val="24"/>
        </w:rPr>
        <w:t>Teachers and Teaching</w:t>
      </w:r>
      <w:r w:rsidRPr="00452C80">
        <w:rPr>
          <w:sz w:val="24"/>
          <w:szCs w:val="24"/>
        </w:rPr>
        <w:t xml:space="preserve">, </w:t>
      </w:r>
      <w:r w:rsidRPr="00484705">
        <w:rPr>
          <w:b/>
          <w:bCs/>
          <w:sz w:val="24"/>
          <w:szCs w:val="24"/>
        </w:rPr>
        <w:t>23</w:t>
      </w:r>
      <w:r w:rsidRPr="00452C80">
        <w:rPr>
          <w:sz w:val="24"/>
          <w:szCs w:val="24"/>
        </w:rPr>
        <w:t xml:space="preserve">(4): pp. 387-405. </w:t>
      </w:r>
      <w:r w:rsidRPr="00484705">
        <w:rPr>
          <w:color w:val="0070C0"/>
          <w:sz w:val="24"/>
          <w:szCs w:val="24"/>
          <w:u w:val="single"/>
        </w:rPr>
        <w:t>DOI:10.1080/13540602.20 16.1211523</w:t>
      </w:r>
      <w:r w:rsidRPr="00484705">
        <w:rPr>
          <w:color w:val="0070C0"/>
          <w:sz w:val="24"/>
          <w:szCs w:val="24"/>
        </w:rPr>
        <w:t xml:space="preserve"> </w:t>
      </w:r>
    </w:p>
    <w:p w14:paraId="74A64441" w14:textId="29D502FE" w:rsidR="00640A2D" w:rsidRPr="00452C80" w:rsidRDefault="00640A2D" w:rsidP="00887FF3">
      <w:pPr>
        <w:spacing w:line="360" w:lineRule="auto"/>
        <w:ind w:left="833" w:hanging="720"/>
        <w:rPr>
          <w:sz w:val="24"/>
          <w:szCs w:val="24"/>
        </w:rPr>
      </w:pPr>
      <w:r w:rsidRPr="00452C80">
        <w:rPr>
          <w:sz w:val="24"/>
          <w:szCs w:val="24"/>
        </w:rPr>
        <w:t xml:space="preserve">Kraut, R. (2009) </w:t>
      </w:r>
      <w:r w:rsidRPr="00452C80">
        <w:rPr>
          <w:i/>
          <w:iCs/>
          <w:sz w:val="24"/>
          <w:szCs w:val="24"/>
        </w:rPr>
        <w:t>What is Good and Why: The ethics of well-being</w:t>
      </w:r>
      <w:r w:rsidRPr="00452C80">
        <w:rPr>
          <w:sz w:val="24"/>
          <w:szCs w:val="24"/>
        </w:rPr>
        <w:t>. London: Harvard University Press.</w:t>
      </w:r>
    </w:p>
    <w:p w14:paraId="65B20B4B" w14:textId="53908363" w:rsidR="00640A2D" w:rsidRPr="00452C80" w:rsidRDefault="00640A2D" w:rsidP="00887FF3">
      <w:pPr>
        <w:spacing w:line="360" w:lineRule="auto"/>
        <w:ind w:left="833" w:hanging="720"/>
        <w:rPr>
          <w:bCs/>
          <w:sz w:val="24"/>
          <w:szCs w:val="24"/>
        </w:rPr>
      </w:pPr>
      <w:r w:rsidRPr="00452C80">
        <w:rPr>
          <w:bCs/>
          <w:sz w:val="24"/>
          <w:szCs w:val="24"/>
        </w:rPr>
        <w:t>Krumrei-Mancuso, E.</w:t>
      </w:r>
      <w:r w:rsidR="000B778A">
        <w:rPr>
          <w:bCs/>
          <w:sz w:val="24"/>
          <w:szCs w:val="24"/>
        </w:rPr>
        <w:t xml:space="preserve"> </w:t>
      </w:r>
      <w:r w:rsidRPr="00452C80">
        <w:rPr>
          <w:bCs/>
          <w:sz w:val="24"/>
          <w:szCs w:val="24"/>
        </w:rPr>
        <w:t>J., Newton, F.</w:t>
      </w:r>
      <w:r w:rsidR="000B778A">
        <w:rPr>
          <w:bCs/>
          <w:sz w:val="24"/>
          <w:szCs w:val="24"/>
        </w:rPr>
        <w:t xml:space="preserve"> </w:t>
      </w:r>
      <w:r w:rsidRPr="00452C80">
        <w:rPr>
          <w:bCs/>
          <w:sz w:val="24"/>
          <w:szCs w:val="24"/>
        </w:rPr>
        <w:t xml:space="preserve">B., Kim, E., and Wilcox, D. (2013) </w:t>
      </w:r>
      <w:r w:rsidR="00BE536A">
        <w:rPr>
          <w:bCs/>
          <w:sz w:val="24"/>
          <w:szCs w:val="24"/>
        </w:rPr>
        <w:t>Psychosocial</w:t>
      </w:r>
      <w:r w:rsidRPr="00452C80">
        <w:rPr>
          <w:bCs/>
          <w:sz w:val="24"/>
          <w:szCs w:val="24"/>
        </w:rPr>
        <w:t xml:space="preserve"> factors predicting first year college student success. </w:t>
      </w:r>
      <w:r w:rsidRPr="00452C80">
        <w:rPr>
          <w:bCs/>
          <w:i/>
          <w:iCs/>
          <w:sz w:val="24"/>
          <w:szCs w:val="24"/>
        </w:rPr>
        <w:t>Journal of College Student Development</w:t>
      </w:r>
      <w:r w:rsidRPr="00452C80">
        <w:rPr>
          <w:bCs/>
          <w:sz w:val="24"/>
          <w:szCs w:val="24"/>
        </w:rPr>
        <w:t xml:space="preserve">, </w:t>
      </w:r>
      <w:r w:rsidRPr="00452C80">
        <w:rPr>
          <w:b/>
          <w:sz w:val="24"/>
          <w:szCs w:val="24"/>
        </w:rPr>
        <w:t>54</w:t>
      </w:r>
      <w:r w:rsidRPr="00452C80">
        <w:rPr>
          <w:bCs/>
          <w:sz w:val="24"/>
          <w:szCs w:val="24"/>
        </w:rPr>
        <w:t>(3): pp.247-266.</w:t>
      </w:r>
      <w:r w:rsidRPr="00452C80">
        <w:t xml:space="preserve"> </w:t>
      </w:r>
      <w:hyperlink r:id="rId288" w:tgtFrame="_blank" w:history="1">
        <w:r w:rsidRPr="00484705">
          <w:rPr>
            <w:rStyle w:val="Hyperlink"/>
            <w:bCs/>
            <w:color w:val="0070C0"/>
            <w:sz w:val="24"/>
            <w:szCs w:val="24"/>
          </w:rPr>
          <w:t>https://doi.org/10.1353/csd.2013.0034</w:t>
        </w:r>
      </w:hyperlink>
    </w:p>
    <w:p w14:paraId="7A682C7C" w14:textId="6BE09593" w:rsidR="00640A2D" w:rsidRPr="00452C80" w:rsidRDefault="00640A2D" w:rsidP="00887FF3">
      <w:pPr>
        <w:spacing w:line="360" w:lineRule="auto"/>
        <w:ind w:left="833" w:hanging="720"/>
        <w:rPr>
          <w:bCs/>
          <w:sz w:val="24"/>
          <w:szCs w:val="24"/>
        </w:rPr>
      </w:pPr>
      <w:r w:rsidRPr="00452C80">
        <w:rPr>
          <w:bCs/>
          <w:sz w:val="24"/>
          <w:szCs w:val="24"/>
        </w:rPr>
        <w:t>Kruisselbrink</w:t>
      </w:r>
      <w:r w:rsidR="00F147F2">
        <w:rPr>
          <w:bCs/>
          <w:sz w:val="24"/>
          <w:szCs w:val="24"/>
        </w:rPr>
        <w:t>-</w:t>
      </w:r>
      <w:r w:rsidRPr="00452C80">
        <w:rPr>
          <w:bCs/>
          <w:sz w:val="24"/>
          <w:szCs w:val="24"/>
        </w:rPr>
        <w:t xml:space="preserve">Flatt, A. (2013) A Suffering Generation: Six factors contributing to the mental health crisis in North American higher education. </w:t>
      </w:r>
      <w:r w:rsidRPr="00452C80">
        <w:rPr>
          <w:bCs/>
          <w:i/>
          <w:iCs/>
          <w:sz w:val="24"/>
          <w:szCs w:val="24"/>
        </w:rPr>
        <w:t>College Quarterly</w:t>
      </w:r>
      <w:r w:rsidRPr="00452C80">
        <w:rPr>
          <w:bCs/>
          <w:sz w:val="24"/>
          <w:szCs w:val="24"/>
        </w:rPr>
        <w:t>,</w:t>
      </w:r>
      <w:r w:rsidRPr="00452C80">
        <w:rPr>
          <w:b/>
          <w:sz w:val="24"/>
          <w:szCs w:val="24"/>
        </w:rPr>
        <w:t xml:space="preserve"> 16</w:t>
      </w:r>
      <w:r w:rsidRPr="00452C80">
        <w:rPr>
          <w:bCs/>
          <w:sz w:val="24"/>
          <w:szCs w:val="24"/>
        </w:rPr>
        <w:t>(1): pp.1-17.</w:t>
      </w:r>
      <w:r w:rsidRPr="00452C80">
        <w:rPr>
          <w:rFonts w:ascii="Verdana" w:hAnsi="Verdana"/>
          <w:sz w:val="21"/>
          <w:szCs w:val="21"/>
          <w:shd w:val="clear" w:color="auto" w:fill="FFFFFF"/>
        </w:rPr>
        <w:t xml:space="preserve"> </w:t>
      </w:r>
      <w:hyperlink r:id="rId289" w:history="1">
        <w:r w:rsidRPr="00484705">
          <w:rPr>
            <w:rStyle w:val="Hyperlink"/>
            <w:bCs/>
            <w:color w:val="0070C0"/>
            <w:sz w:val="24"/>
            <w:szCs w:val="24"/>
          </w:rPr>
          <w:t>https://www.semanticscholar.org/paper/A-Suffering-Generation%3A-Six-Factors-Contributing-to-Flatt/d93fb4b89c803fc69f2d8951e49c8c6e3d4a3508</w:t>
        </w:r>
      </w:hyperlink>
    </w:p>
    <w:p w14:paraId="097F9500" w14:textId="21D7174C" w:rsidR="00640A2D" w:rsidRPr="00452C80" w:rsidRDefault="00640A2D" w:rsidP="00887FF3">
      <w:pPr>
        <w:spacing w:line="360" w:lineRule="auto"/>
        <w:ind w:left="833" w:hanging="720"/>
        <w:rPr>
          <w:sz w:val="24"/>
          <w:szCs w:val="24"/>
        </w:rPr>
      </w:pPr>
      <w:r w:rsidRPr="00452C80">
        <w:rPr>
          <w:sz w:val="24"/>
          <w:szCs w:val="24"/>
        </w:rPr>
        <w:t>Kuit, J. A., Reay, G., and Freeman, R. (2001) Experiences of reflective teaching. </w:t>
      </w:r>
      <w:r w:rsidRPr="00452C80">
        <w:rPr>
          <w:i/>
          <w:iCs/>
          <w:sz w:val="24"/>
          <w:szCs w:val="24"/>
        </w:rPr>
        <w:t>Active Learning in Higher Education</w:t>
      </w:r>
      <w:r w:rsidRPr="00452C80">
        <w:rPr>
          <w:sz w:val="24"/>
          <w:szCs w:val="24"/>
        </w:rPr>
        <w:t xml:space="preserve">, </w:t>
      </w:r>
      <w:r w:rsidRPr="00452C80">
        <w:rPr>
          <w:b/>
          <w:bCs/>
          <w:sz w:val="24"/>
          <w:szCs w:val="24"/>
        </w:rPr>
        <w:t>2</w:t>
      </w:r>
      <w:r w:rsidRPr="00452C80">
        <w:rPr>
          <w:sz w:val="24"/>
          <w:szCs w:val="24"/>
        </w:rPr>
        <w:t xml:space="preserve">(2): pp.128–142. </w:t>
      </w:r>
      <w:hyperlink r:id="rId290" w:history="1">
        <w:r w:rsidRPr="00484705">
          <w:rPr>
            <w:rStyle w:val="Hyperlink"/>
            <w:color w:val="0070C0"/>
            <w:sz w:val="24"/>
            <w:szCs w:val="24"/>
          </w:rPr>
          <w:t>https://doi.org/10.1177/1469787401002002004</w:t>
        </w:r>
      </w:hyperlink>
    </w:p>
    <w:p w14:paraId="7E83CF87" w14:textId="77777777" w:rsidR="00640A2D" w:rsidRPr="00452C80" w:rsidRDefault="00640A2D" w:rsidP="00887FF3">
      <w:pPr>
        <w:spacing w:line="360" w:lineRule="auto"/>
        <w:ind w:left="833" w:hanging="720"/>
        <w:rPr>
          <w:sz w:val="24"/>
          <w:szCs w:val="24"/>
        </w:rPr>
      </w:pPr>
      <w:r w:rsidRPr="00452C80">
        <w:rPr>
          <w:sz w:val="24"/>
          <w:szCs w:val="24"/>
        </w:rPr>
        <w:t xml:space="preserve">Kumar, R. (2019) </w:t>
      </w:r>
      <w:r w:rsidRPr="00452C80">
        <w:rPr>
          <w:i/>
          <w:iCs/>
          <w:sz w:val="24"/>
          <w:szCs w:val="24"/>
        </w:rPr>
        <w:t>Research Methodology: A step-by-step guide for beginners.</w:t>
      </w:r>
      <w:r w:rsidRPr="00452C80">
        <w:rPr>
          <w:sz w:val="24"/>
          <w:szCs w:val="24"/>
        </w:rPr>
        <w:t xml:space="preserve"> (5</w:t>
      </w:r>
      <w:r w:rsidRPr="00452C80">
        <w:rPr>
          <w:sz w:val="24"/>
          <w:szCs w:val="24"/>
          <w:vertAlign w:val="superscript"/>
        </w:rPr>
        <w:t>th</w:t>
      </w:r>
      <w:r w:rsidRPr="00452C80">
        <w:rPr>
          <w:sz w:val="24"/>
          <w:szCs w:val="24"/>
        </w:rPr>
        <w:t xml:space="preserve"> edition). London: Sage Publications Ltd. </w:t>
      </w:r>
    </w:p>
    <w:p w14:paraId="21BD6688" w14:textId="77777777" w:rsidR="00640A2D" w:rsidRPr="00452C80" w:rsidRDefault="00640A2D" w:rsidP="00887FF3">
      <w:pPr>
        <w:spacing w:line="360" w:lineRule="auto"/>
        <w:ind w:left="833" w:hanging="720"/>
        <w:rPr>
          <w:sz w:val="24"/>
          <w:szCs w:val="24"/>
        </w:rPr>
      </w:pPr>
      <w:r w:rsidRPr="00452C80">
        <w:rPr>
          <w:sz w:val="24"/>
          <w:szCs w:val="24"/>
        </w:rPr>
        <w:t>Kvale, S., and Brinkmann., S. (2009)</w:t>
      </w:r>
      <w:r w:rsidRPr="00452C80">
        <w:rPr>
          <w:i/>
          <w:iCs/>
          <w:sz w:val="24"/>
          <w:szCs w:val="24"/>
        </w:rPr>
        <w:t xml:space="preserve"> Interviews </w:t>
      </w:r>
      <w:r w:rsidRPr="00452C80">
        <w:rPr>
          <w:sz w:val="24"/>
          <w:szCs w:val="24"/>
        </w:rPr>
        <w:t>(2</w:t>
      </w:r>
      <w:r w:rsidRPr="00452C80">
        <w:rPr>
          <w:sz w:val="24"/>
          <w:szCs w:val="24"/>
          <w:vertAlign w:val="superscript"/>
        </w:rPr>
        <w:t>nd</w:t>
      </w:r>
      <w:r w:rsidRPr="00452C80">
        <w:rPr>
          <w:sz w:val="24"/>
          <w:szCs w:val="24"/>
        </w:rPr>
        <w:t xml:space="preserve"> edition). Thousand Oaks, CA: Sage. </w:t>
      </w:r>
    </w:p>
    <w:p w14:paraId="7A1325E0" w14:textId="511E70F5" w:rsidR="00640A2D" w:rsidRPr="00452C80" w:rsidRDefault="00640A2D" w:rsidP="00887FF3">
      <w:pPr>
        <w:spacing w:line="360" w:lineRule="auto"/>
        <w:ind w:left="833" w:hanging="720"/>
        <w:rPr>
          <w:sz w:val="24"/>
          <w:szCs w:val="24"/>
        </w:rPr>
      </w:pPr>
      <w:r w:rsidRPr="00452C80">
        <w:rPr>
          <w:sz w:val="24"/>
          <w:szCs w:val="24"/>
        </w:rPr>
        <w:t xml:space="preserve">Kyriacou, C. (2020) Teacher stress: From prevalence to resilience. In A. J. Sammons, C. Day, G. Kington, S. Gu, </w:t>
      </w:r>
      <w:r w:rsidR="00D214FB">
        <w:rPr>
          <w:sz w:val="24"/>
          <w:szCs w:val="24"/>
        </w:rPr>
        <w:t>and</w:t>
      </w:r>
      <w:r w:rsidRPr="00452C80">
        <w:rPr>
          <w:sz w:val="24"/>
          <w:szCs w:val="24"/>
        </w:rPr>
        <w:t xml:space="preserve"> Q. Stobart (</w:t>
      </w:r>
      <w:r w:rsidR="00934249">
        <w:rPr>
          <w:sz w:val="24"/>
          <w:szCs w:val="24"/>
        </w:rPr>
        <w:t>e</w:t>
      </w:r>
      <w:r w:rsidRPr="00452C80">
        <w:rPr>
          <w:sz w:val="24"/>
          <w:szCs w:val="24"/>
        </w:rPr>
        <w:t xml:space="preserve">ds), </w:t>
      </w:r>
      <w:r w:rsidRPr="00452C80">
        <w:rPr>
          <w:i/>
          <w:iCs/>
          <w:sz w:val="24"/>
          <w:szCs w:val="24"/>
        </w:rPr>
        <w:t>The Routledge International Handbook of Teacher and School Development</w:t>
      </w:r>
      <w:r w:rsidRPr="00452C80">
        <w:rPr>
          <w:sz w:val="24"/>
          <w:szCs w:val="24"/>
        </w:rPr>
        <w:t xml:space="preserve"> (pp. 248–263). Routledge. </w:t>
      </w:r>
    </w:p>
    <w:p w14:paraId="7B3A5618" w14:textId="77777777" w:rsidR="00640A2D" w:rsidRPr="00452C80" w:rsidRDefault="00640A2D" w:rsidP="00887FF3">
      <w:pPr>
        <w:spacing w:line="360" w:lineRule="auto"/>
        <w:ind w:left="833" w:hanging="720"/>
        <w:rPr>
          <w:sz w:val="24"/>
          <w:szCs w:val="24"/>
        </w:rPr>
      </w:pPr>
      <w:r w:rsidRPr="00452C80">
        <w:rPr>
          <w:sz w:val="24"/>
          <w:szCs w:val="24"/>
        </w:rPr>
        <w:t xml:space="preserve">Larrivee, B. (2000) Transforming teaching practice: Becoming the critically reflective teacher. </w:t>
      </w:r>
      <w:r w:rsidRPr="00452C80">
        <w:rPr>
          <w:i/>
          <w:iCs/>
          <w:sz w:val="24"/>
          <w:szCs w:val="24"/>
        </w:rPr>
        <w:t>Reflective Practice</w:t>
      </w:r>
      <w:r w:rsidRPr="00452C80">
        <w:rPr>
          <w:sz w:val="24"/>
          <w:szCs w:val="24"/>
        </w:rPr>
        <w:t xml:space="preserve">, </w:t>
      </w:r>
      <w:r w:rsidRPr="00452C80">
        <w:rPr>
          <w:b/>
          <w:bCs/>
          <w:sz w:val="24"/>
          <w:szCs w:val="24"/>
        </w:rPr>
        <w:t>1</w:t>
      </w:r>
      <w:r w:rsidRPr="00452C80">
        <w:rPr>
          <w:sz w:val="24"/>
          <w:szCs w:val="24"/>
        </w:rPr>
        <w:t xml:space="preserve">(3): pp. 293-307.  </w:t>
      </w:r>
      <w:hyperlink r:id="rId291" w:history="1">
        <w:r w:rsidRPr="00452C80">
          <w:rPr>
            <w:rStyle w:val="Hyperlink"/>
            <w:color w:val="auto"/>
            <w:sz w:val="24"/>
            <w:szCs w:val="24"/>
          </w:rPr>
          <w:t>https://doi.org/10.1080/713693162</w:t>
        </w:r>
      </w:hyperlink>
    </w:p>
    <w:p w14:paraId="0805C1DF" w14:textId="18CC2539" w:rsidR="00640A2D" w:rsidRPr="00452C80" w:rsidRDefault="00640A2D" w:rsidP="00887FF3">
      <w:pPr>
        <w:spacing w:line="360" w:lineRule="auto"/>
        <w:ind w:left="833" w:hanging="720"/>
        <w:rPr>
          <w:sz w:val="24"/>
          <w:szCs w:val="24"/>
        </w:rPr>
      </w:pPr>
      <w:r w:rsidRPr="00452C80">
        <w:rPr>
          <w:sz w:val="24"/>
          <w:szCs w:val="24"/>
        </w:rPr>
        <w:t>Lather, P. (1986)</w:t>
      </w:r>
      <w:r w:rsidR="00EC47D0">
        <w:rPr>
          <w:sz w:val="24"/>
          <w:szCs w:val="24"/>
        </w:rPr>
        <w:t xml:space="preserve"> </w:t>
      </w:r>
      <w:r w:rsidRPr="00452C80">
        <w:rPr>
          <w:sz w:val="24"/>
          <w:szCs w:val="24"/>
        </w:rPr>
        <w:t xml:space="preserve">Research as praxis. </w:t>
      </w:r>
      <w:r w:rsidRPr="00452C80">
        <w:rPr>
          <w:i/>
          <w:iCs/>
          <w:sz w:val="24"/>
          <w:szCs w:val="24"/>
        </w:rPr>
        <w:t>Harvard Educational Review</w:t>
      </w:r>
      <w:r w:rsidRPr="00452C80">
        <w:rPr>
          <w:sz w:val="24"/>
          <w:szCs w:val="24"/>
        </w:rPr>
        <w:t xml:space="preserve">, </w:t>
      </w:r>
      <w:r w:rsidRPr="00452C80">
        <w:rPr>
          <w:b/>
          <w:bCs/>
          <w:sz w:val="24"/>
          <w:szCs w:val="24"/>
        </w:rPr>
        <w:t>56</w:t>
      </w:r>
      <w:r w:rsidRPr="00452C80">
        <w:rPr>
          <w:sz w:val="24"/>
          <w:szCs w:val="24"/>
        </w:rPr>
        <w:t xml:space="preserve">(3): pp.257-278. </w:t>
      </w:r>
      <w:hyperlink r:id="rId292" w:tgtFrame="_blank" w:history="1">
        <w:r w:rsidRPr="00484705">
          <w:rPr>
            <w:rStyle w:val="Hyperlink"/>
            <w:color w:val="0070C0"/>
            <w:sz w:val="24"/>
            <w:szCs w:val="24"/>
          </w:rPr>
          <w:t>https://doi.org/10.17763/haer.56.3.bj2h231877069482</w:t>
        </w:r>
      </w:hyperlink>
    </w:p>
    <w:p w14:paraId="5FEB31E5" w14:textId="77777777" w:rsidR="00640A2D" w:rsidRPr="00452C80" w:rsidRDefault="00640A2D" w:rsidP="00887FF3">
      <w:pPr>
        <w:spacing w:line="360" w:lineRule="auto"/>
        <w:ind w:left="833" w:hanging="720"/>
        <w:rPr>
          <w:sz w:val="24"/>
          <w:szCs w:val="24"/>
        </w:rPr>
      </w:pPr>
      <w:r w:rsidRPr="00452C80">
        <w:rPr>
          <w:sz w:val="24"/>
          <w:szCs w:val="24"/>
        </w:rPr>
        <w:t xml:space="preserve">Laurillard, D. (1993) </w:t>
      </w:r>
      <w:r w:rsidRPr="00452C80">
        <w:rPr>
          <w:i/>
          <w:iCs/>
          <w:sz w:val="24"/>
          <w:szCs w:val="24"/>
        </w:rPr>
        <w:t>Rethinking University Teaching</w:t>
      </w:r>
      <w:r w:rsidRPr="00452C80">
        <w:rPr>
          <w:sz w:val="24"/>
          <w:szCs w:val="24"/>
        </w:rPr>
        <w:t>. London: Routledge.</w:t>
      </w:r>
    </w:p>
    <w:p w14:paraId="5CE60CA2" w14:textId="77CE04A1" w:rsidR="00640A2D" w:rsidRPr="00452C80" w:rsidRDefault="00640A2D" w:rsidP="005D7FFC">
      <w:pPr>
        <w:spacing w:line="360" w:lineRule="auto"/>
        <w:ind w:left="720" w:hanging="720"/>
        <w:rPr>
          <w:sz w:val="24"/>
          <w:szCs w:val="24"/>
        </w:rPr>
      </w:pPr>
      <w:r w:rsidRPr="00452C80">
        <w:rPr>
          <w:sz w:val="24"/>
          <w:szCs w:val="24"/>
        </w:rPr>
        <w:lastRenderedPageBreak/>
        <w:t>Lavoie, J. A. A. (2018) Relative Invisibility: An Integrative Review of Carers' Lived Experiences of a Family Member's Emergency Mental Health Crisis. </w:t>
      </w:r>
      <w:r w:rsidRPr="00452C80">
        <w:rPr>
          <w:i/>
          <w:iCs/>
          <w:sz w:val="24"/>
          <w:szCs w:val="24"/>
        </w:rPr>
        <w:t>Social Work in Mental Health</w:t>
      </w:r>
      <w:r w:rsidRPr="00452C80">
        <w:rPr>
          <w:sz w:val="24"/>
          <w:szCs w:val="24"/>
        </w:rPr>
        <w:t> </w:t>
      </w:r>
      <w:r w:rsidRPr="00452C80">
        <w:rPr>
          <w:b/>
          <w:bCs/>
          <w:sz w:val="24"/>
          <w:szCs w:val="24"/>
        </w:rPr>
        <w:t>16</w:t>
      </w:r>
      <w:r w:rsidRPr="00452C80">
        <w:rPr>
          <w:sz w:val="24"/>
          <w:szCs w:val="24"/>
        </w:rPr>
        <w:t>(5)</w:t>
      </w:r>
      <w:r w:rsidR="00025D61">
        <w:rPr>
          <w:sz w:val="24"/>
          <w:szCs w:val="24"/>
        </w:rPr>
        <w:t>:</w:t>
      </w:r>
      <w:r w:rsidRPr="00452C80">
        <w:rPr>
          <w:sz w:val="24"/>
          <w:szCs w:val="24"/>
        </w:rPr>
        <w:t xml:space="preserve"> pp. 601</w:t>
      </w:r>
      <w:r w:rsidR="004C45E3">
        <w:rPr>
          <w:sz w:val="24"/>
          <w:szCs w:val="24"/>
        </w:rPr>
        <w:t>-</w:t>
      </w:r>
      <w:r w:rsidRPr="00452C80">
        <w:rPr>
          <w:sz w:val="24"/>
          <w:szCs w:val="24"/>
        </w:rPr>
        <w:t>626. </w:t>
      </w:r>
      <w:hyperlink r:id="rId293" w:history="1">
        <w:r w:rsidRPr="00484705">
          <w:rPr>
            <w:rStyle w:val="Hyperlink"/>
            <w:color w:val="0070C0"/>
            <w:sz w:val="24"/>
            <w:szCs w:val="24"/>
          </w:rPr>
          <w:t>https://doi.org/10.1080/15332985.2018.1467845</w:t>
        </w:r>
      </w:hyperlink>
    </w:p>
    <w:p w14:paraId="007F9905" w14:textId="1A252A6B" w:rsidR="00640A2D" w:rsidRPr="00452C80" w:rsidRDefault="00640A2D" w:rsidP="00887FF3">
      <w:pPr>
        <w:spacing w:line="360" w:lineRule="auto"/>
        <w:ind w:left="833" w:hanging="720"/>
        <w:rPr>
          <w:sz w:val="24"/>
          <w:szCs w:val="24"/>
        </w:rPr>
      </w:pPr>
      <w:r w:rsidRPr="00452C80">
        <w:rPr>
          <w:sz w:val="24"/>
          <w:szCs w:val="24"/>
        </w:rPr>
        <w:t>Lawrence, N. (2019) Supporting the mental health and wellbeing of education staff through professional supervision structures.</w:t>
      </w:r>
      <w:r w:rsidRPr="00452C80">
        <w:t xml:space="preserve"> </w:t>
      </w:r>
      <w:r w:rsidRPr="00452C80">
        <w:rPr>
          <w:sz w:val="24"/>
          <w:szCs w:val="24"/>
        </w:rPr>
        <w:t xml:space="preserve">Trauma Informed Schools – Discussion paper #1 [pdf] Barnardo’s Scotland. Available at: </w:t>
      </w:r>
      <w:hyperlink r:id="rId294" w:history="1">
        <w:r w:rsidRPr="00484705">
          <w:rPr>
            <w:rStyle w:val="Hyperlink"/>
            <w:color w:val="0070C0"/>
            <w:sz w:val="24"/>
            <w:szCs w:val="24"/>
          </w:rPr>
          <w:t>https://www.barnardos.org.uk/sites/default/files/uploads/supporting-mental-health-wellbeing-education-staff-through-professional-supervision-structures.pdf</w:t>
        </w:r>
      </w:hyperlink>
      <w:r w:rsidRPr="00452C80">
        <w:rPr>
          <w:sz w:val="24"/>
          <w:szCs w:val="24"/>
        </w:rPr>
        <w:t xml:space="preserve"> </w:t>
      </w:r>
      <w:r w:rsidR="00CA378B">
        <w:rPr>
          <w:sz w:val="24"/>
          <w:szCs w:val="24"/>
        </w:rPr>
        <w:t xml:space="preserve"> [Accessed 20</w:t>
      </w:r>
      <w:r w:rsidR="00CA378B" w:rsidRPr="00CA378B">
        <w:rPr>
          <w:sz w:val="24"/>
          <w:szCs w:val="24"/>
          <w:vertAlign w:val="superscript"/>
        </w:rPr>
        <w:t>th</w:t>
      </w:r>
      <w:r w:rsidR="00CA378B">
        <w:rPr>
          <w:sz w:val="24"/>
          <w:szCs w:val="24"/>
        </w:rPr>
        <w:t xml:space="preserve"> March 2021]</w:t>
      </w:r>
    </w:p>
    <w:p w14:paraId="3A1DF317" w14:textId="77777777" w:rsidR="00640A2D" w:rsidRPr="00452C80" w:rsidRDefault="00640A2D" w:rsidP="00887FF3">
      <w:pPr>
        <w:spacing w:line="360" w:lineRule="auto"/>
        <w:ind w:left="833" w:hanging="720"/>
        <w:rPr>
          <w:sz w:val="24"/>
          <w:szCs w:val="24"/>
        </w:rPr>
      </w:pPr>
      <w:r w:rsidRPr="00452C80">
        <w:rPr>
          <w:sz w:val="24"/>
          <w:szCs w:val="24"/>
        </w:rPr>
        <w:t xml:space="preserve">Leahy, C. M., Peterson, R. F., Wilson, I. G., Newbury, J. W., Tonkin, A. L., and Turnbull, D. (2010) Distress levels and self-reported treatment rates for medicine, law, psychology, and mechanical engineering tertiary students: Cross-sectional study. </w:t>
      </w:r>
      <w:r w:rsidRPr="00452C80">
        <w:rPr>
          <w:i/>
          <w:iCs/>
          <w:sz w:val="24"/>
          <w:szCs w:val="24"/>
        </w:rPr>
        <w:t>Australian and New Zealand</w:t>
      </w:r>
      <w:r w:rsidRPr="00452C80">
        <w:rPr>
          <w:sz w:val="24"/>
          <w:szCs w:val="24"/>
        </w:rPr>
        <w:t xml:space="preserve"> </w:t>
      </w:r>
      <w:r w:rsidRPr="00452C80">
        <w:rPr>
          <w:i/>
          <w:iCs/>
          <w:sz w:val="24"/>
          <w:szCs w:val="24"/>
        </w:rPr>
        <w:t>Journal of Psychiatry</w:t>
      </w:r>
      <w:r w:rsidRPr="00452C80">
        <w:rPr>
          <w:sz w:val="24"/>
          <w:szCs w:val="24"/>
        </w:rPr>
        <w:t xml:space="preserve">, </w:t>
      </w:r>
      <w:r w:rsidRPr="00452C80">
        <w:rPr>
          <w:b/>
          <w:bCs/>
          <w:sz w:val="24"/>
          <w:szCs w:val="24"/>
        </w:rPr>
        <w:t>44</w:t>
      </w:r>
      <w:r w:rsidRPr="00452C80">
        <w:rPr>
          <w:sz w:val="24"/>
          <w:szCs w:val="24"/>
        </w:rPr>
        <w:t xml:space="preserve">(7): pp.608– 615. </w:t>
      </w:r>
      <w:hyperlink r:id="rId295" w:history="1">
        <w:r w:rsidRPr="00484705">
          <w:rPr>
            <w:rStyle w:val="Hyperlink"/>
            <w:color w:val="0070C0"/>
            <w:sz w:val="24"/>
            <w:szCs w:val="24"/>
          </w:rPr>
          <w:t>https://doi.org/10.3109/00048671003649052</w:t>
        </w:r>
      </w:hyperlink>
    </w:p>
    <w:p w14:paraId="2A037B85" w14:textId="72409508" w:rsidR="00640A2D" w:rsidRPr="00452C80" w:rsidRDefault="00640A2D" w:rsidP="00887FF3">
      <w:pPr>
        <w:spacing w:line="360" w:lineRule="auto"/>
        <w:ind w:left="833" w:hanging="720"/>
        <w:rPr>
          <w:bCs/>
          <w:sz w:val="24"/>
          <w:szCs w:val="24"/>
        </w:rPr>
      </w:pPr>
      <w:r w:rsidRPr="00452C80">
        <w:rPr>
          <w:bCs/>
          <w:sz w:val="24"/>
          <w:szCs w:val="24"/>
        </w:rPr>
        <w:t>Le Cunff, A</w:t>
      </w:r>
      <w:r w:rsidR="00A72902" w:rsidRPr="00452C80">
        <w:rPr>
          <w:bCs/>
          <w:sz w:val="24"/>
          <w:szCs w:val="24"/>
        </w:rPr>
        <w:t xml:space="preserve">. </w:t>
      </w:r>
      <w:r w:rsidRPr="00452C80">
        <w:rPr>
          <w:bCs/>
          <w:sz w:val="24"/>
          <w:szCs w:val="24"/>
        </w:rPr>
        <w:t>L. (2024) Systematic Curiosity as an Integrative Tool for Human Flourishing: A Conceptual Review and Framework. </w:t>
      </w:r>
      <w:r w:rsidRPr="00452C80">
        <w:rPr>
          <w:bCs/>
          <w:i/>
          <w:iCs/>
          <w:sz w:val="24"/>
          <w:szCs w:val="24"/>
        </w:rPr>
        <w:t xml:space="preserve">Integrative Psychological and Behavioural Science. </w:t>
      </w:r>
      <w:r w:rsidRPr="00452C80">
        <w:rPr>
          <w:b/>
          <w:bCs/>
          <w:sz w:val="24"/>
          <w:szCs w:val="24"/>
        </w:rPr>
        <w:t>58</w:t>
      </w:r>
      <w:r w:rsidRPr="00452C80">
        <w:rPr>
          <w:sz w:val="24"/>
          <w:szCs w:val="24"/>
        </w:rPr>
        <w:t>(4):</w:t>
      </w:r>
      <w:r w:rsidRPr="00452C80">
        <w:rPr>
          <w:bCs/>
          <w:sz w:val="24"/>
          <w:szCs w:val="24"/>
        </w:rPr>
        <w:t xml:space="preserve"> pp. 1876–1894. </w:t>
      </w:r>
      <w:hyperlink r:id="rId296" w:history="1">
        <w:r w:rsidRPr="00484705">
          <w:rPr>
            <w:rStyle w:val="Hyperlink"/>
            <w:bCs/>
            <w:color w:val="0070C0"/>
            <w:sz w:val="24"/>
            <w:szCs w:val="24"/>
          </w:rPr>
          <w:t>https://doi.org/10.1007/s12124-024-09856-6</w:t>
        </w:r>
      </w:hyperlink>
    </w:p>
    <w:p w14:paraId="62A66B2A" w14:textId="37D627A1" w:rsidR="00640A2D" w:rsidRPr="00452C80" w:rsidRDefault="00640A2D" w:rsidP="00887FF3">
      <w:pPr>
        <w:spacing w:line="360" w:lineRule="auto"/>
        <w:ind w:left="833" w:hanging="720"/>
        <w:rPr>
          <w:bCs/>
          <w:sz w:val="24"/>
          <w:szCs w:val="24"/>
        </w:rPr>
      </w:pPr>
      <w:r w:rsidRPr="00452C80">
        <w:rPr>
          <w:bCs/>
          <w:sz w:val="24"/>
          <w:szCs w:val="24"/>
        </w:rPr>
        <w:t>Lederer, A. M., Hoban, M.</w:t>
      </w:r>
      <w:r w:rsidR="000B778A">
        <w:rPr>
          <w:bCs/>
          <w:sz w:val="24"/>
          <w:szCs w:val="24"/>
        </w:rPr>
        <w:t xml:space="preserve"> </w:t>
      </w:r>
      <w:r w:rsidRPr="00452C80">
        <w:rPr>
          <w:bCs/>
          <w:sz w:val="24"/>
          <w:szCs w:val="24"/>
        </w:rPr>
        <w:t>T., Lipson, S.</w:t>
      </w:r>
      <w:r w:rsidR="000B778A">
        <w:rPr>
          <w:bCs/>
          <w:sz w:val="24"/>
          <w:szCs w:val="24"/>
        </w:rPr>
        <w:t xml:space="preserve"> </w:t>
      </w:r>
      <w:r w:rsidRPr="00452C80">
        <w:rPr>
          <w:bCs/>
          <w:sz w:val="24"/>
          <w:szCs w:val="24"/>
        </w:rPr>
        <w:t>K., Zhou, S., and Eisenberg, D. (2021) More Than Inconvenienced: The Unique Needs of U.S. College Students During the COVID-19 Pandemic. </w:t>
      </w:r>
      <w:r w:rsidRPr="00452C80">
        <w:rPr>
          <w:bCs/>
          <w:i/>
          <w:iCs/>
          <w:sz w:val="24"/>
          <w:szCs w:val="24"/>
        </w:rPr>
        <w:t>Health Education and Behavior</w:t>
      </w:r>
      <w:r w:rsidRPr="00452C80">
        <w:rPr>
          <w:bCs/>
          <w:sz w:val="24"/>
          <w:szCs w:val="24"/>
        </w:rPr>
        <w:t xml:space="preserve">, </w:t>
      </w:r>
      <w:r w:rsidRPr="00484705">
        <w:rPr>
          <w:b/>
          <w:sz w:val="24"/>
          <w:szCs w:val="24"/>
        </w:rPr>
        <w:t>48</w:t>
      </w:r>
      <w:r w:rsidRPr="00452C80">
        <w:rPr>
          <w:bCs/>
          <w:sz w:val="24"/>
          <w:szCs w:val="24"/>
        </w:rPr>
        <w:t xml:space="preserve">(1): pp.14–19. </w:t>
      </w:r>
      <w:hyperlink r:id="rId297" w:history="1">
        <w:r w:rsidRPr="00484705">
          <w:rPr>
            <w:rStyle w:val="Hyperlink"/>
            <w:bCs/>
            <w:color w:val="0070C0"/>
            <w:sz w:val="24"/>
            <w:szCs w:val="24"/>
          </w:rPr>
          <w:t>https://doi.org/10.1177/1090198120969372</w:t>
        </w:r>
      </w:hyperlink>
    </w:p>
    <w:p w14:paraId="256A1FE6" w14:textId="77777777" w:rsidR="00640A2D" w:rsidRPr="00452C80" w:rsidRDefault="00640A2D" w:rsidP="00887FF3">
      <w:pPr>
        <w:spacing w:line="360" w:lineRule="auto"/>
        <w:ind w:left="833" w:hanging="720"/>
        <w:rPr>
          <w:bCs/>
          <w:sz w:val="24"/>
          <w:szCs w:val="24"/>
        </w:rPr>
      </w:pPr>
      <w:r w:rsidRPr="00452C80">
        <w:rPr>
          <w:bCs/>
          <w:sz w:val="24"/>
          <w:szCs w:val="24"/>
        </w:rPr>
        <w:t xml:space="preserve">Lee, R. M. (1993) </w:t>
      </w:r>
      <w:r w:rsidRPr="00452C80">
        <w:rPr>
          <w:bCs/>
          <w:i/>
          <w:iCs/>
          <w:sz w:val="24"/>
          <w:szCs w:val="24"/>
        </w:rPr>
        <w:t>Doing Research on Sensitive Topics</w:t>
      </w:r>
      <w:r w:rsidRPr="00452C80">
        <w:rPr>
          <w:bCs/>
          <w:sz w:val="24"/>
          <w:szCs w:val="24"/>
        </w:rPr>
        <w:t>. London: Sage.</w:t>
      </w:r>
    </w:p>
    <w:p w14:paraId="735674C5" w14:textId="0A929F14" w:rsidR="00640A2D" w:rsidRPr="00452C80" w:rsidRDefault="00640A2D" w:rsidP="00887FF3">
      <w:pPr>
        <w:spacing w:line="360" w:lineRule="auto"/>
        <w:ind w:left="833" w:hanging="720"/>
        <w:rPr>
          <w:bCs/>
          <w:sz w:val="24"/>
          <w:szCs w:val="24"/>
        </w:rPr>
      </w:pPr>
      <w:r w:rsidRPr="00452C80">
        <w:rPr>
          <w:bCs/>
          <w:sz w:val="24"/>
          <w:szCs w:val="24"/>
        </w:rPr>
        <w:t>Lee, R. M., and Renzetti, C. M. (1993) The problems of researching sensitive topics: an overview and introduction. In</w:t>
      </w:r>
      <w:r w:rsidR="0041744E">
        <w:rPr>
          <w:bCs/>
          <w:sz w:val="24"/>
          <w:szCs w:val="24"/>
        </w:rPr>
        <w:t>:</w:t>
      </w:r>
      <w:r w:rsidRPr="00452C80">
        <w:rPr>
          <w:bCs/>
          <w:sz w:val="24"/>
          <w:szCs w:val="24"/>
        </w:rPr>
        <w:t xml:space="preserve"> C. Renzetti and R. M. Lee (eds)</w:t>
      </w:r>
      <w:r w:rsidR="0041744E">
        <w:rPr>
          <w:bCs/>
          <w:sz w:val="24"/>
          <w:szCs w:val="24"/>
        </w:rPr>
        <w:t>,</w:t>
      </w:r>
      <w:r w:rsidRPr="00452C80">
        <w:rPr>
          <w:bCs/>
          <w:sz w:val="24"/>
          <w:szCs w:val="24"/>
        </w:rPr>
        <w:t xml:space="preserve"> </w:t>
      </w:r>
      <w:r w:rsidRPr="00452C80">
        <w:rPr>
          <w:bCs/>
          <w:i/>
          <w:iCs/>
          <w:sz w:val="24"/>
          <w:szCs w:val="24"/>
        </w:rPr>
        <w:t>Researching Sensitive Topics</w:t>
      </w:r>
      <w:r w:rsidRPr="00452C80">
        <w:rPr>
          <w:bCs/>
          <w:sz w:val="24"/>
          <w:szCs w:val="24"/>
        </w:rPr>
        <w:t>. London: Sage.</w:t>
      </w:r>
    </w:p>
    <w:p w14:paraId="56CAAEF0" w14:textId="77777777" w:rsidR="00640A2D" w:rsidRPr="00452C80" w:rsidRDefault="00640A2D" w:rsidP="00887FF3">
      <w:pPr>
        <w:spacing w:line="360" w:lineRule="auto"/>
        <w:ind w:left="833" w:hanging="720"/>
        <w:rPr>
          <w:sz w:val="24"/>
          <w:szCs w:val="24"/>
        </w:rPr>
      </w:pPr>
      <w:r w:rsidRPr="00452C80">
        <w:rPr>
          <w:sz w:val="24"/>
          <w:szCs w:val="24"/>
        </w:rPr>
        <w:t xml:space="preserve">Lefebvre, H. (1974/1991) </w:t>
      </w:r>
      <w:r w:rsidRPr="00452C80">
        <w:rPr>
          <w:i/>
          <w:iCs/>
          <w:sz w:val="24"/>
          <w:szCs w:val="24"/>
        </w:rPr>
        <w:t>The Production of Space</w:t>
      </w:r>
      <w:r w:rsidRPr="00452C80">
        <w:rPr>
          <w:sz w:val="24"/>
          <w:szCs w:val="24"/>
        </w:rPr>
        <w:t>. Oxford: Blackwell.</w:t>
      </w:r>
    </w:p>
    <w:p w14:paraId="38A61351" w14:textId="2DBB27BA" w:rsidR="00640A2D" w:rsidRPr="00452C80" w:rsidRDefault="00640A2D" w:rsidP="00887FF3">
      <w:pPr>
        <w:spacing w:line="360" w:lineRule="auto"/>
        <w:ind w:left="833" w:hanging="720"/>
        <w:rPr>
          <w:rStyle w:val="Hyperlink"/>
          <w:color w:val="auto"/>
          <w:sz w:val="24"/>
          <w:szCs w:val="24"/>
        </w:rPr>
      </w:pPr>
      <w:r w:rsidRPr="00452C80">
        <w:rPr>
          <w:sz w:val="24"/>
          <w:szCs w:val="24"/>
        </w:rPr>
        <w:lastRenderedPageBreak/>
        <w:t>Levy, E. and Campbell, K.</w:t>
      </w:r>
      <w:r w:rsidR="000B778A">
        <w:rPr>
          <w:sz w:val="24"/>
          <w:szCs w:val="24"/>
        </w:rPr>
        <w:t xml:space="preserve"> </w:t>
      </w:r>
      <w:r w:rsidRPr="00452C80">
        <w:rPr>
          <w:sz w:val="24"/>
          <w:szCs w:val="24"/>
        </w:rPr>
        <w:t xml:space="preserve">J. (2000) D.W. Winnicott in the Literature Classroom, </w:t>
      </w:r>
      <w:r w:rsidRPr="00452C80">
        <w:rPr>
          <w:i/>
          <w:iCs/>
          <w:sz w:val="24"/>
          <w:szCs w:val="24"/>
        </w:rPr>
        <w:t>Teaching English in the Two-Year College</w:t>
      </w:r>
      <w:r w:rsidRPr="00452C80">
        <w:rPr>
          <w:sz w:val="24"/>
          <w:szCs w:val="24"/>
        </w:rPr>
        <w:t xml:space="preserve">, </w:t>
      </w:r>
      <w:r w:rsidRPr="00452C80">
        <w:rPr>
          <w:b/>
          <w:bCs/>
          <w:sz w:val="24"/>
          <w:szCs w:val="24"/>
        </w:rPr>
        <w:t>27</w:t>
      </w:r>
      <w:r w:rsidRPr="00452C80">
        <w:rPr>
          <w:sz w:val="24"/>
          <w:szCs w:val="24"/>
        </w:rPr>
        <w:t xml:space="preserve">(3): pp.320-328. </w:t>
      </w:r>
      <w:hyperlink r:id="rId298" w:history="1">
        <w:r w:rsidRPr="00484705">
          <w:rPr>
            <w:rStyle w:val="Hyperlink"/>
            <w:color w:val="0070C0"/>
            <w:sz w:val="24"/>
            <w:szCs w:val="24"/>
          </w:rPr>
          <w:t>https://doi.org/10.58680/tetyc20001893</w:t>
        </w:r>
      </w:hyperlink>
    </w:p>
    <w:p w14:paraId="7B620E25" w14:textId="77777777" w:rsidR="0070086D" w:rsidRPr="0070086D" w:rsidRDefault="0070086D" w:rsidP="0070086D">
      <w:pPr>
        <w:spacing w:line="360" w:lineRule="auto"/>
        <w:ind w:left="833" w:hanging="720"/>
        <w:rPr>
          <w:sz w:val="24"/>
          <w:szCs w:val="24"/>
        </w:rPr>
      </w:pPr>
      <w:r w:rsidRPr="0070086D">
        <w:rPr>
          <w:sz w:val="24"/>
          <w:szCs w:val="24"/>
        </w:rPr>
        <w:t xml:space="preserve">Lewis, J., Bolton, P., and Wilson, S. (2025) </w:t>
      </w:r>
      <w:r w:rsidRPr="0070086D">
        <w:rPr>
          <w:i/>
          <w:iCs/>
          <w:sz w:val="24"/>
          <w:szCs w:val="24"/>
        </w:rPr>
        <w:t>Tuition Fees in England: History, debates, and international comparisons</w:t>
      </w:r>
      <w:r w:rsidRPr="0070086D">
        <w:rPr>
          <w:sz w:val="24"/>
          <w:szCs w:val="24"/>
        </w:rPr>
        <w:t xml:space="preserve">. House of Commons Library. Available at: </w:t>
      </w:r>
      <w:hyperlink r:id="rId299" w:history="1">
        <w:r w:rsidRPr="0070086D">
          <w:rPr>
            <w:rStyle w:val="Hyperlink"/>
            <w:sz w:val="24"/>
            <w:szCs w:val="24"/>
          </w:rPr>
          <w:t>https://commonslibrary.parliament.uk/research-briefings/cbp-10155/</w:t>
        </w:r>
      </w:hyperlink>
      <w:r w:rsidRPr="0070086D">
        <w:rPr>
          <w:sz w:val="24"/>
          <w:szCs w:val="24"/>
        </w:rPr>
        <w:t xml:space="preserve">  [Accessed 28</w:t>
      </w:r>
      <w:r w:rsidRPr="0070086D">
        <w:rPr>
          <w:sz w:val="24"/>
          <w:szCs w:val="24"/>
          <w:vertAlign w:val="superscript"/>
        </w:rPr>
        <w:t>th</w:t>
      </w:r>
      <w:r w:rsidRPr="0070086D">
        <w:rPr>
          <w:sz w:val="24"/>
          <w:szCs w:val="24"/>
        </w:rPr>
        <w:t xml:space="preserve"> November 2025]</w:t>
      </w:r>
    </w:p>
    <w:p w14:paraId="69B51270" w14:textId="6D3C3283" w:rsidR="00640A2D" w:rsidRPr="00452C80" w:rsidRDefault="0001658F" w:rsidP="0001658F">
      <w:pPr>
        <w:spacing w:line="360" w:lineRule="auto"/>
        <w:ind w:left="720" w:hanging="720"/>
        <w:rPr>
          <w:sz w:val="24"/>
          <w:szCs w:val="24"/>
        </w:rPr>
      </w:pPr>
      <w:r>
        <w:rPr>
          <w:sz w:val="24"/>
          <w:szCs w:val="24"/>
        </w:rPr>
        <w:t xml:space="preserve">  </w:t>
      </w:r>
      <w:r w:rsidR="00640A2D" w:rsidRPr="00452C80">
        <w:rPr>
          <w:sz w:val="24"/>
          <w:szCs w:val="24"/>
        </w:rPr>
        <w:t xml:space="preserve">Lewis, P. (1993) </w:t>
      </w:r>
      <w:r w:rsidR="00640A2D" w:rsidRPr="00452C80">
        <w:rPr>
          <w:i/>
          <w:iCs/>
          <w:sz w:val="24"/>
          <w:szCs w:val="24"/>
        </w:rPr>
        <w:t>Creative Transformation: The healing power of the arts</w:t>
      </w:r>
      <w:r w:rsidR="00640A2D" w:rsidRPr="00452C80">
        <w:rPr>
          <w:sz w:val="24"/>
          <w:szCs w:val="24"/>
        </w:rPr>
        <w:t>. Illinois, USA: Chiron Publications.</w:t>
      </w:r>
    </w:p>
    <w:p w14:paraId="2B7E7725" w14:textId="77777777" w:rsidR="00640A2D" w:rsidRPr="00452C80" w:rsidRDefault="00640A2D" w:rsidP="00887FF3">
      <w:pPr>
        <w:spacing w:line="360" w:lineRule="auto"/>
        <w:ind w:left="833" w:hanging="720"/>
        <w:rPr>
          <w:sz w:val="24"/>
          <w:szCs w:val="24"/>
        </w:rPr>
      </w:pPr>
      <w:r w:rsidRPr="00452C80">
        <w:rPr>
          <w:sz w:val="24"/>
          <w:szCs w:val="24"/>
        </w:rPr>
        <w:t xml:space="preserve">Liedloff, J. (1975/1986) </w:t>
      </w:r>
      <w:r w:rsidRPr="00452C80">
        <w:rPr>
          <w:i/>
          <w:iCs/>
          <w:sz w:val="24"/>
          <w:szCs w:val="24"/>
        </w:rPr>
        <w:t>The Continuum Concept</w:t>
      </w:r>
      <w:r w:rsidRPr="00452C80">
        <w:rPr>
          <w:sz w:val="24"/>
          <w:szCs w:val="24"/>
        </w:rPr>
        <w:t>. London: Penguin Books Ltd.</w:t>
      </w:r>
    </w:p>
    <w:p w14:paraId="2DAD8169" w14:textId="4077EF2E" w:rsidR="00640A2D" w:rsidRPr="00452C80" w:rsidRDefault="00640A2D" w:rsidP="00887FF3">
      <w:pPr>
        <w:spacing w:line="360" w:lineRule="auto"/>
        <w:ind w:left="833" w:hanging="720"/>
        <w:rPr>
          <w:sz w:val="24"/>
          <w:szCs w:val="24"/>
        </w:rPr>
      </w:pPr>
      <w:r w:rsidRPr="00452C80">
        <w:rPr>
          <w:sz w:val="24"/>
          <w:szCs w:val="24"/>
        </w:rPr>
        <w:t xml:space="preserve">Light, G., Cox, R., and Calkins, S. (2001/2009) </w:t>
      </w:r>
      <w:r w:rsidRPr="00452C80">
        <w:rPr>
          <w:i/>
          <w:iCs/>
          <w:sz w:val="24"/>
          <w:szCs w:val="24"/>
        </w:rPr>
        <w:t>Learning and Teaching in Higher Education: the reflective professional</w:t>
      </w:r>
      <w:r w:rsidRPr="00452C80">
        <w:rPr>
          <w:sz w:val="24"/>
          <w:szCs w:val="24"/>
        </w:rPr>
        <w:t xml:space="preserve"> (2</w:t>
      </w:r>
      <w:r w:rsidRPr="00452C80">
        <w:rPr>
          <w:sz w:val="24"/>
          <w:szCs w:val="24"/>
          <w:vertAlign w:val="superscript"/>
        </w:rPr>
        <w:t>nd</w:t>
      </w:r>
      <w:r w:rsidRPr="00452C80">
        <w:rPr>
          <w:sz w:val="24"/>
          <w:szCs w:val="24"/>
        </w:rPr>
        <w:t xml:space="preserve"> edition</w:t>
      </w:r>
      <w:r w:rsidR="00602161">
        <w:rPr>
          <w:sz w:val="24"/>
          <w:szCs w:val="24"/>
        </w:rPr>
        <w:t>,</w:t>
      </w:r>
      <w:r w:rsidRPr="00452C80">
        <w:rPr>
          <w:sz w:val="24"/>
          <w:szCs w:val="24"/>
        </w:rPr>
        <w:t xml:space="preserve"> 2009). London: Sage publications Ltd.</w:t>
      </w:r>
    </w:p>
    <w:p w14:paraId="744A711C" w14:textId="6ABCC941" w:rsidR="00640A2D" w:rsidRPr="00452C80" w:rsidRDefault="00640A2D" w:rsidP="00887FF3">
      <w:pPr>
        <w:spacing w:line="360" w:lineRule="auto"/>
        <w:ind w:left="833" w:hanging="720"/>
        <w:rPr>
          <w:sz w:val="24"/>
          <w:szCs w:val="24"/>
          <w:lang w:val="en-US"/>
        </w:rPr>
      </w:pPr>
      <w:r w:rsidRPr="00452C80">
        <w:rPr>
          <w:sz w:val="24"/>
          <w:szCs w:val="24"/>
          <w:lang w:val="en-US"/>
        </w:rPr>
        <w:t xml:space="preserve">Lincoln, Y., and Guba, E.G. (1985) </w:t>
      </w:r>
      <w:r w:rsidRPr="00452C80">
        <w:rPr>
          <w:i/>
          <w:iCs/>
          <w:sz w:val="24"/>
          <w:szCs w:val="24"/>
          <w:lang w:val="en-US"/>
        </w:rPr>
        <w:t>Naturalistic Inquiry</w:t>
      </w:r>
      <w:r w:rsidRPr="00452C80">
        <w:rPr>
          <w:sz w:val="24"/>
          <w:szCs w:val="24"/>
          <w:lang w:val="en-US"/>
        </w:rPr>
        <w:t>. Newbury Park, CA: Sage.</w:t>
      </w:r>
    </w:p>
    <w:p w14:paraId="66E22273" w14:textId="7818BDB9" w:rsidR="00640A2D" w:rsidRPr="00452C80" w:rsidRDefault="00640A2D" w:rsidP="00887FF3">
      <w:pPr>
        <w:spacing w:line="360" w:lineRule="auto"/>
        <w:ind w:left="833" w:hanging="720"/>
        <w:rPr>
          <w:sz w:val="24"/>
          <w:szCs w:val="24"/>
          <w:lang w:val="en-US"/>
        </w:rPr>
      </w:pPr>
      <w:r w:rsidRPr="00452C80">
        <w:rPr>
          <w:sz w:val="24"/>
          <w:szCs w:val="24"/>
        </w:rPr>
        <w:t xml:space="preserve">Lindseth, A., and Norberg, A. (2004) A phenomenological hermeneutical method for researching lived experience. </w:t>
      </w:r>
      <w:r w:rsidRPr="00452C80">
        <w:rPr>
          <w:i/>
          <w:iCs/>
          <w:sz w:val="24"/>
          <w:szCs w:val="24"/>
        </w:rPr>
        <w:t>Scandinavian Journal of Caring Sciences</w:t>
      </w:r>
      <w:r w:rsidRPr="00452C80">
        <w:rPr>
          <w:sz w:val="24"/>
          <w:szCs w:val="24"/>
        </w:rPr>
        <w:t>, 18: pp. 145-153. </w:t>
      </w:r>
      <w:hyperlink r:id="rId300" w:history="1">
        <w:r w:rsidRPr="00484705">
          <w:rPr>
            <w:rStyle w:val="Hyperlink"/>
            <w:color w:val="0070C0"/>
            <w:sz w:val="24"/>
            <w:szCs w:val="24"/>
          </w:rPr>
          <w:t>https://doi.org/10.1111/j.1471-6712.2004.00258.x</w:t>
        </w:r>
      </w:hyperlink>
    </w:p>
    <w:p w14:paraId="08B96554" w14:textId="68336614" w:rsidR="00640A2D" w:rsidRPr="00452C80" w:rsidRDefault="00640A2D" w:rsidP="00887FF3">
      <w:pPr>
        <w:spacing w:line="360" w:lineRule="auto"/>
        <w:ind w:left="833" w:hanging="720"/>
        <w:rPr>
          <w:bCs/>
          <w:sz w:val="24"/>
          <w:szCs w:val="24"/>
        </w:rPr>
      </w:pPr>
      <w:r w:rsidRPr="00452C80">
        <w:rPr>
          <w:bCs/>
          <w:sz w:val="24"/>
          <w:szCs w:val="24"/>
        </w:rPr>
        <w:t xml:space="preserve">Lizzio, A., Wilson, K., and Simons, R. (2002) Studies in higher education and academic outcomes: University Students' perceptions of the learning environment and academic outcomes: Implications for theory and practice. </w:t>
      </w:r>
      <w:r w:rsidRPr="00452C80">
        <w:rPr>
          <w:bCs/>
          <w:i/>
          <w:iCs/>
          <w:sz w:val="24"/>
          <w:szCs w:val="24"/>
        </w:rPr>
        <w:t>Studies in Higher Education</w:t>
      </w:r>
      <w:r w:rsidRPr="00452C80">
        <w:rPr>
          <w:bCs/>
          <w:sz w:val="24"/>
          <w:szCs w:val="24"/>
        </w:rPr>
        <w:t xml:space="preserve">, </w:t>
      </w:r>
      <w:r w:rsidRPr="00452C80">
        <w:rPr>
          <w:b/>
          <w:bCs/>
          <w:sz w:val="24"/>
          <w:szCs w:val="24"/>
        </w:rPr>
        <w:t>27</w:t>
      </w:r>
      <w:r w:rsidRPr="00452C80">
        <w:rPr>
          <w:sz w:val="24"/>
          <w:szCs w:val="24"/>
        </w:rPr>
        <w:t>(1):</w:t>
      </w:r>
      <w:r w:rsidRPr="00452C80">
        <w:rPr>
          <w:bCs/>
          <w:sz w:val="24"/>
          <w:szCs w:val="24"/>
        </w:rPr>
        <w:t xml:space="preserve"> pp.27– 52. </w:t>
      </w:r>
      <w:hyperlink r:id="rId301" w:history="1">
        <w:r w:rsidRPr="00484705">
          <w:rPr>
            <w:rStyle w:val="Hyperlink"/>
            <w:bCs/>
            <w:color w:val="0070C0"/>
            <w:sz w:val="24"/>
            <w:szCs w:val="24"/>
          </w:rPr>
          <w:t>https://doi.org/10.1080/0307507012009935</w:t>
        </w:r>
      </w:hyperlink>
    </w:p>
    <w:p w14:paraId="4B70F419" w14:textId="16E0017B" w:rsidR="00640A2D" w:rsidRPr="00452C80" w:rsidRDefault="00640A2D" w:rsidP="00887FF3">
      <w:pPr>
        <w:spacing w:line="360" w:lineRule="auto"/>
        <w:ind w:left="833" w:hanging="720"/>
        <w:rPr>
          <w:sz w:val="24"/>
          <w:szCs w:val="24"/>
        </w:rPr>
      </w:pPr>
      <w:r w:rsidRPr="00452C80">
        <w:rPr>
          <w:sz w:val="24"/>
          <w:szCs w:val="24"/>
        </w:rPr>
        <w:t xml:space="preserve">Lobe, B., Morgan, D., and Hoffman K. A. (2020) Qualitative data collection in an era of social distancing. </w:t>
      </w:r>
      <w:r w:rsidRPr="00452C80">
        <w:rPr>
          <w:i/>
          <w:iCs/>
          <w:sz w:val="24"/>
          <w:szCs w:val="24"/>
        </w:rPr>
        <w:t>International Journal of Qualitative Methods</w:t>
      </w:r>
      <w:r w:rsidRPr="00452C80">
        <w:rPr>
          <w:sz w:val="24"/>
          <w:szCs w:val="24"/>
        </w:rPr>
        <w:t xml:space="preserve">, 19: pp. 1–8. </w:t>
      </w:r>
      <w:r w:rsidR="002A3313" w:rsidRPr="00484705">
        <w:rPr>
          <w:color w:val="0070C0"/>
          <w:sz w:val="24"/>
          <w:szCs w:val="24"/>
        </w:rPr>
        <w:t>DOI:</w:t>
      </w:r>
      <w:r w:rsidRPr="00484705">
        <w:rPr>
          <w:color w:val="0070C0"/>
          <w:sz w:val="24"/>
          <w:szCs w:val="24"/>
        </w:rPr>
        <w:t>10.1177/1609406920937875</w:t>
      </w:r>
    </w:p>
    <w:p w14:paraId="47513FD8" w14:textId="7718EF5B" w:rsidR="00640A2D" w:rsidRPr="008376D5" w:rsidRDefault="00640A2D" w:rsidP="00887FF3">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Lofthouse, R. (2021) Inclusive Allyship. </w:t>
      </w:r>
      <w:r w:rsidRPr="00452C80">
        <w:rPr>
          <w:rFonts w:ascii="Calibri" w:eastAsia="Aptos" w:hAnsi="Calibri" w:cs="Calibri"/>
          <w:i/>
          <w:iCs/>
          <w:kern w:val="2"/>
          <w:sz w:val="24"/>
          <w:szCs w:val="24"/>
          <w14:ligatures w14:val="standardContextual"/>
        </w:rPr>
        <w:t>Carnegie Conversation</w:t>
      </w:r>
      <w:r w:rsidRPr="00452C80">
        <w:rPr>
          <w:rFonts w:ascii="Calibri" w:eastAsia="Aptos" w:hAnsi="Calibri" w:cs="Calibri"/>
          <w:kern w:val="2"/>
          <w:sz w:val="24"/>
          <w:szCs w:val="24"/>
          <w14:ligatures w14:val="standardContextual"/>
        </w:rPr>
        <w:t>, [virtual] 20 January.  Leeds Beckett University.</w:t>
      </w:r>
      <w:r w:rsidR="008376D5">
        <w:rPr>
          <w:rFonts w:ascii="Calibri" w:eastAsia="Aptos" w:hAnsi="Calibri" w:cs="Calibri"/>
          <w:kern w:val="2"/>
          <w:sz w:val="24"/>
          <w:szCs w:val="24"/>
          <w14:ligatures w14:val="standardContextual"/>
        </w:rPr>
        <w:t xml:space="preserve"> Available at: </w:t>
      </w:r>
      <w:r w:rsidRPr="00452C80">
        <w:t xml:space="preserve"> </w:t>
      </w:r>
      <w:hyperlink r:id="rId302" w:history="1">
        <w:r w:rsidRPr="002A3313">
          <w:rPr>
            <w:rStyle w:val="Hyperlink"/>
            <w:rFonts w:ascii="Calibri" w:eastAsia="Aptos" w:hAnsi="Calibri" w:cs="Calibri"/>
            <w:color w:val="0070C0"/>
            <w:kern w:val="2"/>
            <w:sz w:val="24"/>
            <w:szCs w:val="24"/>
            <w14:ligatures w14:val="standardContextual"/>
          </w:rPr>
          <w:t>https://www.leedsbeckett.ac.uk/blogs/carnegie-education/2021/01/being-an-inclusive-ally/</w:t>
        </w:r>
      </w:hyperlink>
      <w:r w:rsidR="008376D5">
        <w:t xml:space="preserve">  </w:t>
      </w:r>
      <w:r w:rsidR="008376D5">
        <w:rPr>
          <w:sz w:val="24"/>
          <w:szCs w:val="24"/>
        </w:rPr>
        <w:t xml:space="preserve">[Accessed </w:t>
      </w:r>
      <w:r w:rsidR="007F5713">
        <w:rPr>
          <w:sz w:val="24"/>
          <w:szCs w:val="24"/>
        </w:rPr>
        <w:t>18</w:t>
      </w:r>
      <w:r w:rsidR="007F5713" w:rsidRPr="007F5713">
        <w:rPr>
          <w:sz w:val="24"/>
          <w:szCs w:val="24"/>
          <w:vertAlign w:val="superscript"/>
        </w:rPr>
        <w:t>th</w:t>
      </w:r>
      <w:r w:rsidR="007F5713">
        <w:rPr>
          <w:sz w:val="24"/>
          <w:szCs w:val="24"/>
        </w:rPr>
        <w:t xml:space="preserve"> April 2023]</w:t>
      </w:r>
    </w:p>
    <w:p w14:paraId="2B65BFE8" w14:textId="77777777" w:rsidR="00640A2D" w:rsidRPr="00452C80" w:rsidRDefault="00640A2D" w:rsidP="00887FF3">
      <w:pPr>
        <w:spacing w:line="360" w:lineRule="auto"/>
        <w:ind w:left="833" w:hanging="720"/>
        <w:rPr>
          <w:sz w:val="24"/>
          <w:szCs w:val="24"/>
        </w:rPr>
      </w:pPr>
      <w:r w:rsidRPr="00452C80">
        <w:rPr>
          <w:sz w:val="24"/>
          <w:szCs w:val="24"/>
        </w:rPr>
        <w:t xml:space="preserve">Lopez-Pedraza, R. (1977/1989/2000) </w:t>
      </w:r>
      <w:r w:rsidRPr="00452C80">
        <w:rPr>
          <w:i/>
          <w:sz w:val="24"/>
          <w:szCs w:val="24"/>
        </w:rPr>
        <w:t>Hermes and his Children</w:t>
      </w:r>
      <w:r w:rsidRPr="00452C80">
        <w:rPr>
          <w:sz w:val="24"/>
          <w:szCs w:val="24"/>
        </w:rPr>
        <w:t xml:space="preserve">. Switzerland: Daimon Verlag. </w:t>
      </w:r>
    </w:p>
    <w:p w14:paraId="7980041D" w14:textId="37D91FA9" w:rsidR="00640A2D" w:rsidRPr="00452C80" w:rsidRDefault="00640A2D" w:rsidP="00887FF3">
      <w:pPr>
        <w:spacing w:line="360" w:lineRule="auto"/>
        <w:ind w:left="833" w:hanging="720"/>
        <w:rPr>
          <w:bCs/>
          <w:sz w:val="24"/>
          <w:szCs w:val="24"/>
        </w:rPr>
      </w:pPr>
      <w:r w:rsidRPr="00452C80">
        <w:rPr>
          <w:bCs/>
          <w:sz w:val="24"/>
          <w:szCs w:val="24"/>
        </w:rPr>
        <w:lastRenderedPageBreak/>
        <w:t>Loughran, J.</w:t>
      </w:r>
      <w:r w:rsidR="00B967E6">
        <w:rPr>
          <w:bCs/>
          <w:sz w:val="24"/>
          <w:szCs w:val="24"/>
        </w:rPr>
        <w:t xml:space="preserve"> </w:t>
      </w:r>
      <w:r w:rsidRPr="00452C80">
        <w:rPr>
          <w:bCs/>
          <w:sz w:val="24"/>
          <w:szCs w:val="24"/>
        </w:rPr>
        <w:t xml:space="preserve">J. (1996) </w:t>
      </w:r>
      <w:r w:rsidRPr="00452C80">
        <w:rPr>
          <w:bCs/>
          <w:i/>
          <w:iCs/>
          <w:sz w:val="24"/>
          <w:szCs w:val="24"/>
        </w:rPr>
        <w:t>Developing Reflective Practice: Learning About Teaching</w:t>
      </w:r>
      <w:r w:rsidRPr="00452C80">
        <w:rPr>
          <w:bCs/>
          <w:sz w:val="24"/>
          <w:szCs w:val="24"/>
        </w:rPr>
        <w:t>. London: Imprint Routledge.</w:t>
      </w:r>
    </w:p>
    <w:p w14:paraId="3F2ACEC3" w14:textId="77777777" w:rsidR="00640A2D" w:rsidRPr="00452C80" w:rsidRDefault="00640A2D" w:rsidP="00887FF3">
      <w:pPr>
        <w:spacing w:line="360" w:lineRule="auto"/>
        <w:ind w:left="833" w:hanging="720"/>
        <w:rPr>
          <w:sz w:val="24"/>
          <w:szCs w:val="24"/>
        </w:rPr>
      </w:pPr>
      <w:r w:rsidRPr="00452C80">
        <w:rPr>
          <w:sz w:val="24"/>
          <w:szCs w:val="24"/>
        </w:rPr>
        <w:t xml:space="preserve">Loveday, V. (2018) The neurotic academic: anxiety, casualisation, and governance in the neoliberalising university’, </w:t>
      </w:r>
      <w:r w:rsidRPr="00452C80">
        <w:rPr>
          <w:i/>
          <w:iCs/>
          <w:sz w:val="24"/>
          <w:szCs w:val="24"/>
        </w:rPr>
        <w:t>Journal of Cultural Economy</w:t>
      </w:r>
      <w:r w:rsidRPr="00452C80">
        <w:rPr>
          <w:sz w:val="24"/>
          <w:szCs w:val="24"/>
        </w:rPr>
        <w:t xml:space="preserve">, </w:t>
      </w:r>
      <w:r w:rsidRPr="00452C80">
        <w:rPr>
          <w:b/>
          <w:bCs/>
          <w:sz w:val="24"/>
          <w:szCs w:val="24"/>
        </w:rPr>
        <w:t>11</w:t>
      </w:r>
      <w:r w:rsidRPr="00452C80">
        <w:rPr>
          <w:sz w:val="24"/>
          <w:szCs w:val="24"/>
        </w:rPr>
        <w:t xml:space="preserve">(2): pp.154-166.   </w:t>
      </w:r>
      <w:hyperlink r:id="rId303" w:history="1">
        <w:r w:rsidRPr="002A3313">
          <w:rPr>
            <w:rStyle w:val="Hyperlink"/>
            <w:color w:val="0070C0"/>
            <w:sz w:val="24"/>
            <w:szCs w:val="24"/>
          </w:rPr>
          <w:t>https://doi.org/10.1080/17530350.2018.1426032</w:t>
        </w:r>
      </w:hyperlink>
    </w:p>
    <w:p w14:paraId="684ADCFD" w14:textId="59C6118E" w:rsidR="00640A2D" w:rsidRPr="00452C80" w:rsidRDefault="00640A2D" w:rsidP="00887FF3">
      <w:pPr>
        <w:spacing w:line="360" w:lineRule="auto"/>
        <w:ind w:left="833" w:hanging="720"/>
        <w:rPr>
          <w:sz w:val="24"/>
          <w:szCs w:val="24"/>
        </w:rPr>
      </w:pPr>
      <w:r w:rsidRPr="00452C80">
        <w:rPr>
          <w:sz w:val="24"/>
          <w:szCs w:val="24"/>
        </w:rPr>
        <w:t>Lowes, L., and Gill, P. (2006) Participants' experiences of being interviewed about an emotive topic. </w:t>
      </w:r>
      <w:r w:rsidRPr="00452C80">
        <w:rPr>
          <w:i/>
          <w:iCs/>
          <w:sz w:val="24"/>
          <w:szCs w:val="24"/>
        </w:rPr>
        <w:t>Methodological Issues in Nursing Research</w:t>
      </w:r>
      <w:r w:rsidRPr="00452C80">
        <w:rPr>
          <w:sz w:val="24"/>
          <w:szCs w:val="24"/>
        </w:rPr>
        <w:t xml:space="preserve">, </w:t>
      </w:r>
      <w:r w:rsidRPr="00452C80">
        <w:rPr>
          <w:b/>
          <w:bCs/>
          <w:sz w:val="24"/>
          <w:szCs w:val="24"/>
        </w:rPr>
        <w:t>55</w:t>
      </w:r>
      <w:r w:rsidRPr="00452C80">
        <w:rPr>
          <w:sz w:val="24"/>
          <w:szCs w:val="24"/>
        </w:rPr>
        <w:t>(5): pp. 587–595.</w:t>
      </w:r>
      <w:r w:rsidRPr="00452C80">
        <w:t xml:space="preserve"> </w:t>
      </w:r>
      <w:hyperlink r:id="rId304" w:history="1">
        <w:r w:rsidRPr="002A3313">
          <w:rPr>
            <w:rStyle w:val="Hyperlink"/>
            <w:color w:val="0070C0"/>
            <w:sz w:val="24"/>
            <w:szCs w:val="24"/>
          </w:rPr>
          <w:t>https://doi.org/10.1111/j.1365-2648.2006.03950.x</w:t>
        </w:r>
      </w:hyperlink>
    </w:p>
    <w:p w14:paraId="53572C8C" w14:textId="4C4AD74A" w:rsidR="00640A2D" w:rsidRPr="00452C80" w:rsidRDefault="00640A2D" w:rsidP="00887FF3">
      <w:pPr>
        <w:spacing w:line="360" w:lineRule="auto"/>
        <w:ind w:left="833" w:hanging="720"/>
        <w:rPr>
          <w:sz w:val="24"/>
          <w:szCs w:val="24"/>
        </w:rPr>
      </w:pPr>
      <w:r w:rsidRPr="00452C80">
        <w:rPr>
          <w:sz w:val="24"/>
          <w:szCs w:val="24"/>
        </w:rPr>
        <w:t xml:space="preserve">Lu, L., and Etzkowitz, H. (2008) Strategic challenges for creating knowledge-based innovation in China: Transforming triple helix-university-government-industry relations. </w:t>
      </w:r>
      <w:r w:rsidRPr="00452C80">
        <w:rPr>
          <w:i/>
          <w:iCs/>
          <w:sz w:val="24"/>
          <w:szCs w:val="24"/>
        </w:rPr>
        <w:t>Journal of Technology Management in China</w:t>
      </w:r>
      <w:r w:rsidRPr="00452C80">
        <w:rPr>
          <w:sz w:val="24"/>
          <w:szCs w:val="24"/>
        </w:rPr>
        <w:t>,</w:t>
      </w:r>
      <w:r w:rsidRPr="00452C80">
        <w:rPr>
          <w:b/>
          <w:bCs/>
          <w:sz w:val="24"/>
          <w:szCs w:val="24"/>
        </w:rPr>
        <w:t xml:space="preserve"> 3</w:t>
      </w:r>
      <w:r w:rsidRPr="00452C80">
        <w:rPr>
          <w:sz w:val="24"/>
          <w:szCs w:val="24"/>
        </w:rPr>
        <w:t>(1): pp.5-11.</w:t>
      </w:r>
      <w:r w:rsidRPr="00452C80">
        <w:t xml:space="preserve"> </w:t>
      </w:r>
      <w:hyperlink r:id="rId305" w:tooltip="DOI: https://doi.org/10.1108/17468770810851476" w:history="1">
        <w:r w:rsidRPr="002A3313">
          <w:rPr>
            <w:rStyle w:val="Hyperlink"/>
            <w:color w:val="0070C0"/>
            <w:sz w:val="24"/>
            <w:szCs w:val="24"/>
          </w:rPr>
          <w:t>https://doi.org/10.1108/17468770810851476</w:t>
        </w:r>
      </w:hyperlink>
    </w:p>
    <w:p w14:paraId="5254D75E" w14:textId="1E9C6B6D" w:rsidR="00640A2D" w:rsidRPr="00452C80" w:rsidRDefault="00640A2D" w:rsidP="00887FF3">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Lyu, H., Nguyen, A., and Dang, C. T. (2025) Aligning Support with the Needs of Mature Students in Russell Group Universities: A Systematic Literature Review. </w:t>
      </w:r>
      <w:r w:rsidRPr="00452C80">
        <w:rPr>
          <w:rFonts w:ascii="Calibri" w:eastAsia="Aptos" w:hAnsi="Calibri" w:cs="Calibri"/>
          <w:i/>
          <w:iCs/>
          <w:kern w:val="2"/>
          <w:sz w:val="24"/>
          <w:szCs w:val="24"/>
          <w14:ligatures w14:val="standardContextual"/>
        </w:rPr>
        <w:t>The Journal of Continuing Higher Education</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73</w:t>
      </w:r>
      <w:r w:rsidRPr="00452C80">
        <w:rPr>
          <w:rFonts w:ascii="Calibri" w:eastAsia="Aptos" w:hAnsi="Calibri" w:cs="Calibri"/>
          <w:kern w:val="2"/>
          <w:sz w:val="24"/>
          <w:szCs w:val="24"/>
          <w14:ligatures w14:val="standardContextual"/>
        </w:rPr>
        <w:t xml:space="preserve">(2): pp. 1–14. </w:t>
      </w:r>
      <w:hyperlink r:id="rId306" w:history="1">
        <w:r w:rsidRPr="002A3313">
          <w:rPr>
            <w:rStyle w:val="Hyperlink"/>
            <w:rFonts w:ascii="Calibri" w:eastAsia="Aptos" w:hAnsi="Calibri" w:cs="Calibri"/>
            <w:color w:val="0070C0"/>
            <w:kern w:val="2"/>
            <w:sz w:val="24"/>
            <w:szCs w:val="24"/>
            <w14:ligatures w14:val="standardContextual"/>
          </w:rPr>
          <w:t>https://doi.org/10.1080/07377363.2025.2460248</w:t>
        </w:r>
      </w:hyperlink>
    </w:p>
    <w:p w14:paraId="238860B0" w14:textId="7FEFD50C" w:rsidR="00640A2D" w:rsidRPr="00452C80" w:rsidRDefault="00640A2D" w:rsidP="00887FF3">
      <w:pPr>
        <w:spacing w:line="360" w:lineRule="auto"/>
        <w:ind w:left="833" w:hanging="720"/>
        <w:rPr>
          <w:sz w:val="24"/>
          <w:szCs w:val="24"/>
        </w:rPr>
      </w:pPr>
      <w:r w:rsidRPr="00452C80">
        <w:rPr>
          <w:sz w:val="24"/>
          <w:szCs w:val="24"/>
        </w:rPr>
        <w:t>MacCallum-Sullivan, M.</w:t>
      </w:r>
      <w:r w:rsidR="000B778A">
        <w:rPr>
          <w:sz w:val="24"/>
          <w:szCs w:val="24"/>
        </w:rPr>
        <w:t>,</w:t>
      </w:r>
      <w:r w:rsidRPr="00452C80">
        <w:rPr>
          <w:sz w:val="24"/>
          <w:szCs w:val="24"/>
        </w:rPr>
        <w:t xml:space="preserve"> and Goldenberg, H. (2003/2015) </w:t>
      </w:r>
      <w:r w:rsidRPr="00452C80">
        <w:rPr>
          <w:i/>
          <w:iCs/>
          <w:sz w:val="24"/>
          <w:szCs w:val="24"/>
        </w:rPr>
        <w:t>Cradling the Chrysalis: Teaching and Learning Psychotherapy.</w:t>
      </w:r>
      <w:r w:rsidRPr="00452C80">
        <w:rPr>
          <w:sz w:val="24"/>
          <w:szCs w:val="24"/>
        </w:rPr>
        <w:t xml:space="preserve"> London: Karnak Books Ltd.</w:t>
      </w:r>
    </w:p>
    <w:p w14:paraId="41F20925" w14:textId="25D304F8" w:rsidR="00640A2D" w:rsidRPr="00452C80" w:rsidRDefault="00640A2D" w:rsidP="00887FF3">
      <w:pPr>
        <w:spacing w:line="360" w:lineRule="auto"/>
        <w:ind w:left="833" w:hanging="720"/>
        <w:rPr>
          <w:sz w:val="24"/>
          <w:szCs w:val="24"/>
          <w:lang w:val="en-US"/>
        </w:rPr>
      </w:pPr>
      <w:r w:rsidRPr="00452C80">
        <w:rPr>
          <w:sz w:val="24"/>
          <w:szCs w:val="24"/>
          <w:lang w:val="en-US"/>
        </w:rPr>
        <w:t>Machera, R.</w:t>
      </w:r>
      <w:r w:rsidR="009951AE">
        <w:rPr>
          <w:sz w:val="24"/>
          <w:szCs w:val="24"/>
          <w:lang w:val="en-US"/>
        </w:rPr>
        <w:t xml:space="preserve"> </w:t>
      </w:r>
      <w:r w:rsidRPr="00452C80">
        <w:rPr>
          <w:sz w:val="24"/>
          <w:szCs w:val="24"/>
          <w:lang w:val="en-US"/>
        </w:rPr>
        <w:t>P.</w:t>
      </w:r>
      <w:r w:rsidR="00DC37A4">
        <w:rPr>
          <w:sz w:val="24"/>
          <w:szCs w:val="24"/>
          <w:lang w:val="en-US"/>
        </w:rPr>
        <w:t>,</w:t>
      </w:r>
      <w:r w:rsidRPr="00452C80">
        <w:rPr>
          <w:sz w:val="24"/>
          <w:szCs w:val="24"/>
          <w:lang w:val="en-US"/>
        </w:rPr>
        <w:t xml:space="preserve"> and Machera, P.</w:t>
      </w:r>
      <w:r w:rsidR="009951AE">
        <w:rPr>
          <w:sz w:val="24"/>
          <w:szCs w:val="24"/>
          <w:lang w:val="en-US"/>
        </w:rPr>
        <w:t xml:space="preserve"> </w:t>
      </w:r>
      <w:r w:rsidRPr="00452C80">
        <w:rPr>
          <w:sz w:val="24"/>
          <w:szCs w:val="24"/>
          <w:lang w:val="en-US"/>
        </w:rPr>
        <w:t xml:space="preserve">C. (2017) Emotional Intelligence (EI): A Therapy for Higher Education Students. </w:t>
      </w:r>
      <w:r w:rsidRPr="00452C80">
        <w:rPr>
          <w:i/>
          <w:iCs/>
          <w:sz w:val="24"/>
          <w:szCs w:val="24"/>
          <w:lang w:val="en-US"/>
        </w:rPr>
        <w:t>Universal Journal of Educational Research</w:t>
      </w:r>
      <w:r w:rsidRPr="00452C80">
        <w:rPr>
          <w:sz w:val="24"/>
          <w:szCs w:val="24"/>
          <w:lang w:val="en-US"/>
        </w:rPr>
        <w:t xml:space="preserve"> </w:t>
      </w:r>
      <w:r w:rsidRPr="00452C80">
        <w:rPr>
          <w:b/>
          <w:bCs/>
          <w:sz w:val="24"/>
          <w:szCs w:val="24"/>
          <w:lang w:val="en-US"/>
        </w:rPr>
        <w:t>5</w:t>
      </w:r>
      <w:r w:rsidRPr="00452C80">
        <w:rPr>
          <w:sz w:val="24"/>
          <w:szCs w:val="24"/>
          <w:lang w:val="en-US"/>
        </w:rPr>
        <w:t xml:space="preserve">(3): pp. 461-471. </w:t>
      </w:r>
      <w:hyperlink r:id="rId307" w:history="1">
        <w:r w:rsidRPr="002A3313">
          <w:rPr>
            <w:rStyle w:val="Hyperlink"/>
            <w:color w:val="0070C0"/>
            <w:sz w:val="24"/>
            <w:szCs w:val="24"/>
            <w:lang w:val="en-US"/>
          </w:rPr>
          <w:t>https://doi.10.13189/ujer.2017.050318</w:t>
        </w:r>
      </w:hyperlink>
    </w:p>
    <w:p w14:paraId="7D5595AC" w14:textId="77777777" w:rsidR="00640A2D" w:rsidRPr="00452C80" w:rsidRDefault="00640A2D" w:rsidP="00887FF3">
      <w:pPr>
        <w:spacing w:line="360" w:lineRule="auto"/>
        <w:ind w:left="833" w:hanging="720"/>
        <w:rPr>
          <w:bCs/>
          <w:sz w:val="24"/>
          <w:szCs w:val="24"/>
        </w:rPr>
      </w:pPr>
      <w:r w:rsidRPr="00452C80">
        <w:rPr>
          <w:bCs/>
          <w:sz w:val="24"/>
          <w:szCs w:val="24"/>
        </w:rPr>
        <w:t xml:space="preserve">MacIntyre, A. (1981) </w:t>
      </w:r>
      <w:r w:rsidRPr="00452C80">
        <w:rPr>
          <w:bCs/>
          <w:i/>
          <w:iCs/>
          <w:sz w:val="24"/>
          <w:szCs w:val="24"/>
        </w:rPr>
        <w:t>After Virtue: A study on moral theory</w:t>
      </w:r>
      <w:r w:rsidRPr="00452C80">
        <w:rPr>
          <w:bCs/>
          <w:sz w:val="24"/>
          <w:szCs w:val="24"/>
        </w:rPr>
        <w:t>. London: Duckworth.</w:t>
      </w:r>
    </w:p>
    <w:p w14:paraId="575BE164" w14:textId="4507BEB5" w:rsidR="00640A2D" w:rsidRPr="009E0F01" w:rsidRDefault="00640A2D" w:rsidP="007E198F">
      <w:pPr>
        <w:spacing w:line="360" w:lineRule="auto"/>
        <w:ind w:left="833" w:hanging="720"/>
        <w:rPr>
          <w:sz w:val="24"/>
          <w:szCs w:val="24"/>
        </w:rPr>
      </w:pPr>
      <w:r w:rsidRPr="00452C80">
        <w:rPr>
          <w:sz w:val="24"/>
          <w:szCs w:val="24"/>
        </w:rPr>
        <w:t xml:space="preserve">Mack, L. (2010) The Philosophical Underpinnings of Educational Research. </w:t>
      </w:r>
      <w:r w:rsidRPr="00452C80">
        <w:rPr>
          <w:i/>
          <w:iCs/>
          <w:sz w:val="24"/>
          <w:szCs w:val="24"/>
        </w:rPr>
        <w:t>Polyglossia</w:t>
      </w:r>
      <w:r w:rsidRPr="00452C80">
        <w:rPr>
          <w:sz w:val="24"/>
          <w:szCs w:val="24"/>
        </w:rPr>
        <w:t xml:space="preserve">, Volume 19, October 2010. Available at: </w:t>
      </w:r>
      <w:r w:rsidR="00B61F98">
        <w:rPr>
          <w:color w:val="0070C0"/>
          <w:sz w:val="24"/>
          <w:szCs w:val="24"/>
        </w:rPr>
        <w:t>c</w:t>
      </w:r>
      <w:r w:rsidRPr="002A3313">
        <w:rPr>
          <w:color w:val="0070C0"/>
          <w:sz w:val="24"/>
          <w:szCs w:val="24"/>
        </w:rPr>
        <w:t>hromeextension://efaidnbmnnnibpcajpcglclefindmkaj/https://en.apu.ac.jp/rcaps/uploads/fckeditor/publications/polyglossia/Polyglossia_V19_Lindsay.pdf</w:t>
      </w:r>
      <w:r w:rsidR="007F5713">
        <w:rPr>
          <w:color w:val="0070C0"/>
          <w:sz w:val="24"/>
          <w:szCs w:val="24"/>
        </w:rPr>
        <w:t xml:space="preserve">  </w:t>
      </w:r>
      <w:r w:rsidR="009E0F01" w:rsidRPr="009E0F01">
        <w:rPr>
          <w:sz w:val="24"/>
          <w:szCs w:val="24"/>
        </w:rPr>
        <w:t>[Accessed 9</w:t>
      </w:r>
      <w:r w:rsidR="009E0F01" w:rsidRPr="009E0F01">
        <w:rPr>
          <w:sz w:val="24"/>
          <w:szCs w:val="24"/>
          <w:vertAlign w:val="superscript"/>
        </w:rPr>
        <w:t>th</w:t>
      </w:r>
      <w:r w:rsidR="009E0F01" w:rsidRPr="009E0F01">
        <w:rPr>
          <w:sz w:val="24"/>
          <w:szCs w:val="24"/>
        </w:rPr>
        <w:t xml:space="preserve"> February 2022]</w:t>
      </w:r>
    </w:p>
    <w:p w14:paraId="7AE2A78B" w14:textId="77777777" w:rsidR="00640A2D" w:rsidRPr="00452C80" w:rsidRDefault="00640A2D" w:rsidP="00887FF3">
      <w:pPr>
        <w:spacing w:line="360" w:lineRule="auto"/>
        <w:ind w:left="833" w:hanging="720"/>
        <w:rPr>
          <w:sz w:val="24"/>
          <w:szCs w:val="24"/>
        </w:rPr>
      </w:pPr>
      <w:r w:rsidRPr="00452C80">
        <w:rPr>
          <w:sz w:val="24"/>
          <w:szCs w:val="24"/>
        </w:rPr>
        <w:lastRenderedPageBreak/>
        <w:t xml:space="preserve">Mackenzie, C. (2002) Critical reflection, self-knowledge, and the emotions. </w:t>
      </w:r>
      <w:r w:rsidRPr="00452C80">
        <w:rPr>
          <w:i/>
          <w:iCs/>
          <w:sz w:val="24"/>
          <w:szCs w:val="24"/>
        </w:rPr>
        <w:t>Philosophical Explorations</w:t>
      </w:r>
      <w:r w:rsidRPr="00452C80">
        <w:rPr>
          <w:sz w:val="24"/>
          <w:szCs w:val="24"/>
        </w:rPr>
        <w:t xml:space="preserve">, </w:t>
      </w:r>
      <w:r w:rsidRPr="00452C80">
        <w:rPr>
          <w:b/>
          <w:bCs/>
          <w:sz w:val="24"/>
          <w:szCs w:val="24"/>
        </w:rPr>
        <w:t>5</w:t>
      </w:r>
      <w:r w:rsidRPr="00452C80">
        <w:rPr>
          <w:sz w:val="24"/>
          <w:szCs w:val="24"/>
        </w:rPr>
        <w:t>(3): pp.186-206.</w:t>
      </w:r>
      <w:r w:rsidRPr="00452C80">
        <w:rPr>
          <w:rFonts w:ascii="Open Sans" w:eastAsia="Times New Roman" w:hAnsi="Open Sans" w:cs="Open Sans"/>
          <w:sz w:val="20"/>
          <w:szCs w:val="20"/>
          <w:lang w:eastAsia="en-GB"/>
        </w:rPr>
        <w:t xml:space="preserve"> </w:t>
      </w:r>
      <w:hyperlink r:id="rId308" w:history="1">
        <w:r w:rsidRPr="002A3313">
          <w:rPr>
            <w:rStyle w:val="Hyperlink"/>
            <w:color w:val="0070C0"/>
            <w:sz w:val="24"/>
            <w:szCs w:val="24"/>
          </w:rPr>
          <w:t>https://doi.org/10.1080/10002002108538732</w:t>
        </w:r>
      </w:hyperlink>
    </w:p>
    <w:p w14:paraId="6442871D" w14:textId="77777777" w:rsidR="00640A2D" w:rsidRPr="00452C80" w:rsidRDefault="00640A2D" w:rsidP="00887FF3">
      <w:pPr>
        <w:spacing w:line="360" w:lineRule="auto"/>
        <w:ind w:left="833" w:hanging="720"/>
        <w:rPr>
          <w:sz w:val="24"/>
          <w:szCs w:val="24"/>
        </w:rPr>
      </w:pPr>
      <w:r w:rsidRPr="00452C80">
        <w:rPr>
          <w:sz w:val="24"/>
          <w:szCs w:val="24"/>
        </w:rPr>
        <w:t xml:space="preserve">MacLeish, A. (1961) </w:t>
      </w:r>
      <w:r w:rsidRPr="00452C80">
        <w:rPr>
          <w:i/>
          <w:iCs/>
          <w:sz w:val="24"/>
          <w:szCs w:val="24"/>
        </w:rPr>
        <w:t>Poetry and Experience</w:t>
      </w:r>
      <w:r w:rsidRPr="00452C80">
        <w:rPr>
          <w:sz w:val="24"/>
          <w:szCs w:val="24"/>
        </w:rPr>
        <w:t>. Boston, MA: Houghton Mifflin Harcourt.</w:t>
      </w:r>
    </w:p>
    <w:p w14:paraId="67465B0B" w14:textId="77777777" w:rsidR="00640A2D" w:rsidRPr="00452C80" w:rsidRDefault="00640A2D" w:rsidP="00887FF3">
      <w:pPr>
        <w:spacing w:line="360" w:lineRule="auto"/>
        <w:ind w:left="833" w:hanging="720"/>
        <w:rPr>
          <w:bCs/>
          <w:sz w:val="24"/>
          <w:szCs w:val="24"/>
        </w:rPr>
      </w:pPr>
      <w:r w:rsidRPr="00452C80">
        <w:rPr>
          <w:bCs/>
          <w:sz w:val="24"/>
          <w:szCs w:val="24"/>
        </w:rPr>
        <w:t xml:space="preserve">MacRury, I. (2007) Institutional creativity and pathologies of potential space: the modern university. </w:t>
      </w:r>
      <w:r w:rsidRPr="00452C80">
        <w:rPr>
          <w:bCs/>
          <w:i/>
          <w:iCs/>
          <w:sz w:val="24"/>
          <w:szCs w:val="24"/>
        </w:rPr>
        <w:t>Psychodynamic Practice</w:t>
      </w:r>
      <w:r w:rsidRPr="00452C80">
        <w:rPr>
          <w:bCs/>
          <w:sz w:val="24"/>
          <w:szCs w:val="24"/>
        </w:rPr>
        <w:t xml:space="preserve">, </w:t>
      </w:r>
      <w:r w:rsidRPr="00452C80">
        <w:rPr>
          <w:b/>
          <w:sz w:val="24"/>
          <w:szCs w:val="24"/>
        </w:rPr>
        <w:t>13</w:t>
      </w:r>
      <w:r w:rsidRPr="00452C80">
        <w:rPr>
          <w:bCs/>
          <w:sz w:val="24"/>
          <w:szCs w:val="24"/>
        </w:rPr>
        <w:t>(2): pp. 119-140.</w:t>
      </w:r>
      <w:r w:rsidRPr="00452C80">
        <w:rPr>
          <w:rFonts w:ascii="PT Sans" w:hAnsi="PT Sans"/>
          <w:shd w:val="clear" w:color="auto" w:fill="FEFEFE"/>
        </w:rPr>
        <w:t xml:space="preserve"> </w:t>
      </w:r>
      <w:r w:rsidRPr="002A3313">
        <w:rPr>
          <w:bCs/>
          <w:color w:val="0070C0"/>
          <w:sz w:val="24"/>
          <w:szCs w:val="24"/>
          <w:u w:val="single"/>
        </w:rPr>
        <w:t>DOI: </w:t>
      </w:r>
      <w:hyperlink r:id="rId309" w:history="1">
        <w:r w:rsidRPr="002A3313">
          <w:rPr>
            <w:rStyle w:val="Hyperlink"/>
            <w:bCs/>
            <w:color w:val="0070C0"/>
            <w:sz w:val="24"/>
            <w:szCs w:val="24"/>
          </w:rPr>
          <w:t>10.1080/14753630701273058</w:t>
        </w:r>
      </w:hyperlink>
    </w:p>
    <w:p w14:paraId="111FAA56" w14:textId="77777777" w:rsidR="00640A2D" w:rsidRPr="00452C80" w:rsidRDefault="00640A2D" w:rsidP="00887FF3">
      <w:pPr>
        <w:spacing w:line="360" w:lineRule="auto"/>
        <w:ind w:left="833" w:hanging="720"/>
        <w:rPr>
          <w:sz w:val="24"/>
          <w:szCs w:val="24"/>
        </w:rPr>
      </w:pPr>
      <w:r w:rsidRPr="00452C80">
        <w:rPr>
          <w:sz w:val="24"/>
          <w:szCs w:val="24"/>
        </w:rPr>
        <w:t xml:space="preserve">Mahler, M., Pine, F., and Bergman, A. (1975) </w:t>
      </w:r>
      <w:r w:rsidRPr="00452C80">
        <w:rPr>
          <w:i/>
          <w:iCs/>
          <w:sz w:val="24"/>
          <w:szCs w:val="24"/>
        </w:rPr>
        <w:t>The Psychological Birth of the Human Infant: Symbiosis and Individuation</w:t>
      </w:r>
      <w:r w:rsidRPr="00452C80">
        <w:rPr>
          <w:sz w:val="24"/>
          <w:szCs w:val="24"/>
        </w:rPr>
        <w:t>. New York: Basic Books.</w:t>
      </w:r>
    </w:p>
    <w:p w14:paraId="06D669F5" w14:textId="77777777" w:rsidR="00640A2D" w:rsidRPr="00452C80" w:rsidRDefault="00640A2D" w:rsidP="00887FF3">
      <w:pPr>
        <w:spacing w:line="360" w:lineRule="auto"/>
        <w:ind w:left="833" w:hanging="720"/>
        <w:rPr>
          <w:sz w:val="24"/>
          <w:szCs w:val="24"/>
        </w:rPr>
      </w:pPr>
      <w:r w:rsidRPr="00452C80">
        <w:rPr>
          <w:sz w:val="24"/>
          <w:szCs w:val="24"/>
        </w:rPr>
        <w:t xml:space="preserve">Maitlin, S. (2012) </w:t>
      </w:r>
      <w:r w:rsidRPr="00452C80">
        <w:rPr>
          <w:i/>
          <w:iCs/>
          <w:sz w:val="24"/>
          <w:szCs w:val="24"/>
        </w:rPr>
        <w:t>Gossip from the Forest: The tangled roots of our forests and fairytales</w:t>
      </w:r>
      <w:r w:rsidRPr="00452C80">
        <w:rPr>
          <w:sz w:val="24"/>
          <w:szCs w:val="24"/>
        </w:rPr>
        <w:t>. London: Granta Publications.</w:t>
      </w:r>
    </w:p>
    <w:p w14:paraId="6AAB7EC5" w14:textId="71D1EB38" w:rsidR="00640A2D" w:rsidRPr="00452C80" w:rsidRDefault="00640A2D" w:rsidP="00887FF3">
      <w:pPr>
        <w:spacing w:line="360" w:lineRule="auto"/>
        <w:ind w:left="833" w:hanging="720"/>
        <w:rPr>
          <w:sz w:val="24"/>
          <w:szCs w:val="24"/>
        </w:rPr>
      </w:pPr>
      <w:r w:rsidRPr="00452C80">
        <w:rPr>
          <w:sz w:val="24"/>
          <w:szCs w:val="24"/>
        </w:rPr>
        <w:t xml:space="preserve">Makhubela, M. </w:t>
      </w:r>
      <w:r w:rsidRPr="007543BA">
        <w:rPr>
          <w:sz w:val="24"/>
          <w:szCs w:val="24"/>
        </w:rPr>
        <w:t xml:space="preserve">(2021) </w:t>
      </w:r>
      <w:r w:rsidRPr="00452C80">
        <w:rPr>
          <w:sz w:val="24"/>
          <w:szCs w:val="24"/>
        </w:rPr>
        <w:t xml:space="preserve">Suicide and Depression in University Students: A Possible Epidemic. </w:t>
      </w:r>
      <w:r w:rsidRPr="00452C80">
        <w:rPr>
          <w:i/>
          <w:iCs/>
          <w:sz w:val="24"/>
          <w:szCs w:val="24"/>
        </w:rPr>
        <w:t>South African Journal of Psychology</w:t>
      </w:r>
      <w:r w:rsidRPr="00452C80">
        <w:rPr>
          <w:sz w:val="24"/>
          <w:szCs w:val="24"/>
        </w:rPr>
        <w:t>, 51: pp. 3-5.</w:t>
      </w:r>
      <w:r w:rsidRPr="00452C80">
        <w:rPr>
          <w:sz w:val="24"/>
          <w:szCs w:val="24"/>
        </w:rPr>
        <w:br/>
      </w:r>
      <w:hyperlink r:id="rId310" w:history="1">
        <w:r w:rsidRPr="002A3313">
          <w:rPr>
            <w:rStyle w:val="Hyperlink"/>
            <w:color w:val="0070C0"/>
            <w:sz w:val="24"/>
            <w:szCs w:val="24"/>
          </w:rPr>
          <w:t>https://doi.org/10.1177/0081246321992179</w:t>
        </w:r>
      </w:hyperlink>
    </w:p>
    <w:p w14:paraId="502B3032" w14:textId="69523BDD" w:rsidR="00640A2D" w:rsidRPr="00B07F13" w:rsidRDefault="00640A2D" w:rsidP="00887FF3">
      <w:pPr>
        <w:spacing w:line="360" w:lineRule="auto"/>
        <w:ind w:left="833" w:hanging="720"/>
        <w:rPr>
          <w:sz w:val="24"/>
          <w:szCs w:val="24"/>
        </w:rPr>
      </w:pPr>
      <w:r w:rsidRPr="00452C80">
        <w:rPr>
          <w:sz w:val="24"/>
          <w:szCs w:val="24"/>
        </w:rPr>
        <w:t xml:space="preserve">Management of Health and Safety at Work Act (1999) </w:t>
      </w:r>
      <w:r w:rsidR="00B07F13">
        <w:rPr>
          <w:sz w:val="24"/>
          <w:szCs w:val="24"/>
        </w:rPr>
        <w:t xml:space="preserve">Available at: </w:t>
      </w:r>
      <w:hyperlink r:id="rId311" w:history="1">
        <w:r w:rsidR="00B07F13" w:rsidRPr="0019278B">
          <w:rPr>
            <w:rStyle w:val="Hyperlink"/>
            <w:sz w:val="24"/>
            <w:szCs w:val="24"/>
          </w:rPr>
          <w:t>https://www.legislation.gov.uk/uksi/1999/3242/contents</w:t>
        </w:r>
      </w:hyperlink>
      <w:r w:rsidR="00B07F13">
        <w:t xml:space="preserve">  </w:t>
      </w:r>
      <w:r w:rsidR="00B07F13">
        <w:rPr>
          <w:sz w:val="24"/>
          <w:szCs w:val="24"/>
        </w:rPr>
        <w:t>[Accessed 19</w:t>
      </w:r>
      <w:r w:rsidR="00B07F13" w:rsidRPr="00B07F13">
        <w:rPr>
          <w:sz w:val="24"/>
          <w:szCs w:val="24"/>
          <w:vertAlign w:val="superscript"/>
        </w:rPr>
        <w:t>th</w:t>
      </w:r>
      <w:r w:rsidR="00B07F13">
        <w:rPr>
          <w:sz w:val="24"/>
          <w:szCs w:val="24"/>
        </w:rPr>
        <w:t xml:space="preserve"> </w:t>
      </w:r>
      <w:r w:rsidR="00C06D30">
        <w:rPr>
          <w:sz w:val="24"/>
          <w:szCs w:val="24"/>
        </w:rPr>
        <w:t>January 2022]</w:t>
      </w:r>
    </w:p>
    <w:p w14:paraId="1A8643CA" w14:textId="09D50EEE" w:rsidR="00640A2D" w:rsidRPr="00452C80" w:rsidRDefault="00640A2D" w:rsidP="00887FF3">
      <w:pPr>
        <w:spacing w:line="360" w:lineRule="auto"/>
        <w:ind w:left="833" w:hanging="720"/>
        <w:rPr>
          <w:rFonts w:ascii="Calibri" w:eastAsia="Aptos" w:hAnsi="Calibri" w:cs="Calibri"/>
          <w:b/>
          <w:bCs/>
          <w:kern w:val="2"/>
          <w:sz w:val="24"/>
          <w:szCs w:val="24"/>
          <w14:ligatures w14:val="standardContextual"/>
        </w:rPr>
      </w:pPr>
      <w:r w:rsidRPr="00452C80">
        <w:rPr>
          <w:rFonts w:ascii="Calibri" w:eastAsia="Aptos" w:hAnsi="Calibri" w:cs="Calibri"/>
          <w:kern w:val="2"/>
          <w:sz w:val="24"/>
          <w:szCs w:val="24"/>
          <w14:ligatures w14:val="standardContextual"/>
        </w:rPr>
        <w:t>Manning, A., Brock, R.</w:t>
      </w:r>
      <w:r w:rsidR="00DC37A4">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and Towers, E. (2020) Responding to research: An interview study of the teacher wellbeing support being offered in ten English schools. </w:t>
      </w:r>
      <w:r w:rsidRPr="00452C80">
        <w:rPr>
          <w:rFonts w:ascii="Calibri" w:eastAsia="Aptos" w:hAnsi="Calibri" w:cs="Calibri"/>
          <w:i/>
          <w:iCs/>
          <w:kern w:val="2"/>
          <w:sz w:val="24"/>
          <w:szCs w:val="24"/>
          <w14:ligatures w14:val="standardContextual"/>
        </w:rPr>
        <w:t>Journal of Social Science Education</w:t>
      </w:r>
      <w:r w:rsidRPr="00452C80">
        <w:rPr>
          <w:rFonts w:ascii="Calibri" w:eastAsia="Aptos" w:hAnsi="Calibri" w:cs="Calibri"/>
          <w:kern w:val="2"/>
          <w:sz w:val="24"/>
          <w:szCs w:val="24"/>
          <w14:ligatures w14:val="standardContextual"/>
        </w:rPr>
        <w:t>, </w:t>
      </w:r>
      <w:r w:rsidRPr="002A3313">
        <w:rPr>
          <w:rFonts w:ascii="Calibri" w:eastAsia="Aptos" w:hAnsi="Calibri" w:cs="Calibri"/>
          <w:b/>
          <w:bCs/>
          <w:kern w:val="2"/>
          <w:sz w:val="24"/>
          <w:szCs w:val="24"/>
          <w14:ligatures w14:val="standardContextual"/>
        </w:rPr>
        <w:t>19</w:t>
      </w:r>
      <w:r w:rsidRPr="00452C80">
        <w:rPr>
          <w:rFonts w:ascii="Calibri" w:eastAsia="Aptos" w:hAnsi="Calibri" w:cs="Calibri"/>
          <w:kern w:val="2"/>
          <w:sz w:val="24"/>
          <w:szCs w:val="24"/>
          <w14:ligatures w14:val="standardContextual"/>
        </w:rPr>
        <w:t>(2): pp. 75-94.</w:t>
      </w:r>
      <w:r w:rsidRPr="00452C80">
        <w:rPr>
          <w:rFonts w:ascii="Noto Sans" w:eastAsia="Times New Roman" w:hAnsi="Noto Sans" w:cs="Noto Sans"/>
          <w:b/>
          <w:bCs/>
          <w:sz w:val="36"/>
          <w:szCs w:val="36"/>
          <w:lang w:eastAsia="en-GB"/>
        </w:rPr>
        <w:t xml:space="preserve"> </w:t>
      </w:r>
      <w:hyperlink r:id="rId312" w:history="1">
        <w:r w:rsidRPr="002A3313">
          <w:rPr>
            <w:rStyle w:val="Hyperlink"/>
            <w:rFonts w:ascii="Calibri" w:eastAsia="Aptos" w:hAnsi="Calibri" w:cs="Calibri"/>
            <w:color w:val="0070C0"/>
            <w:kern w:val="2"/>
            <w:sz w:val="24"/>
            <w:szCs w:val="24"/>
            <w14:ligatures w14:val="standardContextual"/>
          </w:rPr>
          <w:t>https://doi.org/10.4119/jsse-3312</w:t>
        </w:r>
      </w:hyperlink>
    </w:p>
    <w:p w14:paraId="2BE353D5" w14:textId="05A727AC" w:rsidR="00640A2D" w:rsidRPr="00452C80" w:rsidRDefault="00640A2D" w:rsidP="005B66DA">
      <w:pPr>
        <w:spacing w:line="360" w:lineRule="auto"/>
        <w:ind w:left="833" w:hanging="720"/>
        <w:rPr>
          <w:sz w:val="24"/>
          <w:szCs w:val="24"/>
        </w:rPr>
      </w:pPr>
      <w:r w:rsidRPr="00452C80">
        <w:rPr>
          <w:sz w:val="24"/>
          <w:szCs w:val="24"/>
        </w:rPr>
        <w:t>Margrove, K. L., Gustowska, M., and Grove, L. S. (2012) Provision of support for psychological distress by university staff, and receptiveness to mental health training. </w:t>
      </w:r>
      <w:r w:rsidRPr="00452C80">
        <w:rPr>
          <w:i/>
          <w:iCs/>
          <w:sz w:val="24"/>
          <w:szCs w:val="24"/>
        </w:rPr>
        <w:t>Journal of Further and Higher Education</w:t>
      </w:r>
      <w:r w:rsidRPr="00452C80">
        <w:rPr>
          <w:sz w:val="24"/>
          <w:szCs w:val="24"/>
        </w:rPr>
        <w:t>, </w:t>
      </w:r>
      <w:r w:rsidRPr="00452C80">
        <w:rPr>
          <w:b/>
          <w:bCs/>
          <w:sz w:val="24"/>
          <w:szCs w:val="24"/>
        </w:rPr>
        <w:t>38</w:t>
      </w:r>
      <w:r w:rsidRPr="00452C80">
        <w:rPr>
          <w:sz w:val="24"/>
          <w:szCs w:val="24"/>
        </w:rPr>
        <w:t xml:space="preserve">(1): pp. 90–106. </w:t>
      </w:r>
      <w:hyperlink r:id="rId313" w:history="1">
        <w:r w:rsidRPr="005B66DA">
          <w:rPr>
            <w:rStyle w:val="Hyperlink"/>
            <w:color w:val="0070C0"/>
            <w:sz w:val="24"/>
            <w:szCs w:val="24"/>
          </w:rPr>
          <w:t>https://doi.org/10.1080/0309877X.2012.699518</w:t>
        </w:r>
      </w:hyperlink>
    </w:p>
    <w:p w14:paraId="4B13D5BD" w14:textId="4F6A6541" w:rsidR="00640A2D" w:rsidRPr="00452C80" w:rsidRDefault="00640A2D" w:rsidP="005B66DA">
      <w:pPr>
        <w:spacing w:line="360" w:lineRule="auto"/>
        <w:ind w:left="833" w:hanging="720"/>
        <w:rPr>
          <w:bCs/>
          <w:sz w:val="24"/>
          <w:szCs w:val="24"/>
        </w:rPr>
      </w:pPr>
      <w:r w:rsidRPr="00452C80">
        <w:rPr>
          <w:bCs/>
          <w:sz w:val="24"/>
          <w:szCs w:val="24"/>
        </w:rPr>
        <w:t>Marshall, C., and Rossman, G. B. (2014) </w:t>
      </w:r>
      <w:r w:rsidRPr="00452C80">
        <w:rPr>
          <w:bCs/>
          <w:i/>
          <w:iCs/>
          <w:sz w:val="24"/>
          <w:szCs w:val="24"/>
        </w:rPr>
        <w:t>Designing Qualitative Research</w:t>
      </w:r>
      <w:r w:rsidRPr="00452C80">
        <w:rPr>
          <w:bCs/>
          <w:sz w:val="24"/>
          <w:szCs w:val="24"/>
        </w:rPr>
        <w:t>. London: Sage.</w:t>
      </w:r>
    </w:p>
    <w:p w14:paraId="52FB98D0" w14:textId="7BE9B24E" w:rsidR="00640A2D" w:rsidRPr="00452C80" w:rsidRDefault="00640A2D" w:rsidP="005B66DA">
      <w:pPr>
        <w:spacing w:line="360" w:lineRule="auto"/>
        <w:ind w:left="833" w:hanging="720"/>
        <w:rPr>
          <w:bCs/>
          <w:sz w:val="24"/>
          <w:szCs w:val="24"/>
        </w:rPr>
      </w:pPr>
      <w:r w:rsidRPr="00452C80">
        <w:rPr>
          <w:rFonts w:ascii="Calibri" w:eastAsia="Aptos" w:hAnsi="Calibri" w:cs="Calibri"/>
          <w:kern w:val="2"/>
          <w:sz w:val="24"/>
          <w:szCs w:val="24"/>
          <w14:ligatures w14:val="standardContextual"/>
        </w:rPr>
        <w:t>Maslach, C., and Leiter, M. P. (2017)</w:t>
      </w:r>
      <w:r w:rsidR="00BE746B">
        <w:rPr>
          <w:rFonts w:ascii="Calibri" w:eastAsia="Aptos" w:hAnsi="Calibri" w:cs="Calibri"/>
          <w:kern w:val="2"/>
          <w:sz w:val="24"/>
          <w:szCs w:val="24"/>
          <w14:ligatures w14:val="standardContextual"/>
        </w:rPr>
        <w:t xml:space="preserve"> </w:t>
      </w:r>
      <w:r w:rsidRPr="00452C80">
        <w:rPr>
          <w:rFonts w:ascii="Calibri" w:eastAsia="Aptos" w:hAnsi="Calibri" w:cs="Calibri"/>
          <w:kern w:val="2"/>
          <w:sz w:val="24"/>
          <w:szCs w:val="24"/>
          <w14:ligatures w14:val="standardContextual"/>
        </w:rPr>
        <w:t>Understanding burnout: New models. In C. L. Cooper and J. C. Quick (Eds.), </w:t>
      </w:r>
      <w:r w:rsidRPr="00452C80">
        <w:rPr>
          <w:rFonts w:ascii="Calibri" w:eastAsia="Aptos" w:hAnsi="Calibri" w:cs="Calibri"/>
          <w:i/>
          <w:iCs/>
          <w:kern w:val="2"/>
          <w:sz w:val="24"/>
          <w:szCs w:val="24"/>
          <w14:ligatures w14:val="standardContextual"/>
        </w:rPr>
        <w:t>The handbook of stress and health: A guide to research and practice</w:t>
      </w:r>
      <w:r w:rsidRPr="00452C80">
        <w:rPr>
          <w:rFonts w:ascii="Calibri" w:eastAsia="Aptos" w:hAnsi="Calibri" w:cs="Calibri"/>
          <w:kern w:val="2"/>
          <w:sz w:val="24"/>
          <w:szCs w:val="24"/>
          <w14:ligatures w14:val="standardContextual"/>
        </w:rPr>
        <w:t> (pp. 36–56). London: Wiley Blackwell. </w:t>
      </w:r>
      <w:r w:rsidRPr="00452C80">
        <w:rPr>
          <w:bCs/>
          <w:sz w:val="24"/>
          <w:szCs w:val="24"/>
        </w:rPr>
        <w:t xml:space="preserve"> </w:t>
      </w:r>
    </w:p>
    <w:p w14:paraId="192245A5" w14:textId="678CED86" w:rsidR="00640A2D" w:rsidRPr="00452C80" w:rsidRDefault="00640A2D" w:rsidP="005B66DA">
      <w:pPr>
        <w:spacing w:line="360" w:lineRule="auto"/>
        <w:ind w:left="833" w:hanging="720"/>
        <w:rPr>
          <w:bCs/>
          <w:sz w:val="24"/>
          <w:szCs w:val="24"/>
        </w:rPr>
      </w:pPr>
      <w:r w:rsidRPr="00452C80">
        <w:rPr>
          <w:bCs/>
          <w:sz w:val="24"/>
          <w:szCs w:val="24"/>
        </w:rPr>
        <w:lastRenderedPageBreak/>
        <w:t xml:space="preserve">Maslow, A. (1943) A Theory of Human Motivation. </w:t>
      </w:r>
      <w:r w:rsidRPr="00452C80">
        <w:rPr>
          <w:bCs/>
          <w:i/>
          <w:sz w:val="24"/>
          <w:szCs w:val="24"/>
        </w:rPr>
        <w:t>Psychological Review</w:t>
      </w:r>
      <w:r w:rsidRPr="00452C80">
        <w:rPr>
          <w:bCs/>
          <w:sz w:val="24"/>
          <w:szCs w:val="24"/>
        </w:rPr>
        <w:t xml:space="preserve">, 50: pp.370-396.  </w:t>
      </w:r>
      <w:hyperlink r:id="rId314" w:history="1">
        <w:r w:rsidR="00890742" w:rsidRPr="0019278B">
          <w:rPr>
            <w:rStyle w:val="Hyperlink"/>
            <w:bCs/>
            <w:sz w:val="24"/>
            <w:szCs w:val="24"/>
          </w:rPr>
          <w:t>https://doi.org/10.1037/h0054346</w:t>
        </w:r>
      </w:hyperlink>
    </w:p>
    <w:p w14:paraId="52D69BDD" w14:textId="77777777" w:rsidR="00640A2D" w:rsidRPr="00452C80" w:rsidRDefault="00640A2D" w:rsidP="005B66DA">
      <w:pPr>
        <w:spacing w:line="360" w:lineRule="auto"/>
        <w:ind w:left="833" w:hanging="720"/>
        <w:rPr>
          <w:bCs/>
          <w:sz w:val="24"/>
          <w:szCs w:val="24"/>
        </w:rPr>
      </w:pPr>
      <w:r w:rsidRPr="00452C80">
        <w:rPr>
          <w:bCs/>
          <w:sz w:val="24"/>
          <w:szCs w:val="24"/>
        </w:rPr>
        <w:t>Mat</w:t>
      </w:r>
      <w:r w:rsidRPr="00452C80">
        <w:rPr>
          <w:rFonts w:cstheme="minorHAnsi"/>
          <w:bCs/>
          <w:sz w:val="24"/>
          <w:szCs w:val="24"/>
        </w:rPr>
        <w:t>é</w:t>
      </w:r>
      <w:r w:rsidRPr="00452C80">
        <w:rPr>
          <w:bCs/>
          <w:sz w:val="24"/>
          <w:szCs w:val="24"/>
        </w:rPr>
        <w:t xml:space="preserve">, G. (2019) </w:t>
      </w:r>
      <w:r w:rsidRPr="00452C80">
        <w:rPr>
          <w:bCs/>
          <w:i/>
          <w:iCs/>
          <w:sz w:val="24"/>
          <w:szCs w:val="24"/>
        </w:rPr>
        <w:t>When the Body Says No: The cost of hidden stress</w:t>
      </w:r>
      <w:r w:rsidRPr="00452C80">
        <w:rPr>
          <w:bCs/>
          <w:sz w:val="24"/>
          <w:szCs w:val="24"/>
        </w:rPr>
        <w:t>. London: Vermillion.</w:t>
      </w:r>
    </w:p>
    <w:p w14:paraId="6E805CEA" w14:textId="70F5D055" w:rsidR="00640A2D" w:rsidRPr="00452C80" w:rsidRDefault="00640A2D" w:rsidP="005B66DA">
      <w:pPr>
        <w:spacing w:line="360" w:lineRule="auto"/>
        <w:ind w:left="833" w:hanging="720"/>
        <w:rPr>
          <w:bCs/>
          <w:sz w:val="24"/>
          <w:szCs w:val="24"/>
        </w:rPr>
      </w:pPr>
      <w:r w:rsidRPr="00452C80">
        <w:rPr>
          <w:bCs/>
          <w:sz w:val="24"/>
          <w:szCs w:val="24"/>
        </w:rPr>
        <w:t xml:space="preserve">Mattingly, C. (1991) Narrative reflection on practical actions: Two learning experiments and reflective storytelling. In: D.A. Shearn (ed) </w:t>
      </w:r>
      <w:r w:rsidRPr="00452C80">
        <w:rPr>
          <w:bCs/>
          <w:i/>
          <w:iCs/>
          <w:sz w:val="24"/>
          <w:szCs w:val="24"/>
        </w:rPr>
        <w:t>The Reflective Turn</w:t>
      </w:r>
      <w:r w:rsidRPr="00452C80">
        <w:rPr>
          <w:bCs/>
          <w:sz w:val="24"/>
          <w:szCs w:val="24"/>
        </w:rPr>
        <w:t>. San Francisco, CA: Jossey Bass.</w:t>
      </w:r>
    </w:p>
    <w:p w14:paraId="4D796B60" w14:textId="77777777" w:rsidR="00640A2D" w:rsidRPr="00452C80" w:rsidRDefault="00640A2D" w:rsidP="005B66DA">
      <w:pPr>
        <w:spacing w:line="360" w:lineRule="auto"/>
        <w:ind w:left="833" w:hanging="720"/>
        <w:rPr>
          <w:bCs/>
          <w:sz w:val="24"/>
          <w:szCs w:val="24"/>
        </w:rPr>
      </w:pPr>
      <w:r w:rsidRPr="00452C80">
        <w:rPr>
          <w:bCs/>
          <w:sz w:val="24"/>
          <w:szCs w:val="24"/>
        </w:rPr>
        <w:t xml:space="preserve">Mattingly, C. (1998) </w:t>
      </w:r>
      <w:r w:rsidRPr="00452C80">
        <w:rPr>
          <w:bCs/>
          <w:i/>
          <w:iCs/>
          <w:sz w:val="24"/>
          <w:szCs w:val="24"/>
        </w:rPr>
        <w:t>Healing Dramas and Clinical Plots: The narrative structure of experience.</w:t>
      </w:r>
      <w:r w:rsidRPr="00452C80">
        <w:rPr>
          <w:bCs/>
          <w:sz w:val="24"/>
          <w:szCs w:val="24"/>
        </w:rPr>
        <w:t xml:space="preserve"> Cambridge, UK: Cambridge University press.</w:t>
      </w:r>
    </w:p>
    <w:p w14:paraId="46193125" w14:textId="45E87113" w:rsidR="00640A2D" w:rsidRPr="00452C80" w:rsidRDefault="00640A2D" w:rsidP="005B66DA">
      <w:pPr>
        <w:spacing w:line="360" w:lineRule="auto"/>
        <w:ind w:left="833" w:hanging="720"/>
        <w:rPr>
          <w:bCs/>
          <w:sz w:val="24"/>
          <w:szCs w:val="24"/>
        </w:rPr>
      </w:pPr>
      <w:r w:rsidRPr="00452C80">
        <w:rPr>
          <w:bCs/>
          <w:sz w:val="24"/>
          <w:szCs w:val="24"/>
        </w:rPr>
        <w:t>Mauthner, N. S., and Doucet, A. (2003)</w:t>
      </w:r>
      <w:r w:rsidR="00BE746B">
        <w:rPr>
          <w:bCs/>
          <w:sz w:val="24"/>
          <w:szCs w:val="24"/>
        </w:rPr>
        <w:t xml:space="preserve"> </w:t>
      </w:r>
      <w:r w:rsidRPr="00452C80">
        <w:rPr>
          <w:bCs/>
          <w:sz w:val="24"/>
          <w:szCs w:val="24"/>
        </w:rPr>
        <w:t>Reflexive Accounts and Accounts of Reflexivity in Qualitative Data Analysis. </w:t>
      </w:r>
      <w:r w:rsidRPr="00452C80">
        <w:rPr>
          <w:bCs/>
          <w:i/>
          <w:iCs/>
          <w:sz w:val="24"/>
          <w:szCs w:val="24"/>
        </w:rPr>
        <w:t>Sociology</w:t>
      </w:r>
      <w:r w:rsidRPr="00452C80">
        <w:rPr>
          <w:bCs/>
          <w:sz w:val="24"/>
          <w:szCs w:val="24"/>
        </w:rPr>
        <w:t>, </w:t>
      </w:r>
      <w:r w:rsidRPr="00452C80">
        <w:rPr>
          <w:b/>
          <w:sz w:val="24"/>
          <w:szCs w:val="24"/>
        </w:rPr>
        <w:t>37</w:t>
      </w:r>
      <w:r w:rsidRPr="00452C80">
        <w:rPr>
          <w:bCs/>
          <w:sz w:val="24"/>
          <w:szCs w:val="24"/>
        </w:rPr>
        <w:t>(3): pp.413-431. </w:t>
      </w:r>
      <w:hyperlink r:id="rId315" w:history="1">
        <w:r w:rsidRPr="005B66DA">
          <w:rPr>
            <w:rStyle w:val="Hyperlink"/>
            <w:bCs/>
            <w:color w:val="0070C0"/>
            <w:sz w:val="24"/>
            <w:szCs w:val="24"/>
          </w:rPr>
          <w:t>https://doi.org/10.1177/00380385030373002</w:t>
        </w:r>
      </w:hyperlink>
    </w:p>
    <w:p w14:paraId="5C34B749" w14:textId="77777777" w:rsidR="00640A2D" w:rsidRPr="00452C80" w:rsidRDefault="00640A2D" w:rsidP="005B66DA">
      <w:pPr>
        <w:spacing w:line="360" w:lineRule="auto"/>
        <w:ind w:left="833" w:hanging="720"/>
        <w:rPr>
          <w:sz w:val="24"/>
          <w:szCs w:val="24"/>
        </w:rPr>
      </w:pPr>
      <w:r w:rsidRPr="00452C80">
        <w:rPr>
          <w:sz w:val="24"/>
          <w:szCs w:val="24"/>
        </w:rPr>
        <w:t xml:space="preserve">May, R. (1975/1994) </w:t>
      </w:r>
      <w:r w:rsidRPr="00452C80">
        <w:rPr>
          <w:i/>
          <w:iCs/>
          <w:sz w:val="24"/>
          <w:szCs w:val="24"/>
        </w:rPr>
        <w:t>The Courage to Create</w:t>
      </w:r>
      <w:r w:rsidRPr="00452C80">
        <w:rPr>
          <w:sz w:val="24"/>
          <w:szCs w:val="24"/>
        </w:rPr>
        <w:t>. London: W. W. Norton &amp; Company Ltd.</w:t>
      </w:r>
    </w:p>
    <w:p w14:paraId="6D68582A" w14:textId="77777777" w:rsidR="00640A2D" w:rsidRPr="00452C80" w:rsidRDefault="00640A2D" w:rsidP="005B66DA">
      <w:pPr>
        <w:spacing w:line="360" w:lineRule="auto"/>
        <w:ind w:left="833" w:hanging="720"/>
        <w:rPr>
          <w:sz w:val="24"/>
          <w:szCs w:val="24"/>
        </w:rPr>
      </w:pPr>
      <w:r w:rsidRPr="00452C80">
        <w:rPr>
          <w:sz w:val="24"/>
          <w:szCs w:val="24"/>
        </w:rPr>
        <w:t xml:space="preserve">May, T., and Semetsky, I. (2008) Deleuze, Ethical Education and the Unconscious. In: I. Semetsky (ed.), </w:t>
      </w:r>
      <w:r w:rsidRPr="00452C80">
        <w:rPr>
          <w:i/>
          <w:iCs/>
          <w:sz w:val="24"/>
          <w:szCs w:val="24"/>
        </w:rPr>
        <w:t>Nomadic Education: Variations on a theme by Deleuze and Guattari.</w:t>
      </w:r>
      <w:r w:rsidRPr="00452C80">
        <w:rPr>
          <w:sz w:val="24"/>
          <w:szCs w:val="24"/>
        </w:rPr>
        <w:t xml:space="preserve"> Rotterdam: Sense Publishers.</w:t>
      </w:r>
    </w:p>
    <w:p w14:paraId="570B2BA2" w14:textId="1C5889B0" w:rsidR="00640A2D" w:rsidRPr="00452C80" w:rsidRDefault="00640A2D" w:rsidP="005B66DA">
      <w:pPr>
        <w:spacing w:line="360" w:lineRule="auto"/>
        <w:ind w:left="833" w:hanging="720"/>
        <w:rPr>
          <w:sz w:val="24"/>
          <w:szCs w:val="24"/>
        </w:rPr>
      </w:pPr>
      <w:r w:rsidRPr="00452C80">
        <w:rPr>
          <w:sz w:val="24"/>
          <w:szCs w:val="24"/>
        </w:rPr>
        <w:t xml:space="preserve">Mayes, C. (1998) The use of contemplative practices in teacher education. </w:t>
      </w:r>
      <w:r w:rsidRPr="00452C80">
        <w:rPr>
          <w:i/>
          <w:iCs/>
          <w:sz w:val="24"/>
          <w:szCs w:val="24"/>
        </w:rPr>
        <w:t>Encounter: Education for Meaning and Social Justice</w:t>
      </w:r>
      <w:r w:rsidRPr="00452C80">
        <w:rPr>
          <w:sz w:val="24"/>
          <w:szCs w:val="24"/>
        </w:rPr>
        <w:t xml:space="preserve">, </w:t>
      </w:r>
      <w:r w:rsidRPr="00452C80">
        <w:rPr>
          <w:b/>
          <w:bCs/>
          <w:sz w:val="24"/>
          <w:szCs w:val="24"/>
        </w:rPr>
        <w:t>11</w:t>
      </w:r>
      <w:r w:rsidRPr="00452C80">
        <w:rPr>
          <w:sz w:val="24"/>
          <w:szCs w:val="24"/>
        </w:rPr>
        <w:t xml:space="preserve">(3): pp.17-31. </w:t>
      </w:r>
      <w:hyperlink r:id="rId316" w:history="1">
        <w:r w:rsidRPr="005B66DA">
          <w:rPr>
            <w:rStyle w:val="Hyperlink"/>
            <w:color w:val="0070C0"/>
            <w:sz w:val="24"/>
            <w:szCs w:val="24"/>
          </w:rPr>
          <w:t>https://www.teqjournal.org/backvols/2001/28_2/v28n202.pdf</w:t>
        </w:r>
      </w:hyperlink>
    </w:p>
    <w:p w14:paraId="6295C0BD" w14:textId="77777777" w:rsidR="00640A2D" w:rsidRPr="005B66DA" w:rsidRDefault="00640A2D" w:rsidP="005B66DA">
      <w:pPr>
        <w:spacing w:line="360" w:lineRule="auto"/>
        <w:ind w:left="833" w:hanging="720"/>
        <w:rPr>
          <w:color w:val="0070C0"/>
          <w:sz w:val="24"/>
          <w:szCs w:val="24"/>
        </w:rPr>
      </w:pPr>
      <w:r w:rsidRPr="00452C80">
        <w:rPr>
          <w:sz w:val="24"/>
          <w:szCs w:val="24"/>
        </w:rPr>
        <w:t xml:space="preserve">Mayes, C. (2001) A transpersonal developmental model for teacher reflectivity. </w:t>
      </w:r>
      <w:r w:rsidRPr="00452C80">
        <w:rPr>
          <w:i/>
          <w:iCs/>
          <w:sz w:val="24"/>
          <w:szCs w:val="24"/>
        </w:rPr>
        <w:t>Journal of Curriculum Studies</w:t>
      </w:r>
      <w:r w:rsidRPr="00452C80">
        <w:rPr>
          <w:sz w:val="24"/>
          <w:szCs w:val="24"/>
        </w:rPr>
        <w:t xml:space="preserve">, </w:t>
      </w:r>
      <w:r w:rsidRPr="00452C80">
        <w:rPr>
          <w:b/>
          <w:bCs/>
          <w:sz w:val="24"/>
          <w:szCs w:val="24"/>
        </w:rPr>
        <w:t>33</w:t>
      </w:r>
      <w:r w:rsidRPr="00452C80">
        <w:rPr>
          <w:sz w:val="24"/>
          <w:szCs w:val="24"/>
        </w:rPr>
        <w:t>(4): pp. 477-493.</w:t>
      </w:r>
      <w:r w:rsidRPr="00452C80">
        <w:rPr>
          <w:rFonts w:ascii="Open Sans" w:eastAsia="Times New Roman" w:hAnsi="Open Sans" w:cs="Open Sans"/>
          <w:sz w:val="20"/>
          <w:szCs w:val="20"/>
          <w:lang w:eastAsia="en-GB"/>
        </w:rPr>
        <w:t xml:space="preserve"> </w:t>
      </w:r>
      <w:hyperlink r:id="rId317" w:history="1">
        <w:r w:rsidRPr="005B66DA">
          <w:rPr>
            <w:rStyle w:val="Hyperlink"/>
            <w:color w:val="0070C0"/>
            <w:sz w:val="24"/>
            <w:szCs w:val="24"/>
          </w:rPr>
          <w:t>https://doi.org/10.1080/00220270120252</w:t>
        </w:r>
      </w:hyperlink>
    </w:p>
    <w:p w14:paraId="260FF92A" w14:textId="77777777" w:rsidR="00640A2D" w:rsidRPr="00452C80" w:rsidRDefault="00640A2D" w:rsidP="005B66DA">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Mayes, C. (2003) Alchemy and the teacher. </w:t>
      </w:r>
      <w:r w:rsidRPr="00452C80">
        <w:rPr>
          <w:rFonts w:ascii="Calibri" w:eastAsia="Aptos" w:hAnsi="Calibri" w:cs="Calibri"/>
          <w:i/>
          <w:iCs/>
          <w:kern w:val="2"/>
          <w:sz w:val="24"/>
          <w:szCs w:val="24"/>
          <w14:ligatures w14:val="standardContextual"/>
        </w:rPr>
        <w:t>Teacher Education Quarterly</w:t>
      </w:r>
      <w:r w:rsidRPr="00452C80">
        <w:rPr>
          <w:rFonts w:ascii="Calibri" w:eastAsia="Aptos" w:hAnsi="Calibri" w:cs="Calibri"/>
          <w:kern w:val="2"/>
          <w:sz w:val="24"/>
          <w:szCs w:val="24"/>
          <w14:ligatures w14:val="standardContextual"/>
        </w:rPr>
        <w:t xml:space="preserve">, Summer, </w:t>
      </w:r>
      <w:r w:rsidRPr="00452C80">
        <w:rPr>
          <w:rFonts w:ascii="Calibri" w:eastAsia="Aptos" w:hAnsi="Calibri" w:cs="Calibri"/>
          <w:b/>
          <w:bCs/>
          <w:kern w:val="2"/>
          <w:sz w:val="24"/>
          <w:szCs w:val="24"/>
          <w14:ligatures w14:val="standardContextual"/>
        </w:rPr>
        <w:t>30</w:t>
      </w:r>
      <w:r w:rsidRPr="00452C80">
        <w:rPr>
          <w:rFonts w:ascii="Calibri" w:eastAsia="Aptos" w:hAnsi="Calibri" w:cs="Calibri"/>
          <w:kern w:val="2"/>
          <w:sz w:val="24"/>
          <w:szCs w:val="24"/>
          <w14:ligatures w14:val="standardContextual"/>
        </w:rPr>
        <w:t>(3): pp. 81-98.</w:t>
      </w:r>
      <w:r w:rsidRPr="00452C80">
        <w:t xml:space="preserve"> </w:t>
      </w:r>
      <w:hyperlink r:id="rId318" w:history="1">
        <w:r w:rsidRPr="005B66DA">
          <w:rPr>
            <w:rStyle w:val="Hyperlink"/>
            <w:rFonts w:ascii="Calibri" w:eastAsia="Aptos" w:hAnsi="Calibri" w:cs="Calibri"/>
            <w:color w:val="0070C0"/>
            <w:kern w:val="2"/>
            <w:sz w:val="24"/>
            <w:szCs w:val="24"/>
            <w14:ligatures w14:val="standardContextual"/>
          </w:rPr>
          <w:t>https://www.academia.edu/43001455/Alchemy_and_the_Teacher</w:t>
        </w:r>
      </w:hyperlink>
    </w:p>
    <w:p w14:paraId="4DD68651" w14:textId="77777777" w:rsidR="00640A2D" w:rsidRPr="00452C80" w:rsidRDefault="00640A2D" w:rsidP="005B66DA">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Mayes, C. (2005) The teacher as shaman. </w:t>
      </w:r>
      <w:r w:rsidRPr="00452C80">
        <w:rPr>
          <w:rFonts w:ascii="Calibri" w:eastAsia="Aptos" w:hAnsi="Calibri" w:cs="Calibri"/>
          <w:i/>
          <w:iCs/>
          <w:kern w:val="2"/>
          <w:sz w:val="24"/>
          <w:szCs w:val="24"/>
          <w14:ligatures w14:val="standardContextual"/>
        </w:rPr>
        <w:t>A Journal of Curriculum Studies</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37</w:t>
      </w:r>
      <w:r w:rsidRPr="00452C80">
        <w:rPr>
          <w:rFonts w:ascii="Calibri" w:eastAsia="Aptos" w:hAnsi="Calibri" w:cs="Calibri"/>
          <w:kern w:val="2"/>
          <w:sz w:val="24"/>
          <w:szCs w:val="24"/>
          <w14:ligatures w14:val="standardContextual"/>
        </w:rPr>
        <w:t xml:space="preserve">(3): pp.329-348. </w:t>
      </w:r>
      <w:hyperlink r:id="rId319" w:history="1">
        <w:r w:rsidRPr="005B66DA">
          <w:rPr>
            <w:rStyle w:val="Hyperlink"/>
            <w:rFonts w:ascii="Calibri" w:eastAsia="Aptos" w:hAnsi="Calibri" w:cs="Calibri"/>
            <w:color w:val="0070C0"/>
            <w:kern w:val="2"/>
            <w:sz w:val="24"/>
            <w:szCs w:val="24"/>
            <w14:ligatures w14:val="standardContextual"/>
          </w:rPr>
          <w:t>https://doi.org/10.1080/0022027041000229396</w:t>
        </w:r>
      </w:hyperlink>
    </w:p>
    <w:p w14:paraId="39EBA4E6" w14:textId="77777777" w:rsidR="00640A2D" w:rsidRPr="00452C80" w:rsidRDefault="00640A2D" w:rsidP="005B66DA">
      <w:pPr>
        <w:spacing w:line="360" w:lineRule="auto"/>
        <w:ind w:left="833" w:hanging="720"/>
        <w:rPr>
          <w:rFonts w:ascii="Calibri" w:eastAsia="Aptos" w:hAnsi="Calibri" w:cs="Calibri"/>
          <w:kern w:val="2"/>
          <w:sz w:val="24"/>
          <w:szCs w:val="24"/>
          <w14:ligatures w14:val="standardContextual"/>
        </w:rPr>
      </w:pPr>
      <w:r w:rsidRPr="00452C80">
        <w:rPr>
          <w:sz w:val="24"/>
          <w:szCs w:val="24"/>
        </w:rPr>
        <w:t xml:space="preserve">Mayes, C. (2007) </w:t>
      </w:r>
      <w:r w:rsidRPr="00452C80">
        <w:rPr>
          <w:i/>
          <w:iCs/>
          <w:sz w:val="24"/>
          <w:szCs w:val="24"/>
        </w:rPr>
        <w:t>Inside Education: Depth Psychology in Teaching and Learning</w:t>
      </w:r>
      <w:r w:rsidRPr="00452C80">
        <w:rPr>
          <w:sz w:val="24"/>
          <w:szCs w:val="24"/>
        </w:rPr>
        <w:t>. Madison, WI: Atwood Publishing.</w:t>
      </w:r>
    </w:p>
    <w:p w14:paraId="2021CC5F" w14:textId="77777777" w:rsidR="00640A2D" w:rsidRPr="00452C80" w:rsidRDefault="00640A2D" w:rsidP="005B66DA">
      <w:pPr>
        <w:spacing w:line="360" w:lineRule="auto"/>
        <w:ind w:left="833" w:hanging="720"/>
        <w:rPr>
          <w:sz w:val="24"/>
          <w:szCs w:val="24"/>
        </w:rPr>
      </w:pPr>
      <w:r w:rsidRPr="00452C80">
        <w:rPr>
          <w:sz w:val="24"/>
          <w:szCs w:val="24"/>
        </w:rPr>
        <w:lastRenderedPageBreak/>
        <w:t xml:space="preserve">Mayes, C. (2020) </w:t>
      </w:r>
      <w:r w:rsidRPr="00452C80">
        <w:rPr>
          <w:i/>
          <w:iCs/>
          <w:sz w:val="24"/>
          <w:szCs w:val="24"/>
        </w:rPr>
        <w:t>Archetype, Culture, and the Individual in Education: The Three Pedagogic Narratives</w:t>
      </w:r>
      <w:r w:rsidRPr="00452C80">
        <w:rPr>
          <w:sz w:val="24"/>
          <w:szCs w:val="24"/>
        </w:rPr>
        <w:t xml:space="preserve">. Oxon: Routledge. </w:t>
      </w:r>
    </w:p>
    <w:p w14:paraId="4BAA108F" w14:textId="77777777" w:rsidR="00640A2D" w:rsidRPr="00452C80" w:rsidRDefault="00640A2D" w:rsidP="005B66DA">
      <w:pPr>
        <w:spacing w:line="360" w:lineRule="auto"/>
        <w:ind w:left="833" w:hanging="720"/>
        <w:rPr>
          <w:sz w:val="24"/>
          <w:szCs w:val="24"/>
        </w:rPr>
      </w:pPr>
      <w:r w:rsidRPr="00452C80">
        <w:rPr>
          <w:sz w:val="24"/>
          <w:szCs w:val="24"/>
        </w:rPr>
        <w:t xml:space="preserve">Mayring, P. (2000) Qualitative Content Analysis, Forum: </w:t>
      </w:r>
      <w:r w:rsidRPr="00452C80">
        <w:rPr>
          <w:i/>
          <w:iCs/>
          <w:sz w:val="24"/>
          <w:szCs w:val="24"/>
        </w:rPr>
        <w:t>Qualitative Social Research</w:t>
      </w:r>
      <w:r w:rsidRPr="00452C80">
        <w:rPr>
          <w:sz w:val="24"/>
          <w:szCs w:val="24"/>
        </w:rPr>
        <w:t>, 1, Article Number: 20.</w:t>
      </w:r>
      <w:r w:rsidRPr="005B66DA">
        <w:rPr>
          <w:color w:val="0070C0"/>
          <w:sz w:val="24"/>
          <w:szCs w:val="24"/>
        </w:rPr>
        <w:t xml:space="preserve"> </w:t>
      </w:r>
      <w:hyperlink r:id="rId320" w:history="1">
        <w:r w:rsidRPr="005B66DA">
          <w:rPr>
            <w:rStyle w:val="Hyperlink"/>
            <w:color w:val="0070C0"/>
            <w:sz w:val="24"/>
            <w:szCs w:val="24"/>
          </w:rPr>
          <w:t>https://doi.org/10.17169/fqs-1.2.1089</w:t>
        </w:r>
      </w:hyperlink>
    </w:p>
    <w:p w14:paraId="564A12B1" w14:textId="77777777" w:rsidR="00640A2D" w:rsidRPr="00452C80" w:rsidRDefault="00640A2D" w:rsidP="005B66DA">
      <w:pPr>
        <w:spacing w:line="360" w:lineRule="auto"/>
        <w:ind w:left="833" w:hanging="720"/>
        <w:rPr>
          <w:sz w:val="24"/>
          <w:szCs w:val="24"/>
        </w:rPr>
      </w:pPr>
      <w:r w:rsidRPr="00452C80">
        <w:rPr>
          <w:sz w:val="24"/>
          <w:szCs w:val="24"/>
        </w:rPr>
        <w:t xml:space="preserve">McAlpine, L., and Amundsen, C. (2011) Making Meaning of Diverse Experiences: Constructing an Identity Through Time. In </w:t>
      </w:r>
      <w:r w:rsidRPr="00452C80">
        <w:rPr>
          <w:i/>
          <w:iCs/>
          <w:sz w:val="24"/>
          <w:szCs w:val="24"/>
        </w:rPr>
        <w:t>Doctoral Education: Research-Based Strategies for Doctoral Students, Supervisors and Administrators</w:t>
      </w:r>
      <w:r w:rsidRPr="00452C80">
        <w:rPr>
          <w:sz w:val="24"/>
          <w:szCs w:val="24"/>
        </w:rPr>
        <w:t>, Lynn McAlpine and Cheryl Amundsen (eds.), pp. 173-84. Amsterdam: Springer.</w:t>
      </w:r>
    </w:p>
    <w:p w14:paraId="72BBFAD9" w14:textId="77777777" w:rsidR="00640A2D" w:rsidRPr="00452C80" w:rsidRDefault="00640A2D" w:rsidP="005B66DA">
      <w:pPr>
        <w:spacing w:line="360" w:lineRule="auto"/>
        <w:ind w:left="833" w:hanging="720"/>
        <w:rPr>
          <w:sz w:val="24"/>
          <w:szCs w:val="24"/>
        </w:rPr>
      </w:pPr>
      <w:r w:rsidRPr="00452C80">
        <w:rPr>
          <w:sz w:val="24"/>
          <w:szCs w:val="24"/>
        </w:rPr>
        <w:t xml:space="preserve">McCabe, L. (2011) Jung and Winnicott in the Classroom: Holding, Mirroring, Potential Space and the Self. In K. Bulkeley, K. and C. Weldon (2011) (eds) </w:t>
      </w:r>
      <w:r w:rsidRPr="00452C80">
        <w:rPr>
          <w:i/>
          <w:iCs/>
          <w:sz w:val="24"/>
          <w:szCs w:val="24"/>
        </w:rPr>
        <w:t>Teaching Jung</w:t>
      </w:r>
      <w:r w:rsidRPr="00452C80">
        <w:rPr>
          <w:sz w:val="24"/>
          <w:szCs w:val="24"/>
        </w:rPr>
        <w:t xml:space="preserve">. New York: Oxford University Press, Inc. </w:t>
      </w:r>
    </w:p>
    <w:p w14:paraId="1B6E34D6" w14:textId="77777777" w:rsidR="00640A2D" w:rsidRPr="005B66DA" w:rsidRDefault="00640A2D" w:rsidP="005B66DA">
      <w:pPr>
        <w:spacing w:line="360" w:lineRule="auto"/>
        <w:ind w:left="833" w:hanging="720"/>
        <w:rPr>
          <w:bCs/>
          <w:color w:val="0070C0"/>
          <w:sz w:val="24"/>
          <w:szCs w:val="24"/>
        </w:rPr>
      </w:pPr>
      <w:r w:rsidRPr="00452C80">
        <w:rPr>
          <w:bCs/>
          <w:sz w:val="24"/>
          <w:szCs w:val="24"/>
        </w:rPr>
        <w:t xml:space="preserve">McCormack, C., and Kennelly, R. (2011) We must get together and really talk …. Connection, engagement and safety sustain learning and teaching conversation communities. </w:t>
      </w:r>
      <w:hyperlink r:id="rId321" w:history="1">
        <w:r w:rsidRPr="00890742">
          <w:rPr>
            <w:rStyle w:val="Hyperlink"/>
            <w:bCs/>
            <w:i/>
            <w:iCs/>
            <w:color w:val="auto"/>
            <w:sz w:val="24"/>
            <w:szCs w:val="24"/>
            <w:u w:val="none"/>
          </w:rPr>
          <w:t>Reflective Practice</w:t>
        </w:r>
      </w:hyperlink>
      <w:r w:rsidRPr="00452C80">
        <w:rPr>
          <w:bCs/>
          <w:i/>
          <w:iCs/>
          <w:sz w:val="24"/>
          <w:szCs w:val="24"/>
        </w:rPr>
        <w:t>,</w:t>
      </w:r>
      <w:r w:rsidRPr="00452C80">
        <w:rPr>
          <w:bCs/>
          <w:sz w:val="24"/>
          <w:szCs w:val="24"/>
        </w:rPr>
        <w:t> </w:t>
      </w:r>
      <w:r w:rsidRPr="00452C80">
        <w:rPr>
          <w:b/>
          <w:sz w:val="24"/>
          <w:szCs w:val="24"/>
        </w:rPr>
        <w:t>12</w:t>
      </w:r>
      <w:r w:rsidRPr="00452C80">
        <w:rPr>
          <w:bCs/>
          <w:sz w:val="24"/>
          <w:szCs w:val="24"/>
        </w:rPr>
        <w:t xml:space="preserve">(4): pp.515-531. </w:t>
      </w:r>
      <w:hyperlink r:id="rId322" w:tgtFrame="_blank" w:history="1">
        <w:r w:rsidRPr="005B66DA">
          <w:rPr>
            <w:rStyle w:val="Hyperlink"/>
            <w:bCs/>
            <w:color w:val="0070C0"/>
            <w:sz w:val="24"/>
            <w:szCs w:val="24"/>
          </w:rPr>
          <w:t>https://www.tandfonline.com/doi/abs/10.1080/14623943.2011.590342</w:t>
        </w:r>
      </w:hyperlink>
    </w:p>
    <w:p w14:paraId="6DEDAB63" w14:textId="23F4E818" w:rsidR="00640A2D" w:rsidRPr="00452C80" w:rsidRDefault="00640A2D" w:rsidP="005B66DA">
      <w:pPr>
        <w:spacing w:line="360" w:lineRule="auto"/>
        <w:ind w:left="833" w:hanging="720"/>
        <w:rPr>
          <w:bCs/>
          <w:sz w:val="24"/>
          <w:szCs w:val="24"/>
        </w:rPr>
      </w:pPr>
      <w:r w:rsidRPr="00452C80">
        <w:rPr>
          <w:sz w:val="24"/>
          <w:szCs w:val="24"/>
        </w:rPr>
        <w:t xml:space="preserve">McGaha, V., </w:t>
      </w:r>
      <w:r w:rsidR="00DC37A4">
        <w:rPr>
          <w:sz w:val="24"/>
          <w:szCs w:val="24"/>
        </w:rPr>
        <w:t>and</w:t>
      </w:r>
      <w:r w:rsidRPr="00452C80">
        <w:rPr>
          <w:sz w:val="24"/>
          <w:szCs w:val="24"/>
        </w:rPr>
        <w:t> Fitzpatrick, J. (2005)</w:t>
      </w:r>
      <w:r w:rsidRPr="00452C80">
        <w:rPr>
          <w:bCs/>
          <w:sz w:val="24"/>
          <w:szCs w:val="24"/>
        </w:rPr>
        <w:t xml:space="preserve"> Personal and Social Contributors to Dropout Risk for Undergraduate Students. </w:t>
      </w:r>
      <w:r w:rsidRPr="00452C80">
        <w:rPr>
          <w:bCs/>
          <w:i/>
          <w:iCs/>
          <w:sz w:val="24"/>
          <w:szCs w:val="24"/>
        </w:rPr>
        <w:t>College Student Journal</w:t>
      </w:r>
      <w:r w:rsidRPr="00452C80">
        <w:rPr>
          <w:bCs/>
          <w:sz w:val="24"/>
          <w:szCs w:val="24"/>
        </w:rPr>
        <w:t xml:space="preserve">, </w:t>
      </w:r>
      <w:r w:rsidRPr="005B66DA">
        <w:rPr>
          <w:b/>
          <w:sz w:val="24"/>
          <w:szCs w:val="24"/>
        </w:rPr>
        <w:t>39</w:t>
      </w:r>
      <w:r w:rsidRPr="00452C80">
        <w:rPr>
          <w:bCs/>
          <w:sz w:val="24"/>
          <w:szCs w:val="24"/>
        </w:rPr>
        <w:t>(2): pp.287–297. </w:t>
      </w:r>
      <w:hyperlink r:id="rId323" w:history="1">
        <w:r w:rsidRPr="005B66DA">
          <w:rPr>
            <w:rStyle w:val="Hyperlink"/>
            <w:bCs/>
            <w:color w:val="0070C0"/>
            <w:sz w:val="24"/>
            <w:szCs w:val="24"/>
          </w:rPr>
          <w:t>https://psycnet.apa.org/record/2005-06700-009</w:t>
        </w:r>
      </w:hyperlink>
    </w:p>
    <w:p w14:paraId="51D4F744" w14:textId="1A4BF937" w:rsidR="00640A2D" w:rsidRPr="00452C80" w:rsidRDefault="00640A2D" w:rsidP="005B66DA">
      <w:pPr>
        <w:spacing w:line="360" w:lineRule="auto"/>
        <w:ind w:left="833" w:hanging="720"/>
        <w:rPr>
          <w:bCs/>
          <w:sz w:val="24"/>
          <w:szCs w:val="24"/>
        </w:rPr>
      </w:pPr>
      <w:r w:rsidRPr="00452C80">
        <w:rPr>
          <w:bCs/>
          <w:sz w:val="24"/>
          <w:szCs w:val="24"/>
        </w:rPr>
        <w:t>McKay, E.</w:t>
      </w:r>
      <w:r w:rsidR="00C52D64">
        <w:rPr>
          <w:bCs/>
          <w:sz w:val="24"/>
          <w:szCs w:val="24"/>
        </w:rPr>
        <w:t xml:space="preserve"> </w:t>
      </w:r>
      <w:r w:rsidRPr="00452C80">
        <w:rPr>
          <w:bCs/>
          <w:sz w:val="24"/>
          <w:szCs w:val="24"/>
        </w:rPr>
        <w:t xml:space="preserve">A. (2008) </w:t>
      </w:r>
      <w:r w:rsidRPr="00452C80">
        <w:rPr>
          <w:bCs/>
          <w:i/>
          <w:iCs/>
          <w:sz w:val="24"/>
          <w:szCs w:val="24"/>
        </w:rPr>
        <w:t>Reflective practice: Doing, being and becoming a reflective practitioner. Skills for Practice in Occupational Therapy</w:t>
      </w:r>
      <w:r w:rsidRPr="00452C80">
        <w:rPr>
          <w:bCs/>
          <w:sz w:val="24"/>
          <w:szCs w:val="24"/>
        </w:rPr>
        <w:t>. Oxford: Elsevier Ltd.</w:t>
      </w:r>
    </w:p>
    <w:p w14:paraId="721EC0BE" w14:textId="143DA7BC" w:rsidR="00640A2D" w:rsidRPr="00452C80" w:rsidRDefault="00640A2D" w:rsidP="005B66DA">
      <w:pPr>
        <w:spacing w:line="360" w:lineRule="auto"/>
        <w:ind w:left="833" w:hanging="720"/>
        <w:rPr>
          <w:sz w:val="24"/>
          <w:szCs w:val="24"/>
        </w:rPr>
      </w:pPr>
      <w:r w:rsidRPr="00452C80">
        <w:rPr>
          <w:sz w:val="24"/>
          <w:szCs w:val="24"/>
        </w:rPr>
        <w:t xml:space="preserve">McKay, M. (2017) Professional development seen as employment capital. </w:t>
      </w:r>
      <w:r w:rsidRPr="00452C80">
        <w:rPr>
          <w:i/>
          <w:iCs/>
          <w:sz w:val="24"/>
          <w:szCs w:val="24"/>
        </w:rPr>
        <w:t>Professional Development and Education</w:t>
      </w:r>
      <w:r w:rsidRPr="00452C80">
        <w:rPr>
          <w:sz w:val="24"/>
          <w:szCs w:val="24"/>
        </w:rPr>
        <w:t xml:space="preserve">, </w:t>
      </w:r>
      <w:r w:rsidRPr="00452C80">
        <w:rPr>
          <w:b/>
          <w:bCs/>
          <w:sz w:val="24"/>
          <w:szCs w:val="24"/>
        </w:rPr>
        <w:t>43</w:t>
      </w:r>
      <w:r w:rsidRPr="00452C80">
        <w:rPr>
          <w:sz w:val="24"/>
          <w:szCs w:val="24"/>
        </w:rPr>
        <w:t>(1): pp.140-155.</w:t>
      </w:r>
      <w:r w:rsidRPr="00452C80">
        <w:rPr>
          <w:rFonts w:ascii="Arial" w:hAnsi="Arial" w:cs="Arial"/>
          <w:sz w:val="20"/>
          <w:szCs w:val="20"/>
          <w:shd w:val="clear" w:color="auto" w:fill="FFFFFF"/>
        </w:rPr>
        <w:t xml:space="preserve"> </w:t>
      </w:r>
      <w:hyperlink r:id="rId324" w:history="1">
        <w:r w:rsidRPr="005B66DA">
          <w:rPr>
            <w:rStyle w:val="Hyperlink"/>
            <w:color w:val="0070C0"/>
            <w:sz w:val="24"/>
            <w:szCs w:val="24"/>
          </w:rPr>
          <w:t>http://www.tandfonline.com/10.1080/19415257.2015.1010015</w:t>
        </w:r>
      </w:hyperlink>
    </w:p>
    <w:p w14:paraId="20D53F72" w14:textId="05789699" w:rsidR="00640A2D" w:rsidRPr="00452C80" w:rsidRDefault="00640A2D" w:rsidP="005B66DA">
      <w:pPr>
        <w:spacing w:line="360" w:lineRule="auto"/>
        <w:ind w:left="833" w:hanging="720"/>
        <w:rPr>
          <w:sz w:val="24"/>
          <w:szCs w:val="24"/>
          <w:u w:val="single"/>
        </w:rPr>
      </w:pPr>
      <w:r w:rsidRPr="00452C80">
        <w:rPr>
          <w:sz w:val="24"/>
          <w:szCs w:val="24"/>
        </w:rPr>
        <w:t xml:space="preserve">McKenzie, K., and Schweitzer, R. (2001) Who succeeds at university? Factors predicting academic performance in first year Australian university students. </w:t>
      </w:r>
      <w:r w:rsidRPr="00452C80">
        <w:rPr>
          <w:i/>
          <w:iCs/>
          <w:sz w:val="24"/>
          <w:szCs w:val="24"/>
        </w:rPr>
        <w:t>Higher Education Research</w:t>
      </w:r>
      <w:r w:rsidRPr="00452C80">
        <w:rPr>
          <w:sz w:val="24"/>
          <w:szCs w:val="24"/>
        </w:rPr>
        <w:t xml:space="preserve"> </w:t>
      </w:r>
      <w:r w:rsidRPr="00452C80">
        <w:rPr>
          <w:i/>
          <w:iCs/>
          <w:sz w:val="24"/>
          <w:szCs w:val="24"/>
        </w:rPr>
        <w:t>and Development</w:t>
      </w:r>
      <w:r w:rsidRPr="00452C80">
        <w:rPr>
          <w:sz w:val="24"/>
          <w:szCs w:val="24"/>
        </w:rPr>
        <w:t xml:space="preserve">, </w:t>
      </w:r>
      <w:r w:rsidRPr="00452C80">
        <w:rPr>
          <w:b/>
          <w:bCs/>
          <w:sz w:val="24"/>
          <w:szCs w:val="24"/>
        </w:rPr>
        <w:t>20</w:t>
      </w:r>
      <w:r w:rsidRPr="00452C80">
        <w:rPr>
          <w:sz w:val="24"/>
          <w:szCs w:val="24"/>
        </w:rPr>
        <w:t xml:space="preserve">(1): pp. 21– 33. </w:t>
      </w:r>
      <w:hyperlink r:id="rId325" w:history="1">
        <w:r w:rsidRPr="005B66DA">
          <w:rPr>
            <w:rStyle w:val="Hyperlink"/>
            <w:color w:val="0070C0"/>
            <w:sz w:val="24"/>
            <w:szCs w:val="24"/>
          </w:rPr>
          <w:t>https://doi.org/10.1080/07924360120043621</w:t>
        </w:r>
      </w:hyperlink>
    </w:p>
    <w:p w14:paraId="2FEFCD29" w14:textId="77777777" w:rsidR="00640A2D" w:rsidRPr="00452C80" w:rsidRDefault="00640A2D" w:rsidP="005B66DA">
      <w:pPr>
        <w:spacing w:line="360" w:lineRule="auto"/>
        <w:ind w:left="833" w:hanging="720"/>
        <w:rPr>
          <w:sz w:val="24"/>
          <w:szCs w:val="24"/>
        </w:rPr>
      </w:pPr>
      <w:r w:rsidRPr="00452C80">
        <w:rPr>
          <w:sz w:val="24"/>
          <w:szCs w:val="24"/>
        </w:rPr>
        <w:lastRenderedPageBreak/>
        <w:t xml:space="preserve">McKenzie, M., and Tuck, E. (2015) </w:t>
      </w:r>
      <w:r w:rsidRPr="00452C80">
        <w:rPr>
          <w:i/>
          <w:iCs/>
          <w:sz w:val="24"/>
          <w:szCs w:val="24"/>
        </w:rPr>
        <w:t>Place in Research: Theory, Methodology, and Methods</w:t>
      </w:r>
      <w:r w:rsidRPr="00452C80">
        <w:rPr>
          <w:sz w:val="24"/>
          <w:szCs w:val="24"/>
        </w:rPr>
        <w:t>. London: Routledge</w:t>
      </w:r>
    </w:p>
    <w:p w14:paraId="60257E58" w14:textId="644610C6" w:rsidR="00640A2D" w:rsidRPr="00452C80" w:rsidRDefault="00640A2D" w:rsidP="005B66DA">
      <w:pPr>
        <w:spacing w:line="360" w:lineRule="auto"/>
        <w:ind w:left="833" w:hanging="720"/>
        <w:rPr>
          <w:bCs/>
          <w:sz w:val="24"/>
          <w:szCs w:val="24"/>
        </w:rPr>
      </w:pPr>
      <w:hyperlink r:id="rId326" w:history="1">
        <w:r w:rsidRPr="00174022">
          <w:rPr>
            <w:rStyle w:val="Hyperlink"/>
            <w:bCs/>
            <w:color w:val="auto"/>
            <w:sz w:val="24"/>
            <w:szCs w:val="24"/>
            <w:u w:val="none"/>
          </w:rPr>
          <w:t>McLoughlin, M. K</w:t>
        </w:r>
      </w:hyperlink>
      <w:r w:rsidRPr="00174022">
        <w:rPr>
          <w:bCs/>
          <w:sz w:val="24"/>
          <w:szCs w:val="24"/>
        </w:rPr>
        <w:t>.</w:t>
      </w:r>
      <w:r w:rsidRPr="00452C80">
        <w:rPr>
          <w:bCs/>
          <w:sz w:val="24"/>
          <w:szCs w:val="24"/>
        </w:rPr>
        <w:t xml:space="preserve"> (2010) </w:t>
      </w:r>
      <w:r w:rsidRPr="00452C80">
        <w:rPr>
          <w:bCs/>
          <w:i/>
          <w:iCs/>
          <w:sz w:val="24"/>
          <w:szCs w:val="24"/>
        </w:rPr>
        <w:t>Resilience in the offspring of mothers with schizophrenia.</w:t>
      </w:r>
      <w:r w:rsidRPr="00452C80">
        <w:rPr>
          <w:bCs/>
          <w:sz w:val="24"/>
          <w:szCs w:val="24"/>
        </w:rPr>
        <w:t xml:space="preserve"> City University of New York ProQuest Dissertations &amp; Theses, 2010. 3426791.</w:t>
      </w:r>
      <w:r w:rsidRPr="00452C80">
        <w:t xml:space="preserve"> </w:t>
      </w:r>
      <w:r w:rsidR="00914720" w:rsidRPr="00914720">
        <w:rPr>
          <w:sz w:val="24"/>
          <w:szCs w:val="24"/>
        </w:rPr>
        <w:t xml:space="preserve">Available at: </w:t>
      </w:r>
      <w:hyperlink r:id="rId327" w:history="1">
        <w:r w:rsidR="00914720" w:rsidRPr="0019278B">
          <w:rPr>
            <w:rStyle w:val="Hyperlink"/>
            <w:bCs/>
            <w:sz w:val="24"/>
            <w:szCs w:val="24"/>
          </w:rPr>
          <w:t>https://www.proquest.com/openview/09dbc8473ec47edb43977075c87169e8/1?pq-origsite=gscholar&amp;cbl=18750</w:t>
        </w:r>
      </w:hyperlink>
      <w:r w:rsidR="00914720">
        <w:rPr>
          <w:bCs/>
          <w:sz w:val="24"/>
          <w:szCs w:val="24"/>
        </w:rPr>
        <w:t xml:space="preserve">  [Accessed </w:t>
      </w:r>
      <w:r w:rsidR="00653275">
        <w:rPr>
          <w:bCs/>
          <w:sz w:val="24"/>
          <w:szCs w:val="24"/>
        </w:rPr>
        <w:t>2</w:t>
      </w:r>
      <w:r w:rsidR="00653275" w:rsidRPr="00653275">
        <w:rPr>
          <w:bCs/>
          <w:sz w:val="24"/>
          <w:szCs w:val="24"/>
          <w:vertAlign w:val="superscript"/>
        </w:rPr>
        <w:t>nd</w:t>
      </w:r>
      <w:r w:rsidR="00653275">
        <w:rPr>
          <w:bCs/>
          <w:sz w:val="24"/>
          <w:szCs w:val="24"/>
        </w:rPr>
        <w:t xml:space="preserve"> September 2024]</w:t>
      </w:r>
    </w:p>
    <w:p w14:paraId="196CD116" w14:textId="6FA460C2" w:rsidR="00640A2D" w:rsidRPr="00452C80" w:rsidRDefault="00640A2D" w:rsidP="005B66DA">
      <w:pPr>
        <w:spacing w:line="360" w:lineRule="auto"/>
        <w:ind w:left="833" w:hanging="720"/>
        <w:rPr>
          <w:bCs/>
          <w:sz w:val="24"/>
          <w:szCs w:val="24"/>
        </w:rPr>
      </w:pPr>
      <w:r w:rsidRPr="00452C80">
        <w:rPr>
          <w:bCs/>
          <w:sz w:val="24"/>
          <w:szCs w:val="24"/>
        </w:rPr>
        <w:t>McPhail, R., Fisher, R.</w:t>
      </w:r>
      <w:r w:rsidR="00C52D64">
        <w:rPr>
          <w:bCs/>
          <w:sz w:val="24"/>
          <w:szCs w:val="24"/>
        </w:rPr>
        <w:t>,</w:t>
      </w:r>
      <w:r w:rsidRPr="00452C80">
        <w:rPr>
          <w:bCs/>
          <w:sz w:val="24"/>
          <w:szCs w:val="24"/>
        </w:rPr>
        <w:t xml:space="preserve"> and McConachie, J. (2009) </w:t>
      </w:r>
      <w:r w:rsidRPr="00452C80">
        <w:rPr>
          <w:bCs/>
          <w:i/>
          <w:iCs/>
          <w:sz w:val="24"/>
          <w:szCs w:val="24"/>
        </w:rPr>
        <w:t>Becoming A Successful First Year Undergraduate: When Expectations and Reality Collide</w:t>
      </w:r>
      <w:r w:rsidRPr="00452C80">
        <w:rPr>
          <w:bCs/>
          <w:sz w:val="24"/>
          <w:szCs w:val="24"/>
        </w:rPr>
        <w:t xml:space="preserve">. Queensland, Australia: Griffith University. </w:t>
      </w:r>
      <w:hyperlink r:id="rId328" w:history="1">
        <w:r w:rsidRPr="005B66DA">
          <w:rPr>
            <w:rStyle w:val="Hyperlink"/>
            <w:bCs/>
            <w:color w:val="0070C0"/>
            <w:sz w:val="24"/>
            <w:szCs w:val="24"/>
          </w:rPr>
          <w:t>https://www.academia.edu/3509091/Becoming_a_Successful_First_Year_Undergraduate_When_Expectations_and_Reality_Collide</w:t>
        </w:r>
      </w:hyperlink>
    </w:p>
    <w:p w14:paraId="7E9DE7AB" w14:textId="1020F202" w:rsidR="00640A2D" w:rsidRPr="00452C80" w:rsidRDefault="00640A2D" w:rsidP="005B66DA">
      <w:pPr>
        <w:spacing w:line="360" w:lineRule="auto"/>
        <w:ind w:left="833" w:hanging="720"/>
      </w:pPr>
      <w:r w:rsidRPr="00452C80">
        <w:rPr>
          <w:sz w:val="24"/>
          <w:szCs w:val="24"/>
        </w:rPr>
        <w:t>Mehmet, K., Erdogdu, F., Kokoc, M.</w:t>
      </w:r>
      <w:r w:rsidR="00C52D64">
        <w:rPr>
          <w:sz w:val="24"/>
          <w:szCs w:val="24"/>
        </w:rPr>
        <w:t>,</w:t>
      </w:r>
      <w:r w:rsidRPr="00452C80">
        <w:rPr>
          <w:sz w:val="24"/>
          <w:szCs w:val="24"/>
        </w:rPr>
        <w:t xml:space="preserve"> and Cagiltay, K. (2019) Challenges Faced by Adult Learners in Online Distance Education: A Literature Review. </w:t>
      </w:r>
      <w:r w:rsidRPr="00452C80">
        <w:rPr>
          <w:i/>
          <w:iCs/>
          <w:sz w:val="24"/>
          <w:szCs w:val="24"/>
        </w:rPr>
        <w:t xml:space="preserve">Open Praxis, </w:t>
      </w:r>
      <w:r w:rsidRPr="00452C80">
        <w:rPr>
          <w:b/>
          <w:bCs/>
          <w:sz w:val="24"/>
          <w:szCs w:val="24"/>
        </w:rPr>
        <w:t>11</w:t>
      </w:r>
      <w:r w:rsidRPr="00452C80">
        <w:rPr>
          <w:sz w:val="24"/>
          <w:szCs w:val="24"/>
        </w:rPr>
        <w:t>(1): pp.5-22.</w:t>
      </w:r>
      <w:r w:rsidRPr="00452C80">
        <w:rPr>
          <w:rFonts w:ascii="Roboto" w:hAnsi="Roboto"/>
          <w:sz w:val="21"/>
          <w:szCs w:val="21"/>
          <w:shd w:val="clear" w:color="auto" w:fill="FFFFFF"/>
        </w:rPr>
        <w:t xml:space="preserve"> </w:t>
      </w:r>
      <w:r w:rsidRPr="005B66DA">
        <w:rPr>
          <w:color w:val="0070C0"/>
          <w:sz w:val="24"/>
          <w:szCs w:val="24"/>
          <w:u w:val="single"/>
        </w:rPr>
        <w:t>https://doi.org/</w:t>
      </w:r>
      <w:hyperlink r:id="rId329" w:tgtFrame="_blank" w:history="1">
        <w:r w:rsidRPr="005B66DA">
          <w:rPr>
            <w:rStyle w:val="Hyperlink"/>
            <w:color w:val="0070C0"/>
            <w:sz w:val="24"/>
            <w:szCs w:val="24"/>
          </w:rPr>
          <w:t>10.5944/openpraxis.11.1.929</w:t>
        </w:r>
      </w:hyperlink>
    </w:p>
    <w:p w14:paraId="0ACD918C" w14:textId="77777777" w:rsidR="00640A2D" w:rsidRPr="00452C80" w:rsidRDefault="00640A2D" w:rsidP="005B66DA">
      <w:pPr>
        <w:spacing w:line="360" w:lineRule="auto"/>
        <w:ind w:left="833" w:hanging="720"/>
        <w:rPr>
          <w:sz w:val="24"/>
          <w:szCs w:val="24"/>
        </w:rPr>
      </w:pPr>
      <w:r w:rsidRPr="00452C80">
        <w:rPr>
          <w:sz w:val="24"/>
          <w:szCs w:val="24"/>
        </w:rPr>
        <w:t xml:space="preserve">Memmi, A. (1965) </w:t>
      </w:r>
      <w:r w:rsidRPr="00B80E61">
        <w:rPr>
          <w:i/>
          <w:iCs/>
          <w:sz w:val="24"/>
          <w:szCs w:val="24"/>
        </w:rPr>
        <w:t>The Colonizer and the Colonized</w:t>
      </w:r>
      <w:r w:rsidRPr="00452C80">
        <w:rPr>
          <w:sz w:val="24"/>
          <w:szCs w:val="24"/>
        </w:rPr>
        <w:t>. Boston, MA: Beacon Press.</w:t>
      </w:r>
    </w:p>
    <w:p w14:paraId="63DA4CB5" w14:textId="01A4BDD7" w:rsidR="00640A2D" w:rsidRPr="00653275" w:rsidRDefault="00640A2D" w:rsidP="005B66DA">
      <w:pPr>
        <w:spacing w:line="360" w:lineRule="auto"/>
        <w:ind w:left="833" w:hanging="720"/>
        <w:rPr>
          <w:sz w:val="24"/>
          <w:szCs w:val="24"/>
        </w:rPr>
      </w:pPr>
      <w:r w:rsidRPr="00452C80">
        <w:rPr>
          <w:sz w:val="24"/>
          <w:szCs w:val="24"/>
        </w:rPr>
        <w:t>Mental Health UK (2023) What is ‘climate anxiety’ and what can you do about it?  Mental Health UK blog.</w:t>
      </w:r>
      <w:r w:rsidR="00653275">
        <w:rPr>
          <w:sz w:val="24"/>
          <w:szCs w:val="24"/>
        </w:rPr>
        <w:t xml:space="preserve"> Available at: </w:t>
      </w:r>
      <w:r w:rsidRPr="00452C80">
        <w:rPr>
          <w:sz w:val="24"/>
          <w:szCs w:val="24"/>
        </w:rPr>
        <w:t xml:space="preserve"> </w:t>
      </w:r>
      <w:hyperlink r:id="rId330" w:history="1">
        <w:r w:rsidRPr="005B66DA">
          <w:rPr>
            <w:rStyle w:val="Hyperlink"/>
            <w:color w:val="0070C0"/>
            <w:sz w:val="24"/>
            <w:szCs w:val="24"/>
          </w:rPr>
          <w:t>https://mentalhealth-uk.org/blog/what-is-climate-anxiety-and-what-can-we-do-about-it/</w:t>
        </w:r>
      </w:hyperlink>
      <w:r w:rsidR="00653275">
        <w:t xml:space="preserve">  </w:t>
      </w:r>
      <w:r w:rsidR="00653275">
        <w:rPr>
          <w:sz w:val="24"/>
          <w:szCs w:val="24"/>
        </w:rPr>
        <w:t>[Accessed</w:t>
      </w:r>
      <w:r w:rsidR="00A54142">
        <w:rPr>
          <w:sz w:val="24"/>
          <w:szCs w:val="24"/>
        </w:rPr>
        <w:t xml:space="preserve"> 9</w:t>
      </w:r>
      <w:r w:rsidR="00A54142" w:rsidRPr="00A54142">
        <w:rPr>
          <w:sz w:val="24"/>
          <w:szCs w:val="24"/>
          <w:vertAlign w:val="superscript"/>
        </w:rPr>
        <w:t>th</w:t>
      </w:r>
      <w:r w:rsidR="00A54142">
        <w:rPr>
          <w:sz w:val="24"/>
          <w:szCs w:val="24"/>
        </w:rPr>
        <w:t xml:space="preserve"> June 2024]</w:t>
      </w:r>
    </w:p>
    <w:p w14:paraId="48BDA0D5" w14:textId="144540D6" w:rsidR="00640A2D" w:rsidRPr="00452C80" w:rsidRDefault="00640A2D" w:rsidP="005B66DA">
      <w:pPr>
        <w:spacing w:line="360" w:lineRule="auto"/>
        <w:ind w:left="833" w:hanging="720"/>
        <w:rPr>
          <w:sz w:val="24"/>
          <w:szCs w:val="24"/>
        </w:rPr>
      </w:pPr>
      <w:r w:rsidRPr="00452C80">
        <w:rPr>
          <w:sz w:val="24"/>
          <w:szCs w:val="24"/>
        </w:rPr>
        <w:t>Menzies-Lyth, I.</w:t>
      </w:r>
      <w:r w:rsidR="00C52D64">
        <w:rPr>
          <w:sz w:val="24"/>
          <w:szCs w:val="24"/>
        </w:rPr>
        <w:t xml:space="preserve"> </w:t>
      </w:r>
      <w:r w:rsidRPr="00452C80">
        <w:rPr>
          <w:sz w:val="24"/>
          <w:szCs w:val="24"/>
        </w:rPr>
        <w:t xml:space="preserve">E. (1960) A Case-Study in the Functioning of Social Systems as a Defence Against Anxiety: An Empirical Study of the Nursing Service of a General Hospital. </w:t>
      </w:r>
      <w:r w:rsidRPr="00452C80">
        <w:rPr>
          <w:i/>
          <w:iCs/>
          <w:sz w:val="24"/>
          <w:szCs w:val="24"/>
        </w:rPr>
        <w:t>Human Relations</w:t>
      </w:r>
      <w:r w:rsidRPr="00452C80">
        <w:rPr>
          <w:sz w:val="24"/>
          <w:szCs w:val="24"/>
        </w:rPr>
        <w:t xml:space="preserve">, </w:t>
      </w:r>
      <w:r w:rsidRPr="00452C80">
        <w:rPr>
          <w:b/>
          <w:bCs/>
          <w:sz w:val="24"/>
          <w:szCs w:val="24"/>
        </w:rPr>
        <w:t>13</w:t>
      </w:r>
      <w:r w:rsidRPr="00452C80">
        <w:rPr>
          <w:sz w:val="24"/>
          <w:szCs w:val="24"/>
        </w:rPr>
        <w:t xml:space="preserve">(2): pp. 95-121. </w:t>
      </w:r>
      <w:hyperlink r:id="rId331" w:history="1">
        <w:r w:rsidR="00A54142" w:rsidRPr="0019278B">
          <w:rPr>
            <w:rStyle w:val="Hyperlink"/>
            <w:sz w:val="24"/>
            <w:szCs w:val="24"/>
          </w:rPr>
          <w:t>https://doi.org/10.1177/001872676001300201</w:t>
        </w:r>
      </w:hyperlink>
    </w:p>
    <w:p w14:paraId="2DCFE67E" w14:textId="77777777" w:rsidR="00640A2D" w:rsidRPr="00452C80" w:rsidRDefault="00640A2D" w:rsidP="005B66DA">
      <w:pPr>
        <w:spacing w:line="360" w:lineRule="auto"/>
        <w:ind w:left="833" w:hanging="720"/>
        <w:rPr>
          <w:sz w:val="24"/>
          <w:szCs w:val="24"/>
        </w:rPr>
      </w:pPr>
      <w:r w:rsidRPr="00452C80">
        <w:rPr>
          <w:sz w:val="24"/>
          <w:szCs w:val="24"/>
        </w:rPr>
        <w:t xml:space="preserve">Mercer, J. (2006) The challenges of insider research in educational institutions: Wielding a double-edged sword and resolving delicate dilemmas. </w:t>
      </w:r>
      <w:r w:rsidRPr="00452C80">
        <w:rPr>
          <w:i/>
          <w:iCs/>
          <w:sz w:val="24"/>
          <w:szCs w:val="24"/>
        </w:rPr>
        <w:t>Oxford Review of Education</w:t>
      </w:r>
      <w:r w:rsidRPr="00452C80">
        <w:rPr>
          <w:sz w:val="24"/>
          <w:szCs w:val="24"/>
        </w:rPr>
        <w:t xml:space="preserve">, </w:t>
      </w:r>
      <w:r w:rsidRPr="00452C80">
        <w:rPr>
          <w:b/>
          <w:bCs/>
          <w:sz w:val="24"/>
          <w:szCs w:val="24"/>
        </w:rPr>
        <w:t>33</w:t>
      </w:r>
      <w:r w:rsidRPr="00452C80">
        <w:rPr>
          <w:sz w:val="24"/>
          <w:szCs w:val="24"/>
        </w:rPr>
        <w:t xml:space="preserve">(1): pp. 1-17. </w:t>
      </w:r>
      <w:hyperlink r:id="rId332" w:history="1">
        <w:r w:rsidRPr="005B66DA">
          <w:rPr>
            <w:rStyle w:val="Hyperlink"/>
            <w:color w:val="0070C0"/>
            <w:sz w:val="24"/>
            <w:szCs w:val="24"/>
          </w:rPr>
          <w:t>http://dx.doi.org/10.1080/03054980601094651</w:t>
        </w:r>
      </w:hyperlink>
    </w:p>
    <w:p w14:paraId="1BCA44D2" w14:textId="77777777" w:rsidR="00640A2D" w:rsidRPr="00452C80" w:rsidRDefault="00640A2D" w:rsidP="005B66DA">
      <w:pPr>
        <w:spacing w:line="360" w:lineRule="auto"/>
        <w:ind w:left="833" w:hanging="720"/>
        <w:rPr>
          <w:sz w:val="24"/>
          <w:szCs w:val="24"/>
        </w:rPr>
      </w:pPr>
      <w:r w:rsidRPr="00452C80">
        <w:rPr>
          <w:sz w:val="24"/>
          <w:szCs w:val="24"/>
        </w:rPr>
        <w:t xml:space="preserve">Merleau-Ponty, M. (1964) </w:t>
      </w:r>
      <w:r w:rsidRPr="00452C80">
        <w:rPr>
          <w:i/>
          <w:iCs/>
          <w:sz w:val="24"/>
          <w:szCs w:val="24"/>
        </w:rPr>
        <w:t>The Primacy of Perception</w:t>
      </w:r>
      <w:r w:rsidRPr="00452C80">
        <w:rPr>
          <w:sz w:val="24"/>
          <w:szCs w:val="24"/>
        </w:rPr>
        <w:t>. Evanston, Ill: Northwestern University press.</w:t>
      </w:r>
    </w:p>
    <w:p w14:paraId="39BEE5FC" w14:textId="77777777" w:rsidR="00640A2D" w:rsidRPr="00452C80" w:rsidRDefault="00640A2D" w:rsidP="005B66DA">
      <w:pPr>
        <w:spacing w:line="360" w:lineRule="auto"/>
        <w:ind w:left="833" w:hanging="720"/>
        <w:rPr>
          <w:sz w:val="24"/>
          <w:szCs w:val="24"/>
        </w:rPr>
      </w:pPr>
      <w:r w:rsidRPr="00452C80">
        <w:rPr>
          <w:sz w:val="24"/>
          <w:szCs w:val="24"/>
        </w:rPr>
        <w:lastRenderedPageBreak/>
        <w:t xml:space="preserve">Merleau-Ponty, M. (1968) </w:t>
      </w:r>
      <w:r w:rsidRPr="00452C80">
        <w:rPr>
          <w:i/>
          <w:iCs/>
          <w:sz w:val="24"/>
          <w:szCs w:val="24"/>
        </w:rPr>
        <w:t>The Phenomenology of Perception</w:t>
      </w:r>
      <w:r w:rsidRPr="00452C80">
        <w:rPr>
          <w:sz w:val="24"/>
          <w:szCs w:val="24"/>
        </w:rPr>
        <w:t xml:space="preserve"> (Trans, Colin Smith). London: Routledge and Kegan Paul.</w:t>
      </w:r>
    </w:p>
    <w:p w14:paraId="6B89C923" w14:textId="77777777" w:rsidR="00640A2D" w:rsidRPr="00452C80" w:rsidRDefault="00640A2D" w:rsidP="005B66DA">
      <w:pPr>
        <w:spacing w:line="360" w:lineRule="auto"/>
        <w:ind w:left="833" w:hanging="720"/>
        <w:rPr>
          <w:sz w:val="24"/>
          <w:szCs w:val="24"/>
        </w:rPr>
      </w:pPr>
      <w:r w:rsidRPr="00452C80">
        <w:rPr>
          <w:sz w:val="24"/>
          <w:szCs w:val="24"/>
        </w:rPr>
        <w:t xml:space="preserve">Merrill, B., and West, L. (2009) </w:t>
      </w:r>
      <w:r w:rsidRPr="00452C80">
        <w:rPr>
          <w:i/>
          <w:iCs/>
          <w:sz w:val="24"/>
          <w:szCs w:val="24"/>
        </w:rPr>
        <w:t>Using Biographical Methods in Social Research</w:t>
      </w:r>
      <w:r w:rsidRPr="00452C80">
        <w:rPr>
          <w:sz w:val="24"/>
          <w:szCs w:val="24"/>
        </w:rPr>
        <w:t>. London: Sage.</w:t>
      </w:r>
    </w:p>
    <w:p w14:paraId="1FF646B1" w14:textId="7E360FB2" w:rsidR="00640A2D" w:rsidRPr="00452C80" w:rsidRDefault="00640A2D" w:rsidP="005B66DA">
      <w:pPr>
        <w:spacing w:line="360" w:lineRule="auto"/>
        <w:ind w:left="833" w:hanging="720"/>
        <w:rPr>
          <w:sz w:val="24"/>
          <w:szCs w:val="24"/>
        </w:rPr>
      </w:pPr>
      <w:r w:rsidRPr="00452C80">
        <w:rPr>
          <w:sz w:val="24"/>
          <w:szCs w:val="24"/>
        </w:rPr>
        <w:t>Merton, R. K. (1972) Insiders and Outsiders: A Chapter in the Sociology of Knowledge. </w:t>
      </w:r>
      <w:r w:rsidRPr="00452C80">
        <w:rPr>
          <w:i/>
          <w:iCs/>
          <w:sz w:val="24"/>
          <w:szCs w:val="24"/>
        </w:rPr>
        <w:t>American Journal of Sociology</w:t>
      </w:r>
      <w:r w:rsidRPr="00452C80">
        <w:rPr>
          <w:sz w:val="24"/>
          <w:szCs w:val="24"/>
        </w:rPr>
        <w:t xml:space="preserve">, </w:t>
      </w:r>
      <w:r w:rsidRPr="00452C80">
        <w:rPr>
          <w:b/>
          <w:bCs/>
          <w:sz w:val="24"/>
          <w:szCs w:val="24"/>
        </w:rPr>
        <w:t>78</w:t>
      </w:r>
      <w:r w:rsidRPr="00452C80">
        <w:rPr>
          <w:sz w:val="24"/>
          <w:szCs w:val="24"/>
        </w:rPr>
        <w:t xml:space="preserve">(1): pp.9-47. </w:t>
      </w:r>
      <w:hyperlink r:id="rId333" w:history="1">
        <w:r w:rsidRPr="005B66DA">
          <w:rPr>
            <w:rStyle w:val="Hyperlink"/>
            <w:color w:val="0070C0"/>
            <w:sz w:val="24"/>
            <w:szCs w:val="24"/>
          </w:rPr>
          <w:t>https://www.jstor.org/stable/2776569</w:t>
        </w:r>
      </w:hyperlink>
    </w:p>
    <w:p w14:paraId="4602BB42" w14:textId="156D114E" w:rsidR="00640A2D" w:rsidRPr="00452C80" w:rsidRDefault="00640A2D" w:rsidP="005B66DA">
      <w:pPr>
        <w:spacing w:line="360" w:lineRule="auto"/>
        <w:ind w:left="833" w:hanging="720"/>
        <w:rPr>
          <w:sz w:val="24"/>
          <w:szCs w:val="24"/>
        </w:rPr>
      </w:pPr>
      <w:r w:rsidRPr="00452C80">
        <w:rPr>
          <w:sz w:val="24"/>
          <w:szCs w:val="24"/>
        </w:rPr>
        <w:t xml:space="preserve">Mezirow, J. (1981) A critical theory of adult learning and education. </w:t>
      </w:r>
      <w:r w:rsidRPr="00452C80">
        <w:rPr>
          <w:i/>
          <w:iCs/>
          <w:sz w:val="24"/>
          <w:szCs w:val="24"/>
        </w:rPr>
        <w:t>Adult Education</w:t>
      </w:r>
      <w:r w:rsidRPr="00452C80">
        <w:rPr>
          <w:sz w:val="24"/>
          <w:szCs w:val="24"/>
        </w:rPr>
        <w:t xml:space="preserve">, </w:t>
      </w:r>
      <w:r w:rsidRPr="00452C80">
        <w:rPr>
          <w:b/>
          <w:bCs/>
          <w:sz w:val="24"/>
          <w:szCs w:val="24"/>
        </w:rPr>
        <w:t>32</w:t>
      </w:r>
      <w:r w:rsidRPr="00452C80">
        <w:rPr>
          <w:sz w:val="24"/>
          <w:szCs w:val="24"/>
        </w:rPr>
        <w:t>(1): pp.3-24.</w:t>
      </w:r>
      <w:r w:rsidRPr="00452C80">
        <w:t xml:space="preserve"> </w:t>
      </w:r>
      <w:hyperlink r:id="rId334" w:history="1">
        <w:r w:rsidRPr="005B66DA">
          <w:rPr>
            <w:rStyle w:val="Hyperlink"/>
            <w:color w:val="0070C0"/>
            <w:sz w:val="24"/>
            <w:szCs w:val="24"/>
          </w:rPr>
          <w:t>https://doi.org/10.1177/074171368103200101</w:t>
        </w:r>
      </w:hyperlink>
    </w:p>
    <w:p w14:paraId="71D6AD56" w14:textId="045D96C1" w:rsidR="00640A2D" w:rsidRPr="00452C80" w:rsidRDefault="00640A2D" w:rsidP="005B66DA">
      <w:pPr>
        <w:spacing w:line="360" w:lineRule="auto"/>
        <w:ind w:left="833" w:hanging="720"/>
        <w:rPr>
          <w:sz w:val="24"/>
          <w:szCs w:val="24"/>
        </w:rPr>
      </w:pPr>
      <w:r w:rsidRPr="00452C80">
        <w:rPr>
          <w:sz w:val="24"/>
          <w:szCs w:val="24"/>
        </w:rPr>
        <w:t xml:space="preserve">Mezirow, J. (1991) </w:t>
      </w:r>
      <w:r w:rsidRPr="00452C80">
        <w:rPr>
          <w:i/>
          <w:iCs/>
          <w:sz w:val="24"/>
          <w:szCs w:val="24"/>
        </w:rPr>
        <w:t>Transformative Dimensions of Adult Learning</w:t>
      </w:r>
      <w:r w:rsidRPr="00452C80">
        <w:rPr>
          <w:sz w:val="24"/>
          <w:szCs w:val="24"/>
        </w:rPr>
        <w:t>. San Francisco, C.A.: Jossey-Bass.</w:t>
      </w:r>
    </w:p>
    <w:p w14:paraId="53C4BEB1" w14:textId="77777777" w:rsidR="00640A2D" w:rsidRPr="00452C80" w:rsidRDefault="00640A2D" w:rsidP="005B66DA">
      <w:pPr>
        <w:spacing w:line="360" w:lineRule="auto"/>
        <w:ind w:left="833" w:hanging="720"/>
        <w:rPr>
          <w:sz w:val="24"/>
          <w:szCs w:val="24"/>
        </w:rPr>
      </w:pPr>
      <w:r w:rsidRPr="00452C80">
        <w:rPr>
          <w:sz w:val="24"/>
          <w:szCs w:val="24"/>
        </w:rPr>
        <w:t xml:space="preserve">Mezirow, J. (1991a) </w:t>
      </w:r>
      <w:r w:rsidRPr="00452C80">
        <w:rPr>
          <w:i/>
          <w:iCs/>
          <w:sz w:val="24"/>
          <w:szCs w:val="24"/>
        </w:rPr>
        <w:t>Fostering Critical reflection in Adulthood</w:t>
      </w:r>
      <w:r w:rsidRPr="00452C80">
        <w:rPr>
          <w:sz w:val="24"/>
          <w:szCs w:val="24"/>
        </w:rPr>
        <w:t xml:space="preserve">. San Francisco: Jossey Bass. </w:t>
      </w:r>
    </w:p>
    <w:p w14:paraId="3DD46F48" w14:textId="2C0E545A" w:rsidR="00640A2D" w:rsidRPr="00703DC6" w:rsidRDefault="00640A2D" w:rsidP="005B66DA">
      <w:pPr>
        <w:spacing w:line="360" w:lineRule="auto"/>
        <w:ind w:left="833" w:hanging="720"/>
        <w:rPr>
          <w:sz w:val="24"/>
          <w:szCs w:val="24"/>
        </w:rPr>
      </w:pPr>
      <w:r w:rsidRPr="00452C80">
        <w:rPr>
          <w:sz w:val="24"/>
          <w:szCs w:val="24"/>
        </w:rPr>
        <w:t xml:space="preserve">Microsoft and McKinsey (2018) </w:t>
      </w:r>
      <w:r w:rsidRPr="00452C80">
        <w:rPr>
          <w:i/>
          <w:iCs/>
          <w:sz w:val="24"/>
          <w:szCs w:val="24"/>
        </w:rPr>
        <w:t xml:space="preserve">Preparing the Class of 2030: The class of 2030 and life-ready </w:t>
      </w:r>
      <w:r w:rsidR="00703DC6" w:rsidRPr="00452C80">
        <w:rPr>
          <w:i/>
          <w:iCs/>
          <w:sz w:val="24"/>
          <w:szCs w:val="24"/>
        </w:rPr>
        <w:t>learning</w:t>
      </w:r>
      <w:r w:rsidR="00703DC6" w:rsidRPr="00452C80">
        <w:rPr>
          <w:sz w:val="24"/>
          <w:szCs w:val="24"/>
        </w:rPr>
        <w:t>.</w:t>
      </w:r>
      <w:r w:rsidR="00703DC6">
        <w:rPr>
          <w:sz w:val="24"/>
          <w:szCs w:val="24"/>
        </w:rPr>
        <w:t xml:space="preserve"> Available at: </w:t>
      </w:r>
      <w:r w:rsidRPr="00452C80">
        <w:rPr>
          <w:sz w:val="24"/>
          <w:szCs w:val="24"/>
        </w:rPr>
        <w:t xml:space="preserve"> </w:t>
      </w:r>
      <w:hyperlink r:id="rId335" w:history="1">
        <w:r w:rsidRPr="005B66DA">
          <w:rPr>
            <w:rStyle w:val="Hyperlink"/>
            <w:color w:val="0070C0"/>
            <w:sz w:val="24"/>
            <w:szCs w:val="24"/>
          </w:rPr>
          <w:t>https://info.microsoft.com/rs/157-GQE-382/images/EN-US-CNTNT-Whitepaper-Education-Class-of-2030-report.pdf</w:t>
        </w:r>
      </w:hyperlink>
      <w:r w:rsidR="00703DC6">
        <w:t xml:space="preserve">  </w:t>
      </w:r>
      <w:r w:rsidR="00703DC6">
        <w:rPr>
          <w:sz w:val="24"/>
          <w:szCs w:val="24"/>
        </w:rPr>
        <w:t>[Accessed 2</w:t>
      </w:r>
      <w:r w:rsidR="00703DC6" w:rsidRPr="00703DC6">
        <w:rPr>
          <w:sz w:val="24"/>
          <w:szCs w:val="24"/>
          <w:vertAlign w:val="superscript"/>
        </w:rPr>
        <w:t>nd</w:t>
      </w:r>
      <w:r w:rsidR="00703DC6">
        <w:rPr>
          <w:sz w:val="24"/>
          <w:szCs w:val="24"/>
        </w:rPr>
        <w:t xml:space="preserve"> April 2022]</w:t>
      </w:r>
    </w:p>
    <w:p w14:paraId="19BDF4FA" w14:textId="4D759044" w:rsidR="00640A2D" w:rsidRPr="00452C80" w:rsidRDefault="00640A2D" w:rsidP="005B66DA">
      <w:pPr>
        <w:spacing w:line="360" w:lineRule="auto"/>
        <w:ind w:left="833" w:hanging="720"/>
        <w:rPr>
          <w:sz w:val="24"/>
          <w:szCs w:val="24"/>
        </w:rPr>
      </w:pPr>
      <w:r w:rsidRPr="00452C80">
        <w:rPr>
          <w:sz w:val="24"/>
          <w:szCs w:val="24"/>
        </w:rPr>
        <w:t>Midgley, N. (2006) Psychoanalysis and qualitative psychology: complementary or contradictory paradigms? </w:t>
      </w:r>
      <w:r w:rsidRPr="00452C80">
        <w:rPr>
          <w:i/>
          <w:iCs/>
          <w:sz w:val="24"/>
          <w:szCs w:val="24"/>
        </w:rPr>
        <w:t>Qualitative Research in Psychology</w:t>
      </w:r>
      <w:r w:rsidRPr="00452C80">
        <w:rPr>
          <w:sz w:val="24"/>
          <w:szCs w:val="24"/>
        </w:rPr>
        <w:t>, </w:t>
      </w:r>
      <w:r w:rsidRPr="00452C80">
        <w:rPr>
          <w:b/>
          <w:bCs/>
          <w:sz w:val="24"/>
          <w:szCs w:val="24"/>
        </w:rPr>
        <w:t>3</w:t>
      </w:r>
      <w:r w:rsidRPr="00452C80">
        <w:rPr>
          <w:sz w:val="24"/>
          <w:szCs w:val="24"/>
        </w:rPr>
        <w:t xml:space="preserve">(3): pp.213–231. </w:t>
      </w:r>
      <w:hyperlink r:id="rId336" w:history="1">
        <w:r w:rsidRPr="005B66DA">
          <w:rPr>
            <w:rStyle w:val="Hyperlink"/>
            <w:color w:val="0070C0"/>
            <w:sz w:val="24"/>
            <w:szCs w:val="24"/>
          </w:rPr>
          <w:t>https://doi.org/10.1191/1478088706qrp065oa</w:t>
        </w:r>
      </w:hyperlink>
    </w:p>
    <w:p w14:paraId="276BC9CD" w14:textId="77777777" w:rsidR="00640A2D" w:rsidRPr="00452C80" w:rsidRDefault="00640A2D" w:rsidP="005B66DA">
      <w:pPr>
        <w:spacing w:line="360" w:lineRule="auto"/>
        <w:ind w:left="833" w:hanging="720"/>
        <w:rPr>
          <w:sz w:val="24"/>
          <w:szCs w:val="24"/>
        </w:rPr>
      </w:pPr>
      <w:r w:rsidRPr="00452C80">
        <w:rPr>
          <w:sz w:val="24"/>
          <w:szCs w:val="24"/>
        </w:rPr>
        <w:t xml:space="preserve">Miller, A. (1987) </w:t>
      </w:r>
      <w:r w:rsidRPr="00452C80">
        <w:rPr>
          <w:i/>
          <w:iCs/>
          <w:sz w:val="24"/>
          <w:szCs w:val="24"/>
        </w:rPr>
        <w:t>For Your Own Good: The Roots of Violence in Child-rearing</w:t>
      </w:r>
      <w:r w:rsidRPr="00452C80">
        <w:rPr>
          <w:sz w:val="24"/>
          <w:szCs w:val="24"/>
        </w:rPr>
        <w:t>. London: Virago Press Limited.</w:t>
      </w:r>
    </w:p>
    <w:p w14:paraId="6D29930A" w14:textId="77777777" w:rsidR="00640A2D" w:rsidRPr="00452C80" w:rsidRDefault="00640A2D" w:rsidP="005B66DA">
      <w:pPr>
        <w:spacing w:line="360" w:lineRule="auto"/>
        <w:ind w:left="833" w:hanging="720"/>
        <w:rPr>
          <w:sz w:val="24"/>
          <w:szCs w:val="24"/>
        </w:rPr>
      </w:pPr>
      <w:r w:rsidRPr="00452C80">
        <w:rPr>
          <w:sz w:val="24"/>
          <w:szCs w:val="24"/>
        </w:rPr>
        <w:t xml:space="preserve">Miller, A. (1991) </w:t>
      </w:r>
      <w:r w:rsidRPr="00452C80">
        <w:rPr>
          <w:i/>
          <w:iCs/>
          <w:sz w:val="24"/>
          <w:szCs w:val="24"/>
        </w:rPr>
        <w:t>The Drama of Being a Child</w:t>
      </w:r>
      <w:r w:rsidRPr="00452C80">
        <w:rPr>
          <w:sz w:val="24"/>
          <w:szCs w:val="24"/>
        </w:rPr>
        <w:t xml:space="preserve">: </w:t>
      </w:r>
      <w:r w:rsidRPr="00452C80">
        <w:rPr>
          <w:i/>
          <w:iCs/>
          <w:sz w:val="24"/>
          <w:szCs w:val="24"/>
        </w:rPr>
        <w:t>The Search for the True Self</w:t>
      </w:r>
      <w:r w:rsidRPr="00452C80">
        <w:rPr>
          <w:sz w:val="24"/>
          <w:szCs w:val="24"/>
        </w:rPr>
        <w:t xml:space="preserve">. London: Virago. </w:t>
      </w:r>
    </w:p>
    <w:p w14:paraId="6EFAD11A" w14:textId="77777777" w:rsidR="00640A2D" w:rsidRPr="00452C80" w:rsidRDefault="00640A2D" w:rsidP="005B66DA">
      <w:pPr>
        <w:spacing w:line="360" w:lineRule="auto"/>
        <w:ind w:left="833" w:hanging="720"/>
        <w:rPr>
          <w:sz w:val="24"/>
          <w:szCs w:val="24"/>
        </w:rPr>
      </w:pPr>
      <w:r w:rsidRPr="00452C80">
        <w:rPr>
          <w:sz w:val="24"/>
          <w:szCs w:val="24"/>
        </w:rPr>
        <w:t>Milner, M. (1952) Aspects of symbolism and comprehension of the not-self.</w:t>
      </w:r>
      <w:r w:rsidRPr="00452C80">
        <w:rPr>
          <w:i/>
          <w:iCs/>
          <w:sz w:val="24"/>
          <w:szCs w:val="24"/>
        </w:rPr>
        <w:t xml:space="preserve"> International</w:t>
      </w:r>
      <w:r w:rsidRPr="00452C80">
        <w:rPr>
          <w:sz w:val="24"/>
          <w:szCs w:val="24"/>
        </w:rPr>
        <w:t xml:space="preserve"> </w:t>
      </w:r>
      <w:r w:rsidRPr="00452C80">
        <w:rPr>
          <w:i/>
          <w:iCs/>
          <w:sz w:val="24"/>
          <w:szCs w:val="24"/>
        </w:rPr>
        <w:t>Journal of Psychoanalysis</w:t>
      </w:r>
      <w:r w:rsidRPr="00452C80">
        <w:rPr>
          <w:sz w:val="24"/>
          <w:szCs w:val="24"/>
        </w:rPr>
        <w:t>, 33: pp.181-95.</w:t>
      </w:r>
      <w:r w:rsidRPr="00452C80">
        <w:rPr>
          <w:rFonts w:ascii="Courier New" w:eastAsia="Times New Roman" w:hAnsi="Courier New" w:cs="Courier New"/>
          <w:sz w:val="21"/>
          <w:szCs w:val="21"/>
          <w:shd w:val="clear" w:color="auto" w:fill="FFFFFF"/>
          <w:lang w:eastAsia="en-GB"/>
        </w:rPr>
        <w:t xml:space="preserve"> </w:t>
      </w:r>
      <w:hyperlink r:id="rId337" w:history="1">
        <w:r w:rsidRPr="005B66DA">
          <w:rPr>
            <w:rStyle w:val="Hyperlink"/>
            <w:color w:val="0070C0"/>
            <w:sz w:val="24"/>
            <w:szCs w:val="24"/>
          </w:rPr>
          <w:t>https://api.semanticscholar.org/CorpusID:32062009</w:t>
        </w:r>
      </w:hyperlink>
    </w:p>
    <w:p w14:paraId="2734D6FF" w14:textId="6E2F67AF" w:rsidR="00640A2D" w:rsidRPr="00452C80" w:rsidRDefault="00640A2D" w:rsidP="005B66DA">
      <w:pPr>
        <w:spacing w:line="360" w:lineRule="auto"/>
        <w:ind w:left="833" w:hanging="720"/>
        <w:rPr>
          <w:sz w:val="24"/>
          <w:szCs w:val="24"/>
        </w:rPr>
      </w:pPr>
      <w:r w:rsidRPr="00452C80">
        <w:rPr>
          <w:sz w:val="24"/>
          <w:szCs w:val="24"/>
        </w:rPr>
        <w:lastRenderedPageBreak/>
        <w:t>Mind (2021)</w:t>
      </w:r>
      <w:r w:rsidRPr="00452C80">
        <w:rPr>
          <w:i/>
          <w:iCs/>
          <w:sz w:val="24"/>
          <w:szCs w:val="24"/>
        </w:rPr>
        <w:t xml:space="preserve"> Workplace Wellbeing Index Insights 2021/22.</w:t>
      </w:r>
      <w:r w:rsidRPr="00452C80">
        <w:t xml:space="preserve"> </w:t>
      </w:r>
      <w:r w:rsidR="00703DC6" w:rsidRPr="00703DC6">
        <w:rPr>
          <w:sz w:val="24"/>
          <w:szCs w:val="24"/>
        </w:rPr>
        <w:t xml:space="preserve">Available at: </w:t>
      </w:r>
      <w:hyperlink r:id="rId338" w:history="1">
        <w:r w:rsidR="00703DC6" w:rsidRPr="0019278B">
          <w:rPr>
            <w:rStyle w:val="Hyperlink"/>
            <w:sz w:val="24"/>
            <w:szCs w:val="24"/>
          </w:rPr>
          <w:t>https://www.mind.org.uk/media/kogesqr4/mind-index-insights-report-2021-22.pdf</w:t>
        </w:r>
      </w:hyperlink>
      <w:r w:rsidR="00703DC6">
        <w:rPr>
          <w:sz w:val="24"/>
          <w:szCs w:val="24"/>
        </w:rPr>
        <w:t xml:space="preserve">  [Accessed </w:t>
      </w:r>
      <w:r w:rsidR="00882733">
        <w:rPr>
          <w:sz w:val="24"/>
          <w:szCs w:val="24"/>
        </w:rPr>
        <w:t>18</w:t>
      </w:r>
      <w:r w:rsidR="00882733" w:rsidRPr="00882733">
        <w:rPr>
          <w:sz w:val="24"/>
          <w:szCs w:val="24"/>
          <w:vertAlign w:val="superscript"/>
        </w:rPr>
        <w:t>th</w:t>
      </w:r>
      <w:r w:rsidR="00882733">
        <w:rPr>
          <w:sz w:val="24"/>
          <w:szCs w:val="24"/>
        </w:rPr>
        <w:t xml:space="preserve"> February 2023]</w:t>
      </w:r>
    </w:p>
    <w:p w14:paraId="3128B48D" w14:textId="2C66C88F" w:rsidR="00640A2D" w:rsidRPr="00452C80" w:rsidRDefault="00640A2D" w:rsidP="005B66DA">
      <w:pPr>
        <w:spacing w:line="360" w:lineRule="auto"/>
        <w:ind w:left="833" w:hanging="720"/>
        <w:rPr>
          <w:sz w:val="24"/>
          <w:szCs w:val="24"/>
        </w:rPr>
      </w:pPr>
      <w:r w:rsidRPr="00452C80">
        <w:rPr>
          <w:sz w:val="24"/>
          <w:szCs w:val="24"/>
        </w:rPr>
        <w:t xml:space="preserve">Mitchell, J. (1978) Erosion of the family. </w:t>
      </w:r>
      <w:r w:rsidRPr="00452C80">
        <w:rPr>
          <w:i/>
          <w:iCs/>
          <w:sz w:val="24"/>
          <w:szCs w:val="24"/>
        </w:rPr>
        <w:t>New Society</w:t>
      </w:r>
      <w:r w:rsidRPr="00452C80">
        <w:rPr>
          <w:sz w:val="24"/>
          <w:szCs w:val="24"/>
        </w:rPr>
        <w:t xml:space="preserve">, 27 </w:t>
      </w:r>
      <w:r w:rsidR="00C40C92" w:rsidRPr="00452C80">
        <w:rPr>
          <w:sz w:val="24"/>
          <w:szCs w:val="24"/>
        </w:rPr>
        <w:t>July</w:t>
      </w:r>
      <w:r w:rsidRPr="00452C80">
        <w:rPr>
          <w:sz w:val="24"/>
          <w:szCs w:val="24"/>
        </w:rPr>
        <w:t xml:space="preserve"> 1978: pp. 199-200.</w:t>
      </w:r>
    </w:p>
    <w:p w14:paraId="73299E7E" w14:textId="77777777" w:rsidR="00640A2D" w:rsidRPr="00452C80" w:rsidRDefault="00640A2D" w:rsidP="005B66DA">
      <w:pPr>
        <w:spacing w:line="360" w:lineRule="auto"/>
        <w:ind w:left="833" w:hanging="720"/>
        <w:rPr>
          <w:sz w:val="24"/>
          <w:szCs w:val="24"/>
        </w:rPr>
      </w:pPr>
      <w:r w:rsidRPr="00452C80">
        <w:rPr>
          <w:sz w:val="24"/>
          <w:szCs w:val="24"/>
        </w:rPr>
        <w:t xml:space="preserve">Mockler, N. (2005) Trans/forming teachers: new professional learning and transformative teacher professionalism. </w:t>
      </w:r>
      <w:r w:rsidRPr="00452C80">
        <w:rPr>
          <w:i/>
          <w:iCs/>
          <w:sz w:val="24"/>
          <w:szCs w:val="24"/>
        </w:rPr>
        <w:t>Journal of In-service Education</w:t>
      </w:r>
      <w:r w:rsidRPr="00452C80">
        <w:rPr>
          <w:sz w:val="24"/>
          <w:szCs w:val="24"/>
        </w:rPr>
        <w:t xml:space="preserve">, </w:t>
      </w:r>
      <w:r w:rsidRPr="00452C80">
        <w:rPr>
          <w:b/>
          <w:bCs/>
          <w:sz w:val="24"/>
          <w:szCs w:val="24"/>
        </w:rPr>
        <w:t>31</w:t>
      </w:r>
      <w:r w:rsidRPr="00452C80">
        <w:rPr>
          <w:sz w:val="24"/>
          <w:szCs w:val="24"/>
        </w:rPr>
        <w:t xml:space="preserve">(4): pp.733–746. </w:t>
      </w:r>
      <w:hyperlink r:id="rId339" w:history="1">
        <w:r w:rsidRPr="005B66DA">
          <w:rPr>
            <w:rStyle w:val="Hyperlink"/>
            <w:color w:val="0070C0"/>
            <w:sz w:val="24"/>
            <w:szCs w:val="24"/>
          </w:rPr>
          <w:t>https://doi.org/10.1080/13674580500200380</w:t>
        </w:r>
      </w:hyperlink>
    </w:p>
    <w:p w14:paraId="1EB22DD4" w14:textId="397894FE" w:rsidR="00640A2D" w:rsidRPr="005B66DA" w:rsidRDefault="00640A2D" w:rsidP="005B66DA">
      <w:pPr>
        <w:spacing w:line="360" w:lineRule="auto"/>
        <w:ind w:left="833" w:hanging="720"/>
        <w:rPr>
          <w:color w:val="0070C0"/>
        </w:rPr>
      </w:pPr>
      <w:r w:rsidRPr="00452C80">
        <w:rPr>
          <w:rFonts w:ascii="Calibri" w:eastAsia="Aptos" w:hAnsi="Calibri" w:cs="Calibri"/>
          <w:kern w:val="2"/>
          <w:sz w:val="24"/>
          <w:szCs w:val="24"/>
          <w14:ligatures w14:val="standardContextual"/>
        </w:rPr>
        <w:t>Moeller, C.</w:t>
      </w:r>
      <w:r w:rsidR="000E35FF">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and Chung‐Yan, G. (2013) Effects of social support on professors’ work stress. </w:t>
      </w:r>
      <w:r w:rsidRPr="00452C80">
        <w:rPr>
          <w:rFonts w:ascii="Calibri" w:eastAsia="Aptos" w:hAnsi="Calibri" w:cs="Calibri"/>
          <w:i/>
          <w:iCs/>
          <w:kern w:val="2"/>
          <w:sz w:val="24"/>
          <w:szCs w:val="24"/>
          <w14:ligatures w14:val="standardContextual"/>
        </w:rPr>
        <w:t>International Journal of Educational Management</w:t>
      </w:r>
      <w:r w:rsidRPr="00452C80">
        <w:rPr>
          <w:rFonts w:ascii="Calibri" w:eastAsia="Aptos" w:hAnsi="Calibri" w:cs="Calibri"/>
          <w:kern w:val="2"/>
          <w:sz w:val="24"/>
          <w:szCs w:val="24"/>
          <w14:ligatures w14:val="standardContextual"/>
        </w:rPr>
        <w:t xml:space="preserve">, </w:t>
      </w:r>
      <w:r w:rsidRPr="00452C80">
        <w:rPr>
          <w:rFonts w:ascii="Calibri" w:eastAsia="Aptos" w:hAnsi="Calibri" w:cs="Calibri"/>
          <w:b/>
          <w:bCs/>
          <w:kern w:val="2"/>
          <w:sz w:val="24"/>
          <w:szCs w:val="24"/>
          <w14:ligatures w14:val="standardContextual"/>
        </w:rPr>
        <w:t>27</w:t>
      </w:r>
      <w:r w:rsidRPr="00452C80">
        <w:rPr>
          <w:rFonts w:ascii="Calibri" w:eastAsia="Aptos" w:hAnsi="Calibri" w:cs="Calibri"/>
          <w:kern w:val="2"/>
          <w:sz w:val="24"/>
          <w:szCs w:val="24"/>
          <w14:ligatures w14:val="standardContextual"/>
        </w:rPr>
        <w:t>(3): pp.188-202.</w:t>
      </w:r>
      <w:r w:rsidRPr="00452C80">
        <w:t xml:space="preserve"> </w:t>
      </w:r>
      <w:hyperlink r:id="rId340" w:tgtFrame="_blank" w:history="1">
        <w:r w:rsidRPr="005B66DA">
          <w:rPr>
            <w:rStyle w:val="Hyperlink"/>
            <w:color w:val="0070C0"/>
            <w:sz w:val="24"/>
            <w:szCs w:val="24"/>
          </w:rPr>
          <w:t>https://doi.org/10.1108/09513541311306431</w:t>
        </w:r>
      </w:hyperlink>
    </w:p>
    <w:p w14:paraId="3494EC2B" w14:textId="77777777" w:rsidR="00640A2D" w:rsidRPr="00452C80" w:rsidRDefault="00640A2D" w:rsidP="005B66DA">
      <w:pPr>
        <w:spacing w:line="360" w:lineRule="auto"/>
        <w:ind w:left="833" w:hanging="720"/>
        <w:rPr>
          <w:sz w:val="24"/>
          <w:szCs w:val="24"/>
        </w:rPr>
      </w:pPr>
      <w:r w:rsidRPr="00452C80">
        <w:rPr>
          <w:sz w:val="24"/>
          <w:szCs w:val="24"/>
        </w:rPr>
        <w:t xml:space="preserve">Mohrman, K., Mab, W., and Baker, D. (2008) The Research University in Transition: The Emerging Global Model. </w:t>
      </w:r>
      <w:r w:rsidRPr="00452C80">
        <w:rPr>
          <w:i/>
          <w:iCs/>
          <w:sz w:val="24"/>
          <w:szCs w:val="24"/>
        </w:rPr>
        <w:t>Higher Education Policy</w:t>
      </w:r>
      <w:r w:rsidRPr="00452C80">
        <w:rPr>
          <w:sz w:val="24"/>
          <w:szCs w:val="24"/>
        </w:rPr>
        <w:t xml:space="preserve">, 2008, </w:t>
      </w:r>
      <w:r w:rsidRPr="00452C80">
        <w:rPr>
          <w:b/>
          <w:bCs/>
          <w:sz w:val="24"/>
          <w:szCs w:val="24"/>
        </w:rPr>
        <w:t>21</w:t>
      </w:r>
      <w:r w:rsidRPr="00452C80">
        <w:rPr>
          <w:sz w:val="24"/>
          <w:szCs w:val="24"/>
        </w:rPr>
        <w:t xml:space="preserve">(1): pp. 5–27. </w:t>
      </w:r>
      <w:hyperlink r:id="rId341" w:history="1">
        <w:r w:rsidRPr="005B66DA">
          <w:rPr>
            <w:rStyle w:val="Hyperlink"/>
            <w:color w:val="0070C0"/>
            <w:sz w:val="24"/>
            <w:szCs w:val="24"/>
          </w:rPr>
          <w:t>https://pure.psu.edu/en/publications/the-research-university-in-transition-the-emerging-global-model</w:t>
        </w:r>
      </w:hyperlink>
      <w:r w:rsidRPr="005B66DA">
        <w:rPr>
          <w:color w:val="0070C0"/>
          <w:sz w:val="24"/>
          <w:szCs w:val="24"/>
        </w:rPr>
        <w:t xml:space="preserve"> </w:t>
      </w:r>
    </w:p>
    <w:p w14:paraId="5034F268" w14:textId="77777777" w:rsidR="00640A2D" w:rsidRPr="00452C80" w:rsidRDefault="00640A2D" w:rsidP="005B66DA">
      <w:pPr>
        <w:spacing w:line="360" w:lineRule="auto"/>
        <w:ind w:left="833" w:hanging="720"/>
        <w:rPr>
          <w:sz w:val="24"/>
          <w:szCs w:val="24"/>
        </w:rPr>
      </w:pPr>
      <w:r w:rsidRPr="00452C80">
        <w:rPr>
          <w:sz w:val="24"/>
          <w:szCs w:val="24"/>
        </w:rPr>
        <w:t xml:space="preserve">Moja, T., and Cloete, N. (2001) Vanishing borders and new boundaries. In J. Muller, N. Cloete and S. Badat (eds.) </w:t>
      </w:r>
      <w:r w:rsidRPr="00452C80">
        <w:rPr>
          <w:i/>
          <w:iCs/>
          <w:sz w:val="24"/>
          <w:szCs w:val="24"/>
        </w:rPr>
        <w:t>Challenges of Globalisation: South African Debates with Manuel Castells</w:t>
      </w:r>
      <w:r w:rsidRPr="00452C80">
        <w:rPr>
          <w:sz w:val="24"/>
          <w:szCs w:val="24"/>
        </w:rPr>
        <w:t>. Cape Town, SA: Maskew Miller/Longman.</w:t>
      </w:r>
    </w:p>
    <w:p w14:paraId="49B94B3F" w14:textId="322C676E" w:rsidR="00640A2D" w:rsidRPr="00452C80" w:rsidRDefault="00640A2D" w:rsidP="005B66DA">
      <w:pPr>
        <w:spacing w:line="360" w:lineRule="auto"/>
        <w:ind w:left="833" w:hanging="720"/>
        <w:rPr>
          <w:sz w:val="24"/>
          <w:szCs w:val="24"/>
        </w:rPr>
      </w:pPr>
      <w:r w:rsidRPr="00452C80">
        <w:rPr>
          <w:sz w:val="24"/>
          <w:szCs w:val="24"/>
        </w:rPr>
        <w:t xml:space="preserve">Monahan, T. (2005) </w:t>
      </w:r>
      <w:r w:rsidRPr="00452C80">
        <w:rPr>
          <w:i/>
          <w:iCs/>
          <w:sz w:val="24"/>
          <w:szCs w:val="24"/>
        </w:rPr>
        <w:t>Globalization, Technological Change, and Public Education</w:t>
      </w:r>
      <w:r w:rsidRPr="00452C80">
        <w:rPr>
          <w:sz w:val="24"/>
          <w:szCs w:val="24"/>
        </w:rPr>
        <w:t>. Abingdon, Oxon: Routledge.</w:t>
      </w:r>
    </w:p>
    <w:p w14:paraId="648887ED" w14:textId="77777777" w:rsidR="00640A2D" w:rsidRPr="00452C80" w:rsidRDefault="00640A2D" w:rsidP="005B66DA">
      <w:pPr>
        <w:spacing w:line="360" w:lineRule="auto"/>
        <w:ind w:left="833" w:hanging="720"/>
        <w:rPr>
          <w:sz w:val="24"/>
          <w:szCs w:val="24"/>
        </w:rPr>
      </w:pPr>
      <w:r w:rsidRPr="00452C80">
        <w:rPr>
          <w:sz w:val="24"/>
          <w:szCs w:val="24"/>
        </w:rPr>
        <w:t xml:space="preserve">Moore, T. (2004) </w:t>
      </w:r>
      <w:r w:rsidRPr="00452C80">
        <w:rPr>
          <w:i/>
          <w:iCs/>
          <w:sz w:val="24"/>
          <w:szCs w:val="24"/>
        </w:rPr>
        <w:t>Dark Nights of the Soul: A guide to finding your way through life’s ordeals</w:t>
      </w:r>
      <w:r w:rsidRPr="00452C80">
        <w:rPr>
          <w:sz w:val="24"/>
          <w:szCs w:val="24"/>
        </w:rPr>
        <w:t>. London: Piatkus Books Ltd.</w:t>
      </w:r>
    </w:p>
    <w:p w14:paraId="64D37958" w14:textId="79283D10" w:rsidR="00640A2D" w:rsidRPr="00452C80" w:rsidRDefault="00640A2D" w:rsidP="005B66DA">
      <w:pPr>
        <w:spacing w:line="360" w:lineRule="auto"/>
        <w:ind w:left="833" w:hanging="720"/>
        <w:rPr>
          <w:sz w:val="24"/>
          <w:szCs w:val="24"/>
        </w:rPr>
      </w:pPr>
      <w:r w:rsidRPr="00452C80">
        <w:rPr>
          <w:sz w:val="24"/>
          <w:szCs w:val="24"/>
        </w:rPr>
        <w:t>Morgan, D.</w:t>
      </w:r>
      <w:r w:rsidR="001F57D9">
        <w:rPr>
          <w:sz w:val="24"/>
          <w:szCs w:val="24"/>
        </w:rPr>
        <w:t xml:space="preserve"> </w:t>
      </w:r>
      <w:r w:rsidRPr="00452C80">
        <w:rPr>
          <w:sz w:val="24"/>
          <w:szCs w:val="24"/>
        </w:rPr>
        <w:t>L. (1998) Practical Strategies for Combining Qualitative and Quantitative Methods: Applications to Health Research. </w:t>
      </w:r>
      <w:r w:rsidRPr="00452C80">
        <w:rPr>
          <w:i/>
          <w:iCs/>
          <w:sz w:val="24"/>
          <w:szCs w:val="24"/>
        </w:rPr>
        <w:t>Qualitative Health Research</w:t>
      </w:r>
      <w:r w:rsidRPr="00452C80">
        <w:rPr>
          <w:sz w:val="24"/>
          <w:szCs w:val="24"/>
        </w:rPr>
        <w:t xml:space="preserve">, </w:t>
      </w:r>
      <w:r w:rsidRPr="00452C80">
        <w:rPr>
          <w:b/>
          <w:bCs/>
          <w:sz w:val="24"/>
          <w:szCs w:val="24"/>
        </w:rPr>
        <w:t>8</w:t>
      </w:r>
      <w:r w:rsidRPr="00452C80">
        <w:rPr>
          <w:sz w:val="24"/>
          <w:szCs w:val="24"/>
        </w:rPr>
        <w:t xml:space="preserve">(3): pp.362-376. </w:t>
      </w:r>
      <w:r w:rsidRPr="005B66DA">
        <w:rPr>
          <w:color w:val="0070C0"/>
          <w:sz w:val="24"/>
          <w:szCs w:val="24"/>
          <w:u w:val="single"/>
        </w:rPr>
        <w:t>https://doi.org/</w:t>
      </w:r>
      <w:hyperlink r:id="rId342" w:history="1">
        <w:r w:rsidRPr="005B66DA">
          <w:rPr>
            <w:rStyle w:val="Hyperlink"/>
            <w:color w:val="0070C0"/>
            <w:sz w:val="24"/>
            <w:szCs w:val="24"/>
          </w:rPr>
          <w:t>10.1177/104973239800800307</w:t>
        </w:r>
      </w:hyperlink>
    </w:p>
    <w:p w14:paraId="1FE3148A" w14:textId="77777777" w:rsidR="00640A2D" w:rsidRPr="00452C80" w:rsidRDefault="00640A2D" w:rsidP="005B66DA">
      <w:pPr>
        <w:spacing w:line="360" w:lineRule="auto"/>
        <w:ind w:left="833" w:hanging="720"/>
        <w:rPr>
          <w:sz w:val="24"/>
          <w:szCs w:val="24"/>
        </w:rPr>
      </w:pPr>
      <w:r w:rsidRPr="00452C80">
        <w:rPr>
          <w:sz w:val="24"/>
          <w:szCs w:val="24"/>
        </w:rPr>
        <w:t xml:space="preserve">Morgan, D. (2019) </w:t>
      </w:r>
      <w:r w:rsidRPr="00452C80">
        <w:rPr>
          <w:i/>
          <w:iCs/>
          <w:sz w:val="24"/>
          <w:szCs w:val="24"/>
        </w:rPr>
        <w:t>The Unconscious in Social and Political Life</w:t>
      </w:r>
      <w:r w:rsidRPr="00452C80">
        <w:rPr>
          <w:sz w:val="24"/>
          <w:szCs w:val="24"/>
        </w:rPr>
        <w:t>. Bicester, Oxfordshire: Phoenix Publishing House Ltd.</w:t>
      </w:r>
    </w:p>
    <w:p w14:paraId="6597B75D" w14:textId="6E5D8A15" w:rsidR="00640A2D" w:rsidRPr="00DF1FBA" w:rsidRDefault="00640A2D" w:rsidP="005B66DA">
      <w:pPr>
        <w:spacing w:line="360" w:lineRule="auto"/>
        <w:ind w:left="833" w:hanging="720"/>
        <w:rPr>
          <w:sz w:val="24"/>
          <w:szCs w:val="24"/>
        </w:rPr>
      </w:pPr>
      <w:r w:rsidRPr="00452C80">
        <w:rPr>
          <w:sz w:val="24"/>
          <w:szCs w:val="24"/>
        </w:rPr>
        <w:lastRenderedPageBreak/>
        <w:t xml:space="preserve">Morrish, L. (2019) Pressure vessels: the epidemic of poor mental health among higher education staff. </w:t>
      </w:r>
      <w:r w:rsidRPr="00452C80">
        <w:rPr>
          <w:i/>
          <w:iCs/>
          <w:sz w:val="24"/>
          <w:szCs w:val="24"/>
        </w:rPr>
        <w:t>Higher Education Policy Institute</w:t>
      </w:r>
      <w:r w:rsidRPr="00452C80">
        <w:rPr>
          <w:sz w:val="24"/>
          <w:szCs w:val="24"/>
        </w:rPr>
        <w:t>.</w:t>
      </w:r>
      <w:r w:rsidR="00882733">
        <w:rPr>
          <w:sz w:val="24"/>
          <w:szCs w:val="24"/>
        </w:rPr>
        <w:t xml:space="preserve"> Available at: </w:t>
      </w:r>
      <w:r w:rsidRPr="00452C80">
        <w:rPr>
          <w:sz w:val="24"/>
          <w:szCs w:val="24"/>
        </w:rPr>
        <w:t xml:space="preserve">  </w:t>
      </w:r>
      <w:hyperlink r:id="rId343" w:history="1">
        <w:r w:rsidRPr="005B66DA">
          <w:rPr>
            <w:rStyle w:val="Hyperlink"/>
            <w:color w:val="0070C0"/>
            <w:sz w:val="24"/>
            <w:szCs w:val="24"/>
          </w:rPr>
          <w:t>https://www.hepi.ac.uk/wp-content/uploads/2019/05/HEPI-Pressure-Vessels-Occasional-Paper-20.pdf</w:t>
        </w:r>
      </w:hyperlink>
      <w:r w:rsidR="00882733">
        <w:t xml:space="preserve">  </w:t>
      </w:r>
      <w:r w:rsidR="00DF1FBA">
        <w:rPr>
          <w:sz w:val="24"/>
          <w:szCs w:val="24"/>
        </w:rPr>
        <w:t>[Accessed 13</w:t>
      </w:r>
      <w:r w:rsidR="00DF1FBA" w:rsidRPr="00DF1FBA">
        <w:rPr>
          <w:sz w:val="24"/>
          <w:szCs w:val="24"/>
          <w:vertAlign w:val="superscript"/>
        </w:rPr>
        <w:t>th</w:t>
      </w:r>
      <w:r w:rsidR="00DF1FBA">
        <w:rPr>
          <w:sz w:val="24"/>
          <w:szCs w:val="24"/>
        </w:rPr>
        <w:t xml:space="preserve"> October 2022]</w:t>
      </w:r>
    </w:p>
    <w:p w14:paraId="086264B2" w14:textId="77777777" w:rsidR="00640A2D" w:rsidRPr="00452C80" w:rsidRDefault="00640A2D" w:rsidP="005B66DA">
      <w:pPr>
        <w:spacing w:line="360" w:lineRule="auto"/>
        <w:ind w:left="833" w:hanging="720"/>
        <w:rPr>
          <w:bCs/>
          <w:sz w:val="24"/>
          <w:szCs w:val="24"/>
        </w:rPr>
      </w:pPr>
      <w:r w:rsidRPr="00452C80">
        <w:rPr>
          <w:bCs/>
          <w:sz w:val="24"/>
          <w:szCs w:val="24"/>
        </w:rPr>
        <w:t xml:space="preserve">Morrison, K. R. B. (2006) Sensitive educational research in small states and territories: The case of Macau. </w:t>
      </w:r>
      <w:r w:rsidRPr="00452C80">
        <w:rPr>
          <w:bCs/>
          <w:i/>
          <w:iCs/>
          <w:sz w:val="24"/>
          <w:szCs w:val="24"/>
        </w:rPr>
        <w:t>Compere</w:t>
      </w:r>
      <w:r w:rsidRPr="00452C80">
        <w:rPr>
          <w:bCs/>
          <w:sz w:val="24"/>
          <w:szCs w:val="24"/>
        </w:rPr>
        <w:t xml:space="preserve">, </w:t>
      </w:r>
      <w:r w:rsidRPr="00452C80">
        <w:rPr>
          <w:b/>
          <w:sz w:val="24"/>
          <w:szCs w:val="24"/>
        </w:rPr>
        <w:t>36</w:t>
      </w:r>
      <w:r w:rsidRPr="00452C80">
        <w:rPr>
          <w:bCs/>
          <w:sz w:val="24"/>
          <w:szCs w:val="24"/>
        </w:rPr>
        <w:t>(2): pp. 249-64.</w:t>
      </w:r>
      <w:r w:rsidRPr="00452C80">
        <w:rPr>
          <w:rFonts w:ascii="Open Sans" w:eastAsia="Times New Roman" w:hAnsi="Open Sans" w:cs="Open Sans"/>
          <w:sz w:val="20"/>
          <w:szCs w:val="20"/>
          <w:lang w:eastAsia="en-GB"/>
        </w:rPr>
        <w:t xml:space="preserve"> </w:t>
      </w:r>
      <w:hyperlink r:id="rId344" w:history="1">
        <w:r w:rsidRPr="005B66DA">
          <w:rPr>
            <w:rStyle w:val="Hyperlink"/>
            <w:bCs/>
            <w:color w:val="0070C0"/>
            <w:sz w:val="24"/>
            <w:szCs w:val="24"/>
          </w:rPr>
          <w:t>https://doi.org/10.1080/03057920600741297</w:t>
        </w:r>
      </w:hyperlink>
    </w:p>
    <w:p w14:paraId="28BF97B4" w14:textId="77777777" w:rsidR="00640A2D" w:rsidRPr="00452C80" w:rsidRDefault="00640A2D" w:rsidP="005B66DA">
      <w:pPr>
        <w:spacing w:line="360" w:lineRule="auto"/>
        <w:ind w:left="833" w:hanging="720"/>
        <w:rPr>
          <w:sz w:val="24"/>
          <w:szCs w:val="24"/>
        </w:rPr>
      </w:pPr>
      <w:r w:rsidRPr="00452C80">
        <w:rPr>
          <w:sz w:val="24"/>
          <w:szCs w:val="24"/>
        </w:rPr>
        <w:t xml:space="preserve">Mortiboys, A. (2005) </w:t>
      </w:r>
      <w:r w:rsidRPr="00452C80">
        <w:rPr>
          <w:i/>
          <w:iCs/>
          <w:sz w:val="24"/>
          <w:szCs w:val="24"/>
        </w:rPr>
        <w:t>Teaching with Emotional Intelligence</w:t>
      </w:r>
      <w:r w:rsidRPr="00452C80">
        <w:rPr>
          <w:b/>
          <w:bCs/>
          <w:sz w:val="24"/>
          <w:szCs w:val="24"/>
        </w:rPr>
        <w:t>.</w:t>
      </w:r>
      <w:r w:rsidRPr="00452C80">
        <w:rPr>
          <w:sz w:val="24"/>
          <w:szCs w:val="24"/>
        </w:rPr>
        <w:t xml:space="preserve"> London and New York: Routledge.</w:t>
      </w:r>
    </w:p>
    <w:p w14:paraId="592BA982" w14:textId="03202CA6" w:rsidR="00640A2D" w:rsidRPr="00452C80" w:rsidRDefault="00640A2D" w:rsidP="005B66DA">
      <w:pPr>
        <w:spacing w:line="360" w:lineRule="auto"/>
        <w:ind w:left="833" w:hanging="720"/>
        <w:rPr>
          <w:sz w:val="24"/>
          <w:szCs w:val="24"/>
        </w:rPr>
      </w:pPr>
      <w:r w:rsidRPr="00452C80">
        <w:rPr>
          <w:sz w:val="24"/>
          <w:szCs w:val="24"/>
        </w:rPr>
        <w:t>Morton, J. (2010) Emotion in Crisis: Primary and Secondary Mental Health Contexts. </w:t>
      </w:r>
      <w:r w:rsidRPr="00452C80">
        <w:rPr>
          <w:i/>
          <w:iCs/>
          <w:sz w:val="24"/>
          <w:szCs w:val="24"/>
        </w:rPr>
        <w:t>Journal of Social Work Practice</w:t>
      </w:r>
      <w:r w:rsidRPr="00452C80">
        <w:rPr>
          <w:sz w:val="24"/>
          <w:szCs w:val="24"/>
        </w:rPr>
        <w:t xml:space="preserve">, </w:t>
      </w:r>
      <w:r w:rsidRPr="00452C80">
        <w:rPr>
          <w:b/>
          <w:bCs/>
          <w:sz w:val="24"/>
          <w:szCs w:val="24"/>
        </w:rPr>
        <w:t>24</w:t>
      </w:r>
      <w:r w:rsidRPr="00452C80">
        <w:rPr>
          <w:sz w:val="24"/>
          <w:szCs w:val="24"/>
        </w:rPr>
        <w:t>(4): pp. 461–474. </w:t>
      </w:r>
      <w:hyperlink r:id="rId345" w:history="1">
        <w:r w:rsidRPr="005B66DA">
          <w:rPr>
            <w:rStyle w:val="Hyperlink"/>
            <w:color w:val="0070C0"/>
            <w:sz w:val="24"/>
            <w:szCs w:val="24"/>
          </w:rPr>
          <w:t>https://doi.org/10.1080/02650531003594036</w:t>
        </w:r>
      </w:hyperlink>
      <w:r w:rsidRPr="005B66DA">
        <w:rPr>
          <w:color w:val="0070C0"/>
          <w:sz w:val="24"/>
          <w:szCs w:val="24"/>
        </w:rPr>
        <w:t>.</w:t>
      </w:r>
    </w:p>
    <w:p w14:paraId="7B12C740" w14:textId="44BB642A" w:rsidR="00640A2D" w:rsidRPr="00452C80" w:rsidRDefault="00640A2D" w:rsidP="005B66DA">
      <w:pPr>
        <w:spacing w:line="360" w:lineRule="auto"/>
        <w:ind w:left="833" w:hanging="720"/>
        <w:rPr>
          <w:sz w:val="24"/>
          <w:szCs w:val="24"/>
        </w:rPr>
      </w:pPr>
      <w:r w:rsidRPr="00452C80">
        <w:rPr>
          <w:sz w:val="24"/>
          <w:szCs w:val="24"/>
        </w:rPr>
        <w:t xml:space="preserve">Mountz, A., Bonds, A., Mansfield, B., Loyd, J., Hyndman, J., Walton-Roberts, M., Basu, R., Whiston, R., Hawkins, R., Hamilton, T., and Curran, W. (2015) For Slow Scholarship: A feminist politics of resistance through collective action in the neoliberal university. ACME: </w:t>
      </w:r>
      <w:r w:rsidRPr="00452C80">
        <w:rPr>
          <w:i/>
          <w:iCs/>
          <w:sz w:val="24"/>
          <w:szCs w:val="24"/>
        </w:rPr>
        <w:t>An International E-Journal for Critical Geographies</w:t>
      </w:r>
      <w:r w:rsidRPr="00452C80">
        <w:rPr>
          <w:sz w:val="24"/>
          <w:szCs w:val="24"/>
        </w:rPr>
        <w:t xml:space="preserve">, 2015, </w:t>
      </w:r>
      <w:r w:rsidRPr="00452C80">
        <w:rPr>
          <w:b/>
          <w:bCs/>
          <w:sz w:val="24"/>
          <w:szCs w:val="24"/>
        </w:rPr>
        <w:t>14</w:t>
      </w:r>
      <w:r w:rsidRPr="00452C80">
        <w:rPr>
          <w:sz w:val="24"/>
          <w:szCs w:val="24"/>
        </w:rPr>
        <w:t xml:space="preserve">(4): pp.1235-1259. </w:t>
      </w:r>
      <w:hyperlink r:id="rId346" w:history="1">
        <w:r w:rsidR="00DE5EBD" w:rsidRPr="0019278B">
          <w:rPr>
            <w:rStyle w:val="Hyperlink"/>
            <w:sz w:val="24"/>
            <w:szCs w:val="24"/>
          </w:rPr>
          <w:t>https://acmejournal.org/index.php/acme/article/view/1058</w:t>
        </w:r>
      </w:hyperlink>
    </w:p>
    <w:p w14:paraId="1A72D917" w14:textId="77777777" w:rsidR="00640A2D" w:rsidRPr="00452C80" w:rsidRDefault="00640A2D" w:rsidP="005B66DA">
      <w:pPr>
        <w:spacing w:line="360" w:lineRule="auto"/>
        <w:ind w:left="833" w:hanging="720"/>
        <w:rPr>
          <w:bCs/>
          <w:sz w:val="24"/>
          <w:szCs w:val="24"/>
        </w:rPr>
      </w:pPr>
      <w:r w:rsidRPr="00452C80">
        <w:rPr>
          <w:bCs/>
          <w:sz w:val="24"/>
          <w:szCs w:val="24"/>
        </w:rPr>
        <w:t xml:space="preserve">Murdock, M. (2020) </w:t>
      </w:r>
      <w:r w:rsidRPr="00452C80">
        <w:rPr>
          <w:bCs/>
          <w:i/>
          <w:iCs/>
          <w:sz w:val="24"/>
          <w:szCs w:val="24"/>
        </w:rPr>
        <w:t>The Heroine’s Journey: Woman’s Quest for Wholeness</w:t>
      </w:r>
      <w:r w:rsidRPr="00452C80">
        <w:rPr>
          <w:bCs/>
          <w:sz w:val="24"/>
          <w:szCs w:val="24"/>
        </w:rPr>
        <w:t>. Canada: Shambhala Publications Inc.</w:t>
      </w:r>
    </w:p>
    <w:p w14:paraId="42FEFE21" w14:textId="2D53C7A5" w:rsidR="00640A2D" w:rsidRPr="00DE5EBD" w:rsidRDefault="00640A2D" w:rsidP="005B66DA">
      <w:pPr>
        <w:spacing w:line="360" w:lineRule="auto"/>
        <w:ind w:left="833" w:hanging="720"/>
        <w:rPr>
          <w:rFonts w:ascii="Calibri" w:eastAsia="Aptos" w:hAnsi="Calibri" w:cs="Calibri"/>
          <w:color w:val="0070C0"/>
          <w:kern w:val="2"/>
          <w:sz w:val="24"/>
          <w:szCs w:val="24"/>
          <w14:ligatures w14:val="standardContextual"/>
        </w:rPr>
      </w:pPr>
      <w:r w:rsidRPr="00452C80">
        <w:rPr>
          <w:bCs/>
          <w:sz w:val="24"/>
          <w:szCs w:val="24"/>
        </w:rPr>
        <w:t xml:space="preserve">Mure, E. (1831/2010) </w:t>
      </w:r>
      <w:r w:rsidRPr="00452C80">
        <w:rPr>
          <w:bCs/>
          <w:i/>
          <w:iCs/>
          <w:sz w:val="24"/>
          <w:szCs w:val="24"/>
        </w:rPr>
        <w:t>The Story of the Three Bears Metrically Related with Illustrations</w:t>
      </w:r>
      <w:r w:rsidRPr="00452C80">
        <w:rPr>
          <w:bCs/>
          <w:sz w:val="24"/>
          <w:szCs w:val="24"/>
        </w:rPr>
        <w:t xml:space="preserve">. Toronto, CA: </w:t>
      </w:r>
      <w:r w:rsidRPr="00452C80">
        <w:rPr>
          <w:rFonts w:ascii="Calibri" w:eastAsia="Aptos" w:hAnsi="Calibri" w:cs="Calibri"/>
          <w:kern w:val="2"/>
          <w:sz w:val="24"/>
          <w:szCs w:val="24"/>
          <w14:ligatures w14:val="standardContextual"/>
        </w:rPr>
        <w:t xml:space="preserve">Toronto Public Library. </w:t>
      </w:r>
      <w:r w:rsidR="00DE5EBD">
        <w:rPr>
          <w:rFonts w:ascii="Calibri" w:eastAsia="Aptos" w:hAnsi="Calibri" w:cs="Calibri"/>
          <w:kern w:val="2"/>
          <w:sz w:val="24"/>
          <w:szCs w:val="24"/>
          <w14:ligatures w14:val="standardContextual"/>
        </w:rPr>
        <w:t xml:space="preserve">Available at: </w:t>
      </w:r>
      <w:hyperlink r:id="rId347" w:history="1">
        <w:r w:rsidR="00DE5EBD" w:rsidRPr="0019278B">
          <w:rPr>
            <w:rStyle w:val="Hyperlink"/>
            <w:rFonts w:ascii="Calibri" w:eastAsia="Aptos" w:hAnsi="Calibri" w:cs="Calibri"/>
            <w:kern w:val="2"/>
            <w:sz w:val="24"/>
            <w:szCs w:val="24"/>
            <w14:ligatures w14:val="standardContextual"/>
          </w:rPr>
          <w:t>https://digitalarchive.tpl.ca/objects/371300/the-story-of-the-three-bears--metrically-related-with-illus</w:t>
        </w:r>
      </w:hyperlink>
      <w:r w:rsidR="00DE5EBD">
        <w:t xml:space="preserve">  </w:t>
      </w:r>
      <w:r w:rsidR="00DE5EBD">
        <w:rPr>
          <w:sz w:val="24"/>
          <w:szCs w:val="24"/>
        </w:rPr>
        <w:t xml:space="preserve">[Accessed </w:t>
      </w:r>
      <w:r w:rsidR="00357014">
        <w:rPr>
          <w:sz w:val="24"/>
          <w:szCs w:val="24"/>
        </w:rPr>
        <w:t>5</w:t>
      </w:r>
      <w:r w:rsidR="00357014" w:rsidRPr="00357014">
        <w:rPr>
          <w:sz w:val="24"/>
          <w:szCs w:val="24"/>
          <w:vertAlign w:val="superscript"/>
        </w:rPr>
        <w:t>th</w:t>
      </w:r>
      <w:r w:rsidR="00357014">
        <w:rPr>
          <w:sz w:val="24"/>
          <w:szCs w:val="24"/>
        </w:rPr>
        <w:t xml:space="preserve"> August 2025]</w:t>
      </w:r>
    </w:p>
    <w:p w14:paraId="4B68095C" w14:textId="6C1406BB" w:rsidR="00640A2D" w:rsidRPr="00452C80" w:rsidRDefault="00640A2D" w:rsidP="005B66DA">
      <w:pPr>
        <w:spacing w:line="360" w:lineRule="auto"/>
        <w:ind w:left="833" w:hanging="720"/>
        <w:rPr>
          <w:bCs/>
          <w:sz w:val="24"/>
          <w:szCs w:val="24"/>
        </w:rPr>
      </w:pPr>
      <w:r w:rsidRPr="00452C80">
        <w:rPr>
          <w:bCs/>
          <w:sz w:val="24"/>
          <w:szCs w:val="24"/>
        </w:rPr>
        <w:t xml:space="preserve">Mutch, C. (1998) The Long and </w:t>
      </w:r>
      <w:r w:rsidR="00944D33">
        <w:rPr>
          <w:bCs/>
          <w:sz w:val="24"/>
          <w:szCs w:val="24"/>
        </w:rPr>
        <w:t>W</w:t>
      </w:r>
      <w:r w:rsidRPr="00452C80">
        <w:rPr>
          <w:bCs/>
          <w:sz w:val="24"/>
          <w:szCs w:val="24"/>
        </w:rPr>
        <w:t xml:space="preserve">inding </w:t>
      </w:r>
      <w:r w:rsidR="00944D33">
        <w:rPr>
          <w:bCs/>
          <w:sz w:val="24"/>
          <w:szCs w:val="24"/>
        </w:rPr>
        <w:t>R</w:t>
      </w:r>
      <w:r w:rsidRPr="00452C80">
        <w:rPr>
          <w:bCs/>
          <w:sz w:val="24"/>
          <w:szCs w:val="24"/>
        </w:rPr>
        <w:t xml:space="preserve">oad: The development of the new social studies curriculum. </w:t>
      </w:r>
      <w:r w:rsidRPr="00452C80">
        <w:rPr>
          <w:bCs/>
          <w:i/>
          <w:iCs/>
          <w:sz w:val="24"/>
          <w:szCs w:val="24"/>
        </w:rPr>
        <w:t>Journal of Educational Research</w:t>
      </w:r>
      <w:r w:rsidRPr="00452C80">
        <w:rPr>
          <w:bCs/>
          <w:sz w:val="24"/>
          <w:szCs w:val="24"/>
        </w:rPr>
        <w:t xml:space="preserve">, </w:t>
      </w:r>
      <w:r w:rsidRPr="00452C80">
        <w:rPr>
          <w:b/>
          <w:sz w:val="24"/>
          <w:szCs w:val="24"/>
        </w:rPr>
        <w:t>4</w:t>
      </w:r>
      <w:r w:rsidRPr="00452C80">
        <w:rPr>
          <w:bCs/>
          <w:sz w:val="24"/>
          <w:szCs w:val="24"/>
        </w:rPr>
        <w:t xml:space="preserve">(1): pp.3-33. </w:t>
      </w:r>
      <w:hyperlink r:id="rId348" w:history="1">
        <w:r w:rsidRPr="00CA7296">
          <w:rPr>
            <w:rStyle w:val="Hyperlink"/>
            <w:bCs/>
            <w:color w:val="0070C0"/>
            <w:sz w:val="24"/>
            <w:szCs w:val="24"/>
          </w:rPr>
          <w:t>https://eric.ed.gov/?id=ED436465</w:t>
        </w:r>
      </w:hyperlink>
      <w:r w:rsidRPr="00452C80">
        <w:rPr>
          <w:bCs/>
          <w:sz w:val="24"/>
          <w:szCs w:val="24"/>
        </w:rPr>
        <w:t xml:space="preserve"> </w:t>
      </w:r>
    </w:p>
    <w:p w14:paraId="713BF24C" w14:textId="77777777" w:rsidR="00640A2D" w:rsidRPr="00CA7296" w:rsidRDefault="00640A2D" w:rsidP="005B66DA">
      <w:pPr>
        <w:spacing w:line="360" w:lineRule="auto"/>
        <w:ind w:left="833" w:hanging="720"/>
        <w:rPr>
          <w:color w:val="0070C0"/>
          <w:sz w:val="24"/>
          <w:szCs w:val="24"/>
        </w:rPr>
      </w:pPr>
      <w:r w:rsidRPr="00452C80">
        <w:rPr>
          <w:sz w:val="24"/>
          <w:szCs w:val="24"/>
        </w:rPr>
        <w:lastRenderedPageBreak/>
        <w:t xml:space="preserve">Myers, M. (2000) Qualitative Research and the Generalizability Question: Standing Firm with Proteus. </w:t>
      </w:r>
      <w:r w:rsidRPr="00452C80">
        <w:rPr>
          <w:i/>
          <w:iCs/>
          <w:sz w:val="24"/>
          <w:szCs w:val="24"/>
        </w:rPr>
        <w:t>The Qualitative Report</w:t>
      </w:r>
      <w:r w:rsidRPr="00452C80">
        <w:rPr>
          <w:sz w:val="24"/>
          <w:szCs w:val="24"/>
        </w:rPr>
        <w:t xml:space="preserve">, </w:t>
      </w:r>
      <w:r w:rsidRPr="00452C80">
        <w:rPr>
          <w:b/>
          <w:bCs/>
          <w:sz w:val="24"/>
          <w:szCs w:val="24"/>
        </w:rPr>
        <w:t>4</w:t>
      </w:r>
      <w:r w:rsidRPr="00452C80">
        <w:rPr>
          <w:sz w:val="24"/>
          <w:szCs w:val="24"/>
        </w:rPr>
        <w:t>(3): pp.1-9</w:t>
      </w:r>
      <w:r w:rsidRPr="00CA7296">
        <w:rPr>
          <w:color w:val="0070C0"/>
          <w:sz w:val="24"/>
          <w:szCs w:val="24"/>
        </w:rPr>
        <w:t xml:space="preserve">.  </w:t>
      </w:r>
      <w:hyperlink r:id="rId349" w:history="1">
        <w:r w:rsidRPr="00CA7296">
          <w:rPr>
            <w:rStyle w:val="Hyperlink"/>
            <w:color w:val="0070C0"/>
            <w:sz w:val="24"/>
            <w:szCs w:val="24"/>
          </w:rPr>
          <w:t>https://doi.org/10.46743/2160-3715/2000.2925</w:t>
        </w:r>
      </w:hyperlink>
    </w:p>
    <w:p w14:paraId="23CB52AF" w14:textId="77777777" w:rsidR="00640A2D" w:rsidRPr="00452C80" w:rsidRDefault="00640A2D" w:rsidP="005B66DA">
      <w:pPr>
        <w:spacing w:line="360" w:lineRule="auto"/>
        <w:ind w:left="833" w:hanging="720"/>
        <w:rPr>
          <w:sz w:val="24"/>
          <w:szCs w:val="24"/>
        </w:rPr>
      </w:pPr>
      <w:r w:rsidRPr="00452C80">
        <w:rPr>
          <w:sz w:val="24"/>
          <w:szCs w:val="24"/>
        </w:rPr>
        <w:t xml:space="preserve">Naidoo, R. (2004) Fields and institutional strategy: Bourdieu on the relationship between higher education, inequality and society. </w:t>
      </w:r>
      <w:r w:rsidRPr="00452C80">
        <w:rPr>
          <w:i/>
          <w:iCs/>
          <w:sz w:val="24"/>
          <w:szCs w:val="24"/>
        </w:rPr>
        <w:t>British Journal of Sociology of Education</w:t>
      </w:r>
      <w:r w:rsidRPr="00452C80">
        <w:rPr>
          <w:sz w:val="24"/>
          <w:szCs w:val="24"/>
        </w:rPr>
        <w:t xml:space="preserve">, </w:t>
      </w:r>
      <w:r w:rsidRPr="00CA7296">
        <w:rPr>
          <w:b/>
          <w:bCs/>
          <w:sz w:val="24"/>
          <w:szCs w:val="24"/>
        </w:rPr>
        <w:t>25</w:t>
      </w:r>
      <w:r w:rsidRPr="00452C80">
        <w:rPr>
          <w:sz w:val="24"/>
          <w:szCs w:val="24"/>
        </w:rPr>
        <w:t xml:space="preserve">(4): pp.458-71. </w:t>
      </w:r>
      <w:hyperlink r:id="rId350" w:history="1">
        <w:r w:rsidRPr="00CA7296">
          <w:rPr>
            <w:rStyle w:val="Hyperlink"/>
            <w:color w:val="0070C0"/>
            <w:sz w:val="24"/>
            <w:szCs w:val="24"/>
          </w:rPr>
          <w:t>https://doi.org/10.1108/09684880710830008</w:t>
        </w:r>
      </w:hyperlink>
      <w:r w:rsidRPr="00452C80">
        <w:rPr>
          <w:sz w:val="24"/>
          <w:szCs w:val="24"/>
        </w:rPr>
        <w:t xml:space="preserve"> </w:t>
      </w:r>
    </w:p>
    <w:p w14:paraId="26F81815" w14:textId="6C88C1EC" w:rsidR="00640A2D" w:rsidRPr="009F567F" w:rsidRDefault="00640A2D" w:rsidP="005B66DA">
      <w:pPr>
        <w:spacing w:line="360" w:lineRule="auto"/>
        <w:ind w:left="833" w:hanging="720"/>
        <w:rPr>
          <w:sz w:val="24"/>
          <w:szCs w:val="24"/>
        </w:rPr>
      </w:pPr>
      <w:r w:rsidRPr="00452C80">
        <w:rPr>
          <w:sz w:val="24"/>
          <w:szCs w:val="24"/>
        </w:rPr>
        <w:t>National Association of Colleges and Employers (NACE) (2022) </w:t>
      </w:r>
      <w:r w:rsidRPr="00452C80">
        <w:rPr>
          <w:i/>
          <w:iCs/>
          <w:sz w:val="24"/>
          <w:szCs w:val="24"/>
        </w:rPr>
        <w:t>Career Readiness: Development and Validation of the NACE Career Readiness Competencies</w:t>
      </w:r>
      <w:r w:rsidRPr="00452C80">
        <w:rPr>
          <w:sz w:val="24"/>
          <w:szCs w:val="24"/>
        </w:rPr>
        <w:t xml:space="preserve">. National Association of Colleges and Employers. Available at: </w:t>
      </w:r>
      <w:hyperlink r:id="rId351" w:history="1">
        <w:r w:rsidRPr="00CA7296">
          <w:rPr>
            <w:rStyle w:val="Hyperlink"/>
            <w:color w:val="0070C0"/>
            <w:sz w:val="24"/>
            <w:szCs w:val="24"/>
          </w:rPr>
          <w:t>https://www.naceweb.org/uploadedFiles/files/2022/resources/2022-nace-career-readiness-development-and-validation.pdf</w:t>
        </w:r>
      </w:hyperlink>
      <w:r w:rsidR="00357014">
        <w:t xml:space="preserve">  </w:t>
      </w:r>
      <w:r w:rsidR="009F567F">
        <w:rPr>
          <w:sz w:val="24"/>
          <w:szCs w:val="24"/>
        </w:rPr>
        <w:t>[Accessed 10</w:t>
      </w:r>
      <w:r w:rsidR="009F567F" w:rsidRPr="009F567F">
        <w:rPr>
          <w:sz w:val="24"/>
          <w:szCs w:val="24"/>
          <w:vertAlign w:val="superscript"/>
        </w:rPr>
        <w:t>th</w:t>
      </w:r>
      <w:r w:rsidR="009F567F">
        <w:rPr>
          <w:sz w:val="24"/>
          <w:szCs w:val="24"/>
        </w:rPr>
        <w:t xml:space="preserve"> June 2023]</w:t>
      </w:r>
    </w:p>
    <w:p w14:paraId="16C09DD8" w14:textId="75B451C0" w:rsidR="00640A2D" w:rsidRPr="00452C80" w:rsidRDefault="00640A2D" w:rsidP="005B66DA">
      <w:pPr>
        <w:spacing w:line="360" w:lineRule="auto"/>
        <w:ind w:left="833" w:hanging="720"/>
        <w:rPr>
          <w:bCs/>
          <w:sz w:val="24"/>
          <w:szCs w:val="24"/>
        </w:rPr>
      </w:pPr>
      <w:r w:rsidRPr="00452C80">
        <w:rPr>
          <w:bCs/>
          <w:sz w:val="24"/>
          <w:szCs w:val="24"/>
        </w:rPr>
        <w:t xml:space="preserve">Neave, G. (2006) Times, Measures, and the Man: The future of British higher education treated historically and empirically. </w:t>
      </w:r>
      <w:r w:rsidRPr="00452C80">
        <w:rPr>
          <w:bCs/>
          <w:i/>
          <w:iCs/>
          <w:sz w:val="24"/>
          <w:szCs w:val="24"/>
        </w:rPr>
        <w:t>Higher Education Quarterly</w:t>
      </w:r>
      <w:r w:rsidRPr="00452C80">
        <w:rPr>
          <w:bCs/>
          <w:sz w:val="24"/>
          <w:szCs w:val="24"/>
        </w:rPr>
        <w:t xml:space="preserve">, </w:t>
      </w:r>
      <w:r w:rsidRPr="00452C80">
        <w:rPr>
          <w:b/>
          <w:sz w:val="24"/>
          <w:szCs w:val="24"/>
        </w:rPr>
        <w:t>60</w:t>
      </w:r>
      <w:r w:rsidRPr="00452C80">
        <w:rPr>
          <w:bCs/>
          <w:sz w:val="24"/>
          <w:szCs w:val="24"/>
        </w:rPr>
        <w:t>(2): pp.115-29.</w:t>
      </w:r>
      <w:r w:rsidRPr="00452C80">
        <w:rPr>
          <w:rFonts w:ascii="Open Sans" w:eastAsia="Times New Roman" w:hAnsi="Open Sans" w:cs="Open Sans"/>
          <w:sz w:val="21"/>
          <w:szCs w:val="21"/>
          <w:shd w:val="clear" w:color="auto" w:fill="FFFFFF"/>
          <w:lang w:eastAsia="en-GB"/>
        </w:rPr>
        <w:t xml:space="preserve"> </w:t>
      </w:r>
      <w:r w:rsidRPr="00452C80">
        <w:rPr>
          <w:bCs/>
          <w:sz w:val="24"/>
          <w:szCs w:val="24"/>
        </w:rPr>
        <w:t> </w:t>
      </w:r>
      <w:hyperlink r:id="rId352" w:history="1">
        <w:r w:rsidRPr="00CA7296">
          <w:rPr>
            <w:rStyle w:val="Hyperlink"/>
            <w:bCs/>
            <w:color w:val="0070C0"/>
            <w:sz w:val="24"/>
            <w:szCs w:val="24"/>
          </w:rPr>
          <w:t>https://doi-org.sheffield.idm.oclc.org/10.1111/j.1468-2273.2006.00312.x</w:t>
        </w:r>
      </w:hyperlink>
    </w:p>
    <w:p w14:paraId="7674347E" w14:textId="42678E25" w:rsidR="00640A2D" w:rsidRPr="00CA7296" w:rsidRDefault="00640A2D" w:rsidP="005B66DA">
      <w:pPr>
        <w:spacing w:line="360" w:lineRule="auto"/>
        <w:ind w:left="833" w:hanging="720"/>
        <w:rPr>
          <w:color w:val="0070C0"/>
          <w:sz w:val="24"/>
          <w:szCs w:val="24"/>
        </w:rPr>
      </w:pPr>
      <w:r w:rsidRPr="00452C80">
        <w:rPr>
          <w:sz w:val="24"/>
          <w:szCs w:val="24"/>
        </w:rPr>
        <w:t>Neves, J.</w:t>
      </w:r>
      <w:r w:rsidR="00010F1B">
        <w:rPr>
          <w:sz w:val="24"/>
          <w:szCs w:val="24"/>
        </w:rPr>
        <w:t>,</w:t>
      </w:r>
      <w:r w:rsidRPr="00452C80">
        <w:rPr>
          <w:sz w:val="24"/>
          <w:szCs w:val="24"/>
        </w:rPr>
        <w:t xml:space="preserve"> and Hillman, N. (2019) </w:t>
      </w:r>
      <w:r w:rsidRPr="00452C80">
        <w:rPr>
          <w:i/>
          <w:iCs/>
          <w:sz w:val="24"/>
          <w:szCs w:val="24"/>
        </w:rPr>
        <w:t>Student Academic Experience Survey 2019</w:t>
      </w:r>
      <w:r w:rsidRPr="00452C80">
        <w:rPr>
          <w:sz w:val="24"/>
          <w:szCs w:val="24"/>
        </w:rPr>
        <w:t>. York: Advance HE.</w:t>
      </w:r>
      <w:r w:rsidR="00580D3F">
        <w:rPr>
          <w:sz w:val="24"/>
          <w:szCs w:val="24"/>
        </w:rPr>
        <w:t xml:space="preserve"> Available at:  </w:t>
      </w:r>
      <w:hyperlink r:id="rId353" w:history="1">
        <w:r w:rsidR="00580D3F" w:rsidRPr="0019278B">
          <w:rPr>
            <w:rStyle w:val="Hyperlink"/>
            <w:sz w:val="24"/>
            <w:szCs w:val="24"/>
          </w:rPr>
          <w:t>https://www.hepi.ac.uk/wp-content/uploads/2019/06/Student-Academic-Experience-Survey-2019.pdf</w:t>
        </w:r>
      </w:hyperlink>
      <w:r w:rsidR="00580D3F">
        <w:rPr>
          <w:sz w:val="24"/>
          <w:szCs w:val="24"/>
        </w:rPr>
        <w:t xml:space="preserve">  </w:t>
      </w:r>
      <w:r w:rsidR="0092383D">
        <w:rPr>
          <w:sz w:val="24"/>
          <w:szCs w:val="24"/>
        </w:rPr>
        <w:t>[Accessed 11</w:t>
      </w:r>
      <w:r w:rsidR="0092383D" w:rsidRPr="0092383D">
        <w:rPr>
          <w:sz w:val="24"/>
          <w:szCs w:val="24"/>
          <w:vertAlign w:val="superscript"/>
        </w:rPr>
        <w:t>th</w:t>
      </w:r>
      <w:r w:rsidR="0092383D">
        <w:rPr>
          <w:sz w:val="24"/>
          <w:szCs w:val="24"/>
        </w:rPr>
        <w:t xml:space="preserve"> March 2022]</w:t>
      </w:r>
    </w:p>
    <w:p w14:paraId="630EBB7C" w14:textId="2C9EA7A4" w:rsidR="00640A2D" w:rsidRPr="00CA7296" w:rsidRDefault="00640A2D" w:rsidP="005B66DA">
      <w:pPr>
        <w:spacing w:line="360" w:lineRule="auto"/>
        <w:ind w:left="833" w:hanging="720"/>
        <w:rPr>
          <w:bCs/>
          <w:color w:val="0070C0"/>
          <w:sz w:val="24"/>
          <w:szCs w:val="24"/>
        </w:rPr>
      </w:pPr>
      <w:r w:rsidRPr="00452C80">
        <w:rPr>
          <w:bCs/>
          <w:sz w:val="24"/>
          <w:szCs w:val="24"/>
        </w:rPr>
        <w:t>Newman, S.</w:t>
      </w:r>
      <w:r w:rsidR="00010F1B">
        <w:rPr>
          <w:bCs/>
          <w:sz w:val="24"/>
          <w:szCs w:val="24"/>
        </w:rPr>
        <w:t>,</w:t>
      </w:r>
      <w:r w:rsidRPr="00452C80">
        <w:rPr>
          <w:bCs/>
          <w:sz w:val="24"/>
          <w:szCs w:val="24"/>
        </w:rPr>
        <w:t xml:space="preserve"> and Jahdi, K. (2009) What are Universities for? Marketisation of education: marketing, rhetoric, and reality. </w:t>
      </w:r>
      <w:r w:rsidRPr="00452C80">
        <w:rPr>
          <w:bCs/>
          <w:i/>
          <w:iCs/>
          <w:sz w:val="24"/>
          <w:szCs w:val="24"/>
        </w:rPr>
        <w:t>Journal of Further and Higher Education,</w:t>
      </w:r>
      <w:r w:rsidRPr="00452C80">
        <w:rPr>
          <w:bCs/>
          <w:sz w:val="24"/>
          <w:szCs w:val="24"/>
        </w:rPr>
        <w:t xml:space="preserve"> </w:t>
      </w:r>
      <w:r w:rsidRPr="00452C80">
        <w:rPr>
          <w:b/>
          <w:sz w:val="24"/>
          <w:szCs w:val="24"/>
        </w:rPr>
        <w:t>33</w:t>
      </w:r>
      <w:r w:rsidRPr="00452C80">
        <w:rPr>
          <w:bCs/>
          <w:sz w:val="24"/>
          <w:szCs w:val="24"/>
        </w:rPr>
        <w:t xml:space="preserve">(1): pp.1-11. </w:t>
      </w:r>
      <w:hyperlink r:id="rId354" w:history="1">
        <w:r w:rsidRPr="00CA7296">
          <w:rPr>
            <w:rStyle w:val="Hyperlink"/>
            <w:bCs/>
            <w:color w:val="0070C0"/>
            <w:sz w:val="24"/>
            <w:szCs w:val="24"/>
          </w:rPr>
          <w:t>https://doi.org/10.1080/03098770802638226</w:t>
        </w:r>
      </w:hyperlink>
    </w:p>
    <w:p w14:paraId="4D9E8757" w14:textId="6333E57D" w:rsidR="00640A2D" w:rsidRPr="00452C80" w:rsidRDefault="00640A2D" w:rsidP="005B66DA">
      <w:pPr>
        <w:spacing w:line="360" w:lineRule="auto"/>
        <w:ind w:left="833" w:hanging="720"/>
        <w:rPr>
          <w:sz w:val="24"/>
          <w:szCs w:val="24"/>
        </w:rPr>
      </w:pPr>
      <w:r w:rsidRPr="00452C80">
        <w:rPr>
          <w:sz w:val="24"/>
          <w:szCs w:val="24"/>
        </w:rPr>
        <w:t xml:space="preserve">NHS England (2017) A-EQUIP: A model of clinical midwifery supervision. </w:t>
      </w:r>
      <w:r w:rsidR="00105EE4">
        <w:rPr>
          <w:sz w:val="24"/>
          <w:szCs w:val="24"/>
        </w:rPr>
        <w:t xml:space="preserve">Available at: </w:t>
      </w:r>
      <w:hyperlink r:id="rId355" w:history="1">
        <w:r w:rsidR="00105EE4" w:rsidRPr="0019278B">
          <w:rPr>
            <w:rStyle w:val="Hyperlink"/>
            <w:sz w:val="24"/>
            <w:szCs w:val="24"/>
          </w:rPr>
          <w:t>https://www.england.nhs.uk/wp-content/uploads/2017/04/a-equip-midwifery-supervision-model.pdf</w:t>
        </w:r>
      </w:hyperlink>
      <w:r w:rsidR="00105EE4">
        <w:t xml:space="preserve">  </w:t>
      </w:r>
      <w:r w:rsidR="00105EE4" w:rsidRPr="00105EE4">
        <w:rPr>
          <w:sz w:val="24"/>
          <w:szCs w:val="24"/>
        </w:rPr>
        <w:t>[Accessed 5</w:t>
      </w:r>
      <w:r w:rsidR="00105EE4" w:rsidRPr="00105EE4">
        <w:rPr>
          <w:sz w:val="24"/>
          <w:szCs w:val="24"/>
          <w:vertAlign w:val="superscript"/>
        </w:rPr>
        <w:t>th</w:t>
      </w:r>
      <w:r w:rsidR="00105EE4" w:rsidRPr="00105EE4">
        <w:rPr>
          <w:sz w:val="24"/>
          <w:szCs w:val="24"/>
        </w:rPr>
        <w:t xml:space="preserve"> January 2021]</w:t>
      </w:r>
    </w:p>
    <w:p w14:paraId="00A20E59" w14:textId="1E166281" w:rsidR="00640A2D" w:rsidRPr="00DE583D" w:rsidRDefault="00640A2D" w:rsidP="005B66DA">
      <w:pPr>
        <w:spacing w:line="360" w:lineRule="auto"/>
        <w:ind w:left="833" w:hanging="720"/>
        <w:rPr>
          <w:color w:val="0070C0"/>
          <w:sz w:val="24"/>
          <w:szCs w:val="24"/>
        </w:rPr>
      </w:pPr>
      <w:r w:rsidRPr="00452C80">
        <w:rPr>
          <w:sz w:val="24"/>
          <w:szCs w:val="24"/>
        </w:rPr>
        <w:t>NHS England</w:t>
      </w:r>
      <w:r w:rsidR="009772F1">
        <w:rPr>
          <w:sz w:val="24"/>
          <w:szCs w:val="24"/>
        </w:rPr>
        <w:t xml:space="preserve"> </w:t>
      </w:r>
      <w:r w:rsidRPr="00452C80">
        <w:rPr>
          <w:sz w:val="24"/>
          <w:szCs w:val="24"/>
        </w:rPr>
        <w:t xml:space="preserve">(2019) </w:t>
      </w:r>
      <w:r w:rsidRPr="00452C80">
        <w:rPr>
          <w:i/>
          <w:iCs/>
          <w:sz w:val="24"/>
          <w:szCs w:val="24"/>
        </w:rPr>
        <w:t>The NHS long-term plan.</w:t>
      </w:r>
      <w:r w:rsidRPr="00452C80">
        <w:rPr>
          <w:sz w:val="24"/>
          <w:szCs w:val="24"/>
        </w:rPr>
        <w:t xml:space="preserve"> 2019.</w:t>
      </w:r>
      <w:r w:rsidR="00DE583D">
        <w:rPr>
          <w:sz w:val="24"/>
          <w:szCs w:val="24"/>
        </w:rPr>
        <w:t xml:space="preserve"> Available at:</w:t>
      </w:r>
      <w:r w:rsidRPr="00452C80">
        <w:t xml:space="preserve"> </w:t>
      </w:r>
      <w:hyperlink r:id="rId356" w:history="1">
        <w:r w:rsidRPr="00CA7296">
          <w:rPr>
            <w:rStyle w:val="Hyperlink"/>
            <w:color w:val="0070C0"/>
            <w:sz w:val="24"/>
            <w:szCs w:val="24"/>
          </w:rPr>
          <w:t>https://www.longtermplan.nhs.uk/wp-content/uploads/2019/01/nhs-long-term-plan-june-2019.pdf</w:t>
        </w:r>
      </w:hyperlink>
      <w:r w:rsidR="00DE583D">
        <w:t xml:space="preserve">  </w:t>
      </w:r>
      <w:bookmarkStart w:id="99" w:name="_Hlk219271480"/>
      <w:r w:rsidR="00DE583D" w:rsidRPr="00DE583D">
        <w:rPr>
          <w:sz w:val="24"/>
          <w:szCs w:val="24"/>
        </w:rPr>
        <w:t>[Accessed 5</w:t>
      </w:r>
      <w:r w:rsidR="00DE583D" w:rsidRPr="00DE583D">
        <w:rPr>
          <w:sz w:val="24"/>
          <w:szCs w:val="24"/>
          <w:vertAlign w:val="superscript"/>
        </w:rPr>
        <w:t>th</w:t>
      </w:r>
      <w:r w:rsidR="00DE583D" w:rsidRPr="00DE583D">
        <w:rPr>
          <w:sz w:val="24"/>
          <w:szCs w:val="24"/>
        </w:rPr>
        <w:t xml:space="preserve"> January 2021]</w:t>
      </w:r>
      <w:bookmarkEnd w:id="99"/>
    </w:p>
    <w:p w14:paraId="640D15EA" w14:textId="5BCD9FB7" w:rsidR="00640A2D" w:rsidRPr="003252A4" w:rsidRDefault="00640A2D" w:rsidP="005B66DA">
      <w:pPr>
        <w:spacing w:line="360" w:lineRule="auto"/>
        <w:ind w:left="833" w:hanging="720"/>
        <w:rPr>
          <w:sz w:val="24"/>
          <w:szCs w:val="24"/>
        </w:rPr>
      </w:pPr>
      <w:r w:rsidRPr="00452C80">
        <w:rPr>
          <w:sz w:val="24"/>
          <w:szCs w:val="24"/>
        </w:rPr>
        <w:t xml:space="preserve">NHS England (2020) </w:t>
      </w:r>
      <w:r w:rsidRPr="00452C80">
        <w:rPr>
          <w:i/>
          <w:iCs/>
          <w:sz w:val="24"/>
          <w:szCs w:val="24"/>
        </w:rPr>
        <w:t>We are the NHS: people plan 2020/21-action for us all.</w:t>
      </w:r>
      <w:r w:rsidRPr="00452C80">
        <w:rPr>
          <w:sz w:val="24"/>
          <w:szCs w:val="24"/>
        </w:rPr>
        <w:t xml:space="preserve"> 2020.</w:t>
      </w:r>
      <w:r w:rsidR="00DE583D">
        <w:rPr>
          <w:sz w:val="24"/>
          <w:szCs w:val="24"/>
        </w:rPr>
        <w:t xml:space="preserve"> </w:t>
      </w:r>
      <w:r w:rsidR="006D0666">
        <w:rPr>
          <w:sz w:val="24"/>
          <w:szCs w:val="24"/>
        </w:rPr>
        <w:t>Available at</w:t>
      </w:r>
      <w:r w:rsidR="00C5413D">
        <w:rPr>
          <w:sz w:val="24"/>
          <w:szCs w:val="24"/>
        </w:rPr>
        <w:t>:</w:t>
      </w:r>
      <w:r w:rsidRPr="00452C80">
        <w:rPr>
          <w:sz w:val="24"/>
          <w:szCs w:val="24"/>
        </w:rPr>
        <w:t xml:space="preserve"> </w:t>
      </w:r>
      <w:hyperlink r:id="rId357" w:history="1">
        <w:r w:rsidRPr="00CA7296">
          <w:rPr>
            <w:rStyle w:val="Hyperlink"/>
            <w:color w:val="0070C0"/>
            <w:sz w:val="24"/>
            <w:szCs w:val="24"/>
          </w:rPr>
          <w:t>https://tinyurl.com/3yc8fchr</w:t>
        </w:r>
      </w:hyperlink>
      <w:r w:rsidR="003252A4">
        <w:t xml:space="preserve">  </w:t>
      </w:r>
      <w:r w:rsidR="003252A4">
        <w:rPr>
          <w:sz w:val="24"/>
          <w:szCs w:val="24"/>
        </w:rPr>
        <w:t>[Accessed 5</w:t>
      </w:r>
      <w:r w:rsidR="003252A4" w:rsidRPr="003252A4">
        <w:rPr>
          <w:sz w:val="24"/>
          <w:szCs w:val="24"/>
          <w:vertAlign w:val="superscript"/>
        </w:rPr>
        <w:t>th</w:t>
      </w:r>
      <w:r w:rsidR="003252A4">
        <w:rPr>
          <w:sz w:val="24"/>
          <w:szCs w:val="24"/>
        </w:rPr>
        <w:t xml:space="preserve"> January 2021]</w:t>
      </w:r>
    </w:p>
    <w:p w14:paraId="650EAAF1" w14:textId="7A7519CD" w:rsidR="00640A2D" w:rsidRPr="003252A4" w:rsidRDefault="00640A2D" w:rsidP="005B66DA">
      <w:pPr>
        <w:spacing w:line="360" w:lineRule="auto"/>
        <w:ind w:left="833" w:hanging="720"/>
        <w:rPr>
          <w:color w:val="0070C0"/>
          <w:sz w:val="24"/>
          <w:szCs w:val="24"/>
        </w:rPr>
      </w:pPr>
      <w:r w:rsidRPr="00452C80">
        <w:rPr>
          <w:sz w:val="24"/>
          <w:szCs w:val="24"/>
        </w:rPr>
        <w:lastRenderedPageBreak/>
        <w:t xml:space="preserve">NHS England (2021) </w:t>
      </w:r>
      <w:r w:rsidRPr="00452C80">
        <w:rPr>
          <w:i/>
          <w:iCs/>
          <w:sz w:val="24"/>
          <w:szCs w:val="24"/>
        </w:rPr>
        <w:t xml:space="preserve">Professional nurse advocate A-Equip model: a model of clinical supervision for nurses. </w:t>
      </w:r>
      <w:r w:rsidRPr="00452C80">
        <w:rPr>
          <w:sz w:val="24"/>
          <w:szCs w:val="24"/>
        </w:rPr>
        <w:t>2021.</w:t>
      </w:r>
      <w:r w:rsidR="00EE2137">
        <w:rPr>
          <w:sz w:val="24"/>
          <w:szCs w:val="24"/>
        </w:rPr>
        <w:t xml:space="preserve"> </w:t>
      </w:r>
      <w:r w:rsidR="003252A4">
        <w:rPr>
          <w:sz w:val="24"/>
          <w:szCs w:val="24"/>
        </w:rPr>
        <w:t xml:space="preserve">Available at: </w:t>
      </w:r>
      <w:r w:rsidRPr="00452C80">
        <w:rPr>
          <w:sz w:val="24"/>
          <w:szCs w:val="24"/>
        </w:rPr>
        <w:t xml:space="preserve"> </w:t>
      </w:r>
      <w:hyperlink r:id="rId358" w:history="1">
        <w:r w:rsidRPr="00CA7296">
          <w:rPr>
            <w:rStyle w:val="Hyperlink"/>
            <w:color w:val="0070C0"/>
            <w:sz w:val="24"/>
            <w:szCs w:val="24"/>
          </w:rPr>
          <w:t>https://www.england.nhs.uk/publication/professional-nurse-advocate-a-equip-model-a-model-of-clinical-supervision-for-nurses/</w:t>
        </w:r>
      </w:hyperlink>
      <w:r w:rsidR="003252A4">
        <w:t xml:space="preserve">  </w:t>
      </w:r>
      <w:r w:rsidR="003252A4">
        <w:rPr>
          <w:sz w:val="24"/>
          <w:szCs w:val="24"/>
        </w:rPr>
        <w:t xml:space="preserve">[Accessed </w:t>
      </w:r>
      <w:r w:rsidR="00482D4E">
        <w:rPr>
          <w:sz w:val="24"/>
          <w:szCs w:val="24"/>
        </w:rPr>
        <w:t>22</w:t>
      </w:r>
      <w:r w:rsidR="00482D4E" w:rsidRPr="00482D4E">
        <w:rPr>
          <w:sz w:val="24"/>
          <w:szCs w:val="24"/>
          <w:vertAlign w:val="superscript"/>
        </w:rPr>
        <w:t>nd</w:t>
      </w:r>
      <w:r w:rsidR="00482D4E">
        <w:rPr>
          <w:sz w:val="24"/>
          <w:szCs w:val="24"/>
        </w:rPr>
        <w:t xml:space="preserve"> April 2022]</w:t>
      </w:r>
    </w:p>
    <w:p w14:paraId="5D5DCC55" w14:textId="77777777" w:rsidR="00640A2D" w:rsidRPr="00452C80" w:rsidRDefault="00640A2D" w:rsidP="005B66DA">
      <w:pPr>
        <w:spacing w:line="360" w:lineRule="auto"/>
        <w:ind w:left="833" w:hanging="720"/>
        <w:rPr>
          <w:sz w:val="24"/>
          <w:szCs w:val="24"/>
        </w:rPr>
      </w:pPr>
      <w:r w:rsidRPr="00452C80">
        <w:rPr>
          <w:sz w:val="24"/>
          <w:szCs w:val="24"/>
        </w:rPr>
        <w:t xml:space="preserve">Nixon, E., Scullion, R., and Hearn, R. (2018) Her Majesty the Student: Marketized higher education and the narcissistic (dis)satisfactions of the student-consumer. </w:t>
      </w:r>
      <w:r w:rsidRPr="00452C80">
        <w:rPr>
          <w:i/>
          <w:iCs/>
          <w:sz w:val="24"/>
          <w:szCs w:val="24"/>
        </w:rPr>
        <w:t>Studies in Higher Education</w:t>
      </w:r>
      <w:r w:rsidRPr="00452C80">
        <w:rPr>
          <w:sz w:val="24"/>
          <w:szCs w:val="24"/>
        </w:rPr>
        <w:t xml:space="preserve">, </w:t>
      </w:r>
      <w:r w:rsidRPr="00452C80">
        <w:rPr>
          <w:b/>
          <w:bCs/>
          <w:sz w:val="24"/>
          <w:szCs w:val="24"/>
        </w:rPr>
        <w:t>43</w:t>
      </w:r>
      <w:r w:rsidRPr="00452C80">
        <w:rPr>
          <w:sz w:val="24"/>
          <w:szCs w:val="24"/>
        </w:rPr>
        <w:t xml:space="preserve">(6): pp.927-943. </w:t>
      </w:r>
      <w:hyperlink r:id="rId359" w:history="1">
        <w:r w:rsidRPr="00CA7296">
          <w:rPr>
            <w:rStyle w:val="Hyperlink"/>
            <w:color w:val="0070C0"/>
            <w:sz w:val="24"/>
            <w:szCs w:val="24"/>
          </w:rPr>
          <w:t>https://doi.org/10.1080/03075079.2016.1196353</w:t>
        </w:r>
      </w:hyperlink>
      <w:r w:rsidRPr="00CA7296">
        <w:rPr>
          <w:color w:val="0070C0"/>
          <w:sz w:val="24"/>
          <w:szCs w:val="24"/>
        </w:rPr>
        <w:t xml:space="preserve"> </w:t>
      </w:r>
    </w:p>
    <w:p w14:paraId="3EA9CD80" w14:textId="77777777" w:rsidR="00640A2D" w:rsidRPr="00452C80" w:rsidRDefault="00640A2D" w:rsidP="005B66DA">
      <w:pPr>
        <w:spacing w:line="360" w:lineRule="auto"/>
        <w:ind w:left="833" w:hanging="720"/>
        <w:rPr>
          <w:sz w:val="24"/>
          <w:szCs w:val="24"/>
        </w:rPr>
      </w:pPr>
      <w:r w:rsidRPr="00452C80">
        <w:rPr>
          <w:sz w:val="24"/>
          <w:szCs w:val="24"/>
        </w:rPr>
        <w:t xml:space="preserve">Noddings, N. (1984/2003) </w:t>
      </w:r>
      <w:r w:rsidRPr="00452C80">
        <w:rPr>
          <w:i/>
          <w:iCs/>
          <w:sz w:val="24"/>
          <w:szCs w:val="24"/>
        </w:rPr>
        <w:t>Caring: A feminine approach to ethics and moral education</w:t>
      </w:r>
      <w:r w:rsidRPr="00452C80">
        <w:rPr>
          <w:sz w:val="24"/>
          <w:szCs w:val="24"/>
        </w:rPr>
        <w:t>. Berkeley: University of California press.</w:t>
      </w:r>
    </w:p>
    <w:p w14:paraId="133D7F2C" w14:textId="77777777" w:rsidR="00640A2D" w:rsidRPr="00452C80" w:rsidRDefault="00640A2D" w:rsidP="005B66DA">
      <w:pPr>
        <w:spacing w:line="360" w:lineRule="auto"/>
        <w:ind w:left="833" w:hanging="720"/>
        <w:rPr>
          <w:sz w:val="24"/>
          <w:szCs w:val="24"/>
        </w:rPr>
      </w:pPr>
      <w:r w:rsidRPr="00452C80">
        <w:rPr>
          <w:sz w:val="24"/>
          <w:szCs w:val="24"/>
        </w:rPr>
        <w:t xml:space="preserve">Noddings, N. (1988) An Ethic of Caring and Its Implications for Instructional Arrangements. </w:t>
      </w:r>
      <w:r w:rsidRPr="00452C80">
        <w:rPr>
          <w:i/>
          <w:iCs/>
          <w:sz w:val="24"/>
          <w:szCs w:val="24"/>
        </w:rPr>
        <w:t>American Journal of Education</w:t>
      </w:r>
      <w:r w:rsidRPr="00452C80">
        <w:rPr>
          <w:sz w:val="24"/>
          <w:szCs w:val="24"/>
        </w:rPr>
        <w:t xml:space="preserve">, 96: pp.215-230. </w:t>
      </w:r>
      <w:hyperlink r:id="rId360" w:history="1">
        <w:r w:rsidRPr="00CA7296">
          <w:rPr>
            <w:rStyle w:val="Hyperlink"/>
            <w:color w:val="0070C0"/>
            <w:sz w:val="24"/>
            <w:szCs w:val="24"/>
          </w:rPr>
          <w:t>https://api.semanticscholar.org/CorpusID:144549710</w:t>
        </w:r>
      </w:hyperlink>
    </w:p>
    <w:p w14:paraId="39447308" w14:textId="77777777" w:rsidR="00640A2D" w:rsidRPr="00452C80" w:rsidRDefault="00640A2D" w:rsidP="005B66DA">
      <w:pPr>
        <w:spacing w:line="360" w:lineRule="auto"/>
        <w:ind w:left="833" w:hanging="720"/>
        <w:rPr>
          <w:sz w:val="24"/>
          <w:szCs w:val="24"/>
        </w:rPr>
      </w:pPr>
      <w:r w:rsidRPr="00452C80">
        <w:rPr>
          <w:sz w:val="24"/>
          <w:szCs w:val="24"/>
        </w:rPr>
        <w:t xml:space="preserve">Noddings, N. (2002) </w:t>
      </w:r>
      <w:r w:rsidRPr="00452C80">
        <w:rPr>
          <w:i/>
          <w:iCs/>
          <w:sz w:val="24"/>
          <w:szCs w:val="24"/>
        </w:rPr>
        <w:t>Educating Moral People: A Caring Alternative to Character Education.</w:t>
      </w:r>
      <w:r w:rsidRPr="00452C80">
        <w:rPr>
          <w:sz w:val="24"/>
          <w:szCs w:val="24"/>
        </w:rPr>
        <w:t xml:space="preserve"> New York: Teachers College Press. </w:t>
      </w:r>
    </w:p>
    <w:p w14:paraId="50EDA0DA" w14:textId="77777777" w:rsidR="00640A2D" w:rsidRPr="00452C80" w:rsidRDefault="00640A2D" w:rsidP="005B66DA">
      <w:pPr>
        <w:spacing w:line="360" w:lineRule="auto"/>
        <w:ind w:left="833" w:hanging="720"/>
        <w:rPr>
          <w:sz w:val="24"/>
          <w:szCs w:val="24"/>
        </w:rPr>
      </w:pPr>
      <w:r w:rsidRPr="00452C80">
        <w:rPr>
          <w:sz w:val="24"/>
          <w:szCs w:val="24"/>
        </w:rPr>
        <w:t xml:space="preserve">Noll, R. (1994) </w:t>
      </w:r>
      <w:r w:rsidRPr="00452C80">
        <w:rPr>
          <w:i/>
          <w:iCs/>
          <w:sz w:val="24"/>
          <w:szCs w:val="24"/>
        </w:rPr>
        <w:t>The Jung Cult: Origins of a Charismatic Movement</w:t>
      </w:r>
      <w:r w:rsidRPr="00452C80">
        <w:rPr>
          <w:sz w:val="24"/>
          <w:szCs w:val="24"/>
        </w:rPr>
        <w:t>. Princeton, NJ: Princeton University Press.</w:t>
      </w:r>
    </w:p>
    <w:p w14:paraId="4740B046" w14:textId="77777777" w:rsidR="00640A2D" w:rsidRPr="00452C80" w:rsidRDefault="00640A2D" w:rsidP="005B66DA">
      <w:pPr>
        <w:spacing w:line="360" w:lineRule="auto"/>
        <w:ind w:left="833" w:hanging="720"/>
        <w:rPr>
          <w:sz w:val="24"/>
          <w:szCs w:val="24"/>
          <w:lang w:val="en-US"/>
        </w:rPr>
      </w:pPr>
      <w:r w:rsidRPr="00452C80">
        <w:rPr>
          <w:sz w:val="24"/>
          <w:szCs w:val="24"/>
          <w:lang w:val="en-US"/>
        </w:rPr>
        <w:t xml:space="preserve">Nord, W. A. (2011) </w:t>
      </w:r>
      <w:r w:rsidRPr="00452C80">
        <w:rPr>
          <w:i/>
          <w:iCs/>
          <w:sz w:val="24"/>
          <w:szCs w:val="24"/>
          <w:lang w:val="en-US"/>
        </w:rPr>
        <w:t xml:space="preserve">Does God Make a Difference: Taking Religion Seriously in Our Schools and Universities. </w:t>
      </w:r>
      <w:r w:rsidRPr="00452C80">
        <w:rPr>
          <w:sz w:val="24"/>
          <w:szCs w:val="24"/>
          <w:lang w:val="en-US"/>
        </w:rPr>
        <w:t>New York: Oxford University Press.</w:t>
      </w:r>
    </w:p>
    <w:p w14:paraId="2E764E0C" w14:textId="5D9210D9" w:rsidR="00640A2D" w:rsidRPr="00452C80" w:rsidRDefault="00640A2D" w:rsidP="005B66DA">
      <w:pPr>
        <w:spacing w:line="360" w:lineRule="auto"/>
        <w:ind w:left="833" w:hanging="720"/>
        <w:rPr>
          <w:sz w:val="24"/>
          <w:szCs w:val="24"/>
        </w:rPr>
      </w:pPr>
      <w:r w:rsidRPr="00452C80">
        <w:rPr>
          <w:sz w:val="24"/>
          <w:szCs w:val="24"/>
          <w:lang w:val="en-US"/>
        </w:rPr>
        <w:t>Nowell, L.</w:t>
      </w:r>
      <w:r w:rsidR="00010F1B">
        <w:rPr>
          <w:sz w:val="24"/>
          <w:szCs w:val="24"/>
          <w:lang w:val="en-US"/>
        </w:rPr>
        <w:t xml:space="preserve"> </w:t>
      </w:r>
      <w:r w:rsidRPr="00452C80">
        <w:rPr>
          <w:sz w:val="24"/>
          <w:szCs w:val="24"/>
          <w:lang w:val="en-US"/>
        </w:rPr>
        <w:t xml:space="preserve">S., Norris, J. M., White, D. E., and Moules, N. J. (2017) Thematic Analysis: Striving to Meet the Trustworthiness Criteria. </w:t>
      </w:r>
      <w:r w:rsidRPr="00452C80">
        <w:rPr>
          <w:i/>
          <w:iCs/>
          <w:sz w:val="24"/>
          <w:szCs w:val="24"/>
          <w:lang w:val="en-US"/>
        </w:rPr>
        <w:t>International Journal of Qualitative Methods</w:t>
      </w:r>
      <w:r w:rsidRPr="00452C80">
        <w:rPr>
          <w:sz w:val="24"/>
          <w:szCs w:val="24"/>
          <w:lang w:val="en-US"/>
        </w:rPr>
        <w:t>, 16: pp. 1-13</w:t>
      </w:r>
      <w:r w:rsidRPr="00CA7296">
        <w:rPr>
          <w:color w:val="0070C0"/>
          <w:sz w:val="24"/>
          <w:szCs w:val="24"/>
          <w:lang w:val="en-US"/>
        </w:rPr>
        <w:t>.</w:t>
      </w:r>
      <w:r w:rsidRPr="00CA7296">
        <w:rPr>
          <w:rFonts w:ascii="Verdana" w:hAnsi="Verdana"/>
          <w:color w:val="0070C0"/>
          <w:sz w:val="21"/>
          <w:szCs w:val="21"/>
          <w:shd w:val="clear" w:color="auto" w:fill="FFFFFF"/>
        </w:rPr>
        <w:t xml:space="preserve"> </w:t>
      </w:r>
      <w:hyperlink r:id="rId361" w:history="1">
        <w:r w:rsidRPr="00CA7296">
          <w:rPr>
            <w:rStyle w:val="Hyperlink"/>
            <w:color w:val="0070C0"/>
            <w:sz w:val="24"/>
            <w:szCs w:val="24"/>
          </w:rPr>
          <w:t>https://doi.org/10.1177/1609406917733847</w:t>
        </w:r>
      </w:hyperlink>
    </w:p>
    <w:p w14:paraId="0B9CE114" w14:textId="479D3F9B" w:rsidR="00640A2D" w:rsidRPr="00452C80" w:rsidRDefault="00640A2D" w:rsidP="005B66DA">
      <w:pPr>
        <w:spacing w:line="360" w:lineRule="auto"/>
        <w:ind w:left="833" w:hanging="720"/>
        <w:rPr>
          <w:sz w:val="24"/>
          <w:szCs w:val="24"/>
        </w:rPr>
      </w:pPr>
      <w:r w:rsidRPr="00452C80">
        <w:rPr>
          <w:sz w:val="24"/>
          <w:szCs w:val="24"/>
        </w:rPr>
        <w:t>Nussbaum, M.</w:t>
      </w:r>
      <w:r w:rsidR="00010F1B">
        <w:rPr>
          <w:sz w:val="24"/>
          <w:szCs w:val="24"/>
        </w:rPr>
        <w:t xml:space="preserve"> </w:t>
      </w:r>
      <w:r w:rsidRPr="00452C80">
        <w:rPr>
          <w:sz w:val="24"/>
          <w:szCs w:val="24"/>
        </w:rPr>
        <w:t xml:space="preserve">C. (2001) </w:t>
      </w:r>
      <w:r w:rsidRPr="00452C80">
        <w:rPr>
          <w:i/>
          <w:iCs/>
          <w:sz w:val="24"/>
          <w:szCs w:val="24"/>
        </w:rPr>
        <w:t>Upheavals of Thought: The Intelligence of Emotions</w:t>
      </w:r>
      <w:r w:rsidRPr="00452C80">
        <w:rPr>
          <w:sz w:val="24"/>
          <w:szCs w:val="24"/>
        </w:rPr>
        <w:t>. New York: Cambridge University Press.</w:t>
      </w:r>
    </w:p>
    <w:p w14:paraId="1C737105" w14:textId="193AAC96" w:rsidR="00640A2D" w:rsidRPr="00452C80" w:rsidRDefault="00E965A5" w:rsidP="00174022">
      <w:pPr>
        <w:spacing w:line="360" w:lineRule="auto"/>
        <w:ind w:left="720" w:hanging="720"/>
        <w:rPr>
          <w:sz w:val="24"/>
          <w:szCs w:val="24"/>
        </w:rPr>
      </w:pPr>
      <w:r>
        <w:rPr>
          <w:sz w:val="24"/>
          <w:szCs w:val="24"/>
        </w:rPr>
        <w:t xml:space="preserve">  </w:t>
      </w:r>
      <w:r w:rsidR="00640A2D" w:rsidRPr="00452C80">
        <w:rPr>
          <w:sz w:val="24"/>
          <w:szCs w:val="24"/>
        </w:rPr>
        <w:t>Nuttall, J.</w:t>
      </w:r>
      <w:r w:rsidR="00010F1B">
        <w:rPr>
          <w:sz w:val="24"/>
          <w:szCs w:val="24"/>
        </w:rPr>
        <w:t>,</w:t>
      </w:r>
      <w:r w:rsidR="00640A2D" w:rsidRPr="00452C80">
        <w:rPr>
          <w:sz w:val="24"/>
          <w:szCs w:val="24"/>
        </w:rPr>
        <w:t xml:space="preserve"> and McEvoy, J.</w:t>
      </w:r>
      <w:r>
        <w:rPr>
          <w:sz w:val="24"/>
          <w:szCs w:val="24"/>
        </w:rPr>
        <w:t xml:space="preserve"> </w:t>
      </w:r>
      <w:r w:rsidR="00640A2D" w:rsidRPr="00452C80">
        <w:rPr>
          <w:sz w:val="24"/>
          <w:szCs w:val="24"/>
        </w:rPr>
        <w:t xml:space="preserve">G. (2022) Theological-relational Pedagogy: Winnicott, Rahner, and the development of a theological perspective on relational pedagogy, </w:t>
      </w:r>
      <w:r w:rsidR="00640A2D" w:rsidRPr="00452C80">
        <w:rPr>
          <w:i/>
          <w:iCs/>
          <w:sz w:val="24"/>
          <w:szCs w:val="24"/>
        </w:rPr>
        <w:t xml:space="preserve">Journal of </w:t>
      </w:r>
      <w:r w:rsidR="00640A2D" w:rsidRPr="00452C80">
        <w:rPr>
          <w:i/>
          <w:iCs/>
          <w:sz w:val="24"/>
          <w:szCs w:val="24"/>
        </w:rPr>
        <w:lastRenderedPageBreak/>
        <w:t>Curriculum Studies</w:t>
      </w:r>
      <w:r w:rsidR="00640A2D" w:rsidRPr="00452C80">
        <w:rPr>
          <w:sz w:val="24"/>
          <w:szCs w:val="24"/>
        </w:rPr>
        <w:t xml:space="preserve">, </w:t>
      </w:r>
      <w:r w:rsidR="00640A2D" w:rsidRPr="00452C80">
        <w:rPr>
          <w:b/>
          <w:bCs/>
          <w:sz w:val="24"/>
          <w:szCs w:val="24"/>
        </w:rPr>
        <w:t>52</w:t>
      </w:r>
      <w:r w:rsidR="00640A2D" w:rsidRPr="00452C80">
        <w:rPr>
          <w:sz w:val="24"/>
          <w:szCs w:val="24"/>
        </w:rPr>
        <w:t>(5): pp.720-731.</w:t>
      </w:r>
      <w:r w:rsidR="00640A2D" w:rsidRPr="00452C80">
        <w:rPr>
          <w:rFonts w:ascii="Open Sans" w:eastAsia="Times New Roman" w:hAnsi="Open Sans" w:cs="Open Sans"/>
          <w:sz w:val="20"/>
          <w:szCs w:val="20"/>
          <w:lang w:eastAsia="en-GB"/>
        </w:rPr>
        <w:t xml:space="preserve"> </w:t>
      </w:r>
      <w:r w:rsidR="00640A2D" w:rsidRPr="00CA7296">
        <w:rPr>
          <w:rFonts w:ascii="Open Sans" w:eastAsia="Times New Roman" w:hAnsi="Open Sans" w:cs="Open Sans"/>
          <w:color w:val="0070C0"/>
          <w:sz w:val="20"/>
          <w:szCs w:val="20"/>
          <w:u w:val="single"/>
          <w:lang w:eastAsia="en-GB"/>
        </w:rPr>
        <w:t>h</w:t>
      </w:r>
      <w:hyperlink r:id="rId362" w:history="1">
        <w:r w:rsidR="00640A2D" w:rsidRPr="00CA7296">
          <w:rPr>
            <w:rStyle w:val="Hyperlink"/>
            <w:color w:val="0070C0"/>
            <w:sz w:val="24"/>
            <w:szCs w:val="24"/>
          </w:rPr>
          <w:t>ttps://doi.org/10.1080/00220272.2019.1686180</w:t>
        </w:r>
      </w:hyperlink>
    </w:p>
    <w:p w14:paraId="13C37B80" w14:textId="7AFBC0BE" w:rsidR="00640A2D" w:rsidRPr="00452C80" w:rsidRDefault="00640A2D" w:rsidP="00CA7296">
      <w:pPr>
        <w:spacing w:line="360" w:lineRule="auto"/>
        <w:ind w:left="833" w:hanging="720"/>
        <w:rPr>
          <w:sz w:val="24"/>
          <w:szCs w:val="24"/>
        </w:rPr>
      </w:pPr>
      <w:r w:rsidRPr="00452C80">
        <w:rPr>
          <w:sz w:val="24"/>
          <w:szCs w:val="24"/>
        </w:rPr>
        <w:t>O’Brien, T.</w:t>
      </w:r>
      <w:r w:rsidR="00E965A5">
        <w:rPr>
          <w:sz w:val="24"/>
          <w:szCs w:val="24"/>
        </w:rPr>
        <w:t>,</w:t>
      </w:r>
      <w:r w:rsidRPr="00452C80">
        <w:rPr>
          <w:sz w:val="24"/>
          <w:szCs w:val="24"/>
        </w:rPr>
        <w:t xml:space="preserve"> and Guiney, D. (2018) Staff Well-being in Higher Education Report. </w:t>
      </w:r>
      <w:r w:rsidRPr="00452C80">
        <w:rPr>
          <w:i/>
          <w:iCs/>
          <w:sz w:val="24"/>
          <w:szCs w:val="24"/>
        </w:rPr>
        <w:t>Education Support Partnership</w:t>
      </w:r>
      <w:r w:rsidRPr="00452C80">
        <w:rPr>
          <w:sz w:val="24"/>
          <w:szCs w:val="24"/>
        </w:rPr>
        <w:t xml:space="preserve">: pp.1-18. </w:t>
      </w:r>
      <w:hyperlink r:id="rId363" w:history="1">
        <w:r w:rsidRPr="00CA7296">
          <w:rPr>
            <w:rStyle w:val="Hyperlink"/>
            <w:color w:val="0070C0"/>
            <w:sz w:val="24"/>
            <w:szCs w:val="24"/>
          </w:rPr>
          <w:t>https://healthyuniversities.ac.uk/wp-content/uploads/2019/05/staff_wellbeing_he_research.pdf</w:t>
        </w:r>
      </w:hyperlink>
    </w:p>
    <w:p w14:paraId="4D659732" w14:textId="77777777" w:rsidR="00640A2D" w:rsidRPr="00452C80" w:rsidRDefault="00640A2D" w:rsidP="00CA7296">
      <w:pPr>
        <w:spacing w:line="360" w:lineRule="auto"/>
        <w:ind w:left="833" w:hanging="720"/>
        <w:rPr>
          <w:sz w:val="24"/>
          <w:szCs w:val="24"/>
        </w:rPr>
      </w:pPr>
      <w:r w:rsidRPr="00452C80">
        <w:rPr>
          <w:sz w:val="24"/>
          <w:szCs w:val="24"/>
        </w:rPr>
        <w:t xml:space="preserve">O’Neill, O. (2002) </w:t>
      </w:r>
      <w:r w:rsidRPr="00452C80">
        <w:rPr>
          <w:i/>
          <w:iCs/>
          <w:sz w:val="24"/>
          <w:szCs w:val="24"/>
        </w:rPr>
        <w:t>A Question of Trust: The BBC Reith Lectures 2002</w:t>
      </w:r>
      <w:r w:rsidRPr="00452C80">
        <w:rPr>
          <w:sz w:val="24"/>
          <w:szCs w:val="24"/>
        </w:rPr>
        <w:t>. Cambridge: Cambridge University Press.</w:t>
      </w:r>
    </w:p>
    <w:p w14:paraId="63F64816" w14:textId="77777777" w:rsidR="00640A2D" w:rsidRPr="00452C80" w:rsidRDefault="00640A2D" w:rsidP="00CA7296">
      <w:pPr>
        <w:spacing w:line="360" w:lineRule="auto"/>
        <w:ind w:left="833" w:hanging="720"/>
        <w:rPr>
          <w:sz w:val="24"/>
          <w:szCs w:val="24"/>
        </w:rPr>
      </w:pPr>
      <w:r w:rsidRPr="00452C80">
        <w:rPr>
          <w:sz w:val="24"/>
          <w:szCs w:val="24"/>
        </w:rPr>
        <w:t xml:space="preserve">OECD Skills Outlook (2021) </w:t>
      </w:r>
      <w:r w:rsidRPr="00452C80">
        <w:rPr>
          <w:i/>
          <w:iCs/>
          <w:sz w:val="24"/>
          <w:szCs w:val="24"/>
        </w:rPr>
        <w:t>Skills Outlook: Learning for life</w:t>
      </w:r>
      <w:r w:rsidRPr="00452C80">
        <w:rPr>
          <w:sz w:val="24"/>
          <w:szCs w:val="24"/>
        </w:rPr>
        <w:t xml:space="preserve">. Paris: OECD Publishing. </w:t>
      </w:r>
    </w:p>
    <w:p w14:paraId="7A38614F" w14:textId="77777777" w:rsidR="00640A2D" w:rsidRPr="00CA7296" w:rsidRDefault="00640A2D" w:rsidP="00CA7296">
      <w:pPr>
        <w:spacing w:line="360" w:lineRule="auto"/>
        <w:ind w:left="833" w:hanging="720"/>
        <w:rPr>
          <w:rStyle w:val="Hyperlink"/>
          <w:color w:val="0070C0"/>
          <w:sz w:val="24"/>
          <w:szCs w:val="24"/>
        </w:rPr>
      </w:pPr>
      <w:r w:rsidRPr="00452C80">
        <w:rPr>
          <w:sz w:val="24"/>
          <w:szCs w:val="24"/>
        </w:rPr>
        <w:t xml:space="preserve">Ogden, T. H. (2004) On holding and containing, being and dreaming. </w:t>
      </w:r>
      <w:r w:rsidRPr="00452C80">
        <w:rPr>
          <w:i/>
          <w:iCs/>
          <w:sz w:val="24"/>
          <w:szCs w:val="24"/>
        </w:rPr>
        <w:t>The International Journal of Psychoanalysis</w:t>
      </w:r>
      <w:r w:rsidRPr="00452C80">
        <w:rPr>
          <w:sz w:val="24"/>
          <w:szCs w:val="24"/>
        </w:rPr>
        <w:t xml:space="preserve">, </w:t>
      </w:r>
      <w:r w:rsidRPr="00452C80">
        <w:rPr>
          <w:b/>
          <w:bCs/>
          <w:sz w:val="24"/>
          <w:szCs w:val="24"/>
        </w:rPr>
        <w:t>85</w:t>
      </w:r>
      <w:r w:rsidRPr="00452C80">
        <w:rPr>
          <w:sz w:val="24"/>
          <w:szCs w:val="24"/>
        </w:rPr>
        <w:t>(6): pp.1349-1364.</w:t>
      </w:r>
      <w:r w:rsidRPr="00452C80">
        <w:rPr>
          <w:rFonts w:ascii="Open Sans" w:eastAsia="Times New Roman" w:hAnsi="Open Sans" w:cs="Open Sans"/>
          <w:sz w:val="20"/>
          <w:szCs w:val="20"/>
          <w:lang w:eastAsia="en-GB"/>
        </w:rPr>
        <w:t xml:space="preserve"> </w:t>
      </w:r>
      <w:hyperlink r:id="rId364" w:history="1">
        <w:r w:rsidRPr="00CA7296">
          <w:rPr>
            <w:rStyle w:val="Hyperlink"/>
            <w:color w:val="0070C0"/>
            <w:sz w:val="24"/>
            <w:szCs w:val="24"/>
          </w:rPr>
          <w:t>https://doi.org/10.1516/T41H-DGUX-9JY4-GQC7</w:t>
        </w:r>
      </w:hyperlink>
    </w:p>
    <w:p w14:paraId="5FFA146D" w14:textId="7351EC04" w:rsidR="00640A2D" w:rsidRPr="00276CE7" w:rsidRDefault="00640A2D" w:rsidP="00CA7296">
      <w:pPr>
        <w:spacing w:line="360" w:lineRule="auto"/>
        <w:ind w:left="833" w:hanging="720"/>
        <w:rPr>
          <w:color w:val="0070C0"/>
          <w:sz w:val="24"/>
          <w:szCs w:val="24"/>
        </w:rPr>
      </w:pPr>
      <w:r w:rsidRPr="00452C80">
        <w:rPr>
          <w:sz w:val="24"/>
          <w:szCs w:val="24"/>
        </w:rPr>
        <w:t>OIA (2022) Office of the Independent Adjudicator Annual Report (2022)</w:t>
      </w:r>
      <w:r w:rsidR="00276CE7">
        <w:rPr>
          <w:sz w:val="24"/>
          <w:szCs w:val="24"/>
        </w:rPr>
        <w:t xml:space="preserve">. Available at: </w:t>
      </w:r>
      <w:r w:rsidRPr="00452C80">
        <w:t xml:space="preserve"> </w:t>
      </w:r>
      <w:hyperlink r:id="rId365" w:history="1">
        <w:r w:rsidRPr="00CA7296">
          <w:rPr>
            <w:rStyle w:val="Hyperlink"/>
            <w:color w:val="0070C0"/>
            <w:sz w:val="24"/>
            <w:szCs w:val="24"/>
          </w:rPr>
          <w:t>https://www.oiahe.org.uk/resources-and-publications/latest-news-and-updates/oia-publishes-annual-report-for-2022/</w:t>
        </w:r>
      </w:hyperlink>
      <w:r w:rsidR="00276CE7">
        <w:t xml:space="preserve">  </w:t>
      </w:r>
      <w:r w:rsidR="00276CE7">
        <w:rPr>
          <w:sz w:val="24"/>
          <w:szCs w:val="24"/>
        </w:rPr>
        <w:t>[Accessed 25</w:t>
      </w:r>
      <w:r w:rsidR="00276CE7" w:rsidRPr="00276CE7">
        <w:rPr>
          <w:sz w:val="24"/>
          <w:szCs w:val="24"/>
          <w:vertAlign w:val="superscript"/>
        </w:rPr>
        <w:t>th</w:t>
      </w:r>
      <w:r w:rsidR="00276CE7">
        <w:rPr>
          <w:sz w:val="24"/>
          <w:szCs w:val="24"/>
        </w:rPr>
        <w:t xml:space="preserve"> May 2023]</w:t>
      </w:r>
    </w:p>
    <w:p w14:paraId="17EE75D6" w14:textId="77777777" w:rsidR="00640A2D" w:rsidRPr="00CA7296" w:rsidRDefault="00640A2D" w:rsidP="00CA7296">
      <w:pPr>
        <w:spacing w:line="360" w:lineRule="auto"/>
        <w:ind w:left="833" w:hanging="720"/>
        <w:rPr>
          <w:sz w:val="24"/>
          <w:szCs w:val="24"/>
        </w:rPr>
      </w:pPr>
      <w:r w:rsidRPr="00CA7296">
        <w:rPr>
          <w:rStyle w:val="Hyperlink"/>
          <w:color w:val="auto"/>
          <w:sz w:val="24"/>
          <w:szCs w:val="24"/>
          <w:u w:val="none"/>
        </w:rPr>
        <w:t xml:space="preserve">Oldroyd, D. (1986) </w:t>
      </w:r>
      <w:r w:rsidRPr="00CA7296">
        <w:rPr>
          <w:rStyle w:val="Hyperlink"/>
          <w:i/>
          <w:iCs/>
          <w:color w:val="auto"/>
          <w:sz w:val="24"/>
          <w:szCs w:val="24"/>
          <w:u w:val="none"/>
        </w:rPr>
        <w:t xml:space="preserve">The Arch of Knowledge: An Introductory Study of the History of the Philosophy and Methodology of Science. </w:t>
      </w:r>
      <w:r w:rsidRPr="00CA7296">
        <w:rPr>
          <w:rStyle w:val="Hyperlink"/>
          <w:color w:val="auto"/>
          <w:sz w:val="24"/>
          <w:szCs w:val="24"/>
          <w:u w:val="none"/>
        </w:rPr>
        <w:t>New York: Methuen.</w:t>
      </w:r>
    </w:p>
    <w:p w14:paraId="322B5D39" w14:textId="221D42BE" w:rsidR="00640A2D" w:rsidRPr="00CA7296" w:rsidRDefault="00640A2D" w:rsidP="00CA7296">
      <w:pPr>
        <w:spacing w:line="360" w:lineRule="auto"/>
        <w:ind w:left="833" w:hanging="720"/>
        <w:rPr>
          <w:bCs/>
          <w:color w:val="0070C0"/>
          <w:sz w:val="24"/>
          <w:szCs w:val="24"/>
        </w:rPr>
      </w:pPr>
      <w:r w:rsidRPr="00452C80">
        <w:rPr>
          <w:bCs/>
          <w:sz w:val="24"/>
          <w:szCs w:val="24"/>
        </w:rPr>
        <w:t>Oliffe, J. L., Kelly, M. T., Gonzalez Montaner, G., and Yu Ko, W. F. (2021) Zoom Interviews: Benefits and Concessions. </w:t>
      </w:r>
      <w:r w:rsidRPr="00452C80">
        <w:rPr>
          <w:bCs/>
          <w:i/>
          <w:iCs/>
          <w:sz w:val="24"/>
          <w:szCs w:val="24"/>
        </w:rPr>
        <w:t>International Journal of Qualitative Methods</w:t>
      </w:r>
      <w:r w:rsidRPr="00452C80">
        <w:rPr>
          <w:bCs/>
          <w:sz w:val="24"/>
          <w:szCs w:val="24"/>
        </w:rPr>
        <w:t xml:space="preserve">, 20: pp.1-8. </w:t>
      </w:r>
      <w:hyperlink r:id="rId366" w:history="1">
        <w:r w:rsidRPr="00CA7296">
          <w:rPr>
            <w:rStyle w:val="Hyperlink"/>
            <w:bCs/>
            <w:color w:val="0070C0"/>
            <w:sz w:val="24"/>
            <w:szCs w:val="24"/>
          </w:rPr>
          <w:t>https://doi.org/10.1177/16094069211053522</w:t>
        </w:r>
      </w:hyperlink>
    </w:p>
    <w:p w14:paraId="44A41C50" w14:textId="70F26139" w:rsidR="00640A2D" w:rsidRPr="00452C80" w:rsidRDefault="00640A2D" w:rsidP="00CA7296">
      <w:pPr>
        <w:spacing w:line="360" w:lineRule="auto"/>
        <w:ind w:left="833" w:hanging="720"/>
        <w:rPr>
          <w:bCs/>
          <w:sz w:val="24"/>
          <w:szCs w:val="24"/>
        </w:rPr>
      </w:pPr>
      <w:r w:rsidRPr="00452C80">
        <w:rPr>
          <w:bCs/>
          <w:sz w:val="24"/>
          <w:szCs w:val="24"/>
        </w:rPr>
        <w:t>Olsen, F., Abelsen, B., and Olsen, J.</w:t>
      </w:r>
      <w:r w:rsidR="00006686">
        <w:rPr>
          <w:bCs/>
          <w:sz w:val="24"/>
          <w:szCs w:val="24"/>
        </w:rPr>
        <w:t xml:space="preserve"> </w:t>
      </w:r>
      <w:r w:rsidRPr="00452C80">
        <w:rPr>
          <w:bCs/>
          <w:sz w:val="24"/>
          <w:szCs w:val="24"/>
        </w:rPr>
        <w:t>A. (2012) Improving response rate and quality of survey data with a scratch lottery ticket incentive. </w:t>
      </w:r>
      <w:r w:rsidRPr="00452C80">
        <w:rPr>
          <w:bCs/>
          <w:i/>
          <w:iCs/>
          <w:sz w:val="24"/>
          <w:szCs w:val="24"/>
        </w:rPr>
        <w:t xml:space="preserve">BMC Medical Research </w:t>
      </w:r>
      <w:r w:rsidR="00276CE7" w:rsidRPr="00452C80">
        <w:rPr>
          <w:bCs/>
          <w:i/>
          <w:iCs/>
          <w:sz w:val="24"/>
          <w:szCs w:val="24"/>
        </w:rPr>
        <w:t>Methodology</w:t>
      </w:r>
      <w:r w:rsidR="00276CE7" w:rsidRPr="00452C80">
        <w:rPr>
          <w:bCs/>
          <w:sz w:val="24"/>
          <w:szCs w:val="24"/>
        </w:rPr>
        <w:t>,</w:t>
      </w:r>
      <w:r w:rsidRPr="00452C80">
        <w:rPr>
          <w:bCs/>
          <w:sz w:val="24"/>
          <w:szCs w:val="24"/>
        </w:rPr>
        <w:t xml:space="preserve"> </w:t>
      </w:r>
      <w:r w:rsidRPr="00452C80">
        <w:rPr>
          <w:b/>
          <w:bCs/>
          <w:sz w:val="24"/>
          <w:szCs w:val="24"/>
        </w:rPr>
        <w:t>12</w:t>
      </w:r>
      <w:r w:rsidR="00CF554F">
        <w:rPr>
          <w:bCs/>
          <w:sz w:val="24"/>
          <w:szCs w:val="24"/>
        </w:rPr>
        <w:t>.</w:t>
      </w:r>
      <w:r w:rsidRPr="00452C80">
        <w:rPr>
          <w:bCs/>
          <w:sz w:val="24"/>
          <w:szCs w:val="24"/>
        </w:rPr>
        <w:t xml:space="preserve"> 52. </w:t>
      </w:r>
      <w:hyperlink r:id="rId367" w:history="1">
        <w:r w:rsidRPr="00CA7296">
          <w:rPr>
            <w:rStyle w:val="Hyperlink"/>
            <w:bCs/>
            <w:color w:val="0070C0"/>
            <w:sz w:val="24"/>
            <w:szCs w:val="24"/>
          </w:rPr>
          <w:t>https://doi.org/10.1186/1471-2288-12-5</w:t>
        </w:r>
      </w:hyperlink>
    </w:p>
    <w:p w14:paraId="66DF0346" w14:textId="77777777" w:rsidR="00640A2D" w:rsidRPr="00452C80" w:rsidRDefault="00640A2D" w:rsidP="00CA7296">
      <w:pPr>
        <w:spacing w:line="360" w:lineRule="auto"/>
        <w:ind w:left="833" w:hanging="720"/>
        <w:rPr>
          <w:bCs/>
          <w:sz w:val="24"/>
          <w:szCs w:val="24"/>
        </w:rPr>
      </w:pPr>
      <w:r w:rsidRPr="00452C80">
        <w:rPr>
          <w:bCs/>
          <w:sz w:val="24"/>
          <w:szCs w:val="24"/>
        </w:rPr>
        <w:t xml:space="preserve">Omand, L. (2010) What makes for good supervision and whose responsibility is it anyway? </w:t>
      </w:r>
      <w:r w:rsidRPr="00452C80">
        <w:rPr>
          <w:bCs/>
          <w:i/>
          <w:iCs/>
          <w:sz w:val="24"/>
          <w:szCs w:val="24"/>
        </w:rPr>
        <w:t xml:space="preserve">Psychodynamic Practice: Individuals, Groups and Organisations, </w:t>
      </w:r>
      <w:r w:rsidRPr="00CA7296">
        <w:rPr>
          <w:b/>
          <w:sz w:val="24"/>
          <w:szCs w:val="24"/>
        </w:rPr>
        <w:t>16</w:t>
      </w:r>
      <w:r w:rsidRPr="00452C80">
        <w:rPr>
          <w:bCs/>
          <w:sz w:val="24"/>
          <w:szCs w:val="24"/>
        </w:rPr>
        <w:t>(4): pp. 377–392. </w:t>
      </w:r>
      <w:hyperlink r:id="rId368" w:tgtFrame="_blank" w:history="1">
        <w:r w:rsidRPr="00CA7296">
          <w:rPr>
            <w:rStyle w:val="Hyperlink"/>
            <w:bCs/>
            <w:color w:val="0070C0"/>
            <w:sz w:val="24"/>
            <w:szCs w:val="24"/>
          </w:rPr>
          <w:t>https://doi.org/10.1080/14753634.2010.512124</w:t>
        </w:r>
      </w:hyperlink>
    </w:p>
    <w:p w14:paraId="5BAF5320" w14:textId="7358960D" w:rsidR="00640A2D" w:rsidRPr="00452C80" w:rsidRDefault="00640A2D" w:rsidP="00CA7296">
      <w:pPr>
        <w:spacing w:line="360" w:lineRule="auto"/>
        <w:ind w:left="833" w:hanging="720"/>
        <w:rPr>
          <w:bCs/>
          <w:sz w:val="24"/>
          <w:szCs w:val="24"/>
        </w:rPr>
      </w:pPr>
      <w:r w:rsidRPr="00452C80">
        <w:rPr>
          <w:bCs/>
          <w:sz w:val="24"/>
          <w:szCs w:val="24"/>
        </w:rPr>
        <w:t>Ou, A.</w:t>
      </w:r>
      <w:r w:rsidR="00006686">
        <w:rPr>
          <w:bCs/>
          <w:sz w:val="24"/>
          <w:szCs w:val="24"/>
        </w:rPr>
        <w:t xml:space="preserve"> </w:t>
      </w:r>
      <w:r w:rsidRPr="00452C80">
        <w:rPr>
          <w:bCs/>
          <w:sz w:val="24"/>
          <w:szCs w:val="24"/>
        </w:rPr>
        <w:t>Y., Tsui, A.</w:t>
      </w:r>
      <w:r w:rsidR="00006686">
        <w:rPr>
          <w:bCs/>
          <w:sz w:val="24"/>
          <w:szCs w:val="24"/>
        </w:rPr>
        <w:t xml:space="preserve"> </w:t>
      </w:r>
      <w:r w:rsidRPr="00452C80">
        <w:rPr>
          <w:bCs/>
          <w:sz w:val="24"/>
          <w:szCs w:val="24"/>
        </w:rPr>
        <w:t>S., Kinicki, A</w:t>
      </w:r>
      <w:r w:rsidR="00006686">
        <w:rPr>
          <w:bCs/>
          <w:sz w:val="24"/>
          <w:szCs w:val="24"/>
        </w:rPr>
        <w:t xml:space="preserve"> </w:t>
      </w:r>
      <w:r w:rsidRPr="00452C80">
        <w:rPr>
          <w:bCs/>
          <w:sz w:val="24"/>
          <w:szCs w:val="24"/>
        </w:rPr>
        <w:t>.J., Waldman, D.</w:t>
      </w:r>
      <w:r w:rsidR="00006686">
        <w:rPr>
          <w:bCs/>
          <w:sz w:val="24"/>
          <w:szCs w:val="24"/>
        </w:rPr>
        <w:t xml:space="preserve"> </w:t>
      </w:r>
      <w:r w:rsidRPr="00452C80">
        <w:rPr>
          <w:bCs/>
          <w:sz w:val="24"/>
          <w:szCs w:val="24"/>
        </w:rPr>
        <w:t>A., Xiao, Z.</w:t>
      </w:r>
      <w:r w:rsidR="00006686">
        <w:rPr>
          <w:bCs/>
          <w:sz w:val="24"/>
          <w:szCs w:val="24"/>
        </w:rPr>
        <w:t>,</w:t>
      </w:r>
      <w:r w:rsidRPr="00452C80">
        <w:rPr>
          <w:bCs/>
          <w:sz w:val="24"/>
          <w:szCs w:val="24"/>
        </w:rPr>
        <w:t xml:space="preserve"> and Song, L.</w:t>
      </w:r>
      <w:r w:rsidR="00006686">
        <w:rPr>
          <w:bCs/>
          <w:sz w:val="24"/>
          <w:szCs w:val="24"/>
        </w:rPr>
        <w:t xml:space="preserve"> </w:t>
      </w:r>
      <w:r w:rsidRPr="00452C80">
        <w:rPr>
          <w:bCs/>
          <w:sz w:val="24"/>
          <w:szCs w:val="24"/>
        </w:rPr>
        <w:t xml:space="preserve">J. (2014) Humble chief executive ofﬁcers’ connections to top management team integration and </w:t>
      </w:r>
      <w:r w:rsidRPr="00452C80">
        <w:rPr>
          <w:bCs/>
          <w:sz w:val="24"/>
          <w:szCs w:val="24"/>
        </w:rPr>
        <w:lastRenderedPageBreak/>
        <w:t xml:space="preserve">middle managers’ responses. Administrative Science Quarterly, </w:t>
      </w:r>
      <w:r w:rsidRPr="00452C80">
        <w:rPr>
          <w:b/>
          <w:sz w:val="24"/>
          <w:szCs w:val="24"/>
        </w:rPr>
        <w:t>59</w:t>
      </w:r>
      <w:r w:rsidRPr="00452C80">
        <w:rPr>
          <w:bCs/>
          <w:sz w:val="24"/>
          <w:szCs w:val="24"/>
        </w:rPr>
        <w:t>(1): pp.34-72.</w:t>
      </w:r>
      <w:r w:rsidRPr="00452C80">
        <w:t xml:space="preserve"> </w:t>
      </w:r>
      <w:hyperlink r:id="rId369" w:tgtFrame="_blank" w:history="1">
        <w:r w:rsidRPr="00CA7296">
          <w:rPr>
            <w:rStyle w:val="Hyperlink"/>
            <w:bCs/>
            <w:color w:val="0070C0"/>
            <w:sz w:val="24"/>
            <w:szCs w:val="24"/>
          </w:rPr>
          <w:t>https://doi.org/10.1177/0001839213520131</w:t>
        </w:r>
      </w:hyperlink>
    </w:p>
    <w:p w14:paraId="7014D321" w14:textId="28949B70" w:rsidR="00640A2D" w:rsidRPr="00452C80" w:rsidRDefault="00640A2D" w:rsidP="00CA7296">
      <w:pPr>
        <w:spacing w:line="360" w:lineRule="auto"/>
        <w:ind w:left="833" w:hanging="720"/>
        <w:rPr>
          <w:sz w:val="24"/>
          <w:szCs w:val="24"/>
        </w:rPr>
      </w:pPr>
      <w:r w:rsidRPr="00452C80">
        <w:rPr>
          <w:sz w:val="24"/>
          <w:szCs w:val="24"/>
        </w:rPr>
        <w:t xml:space="preserve">Owen, H. (2008) </w:t>
      </w:r>
      <w:r w:rsidRPr="00452C80">
        <w:rPr>
          <w:i/>
          <w:iCs/>
          <w:sz w:val="24"/>
          <w:szCs w:val="24"/>
        </w:rPr>
        <w:t>Open Space Technology: A User’s Guide</w:t>
      </w:r>
      <w:r w:rsidRPr="00452C80">
        <w:rPr>
          <w:sz w:val="24"/>
          <w:szCs w:val="24"/>
        </w:rPr>
        <w:t>. (3</w:t>
      </w:r>
      <w:r w:rsidRPr="00452C80">
        <w:rPr>
          <w:sz w:val="24"/>
          <w:szCs w:val="24"/>
          <w:vertAlign w:val="superscript"/>
        </w:rPr>
        <w:t>rd</w:t>
      </w:r>
      <w:r w:rsidRPr="00452C80">
        <w:rPr>
          <w:sz w:val="24"/>
          <w:szCs w:val="24"/>
        </w:rPr>
        <w:t xml:space="preserve"> ed</w:t>
      </w:r>
      <w:r w:rsidR="00BE2A2D">
        <w:rPr>
          <w:sz w:val="24"/>
          <w:szCs w:val="24"/>
        </w:rPr>
        <w:t>ition</w:t>
      </w:r>
      <w:r w:rsidRPr="00452C80">
        <w:rPr>
          <w:sz w:val="24"/>
          <w:szCs w:val="24"/>
        </w:rPr>
        <w:t>)</w:t>
      </w:r>
      <w:r w:rsidR="00810B9C">
        <w:rPr>
          <w:sz w:val="24"/>
          <w:szCs w:val="24"/>
        </w:rPr>
        <w:t xml:space="preserve">. </w:t>
      </w:r>
      <w:r w:rsidRPr="00452C80">
        <w:rPr>
          <w:sz w:val="24"/>
          <w:szCs w:val="24"/>
        </w:rPr>
        <w:t>San Francisco: Berret-Koehler Publishers.</w:t>
      </w:r>
    </w:p>
    <w:p w14:paraId="05F1F3D8" w14:textId="0F9D8124" w:rsidR="00640A2D" w:rsidRPr="00452C80" w:rsidRDefault="00640A2D" w:rsidP="00CA7296">
      <w:pPr>
        <w:spacing w:line="360" w:lineRule="auto"/>
        <w:ind w:left="833" w:hanging="720"/>
        <w:rPr>
          <w:bCs/>
          <w:sz w:val="24"/>
          <w:szCs w:val="24"/>
        </w:rPr>
      </w:pPr>
      <w:r w:rsidRPr="00452C80">
        <w:rPr>
          <w:bCs/>
          <w:sz w:val="24"/>
          <w:szCs w:val="24"/>
        </w:rPr>
        <w:t>Palmberg, I. E., and Kuru</w:t>
      </w:r>
      <w:r w:rsidR="00301851">
        <w:rPr>
          <w:bCs/>
          <w:sz w:val="24"/>
          <w:szCs w:val="24"/>
        </w:rPr>
        <w:t>,</w:t>
      </w:r>
      <w:r w:rsidRPr="00452C80">
        <w:rPr>
          <w:bCs/>
          <w:sz w:val="24"/>
          <w:szCs w:val="24"/>
        </w:rPr>
        <w:t xml:space="preserve"> J. (2000) Outdoor activities as a basis for environmental responsibility. </w:t>
      </w:r>
      <w:r w:rsidRPr="00452C80">
        <w:rPr>
          <w:bCs/>
          <w:i/>
          <w:iCs/>
          <w:sz w:val="24"/>
          <w:szCs w:val="24"/>
        </w:rPr>
        <w:t>The Journal of Environmental Education</w:t>
      </w:r>
      <w:r w:rsidRPr="00452C80">
        <w:rPr>
          <w:bCs/>
          <w:sz w:val="24"/>
          <w:szCs w:val="24"/>
        </w:rPr>
        <w:t xml:space="preserve">, </w:t>
      </w:r>
      <w:r w:rsidRPr="00452C80">
        <w:rPr>
          <w:b/>
          <w:sz w:val="24"/>
          <w:szCs w:val="24"/>
        </w:rPr>
        <w:t>31</w:t>
      </w:r>
      <w:r w:rsidRPr="00452C80">
        <w:rPr>
          <w:bCs/>
          <w:sz w:val="24"/>
          <w:szCs w:val="24"/>
        </w:rPr>
        <w:t>(4): pp. 32-36.</w:t>
      </w:r>
      <w:r w:rsidRPr="00452C80">
        <w:rPr>
          <w:rFonts w:ascii="Open Sans" w:eastAsia="Times New Roman" w:hAnsi="Open Sans" w:cs="Open Sans"/>
          <w:sz w:val="20"/>
          <w:szCs w:val="20"/>
          <w:lang w:eastAsia="en-GB"/>
        </w:rPr>
        <w:t xml:space="preserve"> </w:t>
      </w:r>
      <w:hyperlink r:id="rId370" w:history="1">
        <w:r w:rsidRPr="00CA7296">
          <w:rPr>
            <w:rStyle w:val="Hyperlink"/>
            <w:bCs/>
            <w:color w:val="0070C0"/>
            <w:sz w:val="24"/>
            <w:szCs w:val="24"/>
          </w:rPr>
          <w:t>https://doi.org/10.1080/00958960009598649</w:t>
        </w:r>
      </w:hyperlink>
    </w:p>
    <w:p w14:paraId="2E246695" w14:textId="79D852DB" w:rsidR="00640A2D" w:rsidRPr="00452C80" w:rsidRDefault="00640A2D" w:rsidP="00CA7296">
      <w:pPr>
        <w:spacing w:line="360" w:lineRule="auto"/>
        <w:ind w:left="833" w:hanging="720"/>
        <w:rPr>
          <w:bCs/>
          <w:sz w:val="24"/>
          <w:szCs w:val="24"/>
        </w:rPr>
      </w:pPr>
      <w:r w:rsidRPr="00452C80">
        <w:rPr>
          <w:bCs/>
          <w:sz w:val="24"/>
          <w:szCs w:val="24"/>
        </w:rPr>
        <w:t>Palmer, P.</w:t>
      </w:r>
      <w:r w:rsidR="00010F1B">
        <w:rPr>
          <w:bCs/>
          <w:sz w:val="24"/>
          <w:szCs w:val="24"/>
        </w:rPr>
        <w:t xml:space="preserve"> </w:t>
      </w:r>
      <w:r w:rsidRPr="00452C80">
        <w:rPr>
          <w:bCs/>
          <w:sz w:val="24"/>
          <w:szCs w:val="24"/>
        </w:rPr>
        <w:t xml:space="preserve">J. (1998) </w:t>
      </w:r>
      <w:r w:rsidRPr="00452C80">
        <w:rPr>
          <w:bCs/>
          <w:i/>
          <w:iCs/>
          <w:sz w:val="24"/>
          <w:szCs w:val="24"/>
        </w:rPr>
        <w:t>The Courage to Teach: Exploring the Inner Landscape of a Teacher’s Life</w:t>
      </w:r>
      <w:r w:rsidRPr="00452C80">
        <w:rPr>
          <w:bCs/>
          <w:sz w:val="24"/>
          <w:szCs w:val="24"/>
        </w:rPr>
        <w:t xml:space="preserve">. San Francisco, CA: Jossey-Bass. </w:t>
      </w:r>
    </w:p>
    <w:p w14:paraId="4580360C" w14:textId="7AEF9E61" w:rsidR="00640A2D" w:rsidRPr="00452C80" w:rsidRDefault="00640A2D" w:rsidP="00CA7296">
      <w:pPr>
        <w:spacing w:line="360" w:lineRule="auto"/>
        <w:ind w:left="833" w:hanging="720"/>
        <w:rPr>
          <w:bCs/>
          <w:sz w:val="24"/>
          <w:szCs w:val="24"/>
        </w:rPr>
      </w:pPr>
      <w:r w:rsidRPr="00452C80">
        <w:rPr>
          <w:bCs/>
          <w:sz w:val="24"/>
          <w:szCs w:val="24"/>
        </w:rPr>
        <w:t>Panjares, M.</w:t>
      </w:r>
      <w:r w:rsidR="00010F1B">
        <w:rPr>
          <w:bCs/>
          <w:sz w:val="24"/>
          <w:szCs w:val="24"/>
        </w:rPr>
        <w:t xml:space="preserve"> </w:t>
      </w:r>
      <w:r w:rsidRPr="00452C80">
        <w:rPr>
          <w:bCs/>
          <w:sz w:val="24"/>
          <w:szCs w:val="24"/>
        </w:rPr>
        <w:t xml:space="preserve">F. (1992) Teachers’ Beliefs and Educational Research: Cleaning Up a Messy Construct. </w:t>
      </w:r>
      <w:r w:rsidRPr="00452C80">
        <w:rPr>
          <w:bCs/>
          <w:i/>
          <w:iCs/>
          <w:sz w:val="24"/>
          <w:szCs w:val="24"/>
        </w:rPr>
        <w:t xml:space="preserve">Review of Educational </w:t>
      </w:r>
      <w:r w:rsidRPr="00CA7296">
        <w:rPr>
          <w:bCs/>
          <w:i/>
          <w:iCs/>
          <w:sz w:val="24"/>
          <w:szCs w:val="24"/>
        </w:rPr>
        <w:t>Research</w:t>
      </w:r>
      <w:r w:rsidRPr="00CA7296">
        <w:rPr>
          <w:bCs/>
          <w:sz w:val="24"/>
          <w:szCs w:val="24"/>
        </w:rPr>
        <w:t>,</w:t>
      </w:r>
      <w:hyperlink r:id="rId371" w:history="1">
        <w:r w:rsidRPr="00CA7296">
          <w:rPr>
            <w:rStyle w:val="Hyperlink"/>
            <w:bCs/>
            <w:color w:val="auto"/>
            <w:sz w:val="24"/>
            <w:szCs w:val="24"/>
            <w:u w:val="none"/>
          </w:rPr>
          <w:t> </w:t>
        </w:r>
        <w:r w:rsidRPr="00CA7296">
          <w:rPr>
            <w:rStyle w:val="Hyperlink"/>
            <w:b/>
            <w:color w:val="auto"/>
            <w:sz w:val="24"/>
            <w:szCs w:val="24"/>
            <w:u w:val="none"/>
          </w:rPr>
          <w:t>62</w:t>
        </w:r>
        <w:r w:rsidRPr="00CA7296">
          <w:rPr>
            <w:rStyle w:val="Hyperlink"/>
            <w:bCs/>
            <w:color w:val="auto"/>
            <w:sz w:val="24"/>
            <w:szCs w:val="24"/>
            <w:u w:val="none"/>
          </w:rPr>
          <w:t>(3</w:t>
        </w:r>
      </w:hyperlink>
      <w:r w:rsidRPr="00CA7296">
        <w:rPr>
          <w:bCs/>
        </w:rPr>
        <w:t>)</w:t>
      </w:r>
      <w:r w:rsidRPr="00CA7296">
        <w:rPr>
          <w:bCs/>
          <w:sz w:val="24"/>
          <w:szCs w:val="24"/>
        </w:rPr>
        <w:t>:</w:t>
      </w:r>
      <w:r w:rsidRPr="00452C80">
        <w:rPr>
          <w:bCs/>
          <w:sz w:val="24"/>
          <w:szCs w:val="24"/>
        </w:rPr>
        <w:t xml:space="preserve"> pp.307-332.</w:t>
      </w:r>
      <w:r w:rsidRPr="00452C80">
        <w:t xml:space="preserve"> </w:t>
      </w:r>
      <w:hyperlink r:id="rId372" w:history="1">
        <w:r w:rsidRPr="00CA7296">
          <w:rPr>
            <w:rStyle w:val="Hyperlink"/>
            <w:bCs/>
            <w:color w:val="0070C0"/>
            <w:sz w:val="24"/>
            <w:szCs w:val="24"/>
          </w:rPr>
          <w:t>https://doi.org/10.3102/0034654306200330</w:t>
        </w:r>
      </w:hyperlink>
    </w:p>
    <w:p w14:paraId="6963676C" w14:textId="104699AF" w:rsidR="00640A2D" w:rsidRPr="00452C80" w:rsidRDefault="00640A2D" w:rsidP="00CA7296">
      <w:pPr>
        <w:spacing w:line="360" w:lineRule="auto"/>
        <w:ind w:left="833" w:hanging="720"/>
        <w:rPr>
          <w:bCs/>
          <w:sz w:val="24"/>
          <w:szCs w:val="24"/>
        </w:rPr>
      </w:pPr>
      <w:r w:rsidRPr="00452C80">
        <w:rPr>
          <w:bCs/>
          <w:sz w:val="24"/>
          <w:szCs w:val="24"/>
        </w:rPr>
        <w:t xml:space="preserve">Payne, H. L. (2022) Teaching Staff and Student Perceptions of Staff Support for Student Mental Health: A University Case Study. </w:t>
      </w:r>
      <w:r w:rsidRPr="00452C80">
        <w:rPr>
          <w:bCs/>
          <w:i/>
          <w:iCs/>
          <w:sz w:val="24"/>
          <w:szCs w:val="24"/>
        </w:rPr>
        <w:t>Education Sciences</w:t>
      </w:r>
      <w:r w:rsidRPr="00452C80">
        <w:rPr>
          <w:bCs/>
          <w:sz w:val="24"/>
          <w:szCs w:val="24"/>
        </w:rPr>
        <w:t xml:space="preserve">, </w:t>
      </w:r>
      <w:r w:rsidRPr="00452C80">
        <w:rPr>
          <w:b/>
          <w:bCs/>
          <w:sz w:val="24"/>
          <w:szCs w:val="24"/>
        </w:rPr>
        <w:t>12</w:t>
      </w:r>
      <w:r w:rsidRPr="00452C80">
        <w:rPr>
          <w:bCs/>
          <w:sz w:val="24"/>
          <w:szCs w:val="24"/>
        </w:rPr>
        <w:t>(237): pp.1-17. Available at:</w:t>
      </w:r>
      <w:r w:rsidRPr="00481CEB">
        <w:rPr>
          <w:bCs/>
          <w:color w:val="0070C0"/>
          <w:sz w:val="24"/>
          <w:szCs w:val="24"/>
        </w:rPr>
        <w:t xml:space="preserve"> </w:t>
      </w:r>
      <w:hyperlink r:id="rId373" w:history="1">
        <w:r w:rsidRPr="00481CEB">
          <w:rPr>
            <w:rStyle w:val="Hyperlink"/>
            <w:bCs/>
            <w:color w:val="0070C0"/>
            <w:sz w:val="24"/>
            <w:szCs w:val="24"/>
          </w:rPr>
          <w:t>https://doi.org/10.3390/edusci12040237</w:t>
        </w:r>
      </w:hyperlink>
    </w:p>
    <w:p w14:paraId="25839605" w14:textId="31F5B494" w:rsidR="00640A2D" w:rsidRPr="00276CE7" w:rsidRDefault="00640A2D" w:rsidP="00CA7296">
      <w:pPr>
        <w:spacing w:line="360" w:lineRule="auto"/>
        <w:ind w:left="833" w:hanging="720"/>
        <w:rPr>
          <w:bCs/>
          <w:sz w:val="24"/>
          <w:szCs w:val="24"/>
        </w:rPr>
      </w:pPr>
      <w:r w:rsidRPr="00452C80">
        <w:rPr>
          <w:bCs/>
          <w:sz w:val="24"/>
          <w:szCs w:val="24"/>
        </w:rPr>
        <w:t xml:space="preserve">Peary, G. (1988) </w:t>
      </w:r>
      <w:r w:rsidRPr="00452C80">
        <w:rPr>
          <w:bCs/>
          <w:i/>
          <w:iCs/>
          <w:sz w:val="24"/>
          <w:szCs w:val="24"/>
        </w:rPr>
        <w:t>Little Red Riding Hood Gets a Hungarian Twist.</w:t>
      </w:r>
      <w:r w:rsidRPr="00452C80">
        <w:rPr>
          <w:bCs/>
          <w:sz w:val="24"/>
          <w:szCs w:val="24"/>
        </w:rPr>
        <w:t xml:space="preserve"> USA: Los Angeles Times.</w:t>
      </w:r>
      <w:r w:rsidR="00276CE7">
        <w:rPr>
          <w:bCs/>
          <w:sz w:val="24"/>
          <w:szCs w:val="24"/>
        </w:rPr>
        <w:t xml:space="preserve"> Available at: </w:t>
      </w:r>
      <w:r w:rsidRPr="00452C80">
        <w:rPr>
          <w:bCs/>
          <w:sz w:val="24"/>
          <w:szCs w:val="24"/>
        </w:rPr>
        <w:t xml:space="preserve"> </w:t>
      </w:r>
      <w:hyperlink r:id="rId374" w:history="1">
        <w:r w:rsidRPr="00481CEB">
          <w:rPr>
            <w:rStyle w:val="Hyperlink"/>
            <w:bCs/>
            <w:color w:val="0070C0"/>
            <w:sz w:val="24"/>
            <w:szCs w:val="24"/>
          </w:rPr>
          <w:t>https://www.latimes.com/archives/la-xpm-1988-02-07-ca-41158-story.html</w:t>
        </w:r>
      </w:hyperlink>
      <w:r w:rsidR="00276CE7">
        <w:t xml:space="preserve">  </w:t>
      </w:r>
      <w:r w:rsidR="00E946A6">
        <w:rPr>
          <w:sz w:val="24"/>
          <w:szCs w:val="24"/>
        </w:rPr>
        <w:t>[Accessed 29</w:t>
      </w:r>
      <w:r w:rsidR="00E946A6" w:rsidRPr="00E946A6">
        <w:rPr>
          <w:sz w:val="24"/>
          <w:szCs w:val="24"/>
          <w:vertAlign w:val="superscript"/>
        </w:rPr>
        <w:t>th</w:t>
      </w:r>
      <w:r w:rsidR="00E946A6">
        <w:rPr>
          <w:sz w:val="24"/>
          <w:szCs w:val="24"/>
        </w:rPr>
        <w:t xml:space="preserve"> July 2022]</w:t>
      </w:r>
    </w:p>
    <w:p w14:paraId="39748CDD" w14:textId="7ECBACAA" w:rsidR="005F112A" w:rsidRPr="00E87A12" w:rsidRDefault="005F112A" w:rsidP="00CA7296">
      <w:pPr>
        <w:spacing w:line="360" w:lineRule="auto"/>
        <w:ind w:left="833" w:hanging="720"/>
        <w:rPr>
          <w:sz w:val="24"/>
          <w:szCs w:val="24"/>
        </w:rPr>
      </w:pPr>
      <w:r>
        <w:rPr>
          <w:sz w:val="24"/>
          <w:szCs w:val="24"/>
        </w:rPr>
        <w:t>Perrault</w:t>
      </w:r>
      <w:r w:rsidR="00A32C7C">
        <w:rPr>
          <w:sz w:val="24"/>
          <w:szCs w:val="24"/>
        </w:rPr>
        <w:t xml:space="preserve">, C. (1697/1899) </w:t>
      </w:r>
      <w:r w:rsidR="002C2D55" w:rsidRPr="006C6DFF">
        <w:rPr>
          <w:i/>
          <w:iCs/>
          <w:sz w:val="24"/>
          <w:szCs w:val="24"/>
        </w:rPr>
        <w:t xml:space="preserve">Histoire </w:t>
      </w:r>
      <w:r w:rsidR="00C7739B" w:rsidRPr="006C6DFF">
        <w:rPr>
          <w:i/>
          <w:iCs/>
          <w:sz w:val="24"/>
          <w:szCs w:val="24"/>
        </w:rPr>
        <w:t>ou contes du temps pass</w:t>
      </w:r>
      <w:r w:rsidR="00BF3A27" w:rsidRPr="006C6DFF">
        <w:rPr>
          <w:rFonts w:cstheme="minorHAnsi"/>
          <w:i/>
          <w:iCs/>
          <w:sz w:val="24"/>
          <w:szCs w:val="24"/>
        </w:rPr>
        <w:t>é</w:t>
      </w:r>
      <w:r w:rsidR="00C7739B" w:rsidRPr="006C6DFF">
        <w:rPr>
          <w:i/>
          <w:iCs/>
          <w:sz w:val="24"/>
          <w:szCs w:val="24"/>
        </w:rPr>
        <w:t xml:space="preserve">, avec des </w:t>
      </w:r>
      <w:r w:rsidR="001D4725">
        <w:rPr>
          <w:i/>
          <w:iCs/>
          <w:sz w:val="24"/>
          <w:szCs w:val="24"/>
        </w:rPr>
        <w:t xml:space="preserve">moralities: </w:t>
      </w:r>
      <w:r w:rsidR="00321232">
        <w:rPr>
          <w:i/>
          <w:iCs/>
          <w:sz w:val="24"/>
          <w:szCs w:val="24"/>
        </w:rPr>
        <w:t>Les Contes de ma m</w:t>
      </w:r>
      <w:r w:rsidR="00E87A12">
        <w:rPr>
          <w:rFonts w:cstheme="minorHAnsi"/>
          <w:i/>
          <w:iCs/>
          <w:sz w:val="24"/>
          <w:szCs w:val="24"/>
        </w:rPr>
        <w:t>é</w:t>
      </w:r>
      <w:r w:rsidR="00321232">
        <w:rPr>
          <w:i/>
          <w:iCs/>
          <w:sz w:val="24"/>
          <w:szCs w:val="24"/>
        </w:rPr>
        <w:t>re l’Oye</w:t>
      </w:r>
      <w:r w:rsidR="00DC2B0C" w:rsidRPr="006C6DFF">
        <w:rPr>
          <w:i/>
          <w:iCs/>
          <w:sz w:val="24"/>
          <w:szCs w:val="24"/>
        </w:rPr>
        <w:t xml:space="preserve"> (History or tales of past times, with morals</w:t>
      </w:r>
      <w:r w:rsidR="00F90282" w:rsidRPr="006C6DFF">
        <w:rPr>
          <w:i/>
          <w:iCs/>
          <w:sz w:val="24"/>
          <w:szCs w:val="24"/>
        </w:rPr>
        <w:t xml:space="preserve">: </w:t>
      </w:r>
      <w:r w:rsidR="00E87A12">
        <w:rPr>
          <w:i/>
          <w:iCs/>
          <w:sz w:val="24"/>
          <w:szCs w:val="24"/>
        </w:rPr>
        <w:t>Tales of Mother Goose</w:t>
      </w:r>
      <w:r w:rsidR="00F90282" w:rsidRPr="006C6DFF">
        <w:rPr>
          <w:i/>
          <w:iCs/>
          <w:sz w:val="24"/>
          <w:szCs w:val="24"/>
        </w:rPr>
        <w:t>)</w:t>
      </w:r>
      <w:r w:rsidR="00E87A12">
        <w:rPr>
          <w:sz w:val="24"/>
          <w:szCs w:val="24"/>
        </w:rPr>
        <w:t xml:space="preserve">. </w:t>
      </w:r>
      <w:r w:rsidR="007D0D22">
        <w:rPr>
          <w:sz w:val="24"/>
          <w:szCs w:val="24"/>
        </w:rPr>
        <w:t>Available at</w:t>
      </w:r>
      <w:r w:rsidR="006619C6">
        <w:rPr>
          <w:sz w:val="24"/>
          <w:szCs w:val="24"/>
        </w:rPr>
        <w:t>:</w:t>
      </w:r>
      <w:r w:rsidR="007D0D22">
        <w:rPr>
          <w:sz w:val="24"/>
          <w:szCs w:val="24"/>
        </w:rPr>
        <w:t xml:space="preserve"> </w:t>
      </w:r>
      <w:r w:rsidR="00F870F4">
        <w:rPr>
          <w:sz w:val="24"/>
          <w:szCs w:val="24"/>
        </w:rPr>
        <w:t xml:space="preserve">The Morgan Library &amp; </w:t>
      </w:r>
      <w:r w:rsidR="00E946A6">
        <w:rPr>
          <w:sz w:val="24"/>
          <w:szCs w:val="24"/>
        </w:rPr>
        <w:t>Museum:</w:t>
      </w:r>
      <w:r w:rsidR="00CC269C">
        <w:rPr>
          <w:sz w:val="24"/>
          <w:szCs w:val="24"/>
        </w:rPr>
        <w:t xml:space="preserve"> </w:t>
      </w:r>
      <w:hyperlink r:id="rId375" w:history="1">
        <w:r w:rsidR="00E846D0" w:rsidRPr="007517C6">
          <w:rPr>
            <w:rStyle w:val="Hyperlink"/>
            <w:sz w:val="24"/>
            <w:szCs w:val="24"/>
          </w:rPr>
          <w:t>www.themorgan.org/collection/charles-perrault/1</w:t>
        </w:r>
      </w:hyperlink>
      <w:r w:rsidR="00E846D0">
        <w:rPr>
          <w:sz w:val="24"/>
          <w:szCs w:val="24"/>
        </w:rPr>
        <w:t xml:space="preserve"> [Accessed</w:t>
      </w:r>
      <w:r w:rsidR="00E946A6">
        <w:rPr>
          <w:sz w:val="24"/>
          <w:szCs w:val="24"/>
        </w:rPr>
        <w:t xml:space="preserve"> </w:t>
      </w:r>
      <w:r w:rsidR="00E846D0">
        <w:rPr>
          <w:sz w:val="24"/>
          <w:szCs w:val="24"/>
        </w:rPr>
        <w:t>9th January 2026]</w:t>
      </w:r>
    </w:p>
    <w:p w14:paraId="762DA314" w14:textId="559BF522" w:rsidR="00640A2D" w:rsidRPr="00452C80" w:rsidRDefault="00640A2D" w:rsidP="00CA7296">
      <w:pPr>
        <w:spacing w:line="360" w:lineRule="auto"/>
        <w:ind w:left="833" w:hanging="720"/>
        <w:rPr>
          <w:sz w:val="24"/>
          <w:szCs w:val="24"/>
        </w:rPr>
      </w:pPr>
      <w:r w:rsidRPr="00452C80">
        <w:rPr>
          <w:sz w:val="24"/>
          <w:szCs w:val="24"/>
        </w:rPr>
        <w:t>Perry, B.</w:t>
      </w:r>
      <w:r w:rsidR="00010F1B">
        <w:rPr>
          <w:sz w:val="24"/>
          <w:szCs w:val="24"/>
        </w:rPr>
        <w:t xml:space="preserve"> </w:t>
      </w:r>
      <w:r w:rsidRPr="00452C80">
        <w:rPr>
          <w:sz w:val="24"/>
          <w:szCs w:val="24"/>
        </w:rPr>
        <w:t xml:space="preserve">D. (1996) </w:t>
      </w:r>
      <w:r w:rsidRPr="00452C80">
        <w:rPr>
          <w:i/>
          <w:iCs/>
          <w:sz w:val="24"/>
          <w:szCs w:val="24"/>
        </w:rPr>
        <w:t>Maltreated Children: Experience, Brain Development and the Next Generation</w:t>
      </w:r>
      <w:r w:rsidRPr="00452C80">
        <w:rPr>
          <w:sz w:val="24"/>
          <w:szCs w:val="24"/>
        </w:rPr>
        <w:t xml:space="preserve">. New York: Norton. </w:t>
      </w:r>
    </w:p>
    <w:p w14:paraId="4FD63DF6" w14:textId="5B1809F8" w:rsidR="00640A2D" w:rsidRPr="00452C80" w:rsidRDefault="00640A2D" w:rsidP="00CA7296">
      <w:pPr>
        <w:spacing w:line="360" w:lineRule="auto"/>
        <w:ind w:left="833" w:hanging="720"/>
        <w:rPr>
          <w:bCs/>
          <w:sz w:val="24"/>
          <w:szCs w:val="24"/>
        </w:rPr>
      </w:pPr>
      <w:r w:rsidRPr="00452C80">
        <w:rPr>
          <w:bCs/>
          <w:sz w:val="24"/>
          <w:szCs w:val="24"/>
        </w:rPr>
        <w:t>Peters, J.</w:t>
      </w:r>
      <w:r w:rsidR="00010F1B">
        <w:rPr>
          <w:bCs/>
          <w:sz w:val="24"/>
          <w:szCs w:val="24"/>
        </w:rPr>
        <w:t xml:space="preserve"> </w:t>
      </w:r>
      <w:r w:rsidRPr="00452C80">
        <w:rPr>
          <w:bCs/>
          <w:sz w:val="24"/>
          <w:szCs w:val="24"/>
        </w:rPr>
        <w:t xml:space="preserve">M. (1991) </w:t>
      </w:r>
      <w:r w:rsidRPr="00452C80">
        <w:rPr>
          <w:bCs/>
          <w:i/>
          <w:iCs/>
          <w:sz w:val="24"/>
          <w:szCs w:val="24"/>
        </w:rPr>
        <w:t>Adult Education: Evolution and Achievements in a Developing Field of Study</w:t>
      </w:r>
      <w:r w:rsidRPr="00452C80">
        <w:rPr>
          <w:bCs/>
          <w:sz w:val="24"/>
          <w:szCs w:val="24"/>
        </w:rPr>
        <w:t>. San Franscico, USA: Jossey Bass.</w:t>
      </w:r>
    </w:p>
    <w:p w14:paraId="5616B259" w14:textId="29C61751" w:rsidR="0057762A" w:rsidRDefault="00640A2D" w:rsidP="00174022">
      <w:pPr>
        <w:spacing w:line="360" w:lineRule="auto"/>
        <w:ind w:left="833" w:hanging="720"/>
        <w:rPr>
          <w:sz w:val="24"/>
          <w:szCs w:val="24"/>
        </w:rPr>
      </w:pPr>
      <w:r w:rsidRPr="00452C80">
        <w:rPr>
          <w:sz w:val="24"/>
          <w:szCs w:val="24"/>
        </w:rPr>
        <w:t xml:space="preserve">Phillips, A. (2007) </w:t>
      </w:r>
      <w:r w:rsidRPr="00452C80">
        <w:rPr>
          <w:i/>
          <w:iCs/>
          <w:sz w:val="24"/>
          <w:szCs w:val="24"/>
        </w:rPr>
        <w:t>Winnicott</w:t>
      </w:r>
      <w:r w:rsidRPr="00452C80">
        <w:rPr>
          <w:sz w:val="24"/>
          <w:szCs w:val="24"/>
        </w:rPr>
        <w:t>. London: Penguin.</w:t>
      </w:r>
    </w:p>
    <w:p w14:paraId="7CE7CA1C" w14:textId="74BEC84A" w:rsidR="00640A2D" w:rsidRPr="00452C80" w:rsidRDefault="00640A2D" w:rsidP="00CA7296">
      <w:pPr>
        <w:spacing w:line="360" w:lineRule="auto"/>
        <w:ind w:left="833" w:hanging="720"/>
        <w:rPr>
          <w:sz w:val="24"/>
          <w:szCs w:val="24"/>
        </w:rPr>
      </w:pPr>
      <w:r w:rsidRPr="00452C80">
        <w:rPr>
          <w:sz w:val="24"/>
          <w:szCs w:val="24"/>
        </w:rPr>
        <w:lastRenderedPageBreak/>
        <w:t xml:space="preserve">Phuongloan, V. (2020) Swimming with Winnicott: An ode to the spirit of creativity, enquiry and learning. </w:t>
      </w:r>
      <w:r w:rsidRPr="00452C80">
        <w:rPr>
          <w:i/>
          <w:iCs/>
          <w:sz w:val="24"/>
          <w:szCs w:val="24"/>
        </w:rPr>
        <w:t>Psychoanalytic Social Work</w:t>
      </w:r>
      <w:r w:rsidRPr="00452C80">
        <w:rPr>
          <w:sz w:val="24"/>
          <w:szCs w:val="24"/>
        </w:rPr>
        <w:t xml:space="preserve">, </w:t>
      </w:r>
      <w:r w:rsidRPr="00452C80">
        <w:rPr>
          <w:b/>
          <w:bCs/>
          <w:sz w:val="24"/>
          <w:szCs w:val="24"/>
        </w:rPr>
        <w:t>27</w:t>
      </w:r>
      <w:r w:rsidRPr="00452C80">
        <w:rPr>
          <w:sz w:val="24"/>
          <w:szCs w:val="24"/>
        </w:rPr>
        <w:t xml:space="preserve">(2): pp.157-163. </w:t>
      </w:r>
      <w:hyperlink r:id="rId376" w:history="1">
        <w:r w:rsidRPr="00481CEB">
          <w:rPr>
            <w:rStyle w:val="Hyperlink"/>
            <w:color w:val="0070C0"/>
            <w:sz w:val="24"/>
            <w:szCs w:val="24"/>
          </w:rPr>
          <w:t>https://www.researchgate.net/publication/346362310_Swimming_with_Winnicott_An_Ode_to_the_Spirit_of_Creativity_Inquiry_and_Learning</w:t>
        </w:r>
      </w:hyperlink>
    </w:p>
    <w:p w14:paraId="63417FC4" w14:textId="77777777" w:rsidR="00640A2D" w:rsidRPr="00452C80" w:rsidRDefault="00640A2D" w:rsidP="00CA7296">
      <w:pPr>
        <w:spacing w:line="360" w:lineRule="auto"/>
        <w:ind w:left="833" w:hanging="720"/>
        <w:rPr>
          <w:sz w:val="24"/>
          <w:szCs w:val="24"/>
        </w:rPr>
      </w:pPr>
      <w:r w:rsidRPr="00452C80">
        <w:rPr>
          <w:sz w:val="24"/>
          <w:szCs w:val="24"/>
        </w:rPr>
        <w:t xml:space="preserve">Piaget, J. (1932) </w:t>
      </w:r>
      <w:r w:rsidRPr="00452C80">
        <w:rPr>
          <w:i/>
          <w:iCs/>
          <w:sz w:val="24"/>
          <w:szCs w:val="24"/>
        </w:rPr>
        <w:t>The Moral Judgement of the Child</w:t>
      </w:r>
      <w:r w:rsidRPr="00452C80">
        <w:rPr>
          <w:sz w:val="24"/>
          <w:szCs w:val="24"/>
        </w:rPr>
        <w:t>. London: Routledge and Kegan Paul.</w:t>
      </w:r>
    </w:p>
    <w:p w14:paraId="62CF7C1C" w14:textId="77777777" w:rsidR="00640A2D" w:rsidRPr="00452C80" w:rsidRDefault="00640A2D" w:rsidP="00CA7296">
      <w:pPr>
        <w:spacing w:line="360" w:lineRule="auto"/>
        <w:ind w:left="833" w:hanging="720"/>
        <w:rPr>
          <w:sz w:val="24"/>
          <w:szCs w:val="24"/>
        </w:rPr>
      </w:pPr>
      <w:r w:rsidRPr="00452C80">
        <w:rPr>
          <w:sz w:val="24"/>
          <w:szCs w:val="24"/>
        </w:rPr>
        <w:t xml:space="preserve">Piaget, J. (1937) </w:t>
      </w:r>
      <w:r w:rsidRPr="00452C80">
        <w:rPr>
          <w:i/>
          <w:iCs/>
          <w:sz w:val="24"/>
          <w:szCs w:val="24"/>
        </w:rPr>
        <w:t>The Construction of Reality</w:t>
      </w:r>
      <w:r w:rsidRPr="00452C80">
        <w:rPr>
          <w:sz w:val="24"/>
          <w:szCs w:val="24"/>
        </w:rPr>
        <w:t>. New York: Basic Books.</w:t>
      </w:r>
    </w:p>
    <w:p w14:paraId="4CD92C51" w14:textId="2F7BE7BA" w:rsidR="00640A2D" w:rsidRPr="00452C80" w:rsidRDefault="00640A2D" w:rsidP="00CA7296">
      <w:pPr>
        <w:spacing w:line="360" w:lineRule="auto"/>
        <w:ind w:left="833" w:hanging="720"/>
        <w:rPr>
          <w:sz w:val="24"/>
          <w:szCs w:val="24"/>
        </w:rPr>
      </w:pPr>
      <w:r w:rsidRPr="00452C80">
        <w:rPr>
          <w:sz w:val="24"/>
          <w:szCs w:val="24"/>
        </w:rPr>
        <w:t>Piaget, J. (1977) In</w:t>
      </w:r>
      <w:r w:rsidR="00892637">
        <w:rPr>
          <w:sz w:val="24"/>
          <w:szCs w:val="24"/>
        </w:rPr>
        <w:t>:</w:t>
      </w:r>
      <w:r w:rsidRPr="00452C80">
        <w:rPr>
          <w:sz w:val="24"/>
          <w:szCs w:val="24"/>
        </w:rPr>
        <w:t xml:space="preserve"> H.E. Gruber, and J.J. Vonectre (eds)</w:t>
      </w:r>
      <w:r w:rsidR="00892637">
        <w:rPr>
          <w:sz w:val="24"/>
          <w:szCs w:val="24"/>
        </w:rPr>
        <w:t>,</w:t>
      </w:r>
      <w:r w:rsidRPr="00452C80">
        <w:rPr>
          <w:sz w:val="24"/>
          <w:szCs w:val="24"/>
        </w:rPr>
        <w:t xml:space="preserve"> </w:t>
      </w:r>
      <w:r w:rsidRPr="00452C80">
        <w:rPr>
          <w:i/>
          <w:sz w:val="24"/>
          <w:szCs w:val="24"/>
        </w:rPr>
        <w:t>The Essential Piaget</w:t>
      </w:r>
      <w:r w:rsidRPr="00452C80">
        <w:rPr>
          <w:sz w:val="24"/>
          <w:szCs w:val="24"/>
        </w:rPr>
        <w:t xml:space="preserve">. London: </w:t>
      </w:r>
      <w:r w:rsidRPr="00452C80">
        <w:rPr>
          <w:sz w:val="24"/>
          <w:szCs w:val="24"/>
        </w:rPr>
        <w:tab/>
        <w:t xml:space="preserve">Routledge and Kegan Paul. </w:t>
      </w:r>
    </w:p>
    <w:p w14:paraId="4285F9B7" w14:textId="77777777" w:rsidR="00640A2D" w:rsidRPr="00452C80" w:rsidRDefault="00640A2D" w:rsidP="00CA7296">
      <w:pPr>
        <w:spacing w:line="360" w:lineRule="auto"/>
        <w:ind w:left="833" w:hanging="720"/>
        <w:rPr>
          <w:sz w:val="24"/>
          <w:szCs w:val="24"/>
        </w:rPr>
      </w:pPr>
      <w:r w:rsidRPr="00452C80">
        <w:rPr>
          <w:sz w:val="24"/>
          <w:szCs w:val="24"/>
        </w:rPr>
        <w:t xml:space="preserve">Pines, M. (1986) Psychoanalysis, Psychodrama and Group Psychotherapy: Stepchildren of Vienna. </w:t>
      </w:r>
      <w:r w:rsidRPr="00452C80">
        <w:rPr>
          <w:i/>
          <w:iCs/>
          <w:sz w:val="24"/>
          <w:szCs w:val="24"/>
        </w:rPr>
        <w:t>Group Analysis</w:t>
      </w:r>
      <w:r w:rsidRPr="00452C80">
        <w:rPr>
          <w:sz w:val="24"/>
          <w:szCs w:val="24"/>
        </w:rPr>
        <w:t>, 19: pp. 101-12.</w:t>
      </w:r>
      <w:r w:rsidRPr="00452C80">
        <w:t xml:space="preserve"> </w:t>
      </w:r>
      <w:hyperlink r:id="rId377" w:history="1">
        <w:r w:rsidRPr="00481CEB">
          <w:rPr>
            <w:rStyle w:val="Hyperlink"/>
            <w:color w:val="0070C0"/>
            <w:sz w:val="24"/>
            <w:szCs w:val="24"/>
          </w:rPr>
          <w:t>https://doi.org/10.1177/0533316486192003</w:t>
        </w:r>
      </w:hyperlink>
    </w:p>
    <w:p w14:paraId="28C9B69A" w14:textId="28F85DD2" w:rsidR="00640A2D" w:rsidRPr="00452C80" w:rsidRDefault="00640A2D" w:rsidP="00CA7296">
      <w:pPr>
        <w:spacing w:line="360" w:lineRule="auto"/>
        <w:ind w:left="833" w:hanging="720"/>
        <w:rPr>
          <w:sz w:val="24"/>
          <w:szCs w:val="24"/>
        </w:rPr>
      </w:pPr>
      <w:r w:rsidRPr="00452C80">
        <w:rPr>
          <w:sz w:val="24"/>
          <w:szCs w:val="24"/>
        </w:rPr>
        <w:t xml:space="preserve">Pinkola-Estes, C. (1992) </w:t>
      </w:r>
      <w:r w:rsidRPr="00452C80">
        <w:rPr>
          <w:i/>
          <w:sz w:val="24"/>
          <w:szCs w:val="24"/>
        </w:rPr>
        <w:t>Women Who Run with the Wolves</w:t>
      </w:r>
      <w:r w:rsidRPr="00452C80">
        <w:rPr>
          <w:sz w:val="24"/>
          <w:szCs w:val="24"/>
        </w:rPr>
        <w:t xml:space="preserve">. London: Rider Random House </w:t>
      </w:r>
      <w:r w:rsidRPr="00452C80">
        <w:rPr>
          <w:sz w:val="24"/>
          <w:szCs w:val="24"/>
        </w:rPr>
        <w:tab/>
        <w:t xml:space="preserve">Group. </w:t>
      </w:r>
    </w:p>
    <w:p w14:paraId="5D6EF29B" w14:textId="77777777" w:rsidR="00640A2D" w:rsidRPr="00452C80" w:rsidRDefault="00640A2D" w:rsidP="00481CEB">
      <w:pPr>
        <w:spacing w:line="360" w:lineRule="auto"/>
        <w:ind w:left="833" w:hanging="720"/>
        <w:rPr>
          <w:sz w:val="24"/>
          <w:szCs w:val="24"/>
        </w:rPr>
      </w:pPr>
      <w:r w:rsidRPr="00452C80">
        <w:rPr>
          <w:sz w:val="24"/>
          <w:szCs w:val="24"/>
        </w:rPr>
        <w:t xml:space="preserve">Platt, L. (2014) The “wicked problem” of reflective practice: A critical literature review. </w:t>
      </w:r>
      <w:r w:rsidRPr="00452C80">
        <w:rPr>
          <w:i/>
          <w:iCs/>
          <w:sz w:val="24"/>
          <w:szCs w:val="24"/>
        </w:rPr>
        <w:t>Innovations in Practice</w:t>
      </w:r>
      <w:r w:rsidRPr="00452C80">
        <w:rPr>
          <w:sz w:val="24"/>
          <w:szCs w:val="24"/>
        </w:rPr>
        <w:t xml:space="preserve">, </w:t>
      </w:r>
      <w:r w:rsidRPr="00452C80">
        <w:rPr>
          <w:b/>
          <w:bCs/>
          <w:sz w:val="24"/>
          <w:szCs w:val="24"/>
        </w:rPr>
        <w:t>9</w:t>
      </w:r>
      <w:r w:rsidRPr="00452C80">
        <w:rPr>
          <w:sz w:val="24"/>
          <w:szCs w:val="24"/>
        </w:rPr>
        <w:t>(1): pp. 44-53.</w:t>
      </w:r>
      <w:r w:rsidRPr="00452C80">
        <w:t xml:space="preserve"> </w:t>
      </w:r>
      <w:hyperlink r:id="rId378" w:history="1">
        <w:r w:rsidRPr="00343A22">
          <w:rPr>
            <w:rStyle w:val="Hyperlink"/>
            <w:color w:val="0070C0"/>
            <w:sz w:val="24"/>
            <w:szCs w:val="24"/>
          </w:rPr>
          <w:t>https://doi.org/10.24377/LJMU.iip.vol9iss1article108</w:t>
        </w:r>
      </w:hyperlink>
    </w:p>
    <w:p w14:paraId="2944376E" w14:textId="44434928" w:rsidR="00640A2D" w:rsidRPr="00452C80" w:rsidRDefault="00640A2D" w:rsidP="00481CEB">
      <w:pPr>
        <w:spacing w:line="360" w:lineRule="auto"/>
        <w:ind w:left="833" w:hanging="720"/>
        <w:rPr>
          <w:sz w:val="24"/>
          <w:szCs w:val="24"/>
        </w:rPr>
      </w:pPr>
      <w:r w:rsidRPr="00452C80">
        <w:rPr>
          <w:sz w:val="24"/>
          <w:szCs w:val="24"/>
        </w:rPr>
        <w:t>Pocock, B., Williams, P.</w:t>
      </w:r>
      <w:r w:rsidR="00010F1B">
        <w:rPr>
          <w:sz w:val="24"/>
          <w:szCs w:val="24"/>
        </w:rPr>
        <w:t>,</w:t>
      </w:r>
      <w:r w:rsidRPr="00452C80">
        <w:rPr>
          <w:sz w:val="24"/>
          <w:szCs w:val="24"/>
        </w:rPr>
        <w:t xml:space="preserve"> and Skinner, N. (2012) Conceptualising work, family and community: socio-ecological systems model, taking account of power, time, space and life stage.</w:t>
      </w:r>
      <w:r w:rsidRPr="00452C80">
        <w:rPr>
          <w:i/>
          <w:iCs/>
          <w:sz w:val="24"/>
          <w:szCs w:val="24"/>
        </w:rPr>
        <w:t xml:space="preserve"> British Journal of Industrial Relations</w:t>
      </w:r>
      <w:r w:rsidRPr="00452C80">
        <w:rPr>
          <w:sz w:val="24"/>
          <w:szCs w:val="24"/>
        </w:rPr>
        <w:t xml:space="preserve">, </w:t>
      </w:r>
      <w:r w:rsidRPr="00452C80">
        <w:rPr>
          <w:b/>
          <w:bCs/>
          <w:sz w:val="24"/>
          <w:szCs w:val="24"/>
        </w:rPr>
        <w:t>50</w:t>
      </w:r>
      <w:r w:rsidRPr="00452C80">
        <w:rPr>
          <w:sz w:val="24"/>
          <w:szCs w:val="24"/>
        </w:rPr>
        <w:t>(3): pp. 391-411.</w:t>
      </w:r>
      <w:r w:rsidRPr="00452C80">
        <w:rPr>
          <w:rFonts w:ascii="Open Sans" w:eastAsia="Times New Roman" w:hAnsi="Open Sans" w:cs="Open Sans"/>
          <w:sz w:val="21"/>
          <w:szCs w:val="21"/>
          <w:shd w:val="clear" w:color="auto" w:fill="FFFFFF"/>
          <w:lang w:eastAsia="en-GB"/>
        </w:rPr>
        <w:t xml:space="preserve"> </w:t>
      </w:r>
      <w:r w:rsidRPr="00452C80">
        <w:rPr>
          <w:sz w:val="24"/>
          <w:szCs w:val="24"/>
        </w:rPr>
        <w:t> </w:t>
      </w:r>
      <w:hyperlink r:id="rId379" w:history="1">
        <w:r w:rsidRPr="00343A22">
          <w:rPr>
            <w:rStyle w:val="Hyperlink"/>
            <w:color w:val="0070C0"/>
            <w:sz w:val="24"/>
            <w:szCs w:val="24"/>
          </w:rPr>
          <w:t>https://doi.org/10.1111/j.1467-8543.2011.00852.x</w:t>
        </w:r>
      </w:hyperlink>
    </w:p>
    <w:p w14:paraId="390F3A66" w14:textId="77777777" w:rsidR="00640A2D" w:rsidRPr="00452C80" w:rsidRDefault="00640A2D" w:rsidP="00481CEB">
      <w:pPr>
        <w:spacing w:line="360" w:lineRule="auto"/>
        <w:ind w:left="833" w:hanging="720"/>
        <w:rPr>
          <w:sz w:val="24"/>
          <w:szCs w:val="24"/>
        </w:rPr>
      </w:pPr>
      <w:r w:rsidRPr="00452C80">
        <w:rPr>
          <w:sz w:val="24"/>
          <w:szCs w:val="24"/>
        </w:rPr>
        <w:t xml:space="preserve">Pointon, C. (2014) The changing role of the University counselling service. </w:t>
      </w:r>
      <w:r w:rsidRPr="00452C80">
        <w:rPr>
          <w:i/>
          <w:iCs/>
          <w:sz w:val="24"/>
          <w:szCs w:val="24"/>
        </w:rPr>
        <w:t>Therapy Today.</w:t>
      </w:r>
      <w:r w:rsidRPr="00452C80">
        <w:rPr>
          <w:sz w:val="24"/>
          <w:szCs w:val="24"/>
        </w:rPr>
        <w:t xml:space="preserve"> </w:t>
      </w:r>
      <w:r w:rsidRPr="00452C80">
        <w:rPr>
          <w:b/>
          <w:bCs/>
          <w:sz w:val="24"/>
          <w:szCs w:val="24"/>
        </w:rPr>
        <w:t>25</w:t>
      </w:r>
      <w:r w:rsidRPr="00452C80">
        <w:rPr>
          <w:sz w:val="24"/>
          <w:szCs w:val="24"/>
        </w:rPr>
        <w:t>(8): pp. 12-17</w:t>
      </w:r>
      <w:r w:rsidRPr="00343A22">
        <w:rPr>
          <w:color w:val="0070C0"/>
          <w:sz w:val="24"/>
          <w:szCs w:val="24"/>
        </w:rPr>
        <w:t xml:space="preserve">. </w:t>
      </w:r>
      <w:hyperlink r:id="rId380" w:history="1">
        <w:r w:rsidRPr="00343A22">
          <w:rPr>
            <w:rStyle w:val="Hyperlink"/>
            <w:color w:val="0070C0"/>
            <w:sz w:val="24"/>
            <w:szCs w:val="24"/>
          </w:rPr>
          <w:t>https://www.bacp.co.uk/bacp-journals/therapy-today/2014/october-2014/the-changing-role-of-the-university-counselling-service/</w:t>
        </w:r>
      </w:hyperlink>
    </w:p>
    <w:p w14:paraId="184020D1" w14:textId="77777777" w:rsidR="00640A2D" w:rsidRPr="00452C80" w:rsidRDefault="00640A2D" w:rsidP="00481CEB">
      <w:pPr>
        <w:spacing w:line="360" w:lineRule="auto"/>
        <w:ind w:left="833" w:hanging="720"/>
        <w:rPr>
          <w:bCs/>
          <w:sz w:val="24"/>
          <w:szCs w:val="24"/>
        </w:rPr>
      </w:pPr>
      <w:r w:rsidRPr="00452C80">
        <w:rPr>
          <w:bCs/>
          <w:sz w:val="24"/>
          <w:szCs w:val="24"/>
        </w:rPr>
        <w:t xml:space="preserve">Polkinghorne, D. (1988) </w:t>
      </w:r>
      <w:r w:rsidRPr="00452C80">
        <w:rPr>
          <w:bCs/>
          <w:i/>
          <w:iCs/>
          <w:sz w:val="24"/>
          <w:szCs w:val="24"/>
        </w:rPr>
        <w:t>Narrative Knowing and the Human Sciences</w:t>
      </w:r>
      <w:r w:rsidRPr="00452C80">
        <w:rPr>
          <w:bCs/>
          <w:sz w:val="24"/>
          <w:szCs w:val="24"/>
        </w:rPr>
        <w:t>. Albany, NY: State University of New York press.</w:t>
      </w:r>
    </w:p>
    <w:p w14:paraId="6F37A985" w14:textId="77777777" w:rsidR="00640A2D" w:rsidRPr="00452C80" w:rsidRDefault="00640A2D" w:rsidP="00481CEB">
      <w:pPr>
        <w:spacing w:line="360" w:lineRule="auto"/>
        <w:ind w:left="833" w:hanging="720"/>
        <w:rPr>
          <w:bCs/>
          <w:sz w:val="24"/>
          <w:szCs w:val="24"/>
        </w:rPr>
      </w:pPr>
      <w:r w:rsidRPr="00452C80">
        <w:rPr>
          <w:bCs/>
          <w:sz w:val="24"/>
          <w:szCs w:val="24"/>
        </w:rPr>
        <w:t xml:space="preserve">Pollard, A. (2005) </w:t>
      </w:r>
      <w:r w:rsidRPr="00452C80">
        <w:rPr>
          <w:bCs/>
          <w:i/>
          <w:iCs/>
          <w:sz w:val="24"/>
          <w:szCs w:val="24"/>
        </w:rPr>
        <w:t>Reflective Teaching</w:t>
      </w:r>
      <w:r w:rsidRPr="00452C80">
        <w:rPr>
          <w:bCs/>
          <w:sz w:val="24"/>
          <w:szCs w:val="24"/>
        </w:rPr>
        <w:t xml:space="preserve"> (2</w:t>
      </w:r>
      <w:r w:rsidRPr="00452C80">
        <w:rPr>
          <w:bCs/>
          <w:sz w:val="24"/>
          <w:szCs w:val="24"/>
          <w:vertAlign w:val="superscript"/>
        </w:rPr>
        <w:t>nd</w:t>
      </w:r>
      <w:r w:rsidRPr="00452C80">
        <w:rPr>
          <w:bCs/>
          <w:sz w:val="24"/>
          <w:szCs w:val="24"/>
        </w:rPr>
        <w:t xml:space="preserve"> edition). London: Continuum.</w:t>
      </w:r>
    </w:p>
    <w:p w14:paraId="599C35CE" w14:textId="3194C5F4" w:rsidR="00640A2D" w:rsidRPr="00452C80" w:rsidRDefault="00640A2D" w:rsidP="00481CEB">
      <w:pPr>
        <w:spacing w:line="360" w:lineRule="auto"/>
        <w:ind w:left="833" w:hanging="720"/>
        <w:rPr>
          <w:bCs/>
          <w:sz w:val="24"/>
          <w:szCs w:val="24"/>
        </w:rPr>
      </w:pPr>
      <w:r w:rsidRPr="00452C80">
        <w:rPr>
          <w:rFonts w:ascii="Calibri" w:eastAsia="Calibri" w:hAnsi="Calibri" w:cs="Times New Roman"/>
          <w:sz w:val="24"/>
          <w:szCs w:val="24"/>
        </w:rPr>
        <w:lastRenderedPageBreak/>
        <w:t xml:space="preserve">Pollitt, C. (1990) </w:t>
      </w:r>
      <w:r w:rsidRPr="00452C80">
        <w:rPr>
          <w:rFonts w:ascii="Calibri" w:eastAsia="Calibri" w:hAnsi="Calibri" w:cs="Times New Roman"/>
          <w:i/>
          <w:iCs/>
          <w:sz w:val="24"/>
          <w:szCs w:val="24"/>
        </w:rPr>
        <w:t>Managerialism and the Public Services: The Anglo-American Experience</w:t>
      </w:r>
      <w:r w:rsidRPr="00452C80">
        <w:rPr>
          <w:rFonts w:ascii="Calibri" w:eastAsia="Calibri" w:hAnsi="Calibri" w:cs="Times New Roman"/>
          <w:sz w:val="24"/>
          <w:szCs w:val="24"/>
        </w:rPr>
        <w:t>. Oxford: Basil Blackwell.</w:t>
      </w:r>
    </w:p>
    <w:p w14:paraId="58C909A2" w14:textId="4519D045" w:rsidR="00640A2D" w:rsidRPr="00452C80" w:rsidRDefault="00640A2D" w:rsidP="00481CEB">
      <w:pPr>
        <w:spacing w:line="360" w:lineRule="auto"/>
        <w:ind w:left="833" w:hanging="720"/>
        <w:rPr>
          <w:sz w:val="24"/>
          <w:szCs w:val="24"/>
          <w:lang w:val="en-US"/>
        </w:rPr>
      </w:pPr>
      <w:r w:rsidRPr="00452C80">
        <w:rPr>
          <w:sz w:val="24"/>
          <w:szCs w:val="24"/>
          <w:lang w:val="en-US"/>
        </w:rPr>
        <w:t>Pope, C., Ziebland, S., and Mays, N. (2006) Analyzing qualitative data. In: C. Pope, and N.  Mays, (eds)</w:t>
      </w:r>
      <w:r w:rsidR="00892637">
        <w:rPr>
          <w:sz w:val="24"/>
          <w:szCs w:val="24"/>
          <w:lang w:val="en-US"/>
        </w:rPr>
        <w:t xml:space="preserve">, </w:t>
      </w:r>
      <w:r w:rsidRPr="00452C80">
        <w:rPr>
          <w:i/>
          <w:iCs/>
          <w:sz w:val="24"/>
          <w:szCs w:val="24"/>
          <w:lang w:val="en-US"/>
        </w:rPr>
        <w:t>Qualitative Research in Health Care</w:t>
      </w:r>
      <w:r w:rsidRPr="00452C80">
        <w:rPr>
          <w:sz w:val="24"/>
          <w:szCs w:val="24"/>
          <w:lang w:val="en-US"/>
        </w:rPr>
        <w:t xml:space="preserve"> (3</w:t>
      </w:r>
      <w:r w:rsidRPr="00452C80">
        <w:rPr>
          <w:sz w:val="24"/>
          <w:szCs w:val="24"/>
          <w:vertAlign w:val="superscript"/>
          <w:lang w:val="en-US"/>
        </w:rPr>
        <w:t>rd</w:t>
      </w:r>
      <w:r w:rsidRPr="00452C80">
        <w:rPr>
          <w:sz w:val="24"/>
          <w:szCs w:val="24"/>
          <w:lang w:val="en-US"/>
        </w:rPr>
        <w:t xml:space="preserve"> edition). Oxford: Blackwell Publishing.  Pp. 63-81</w:t>
      </w:r>
    </w:p>
    <w:p w14:paraId="338377F9" w14:textId="5B3403E6" w:rsidR="00640A2D" w:rsidRPr="00343A22" w:rsidRDefault="00640A2D" w:rsidP="00481CEB">
      <w:pPr>
        <w:spacing w:line="360" w:lineRule="auto"/>
        <w:ind w:left="833" w:hanging="720"/>
        <w:rPr>
          <w:color w:val="0070C0"/>
          <w:sz w:val="24"/>
          <w:szCs w:val="24"/>
        </w:rPr>
      </w:pPr>
      <w:r w:rsidRPr="00452C80">
        <w:rPr>
          <w:sz w:val="24"/>
          <w:szCs w:val="24"/>
        </w:rPr>
        <w:t xml:space="preserve">Price, H. (2002) The emotional context of classroom learning: A psychoanalytic perspective. </w:t>
      </w:r>
      <w:r w:rsidRPr="00452C80">
        <w:rPr>
          <w:i/>
          <w:iCs/>
          <w:sz w:val="24"/>
          <w:szCs w:val="24"/>
        </w:rPr>
        <w:t>European Journal of Psychotherapy</w:t>
      </w:r>
      <w:r w:rsidRPr="00452C80">
        <w:rPr>
          <w:sz w:val="24"/>
          <w:szCs w:val="24"/>
        </w:rPr>
        <w:t xml:space="preserve">, </w:t>
      </w:r>
      <w:r w:rsidRPr="00452C80">
        <w:rPr>
          <w:i/>
          <w:iCs/>
          <w:sz w:val="24"/>
          <w:szCs w:val="24"/>
        </w:rPr>
        <w:t>Counselling and Health</w:t>
      </w:r>
      <w:r w:rsidRPr="00452C80">
        <w:rPr>
          <w:sz w:val="24"/>
          <w:szCs w:val="24"/>
        </w:rPr>
        <w:t xml:space="preserve">, </w:t>
      </w:r>
      <w:r w:rsidRPr="00452C80">
        <w:rPr>
          <w:b/>
          <w:bCs/>
          <w:sz w:val="24"/>
          <w:szCs w:val="24"/>
        </w:rPr>
        <w:t>5</w:t>
      </w:r>
      <w:r w:rsidRPr="00452C80">
        <w:rPr>
          <w:sz w:val="24"/>
          <w:szCs w:val="24"/>
        </w:rPr>
        <w:t xml:space="preserve">(3): pp. 305-316. </w:t>
      </w:r>
      <w:hyperlink r:id="rId381" w:history="1">
        <w:r w:rsidRPr="00343A22">
          <w:rPr>
            <w:rStyle w:val="Hyperlink"/>
            <w:color w:val="0070C0"/>
            <w:sz w:val="24"/>
            <w:szCs w:val="24"/>
          </w:rPr>
          <w:t>https://doi.org/10.1080/1364253031000091381</w:t>
        </w:r>
      </w:hyperlink>
    </w:p>
    <w:p w14:paraId="559E696B" w14:textId="75867AC0" w:rsidR="00640A2D" w:rsidRPr="00452C80" w:rsidRDefault="00640A2D" w:rsidP="00481CEB">
      <w:pPr>
        <w:spacing w:line="360" w:lineRule="auto"/>
        <w:ind w:left="833" w:hanging="720"/>
        <w:rPr>
          <w:bCs/>
          <w:sz w:val="24"/>
          <w:szCs w:val="24"/>
        </w:rPr>
      </w:pPr>
      <w:r w:rsidRPr="00452C80">
        <w:rPr>
          <w:bCs/>
          <w:sz w:val="24"/>
          <w:szCs w:val="24"/>
        </w:rPr>
        <w:t>Price, R. A. (2022) A review of resilience in higher education: toward the emerging concept of designer resilience. </w:t>
      </w:r>
      <w:r w:rsidRPr="00452C80">
        <w:rPr>
          <w:bCs/>
          <w:i/>
          <w:iCs/>
          <w:sz w:val="24"/>
          <w:szCs w:val="24"/>
        </w:rPr>
        <w:t>Studies in Higher Education</w:t>
      </w:r>
      <w:r w:rsidRPr="00452C80">
        <w:rPr>
          <w:bCs/>
          <w:sz w:val="24"/>
          <w:szCs w:val="24"/>
        </w:rPr>
        <w:t>, </w:t>
      </w:r>
      <w:r w:rsidRPr="00343A22">
        <w:rPr>
          <w:b/>
          <w:sz w:val="24"/>
          <w:szCs w:val="24"/>
        </w:rPr>
        <w:t>48</w:t>
      </w:r>
      <w:r w:rsidRPr="00452C80">
        <w:rPr>
          <w:bCs/>
          <w:sz w:val="24"/>
          <w:szCs w:val="24"/>
        </w:rPr>
        <w:t xml:space="preserve">(1): pp.83–99. </w:t>
      </w:r>
      <w:hyperlink r:id="rId382" w:history="1">
        <w:r w:rsidRPr="00343A22">
          <w:rPr>
            <w:rStyle w:val="Hyperlink"/>
            <w:bCs/>
            <w:color w:val="0070C0"/>
            <w:sz w:val="24"/>
            <w:szCs w:val="24"/>
          </w:rPr>
          <w:t>https://doi.org/10.1080/03075079.2022.2112027</w:t>
        </w:r>
      </w:hyperlink>
    </w:p>
    <w:p w14:paraId="393EFF2B" w14:textId="10FF4A9C" w:rsidR="00640A2D" w:rsidRPr="00452C80" w:rsidRDefault="00640A2D" w:rsidP="00481CEB">
      <w:pPr>
        <w:spacing w:line="360" w:lineRule="auto"/>
        <w:ind w:left="833" w:hanging="720"/>
        <w:rPr>
          <w:rFonts w:cstheme="minorHAnsi"/>
          <w:sz w:val="24"/>
          <w:szCs w:val="24"/>
          <w:shd w:val="clear" w:color="auto" w:fill="FFFFFF"/>
        </w:rPr>
      </w:pPr>
      <w:r w:rsidRPr="00452C80">
        <w:rPr>
          <w:bCs/>
          <w:sz w:val="24"/>
          <w:szCs w:val="24"/>
        </w:rPr>
        <w:t xml:space="preserve">Pring, R. (2009) Education cannot compensate for society: Reflections on the Nuffield review of 14 to 19 education and training, </w:t>
      </w:r>
      <w:r w:rsidRPr="00452C80">
        <w:rPr>
          <w:bCs/>
          <w:i/>
          <w:iCs/>
          <w:sz w:val="24"/>
          <w:szCs w:val="24"/>
        </w:rPr>
        <w:t>Forum</w:t>
      </w:r>
      <w:r w:rsidRPr="00452C80">
        <w:rPr>
          <w:bCs/>
          <w:sz w:val="24"/>
          <w:szCs w:val="24"/>
        </w:rPr>
        <w:t xml:space="preserve">, </w:t>
      </w:r>
      <w:r w:rsidRPr="00452C80">
        <w:rPr>
          <w:b/>
          <w:sz w:val="24"/>
          <w:szCs w:val="24"/>
        </w:rPr>
        <w:t>51</w:t>
      </w:r>
      <w:r w:rsidRPr="00452C80">
        <w:rPr>
          <w:bCs/>
          <w:sz w:val="24"/>
          <w:szCs w:val="24"/>
        </w:rPr>
        <w:t>(2): pp. 197-204.</w:t>
      </w:r>
      <w:r w:rsidRPr="00452C80">
        <w:rPr>
          <w:rFonts w:ascii="Arial" w:hAnsi="Arial" w:cs="Arial"/>
          <w:sz w:val="27"/>
          <w:szCs w:val="27"/>
          <w:shd w:val="clear" w:color="auto" w:fill="FFFFFF"/>
        </w:rPr>
        <w:t xml:space="preserve"> </w:t>
      </w:r>
      <w:hyperlink r:id="rId383" w:history="1">
        <w:r w:rsidRPr="004143DB">
          <w:rPr>
            <w:rStyle w:val="Hyperlink"/>
            <w:rFonts w:cstheme="minorHAnsi"/>
            <w:color w:val="0070C0"/>
            <w:sz w:val="24"/>
            <w:szCs w:val="24"/>
            <w:shd w:val="clear" w:color="auto" w:fill="FFFFFF"/>
          </w:rPr>
          <w:t>https://www.jstor.org/stable/40962571</w:t>
        </w:r>
      </w:hyperlink>
    </w:p>
    <w:p w14:paraId="40CFF188" w14:textId="34B18B68" w:rsidR="00640A2D" w:rsidRPr="00452C80" w:rsidRDefault="00640A2D" w:rsidP="00481CEB">
      <w:pPr>
        <w:spacing w:line="360" w:lineRule="auto"/>
        <w:ind w:left="833" w:hanging="720"/>
        <w:rPr>
          <w:sz w:val="24"/>
          <w:szCs w:val="24"/>
        </w:rPr>
      </w:pPr>
      <w:r w:rsidRPr="00452C80">
        <w:rPr>
          <w:sz w:val="24"/>
          <w:szCs w:val="24"/>
        </w:rPr>
        <w:t xml:space="preserve">Proctor, B. (1986) Supervision: a cooperative exercise and accountability. In: M. Marken and M. Payne (eds) </w:t>
      </w:r>
      <w:r w:rsidRPr="00452C80">
        <w:rPr>
          <w:i/>
          <w:iCs/>
          <w:sz w:val="24"/>
          <w:szCs w:val="24"/>
        </w:rPr>
        <w:t>Enabling and Ensuring: supervision and practice</w:t>
      </w:r>
      <w:r w:rsidRPr="00452C80">
        <w:rPr>
          <w:sz w:val="24"/>
          <w:szCs w:val="24"/>
        </w:rPr>
        <w:t xml:space="preserve">. Leicester: National Bureau and Council for Education and Training in Youth and Community Work: pp. 21-23. </w:t>
      </w:r>
    </w:p>
    <w:p w14:paraId="0471D13E" w14:textId="77777777" w:rsidR="00640A2D" w:rsidRPr="00452C80" w:rsidRDefault="00640A2D" w:rsidP="00481CEB">
      <w:pPr>
        <w:spacing w:line="360" w:lineRule="auto"/>
        <w:ind w:left="833" w:hanging="720"/>
        <w:rPr>
          <w:sz w:val="24"/>
          <w:szCs w:val="24"/>
        </w:rPr>
      </w:pPr>
      <w:r w:rsidRPr="00452C80">
        <w:rPr>
          <w:sz w:val="24"/>
          <w:szCs w:val="24"/>
        </w:rPr>
        <w:t xml:space="preserve">Propp, V. (1958) </w:t>
      </w:r>
      <w:r w:rsidRPr="00452C80">
        <w:rPr>
          <w:i/>
          <w:iCs/>
          <w:sz w:val="24"/>
          <w:szCs w:val="24"/>
        </w:rPr>
        <w:t>Morphology of the Folktale</w:t>
      </w:r>
      <w:r w:rsidRPr="00452C80">
        <w:rPr>
          <w:sz w:val="24"/>
          <w:szCs w:val="24"/>
        </w:rPr>
        <w:t>. Austin, USA: University of Texas Press.</w:t>
      </w:r>
    </w:p>
    <w:p w14:paraId="2703EC38" w14:textId="77777777" w:rsidR="00640A2D" w:rsidRPr="00452C80" w:rsidRDefault="00640A2D" w:rsidP="00481CEB">
      <w:pPr>
        <w:spacing w:line="360" w:lineRule="auto"/>
        <w:ind w:left="833" w:hanging="720"/>
        <w:rPr>
          <w:sz w:val="24"/>
          <w:szCs w:val="24"/>
        </w:rPr>
      </w:pPr>
      <w:r w:rsidRPr="00452C80">
        <w:rPr>
          <w:sz w:val="24"/>
          <w:szCs w:val="24"/>
        </w:rPr>
        <w:t xml:space="preserve">Pullman, P. (2012/2013) </w:t>
      </w:r>
      <w:r w:rsidRPr="00452C80">
        <w:rPr>
          <w:i/>
          <w:iCs/>
          <w:sz w:val="24"/>
          <w:szCs w:val="24"/>
        </w:rPr>
        <w:t>Grimm Tales for Young and Old</w:t>
      </w:r>
      <w:r w:rsidRPr="00452C80">
        <w:rPr>
          <w:sz w:val="24"/>
          <w:szCs w:val="24"/>
        </w:rPr>
        <w:t>. London: Penguin Books Ltd.</w:t>
      </w:r>
    </w:p>
    <w:p w14:paraId="5C89F529" w14:textId="078E5731" w:rsidR="00640A2D" w:rsidRPr="00452C80" w:rsidRDefault="00640A2D" w:rsidP="00481CEB">
      <w:pPr>
        <w:spacing w:line="360" w:lineRule="auto"/>
        <w:ind w:left="833" w:hanging="720"/>
        <w:rPr>
          <w:sz w:val="24"/>
          <w:szCs w:val="24"/>
        </w:rPr>
      </w:pPr>
      <w:r w:rsidRPr="00452C80">
        <w:rPr>
          <w:sz w:val="24"/>
          <w:szCs w:val="24"/>
        </w:rPr>
        <w:t>Putnam, R.</w:t>
      </w:r>
      <w:r w:rsidR="00C67E7E">
        <w:rPr>
          <w:sz w:val="24"/>
          <w:szCs w:val="24"/>
        </w:rPr>
        <w:t xml:space="preserve"> </w:t>
      </w:r>
      <w:r w:rsidRPr="00452C80">
        <w:rPr>
          <w:sz w:val="24"/>
          <w:szCs w:val="24"/>
        </w:rPr>
        <w:t xml:space="preserve">D. (2001) </w:t>
      </w:r>
      <w:r w:rsidRPr="00452C80">
        <w:rPr>
          <w:i/>
          <w:iCs/>
          <w:sz w:val="24"/>
          <w:szCs w:val="24"/>
        </w:rPr>
        <w:t>Bowling alone: The collapse and revival of American community</w:t>
      </w:r>
      <w:r w:rsidRPr="00452C80">
        <w:rPr>
          <w:sz w:val="24"/>
          <w:szCs w:val="24"/>
        </w:rPr>
        <w:t xml:space="preserve">. New York: Simon and Shuster/Touchstone. </w:t>
      </w:r>
    </w:p>
    <w:p w14:paraId="1381F81B" w14:textId="2663FFD8" w:rsidR="00640A2D" w:rsidRPr="00001F1C" w:rsidRDefault="00640A2D" w:rsidP="00481CEB">
      <w:pPr>
        <w:spacing w:line="360" w:lineRule="auto"/>
        <w:ind w:left="833" w:hanging="720"/>
        <w:rPr>
          <w:sz w:val="24"/>
          <w:szCs w:val="24"/>
        </w:rPr>
      </w:pPr>
      <w:r w:rsidRPr="00452C80">
        <w:rPr>
          <w:sz w:val="24"/>
          <w:szCs w:val="24"/>
        </w:rPr>
        <w:t>Quality Assurance Agency for Higher Education (1997/2009) </w:t>
      </w:r>
      <w:r w:rsidRPr="00452C80">
        <w:rPr>
          <w:i/>
          <w:iCs/>
          <w:sz w:val="24"/>
          <w:szCs w:val="24"/>
        </w:rPr>
        <w:t>Personal development planning: guidance for institutional policy and practice in higher education</w:t>
      </w:r>
      <w:r w:rsidRPr="00452C80">
        <w:rPr>
          <w:sz w:val="24"/>
          <w:szCs w:val="24"/>
        </w:rPr>
        <w:t>. Gloucester: The Quality Assurance Agency for Higher Education, 2009. ISBN 978-1-84482-914-9. Available at: </w:t>
      </w:r>
      <w:hyperlink r:id="rId384" w:history="1">
        <w:r w:rsidRPr="004143DB">
          <w:rPr>
            <w:rStyle w:val="Hyperlink"/>
            <w:color w:val="0070C0"/>
            <w:sz w:val="24"/>
            <w:szCs w:val="24"/>
          </w:rPr>
          <w:t>www.qaa.ac.uk</w:t>
        </w:r>
      </w:hyperlink>
      <w:r w:rsidR="00001F1C">
        <w:t xml:space="preserve">  </w:t>
      </w:r>
      <w:r w:rsidR="00001F1C">
        <w:rPr>
          <w:sz w:val="24"/>
          <w:szCs w:val="24"/>
        </w:rPr>
        <w:t>[Accessed 3</w:t>
      </w:r>
      <w:r w:rsidR="00001F1C" w:rsidRPr="00001F1C">
        <w:rPr>
          <w:sz w:val="24"/>
          <w:szCs w:val="24"/>
          <w:vertAlign w:val="superscript"/>
        </w:rPr>
        <w:t>rd</w:t>
      </w:r>
      <w:r w:rsidR="00001F1C">
        <w:rPr>
          <w:sz w:val="24"/>
          <w:szCs w:val="24"/>
        </w:rPr>
        <w:t xml:space="preserve"> </w:t>
      </w:r>
      <w:r w:rsidR="0075458C">
        <w:rPr>
          <w:sz w:val="24"/>
          <w:szCs w:val="24"/>
        </w:rPr>
        <w:t>January 2022]</w:t>
      </w:r>
    </w:p>
    <w:p w14:paraId="650193C8" w14:textId="77777777" w:rsidR="00640A2D" w:rsidRPr="004143DB" w:rsidRDefault="00640A2D" w:rsidP="00481CEB">
      <w:pPr>
        <w:spacing w:line="360" w:lineRule="auto"/>
        <w:ind w:left="833" w:hanging="720"/>
        <w:rPr>
          <w:color w:val="0070C0"/>
          <w:sz w:val="24"/>
          <w:szCs w:val="24"/>
        </w:rPr>
      </w:pPr>
      <w:r w:rsidRPr="00452C80">
        <w:rPr>
          <w:sz w:val="24"/>
          <w:szCs w:val="24"/>
        </w:rPr>
        <w:lastRenderedPageBreak/>
        <w:t xml:space="preserve">Rae, T., Cowell, N., and Field, L. (2017) Supporting teachers’ well-being in the context of schools for children with social, emotional and behavioural difficulties. </w:t>
      </w:r>
      <w:hyperlink r:id="rId385" w:history="1">
        <w:r w:rsidRPr="00452C80">
          <w:rPr>
            <w:rStyle w:val="Hyperlink"/>
            <w:i/>
            <w:iCs/>
            <w:color w:val="auto"/>
            <w:sz w:val="24"/>
            <w:szCs w:val="24"/>
          </w:rPr>
          <w:t>Emotional and Behavioural Difficulties</w:t>
        </w:r>
      </w:hyperlink>
      <w:r w:rsidRPr="00452C80">
        <w:rPr>
          <w:sz w:val="24"/>
          <w:szCs w:val="24"/>
        </w:rPr>
        <w:t xml:space="preserve">, </w:t>
      </w:r>
      <w:r w:rsidRPr="00452C80">
        <w:rPr>
          <w:b/>
          <w:bCs/>
          <w:sz w:val="24"/>
          <w:szCs w:val="24"/>
        </w:rPr>
        <w:t>22</w:t>
      </w:r>
      <w:r w:rsidRPr="00452C80">
        <w:rPr>
          <w:sz w:val="24"/>
          <w:szCs w:val="24"/>
        </w:rPr>
        <w:t xml:space="preserve">(4): pp.1-19. </w:t>
      </w:r>
      <w:hyperlink r:id="rId386" w:history="1">
        <w:r w:rsidRPr="004143DB">
          <w:rPr>
            <w:rStyle w:val="Hyperlink"/>
            <w:color w:val="0070C0"/>
            <w:sz w:val="24"/>
            <w:szCs w:val="24"/>
          </w:rPr>
          <w:t>https://www.nurtureuk.org/wp-content/uploads/2021/10/IJNE_Volume4_FINAL.pdf</w:t>
        </w:r>
      </w:hyperlink>
    </w:p>
    <w:p w14:paraId="088F5C7E" w14:textId="77777777" w:rsidR="00640A2D" w:rsidRPr="00452C80" w:rsidRDefault="00640A2D" w:rsidP="00481CEB">
      <w:pPr>
        <w:spacing w:line="360" w:lineRule="auto"/>
        <w:ind w:left="833" w:hanging="720"/>
        <w:rPr>
          <w:bCs/>
          <w:sz w:val="24"/>
          <w:szCs w:val="24"/>
        </w:rPr>
      </w:pPr>
      <w:r w:rsidRPr="00452C80">
        <w:rPr>
          <w:bCs/>
          <w:sz w:val="24"/>
          <w:szCs w:val="24"/>
        </w:rPr>
        <w:t xml:space="preserve">Ramsden, P. (1998) </w:t>
      </w:r>
      <w:r w:rsidRPr="00452C80">
        <w:rPr>
          <w:bCs/>
          <w:i/>
          <w:iCs/>
          <w:sz w:val="24"/>
          <w:szCs w:val="24"/>
        </w:rPr>
        <w:t>Learning to Lead in Higher Education</w:t>
      </w:r>
      <w:r w:rsidRPr="00452C80">
        <w:rPr>
          <w:bCs/>
          <w:sz w:val="24"/>
          <w:szCs w:val="24"/>
        </w:rPr>
        <w:t>. (1</w:t>
      </w:r>
      <w:r w:rsidRPr="00452C80">
        <w:rPr>
          <w:bCs/>
          <w:sz w:val="24"/>
          <w:szCs w:val="24"/>
          <w:vertAlign w:val="superscript"/>
        </w:rPr>
        <w:t>st</w:t>
      </w:r>
      <w:r w:rsidRPr="00452C80">
        <w:rPr>
          <w:bCs/>
          <w:sz w:val="24"/>
          <w:szCs w:val="24"/>
        </w:rPr>
        <w:t xml:space="preserve"> edition). London: Routledge. </w:t>
      </w:r>
    </w:p>
    <w:p w14:paraId="56EF9F87" w14:textId="77777777" w:rsidR="00640A2D" w:rsidRPr="00452C80" w:rsidRDefault="00640A2D" w:rsidP="00481CEB">
      <w:pPr>
        <w:spacing w:line="360" w:lineRule="auto"/>
        <w:ind w:left="833" w:hanging="720"/>
        <w:rPr>
          <w:bCs/>
          <w:sz w:val="24"/>
          <w:szCs w:val="24"/>
        </w:rPr>
      </w:pPr>
      <w:r w:rsidRPr="00452C80">
        <w:rPr>
          <w:bCs/>
          <w:sz w:val="24"/>
          <w:szCs w:val="24"/>
        </w:rPr>
        <w:t xml:space="preserve">Readings, B. (1996) </w:t>
      </w:r>
      <w:r w:rsidRPr="00452C80">
        <w:rPr>
          <w:bCs/>
          <w:i/>
          <w:iCs/>
          <w:sz w:val="24"/>
          <w:szCs w:val="24"/>
        </w:rPr>
        <w:t>The University in Ruins</w:t>
      </w:r>
      <w:r w:rsidRPr="00452C80">
        <w:rPr>
          <w:bCs/>
          <w:sz w:val="24"/>
          <w:szCs w:val="24"/>
        </w:rPr>
        <w:t>. Cambridge, Mass.: Harvard University Press.</w:t>
      </w:r>
    </w:p>
    <w:p w14:paraId="41C7E1C6" w14:textId="7EDA1FB4" w:rsidR="00640A2D" w:rsidRPr="004143DB" w:rsidRDefault="00640A2D" w:rsidP="00481CEB">
      <w:pPr>
        <w:spacing w:line="360" w:lineRule="auto"/>
        <w:ind w:left="833" w:hanging="720"/>
        <w:rPr>
          <w:bCs/>
          <w:color w:val="0070C0"/>
          <w:sz w:val="24"/>
          <w:szCs w:val="24"/>
        </w:rPr>
      </w:pPr>
      <w:r w:rsidRPr="00452C80">
        <w:rPr>
          <w:bCs/>
          <w:sz w:val="24"/>
          <w:szCs w:val="24"/>
        </w:rPr>
        <w:t xml:space="preserve">Redding, P. (2005) The evolving importance of customers in higher education. </w:t>
      </w:r>
      <w:r w:rsidRPr="00452C80">
        <w:rPr>
          <w:bCs/>
          <w:i/>
          <w:iCs/>
          <w:sz w:val="24"/>
          <w:szCs w:val="24"/>
        </w:rPr>
        <w:t>International Journal of Consumer Studies</w:t>
      </w:r>
      <w:r w:rsidRPr="00452C80">
        <w:rPr>
          <w:bCs/>
          <w:sz w:val="24"/>
          <w:szCs w:val="24"/>
        </w:rPr>
        <w:t xml:space="preserve">, </w:t>
      </w:r>
      <w:r w:rsidRPr="00452C80">
        <w:rPr>
          <w:b/>
          <w:sz w:val="24"/>
          <w:szCs w:val="24"/>
        </w:rPr>
        <w:t>29</w:t>
      </w:r>
      <w:r w:rsidRPr="00452C80">
        <w:rPr>
          <w:bCs/>
          <w:sz w:val="24"/>
          <w:szCs w:val="24"/>
        </w:rPr>
        <w:t>(5): pp.409-17</w:t>
      </w:r>
      <w:r w:rsidRPr="004143DB">
        <w:rPr>
          <w:bCs/>
          <w:color w:val="0070C0"/>
          <w:sz w:val="24"/>
          <w:szCs w:val="24"/>
        </w:rPr>
        <w:t xml:space="preserve">. </w:t>
      </w:r>
      <w:hyperlink r:id="rId387" w:history="1">
        <w:r w:rsidRPr="004143DB">
          <w:rPr>
            <w:rStyle w:val="Hyperlink"/>
            <w:bCs/>
            <w:color w:val="0070C0"/>
            <w:sz w:val="24"/>
            <w:szCs w:val="24"/>
          </w:rPr>
          <w:t>https://doi.org/10.1111/j.470-6431.2005.00465.x</w:t>
        </w:r>
      </w:hyperlink>
    </w:p>
    <w:p w14:paraId="5E0B80E3" w14:textId="436117C8" w:rsidR="00640A2D" w:rsidRPr="00452C80" w:rsidRDefault="00640A2D" w:rsidP="00481CEB">
      <w:pPr>
        <w:spacing w:line="360" w:lineRule="auto"/>
        <w:ind w:left="833" w:hanging="720"/>
        <w:rPr>
          <w:sz w:val="24"/>
          <w:szCs w:val="24"/>
        </w:rPr>
      </w:pPr>
      <w:r w:rsidRPr="00452C80">
        <w:rPr>
          <w:sz w:val="24"/>
          <w:szCs w:val="24"/>
        </w:rPr>
        <w:t xml:space="preserve">Reid, H. L. (2007) The shaping of discourse positions in the development of support and supervision for personal advisers in England. </w:t>
      </w:r>
      <w:r w:rsidRPr="00452C80">
        <w:rPr>
          <w:i/>
          <w:iCs/>
          <w:sz w:val="24"/>
          <w:szCs w:val="24"/>
        </w:rPr>
        <w:t>British Journal of Guidance and Counselling</w:t>
      </w:r>
      <w:r w:rsidRPr="00452C80">
        <w:rPr>
          <w:sz w:val="24"/>
          <w:szCs w:val="24"/>
        </w:rPr>
        <w:t xml:space="preserve">, </w:t>
      </w:r>
      <w:r w:rsidRPr="00452C80">
        <w:rPr>
          <w:b/>
          <w:bCs/>
          <w:sz w:val="24"/>
          <w:szCs w:val="24"/>
        </w:rPr>
        <w:t>35</w:t>
      </w:r>
      <w:r w:rsidRPr="00452C80">
        <w:rPr>
          <w:sz w:val="24"/>
          <w:szCs w:val="24"/>
        </w:rPr>
        <w:t>(1): pp.59-78.</w:t>
      </w:r>
      <w:r w:rsidRPr="00452C80">
        <w:t xml:space="preserve"> </w:t>
      </w:r>
      <w:hyperlink r:id="rId388" w:history="1">
        <w:r w:rsidRPr="00452C80">
          <w:rPr>
            <w:rStyle w:val="Hyperlink"/>
            <w:color w:val="auto"/>
            <w:sz w:val="24"/>
            <w:szCs w:val="24"/>
          </w:rPr>
          <w:t> </w:t>
        </w:r>
        <w:r w:rsidRPr="004143DB">
          <w:rPr>
            <w:rStyle w:val="Hyperlink"/>
            <w:color w:val="0070C0"/>
            <w:sz w:val="24"/>
            <w:szCs w:val="24"/>
          </w:rPr>
          <w:t>https://doi.org/10.1080/03069880601106807</w:t>
        </w:r>
      </w:hyperlink>
    </w:p>
    <w:p w14:paraId="7A5C5DC7" w14:textId="77777777" w:rsidR="00640A2D" w:rsidRPr="004143DB" w:rsidRDefault="00640A2D" w:rsidP="00481CEB">
      <w:pPr>
        <w:spacing w:line="360" w:lineRule="auto"/>
        <w:ind w:left="833" w:hanging="720"/>
        <w:rPr>
          <w:color w:val="0070C0"/>
          <w:sz w:val="24"/>
          <w:szCs w:val="24"/>
        </w:rPr>
      </w:pPr>
      <w:r w:rsidRPr="00452C80">
        <w:rPr>
          <w:sz w:val="24"/>
          <w:szCs w:val="24"/>
        </w:rPr>
        <w:t xml:space="preserve">Reid, H. L., and West, L. (2011) “Telling tales”: Using narrative in career guidance. </w:t>
      </w:r>
      <w:r w:rsidRPr="00452C80">
        <w:rPr>
          <w:i/>
          <w:iCs/>
          <w:sz w:val="24"/>
          <w:szCs w:val="24"/>
        </w:rPr>
        <w:t>Journal of Vocational Behavior</w:t>
      </w:r>
      <w:r w:rsidRPr="00452C80">
        <w:rPr>
          <w:sz w:val="24"/>
          <w:szCs w:val="24"/>
        </w:rPr>
        <w:t>, 78(</w:t>
      </w:r>
      <w:r w:rsidRPr="00452C80">
        <w:rPr>
          <w:b/>
          <w:bCs/>
          <w:sz w:val="24"/>
          <w:szCs w:val="24"/>
        </w:rPr>
        <w:t>2</w:t>
      </w:r>
      <w:r w:rsidRPr="00452C80">
        <w:rPr>
          <w:sz w:val="24"/>
          <w:szCs w:val="24"/>
        </w:rPr>
        <w:t xml:space="preserve">): pp.174-183. </w:t>
      </w:r>
      <w:hyperlink r:id="rId389" w:history="1">
        <w:r w:rsidRPr="004143DB">
          <w:rPr>
            <w:rStyle w:val="Hyperlink"/>
            <w:color w:val="0070C0"/>
            <w:sz w:val="24"/>
            <w:szCs w:val="24"/>
          </w:rPr>
          <w:t>https://www.researchgate.net/publication/310802869_Telling_tales_using_narrative_in_career_guidance_Journal_of_Vocational_Behavior_78_2_174-183</w:t>
        </w:r>
      </w:hyperlink>
    </w:p>
    <w:p w14:paraId="448688EA" w14:textId="77777777" w:rsidR="00640A2D" w:rsidRPr="004143DB" w:rsidRDefault="00640A2D" w:rsidP="00481CEB">
      <w:pPr>
        <w:spacing w:line="360" w:lineRule="auto"/>
        <w:ind w:left="833" w:hanging="720"/>
        <w:rPr>
          <w:color w:val="0070C0"/>
          <w:sz w:val="24"/>
          <w:szCs w:val="24"/>
        </w:rPr>
      </w:pPr>
      <w:r w:rsidRPr="00452C80">
        <w:rPr>
          <w:sz w:val="24"/>
          <w:szCs w:val="24"/>
        </w:rPr>
        <w:t xml:space="preserve">Reid, H. L., and Soan, S. (2019) Providing support to senior managers in schools via ‘clinical’ supervision: a purposeful, restorative professional and personal developmental space, </w:t>
      </w:r>
      <w:r w:rsidRPr="00452C80">
        <w:rPr>
          <w:i/>
          <w:iCs/>
          <w:sz w:val="24"/>
          <w:szCs w:val="24"/>
        </w:rPr>
        <w:t>Professional Development and Education</w:t>
      </w:r>
      <w:r w:rsidRPr="00452C80">
        <w:rPr>
          <w:sz w:val="24"/>
          <w:szCs w:val="24"/>
        </w:rPr>
        <w:t xml:space="preserve">, </w:t>
      </w:r>
      <w:r w:rsidRPr="00452C80">
        <w:rPr>
          <w:b/>
          <w:bCs/>
          <w:sz w:val="24"/>
          <w:szCs w:val="24"/>
        </w:rPr>
        <w:t>45</w:t>
      </w:r>
      <w:r w:rsidRPr="00452C80">
        <w:rPr>
          <w:sz w:val="24"/>
          <w:szCs w:val="24"/>
        </w:rPr>
        <w:t xml:space="preserve">(1): pp.59-72. </w:t>
      </w:r>
      <w:hyperlink r:id="rId390" w:history="1">
        <w:r w:rsidRPr="004143DB">
          <w:rPr>
            <w:rStyle w:val="Hyperlink"/>
            <w:color w:val="0070C0"/>
            <w:sz w:val="24"/>
            <w:szCs w:val="24"/>
          </w:rPr>
          <w:t>https://doi.org/10.1080/19415257.2018.1427132</w:t>
        </w:r>
      </w:hyperlink>
      <w:r w:rsidRPr="004143DB">
        <w:rPr>
          <w:color w:val="0070C0"/>
          <w:sz w:val="24"/>
          <w:szCs w:val="24"/>
        </w:rPr>
        <w:t xml:space="preserve"> </w:t>
      </w:r>
    </w:p>
    <w:p w14:paraId="783F48F4" w14:textId="655AC7D3" w:rsidR="00640A2D" w:rsidRPr="00452C80" w:rsidRDefault="00640A2D" w:rsidP="00481CEB">
      <w:pPr>
        <w:spacing w:line="360" w:lineRule="auto"/>
        <w:ind w:left="833" w:hanging="720"/>
        <w:rPr>
          <w:sz w:val="24"/>
          <w:szCs w:val="24"/>
        </w:rPr>
      </w:pPr>
      <w:r w:rsidRPr="00452C80">
        <w:rPr>
          <w:sz w:val="24"/>
          <w:szCs w:val="24"/>
        </w:rPr>
        <w:t xml:space="preserve">Reinharz, S. D. (1992) </w:t>
      </w:r>
      <w:r w:rsidRPr="00452C80">
        <w:rPr>
          <w:i/>
          <w:iCs/>
          <w:sz w:val="24"/>
          <w:szCs w:val="24"/>
        </w:rPr>
        <w:t>Feminist Methods in Social Research</w:t>
      </w:r>
      <w:r w:rsidRPr="00452C80">
        <w:rPr>
          <w:sz w:val="24"/>
          <w:szCs w:val="24"/>
        </w:rPr>
        <w:t>. Oxford: Oxford University Press.</w:t>
      </w:r>
    </w:p>
    <w:p w14:paraId="2EDEB194" w14:textId="77777777" w:rsidR="00640A2D" w:rsidRPr="00452C80" w:rsidRDefault="00640A2D" w:rsidP="00481CEB">
      <w:pPr>
        <w:spacing w:line="360" w:lineRule="auto"/>
        <w:ind w:left="833" w:hanging="720"/>
        <w:rPr>
          <w:sz w:val="24"/>
          <w:szCs w:val="24"/>
        </w:rPr>
      </w:pPr>
      <w:r w:rsidRPr="00452C80">
        <w:rPr>
          <w:sz w:val="24"/>
          <w:szCs w:val="24"/>
        </w:rPr>
        <w:t xml:space="preserve">Reinsmith, W.A. (1992) </w:t>
      </w:r>
      <w:r w:rsidRPr="00452C80">
        <w:rPr>
          <w:i/>
          <w:iCs/>
          <w:sz w:val="24"/>
          <w:szCs w:val="24"/>
        </w:rPr>
        <w:t>Archetypal Forms in Teaching: A Continuum</w:t>
      </w:r>
      <w:r w:rsidRPr="00452C80">
        <w:rPr>
          <w:sz w:val="24"/>
          <w:szCs w:val="24"/>
        </w:rPr>
        <w:t>. Westport, CT: Greenwood Press.</w:t>
      </w:r>
    </w:p>
    <w:p w14:paraId="304F34D6" w14:textId="77777777" w:rsidR="00640A2D" w:rsidRPr="004143DB" w:rsidRDefault="00640A2D" w:rsidP="00481CEB">
      <w:pPr>
        <w:spacing w:line="360" w:lineRule="auto"/>
        <w:ind w:left="833" w:hanging="720"/>
        <w:rPr>
          <w:color w:val="0070C0"/>
          <w:sz w:val="24"/>
          <w:szCs w:val="24"/>
        </w:rPr>
      </w:pPr>
      <w:r w:rsidRPr="00452C80">
        <w:rPr>
          <w:sz w:val="24"/>
          <w:szCs w:val="24"/>
        </w:rPr>
        <w:t xml:space="preserve">Retna, K. S., Chong, E., and Cavana, R. Y. (2009) Tutors and tutorials: Students' perceptions in a New Zealand university. </w:t>
      </w:r>
      <w:r w:rsidRPr="00452C80">
        <w:rPr>
          <w:i/>
          <w:iCs/>
          <w:sz w:val="24"/>
          <w:szCs w:val="24"/>
        </w:rPr>
        <w:t>Journal of Higher Education Policy and</w:t>
      </w:r>
      <w:r w:rsidRPr="00452C80">
        <w:rPr>
          <w:sz w:val="24"/>
          <w:szCs w:val="24"/>
        </w:rPr>
        <w:t xml:space="preserve"> </w:t>
      </w:r>
      <w:r w:rsidRPr="00452C80">
        <w:rPr>
          <w:i/>
          <w:iCs/>
          <w:sz w:val="24"/>
          <w:szCs w:val="24"/>
        </w:rPr>
        <w:t>Management</w:t>
      </w:r>
      <w:r w:rsidRPr="00452C80">
        <w:rPr>
          <w:sz w:val="24"/>
          <w:szCs w:val="24"/>
        </w:rPr>
        <w:t xml:space="preserve">, </w:t>
      </w:r>
      <w:r w:rsidRPr="00452C80">
        <w:rPr>
          <w:b/>
          <w:bCs/>
          <w:sz w:val="24"/>
          <w:szCs w:val="24"/>
        </w:rPr>
        <w:t>31</w:t>
      </w:r>
      <w:r w:rsidRPr="00452C80">
        <w:rPr>
          <w:sz w:val="24"/>
          <w:szCs w:val="24"/>
        </w:rPr>
        <w:t xml:space="preserve">(3): pp. 251– 260. </w:t>
      </w:r>
      <w:hyperlink r:id="rId391" w:history="1">
        <w:r w:rsidRPr="004143DB">
          <w:rPr>
            <w:rStyle w:val="Hyperlink"/>
            <w:color w:val="0070C0"/>
            <w:sz w:val="24"/>
            <w:szCs w:val="24"/>
          </w:rPr>
          <w:t>https://doi.org/10.1080/13600800902974336</w:t>
        </w:r>
      </w:hyperlink>
    </w:p>
    <w:p w14:paraId="69AAC6D0" w14:textId="7C4DA758" w:rsidR="00640A2D" w:rsidRPr="00452C80" w:rsidRDefault="00640A2D" w:rsidP="00481CEB">
      <w:pPr>
        <w:spacing w:line="360" w:lineRule="auto"/>
        <w:ind w:left="833" w:hanging="720"/>
        <w:rPr>
          <w:sz w:val="24"/>
          <w:szCs w:val="24"/>
        </w:rPr>
      </w:pPr>
      <w:r w:rsidRPr="00452C80">
        <w:rPr>
          <w:sz w:val="24"/>
          <w:szCs w:val="24"/>
        </w:rPr>
        <w:lastRenderedPageBreak/>
        <w:t>Reynolds, M. (1997) Towards the critical management pedagogy. In</w:t>
      </w:r>
      <w:r w:rsidR="00987ADB">
        <w:rPr>
          <w:sz w:val="24"/>
          <w:szCs w:val="24"/>
        </w:rPr>
        <w:t>:</w:t>
      </w:r>
      <w:r w:rsidRPr="00452C80">
        <w:rPr>
          <w:sz w:val="24"/>
          <w:szCs w:val="24"/>
        </w:rPr>
        <w:t xml:space="preserve"> J. Burgoyne and M. Reynolds (eds), </w:t>
      </w:r>
      <w:r w:rsidRPr="00452C80">
        <w:rPr>
          <w:i/>
          <w:iCs/>
          <w:sz w:val="24"/>
          <w:szCs w:val="24"/>
        </w:rPr>
        <w:t>Management Learning: integrating perspectives on theory and practice</w:t>
      </w:r>
      <w:r w:rsidRPr="00452C80">
        <w:rPr>
          <w:sz w:val="24"/>
          <w:szCs w:val="24"/>
        </w:rPr>
        <w:t>. London: Sage.</w:t>
      </w:r>
    </w:p>
    <w:p w14:paraId="579A07EE" w14:textId="77777777" w:rsidR="00640A2D" w:rsidRPr="00452C80" w:rsidRDefault="00640A2D" w:rsidP="00481CEB">
      <w:pPr>
        <w:spacing w:line="360" w:lineRule="auto"/>
        <w:ind w:left="833" w:hanging="720"/>
        <w:rPr>
          <w:sz w:val="24"/>
          <w:szCs w:val="24"/>
        </w:rPr>
      </w:pPr>
      <w:r w:rsidRPr="00452C80">
        <w:rPr>
          <w:sz w:val="24"/>
          <w:szCs w:val="24"/>
        </w:rPr>
        <w:t xml:space="preserve">Reynolds, M. (1998) Reflection and Critical Reflection in Management Learning. </w:t>
      </w:r>
      <w:r w:rsidRPr="00452C80">
        <w:rPr>
          <w:i/>
          <w:iCs/>
          <w:sz w:val="24"/>
          <w:szCs w:val="24"/>
        </w:rPr>
        <w:t>Management Learning</w:t>
      </w:r>
      <w:r w:rsidRPr="00452C80">
        <w:rPr>
          <w:sz w:val="24"/>
          <w:szCs w:val="24"/>
        </w:rPr>
        <w:t xml:space="preserve">, </w:t>
      </w:r>
      <w:r w:rsidRPr="00452C80">
        <w:rPr>
          <w:b/>
          <w:bCs/>
          <w:sz w:val="24"/>
          <w:szCs w:val="24"/>
        </w:rPr>
        <w:t>29</w:t>
      </w:r>
      <w:r w:rsidRPr="00452C80">
        <w:rPr>
          <w:sz w:val="24"/>
          <w:szCs w:val="24"/>
        </w:rPr>
        <w:t>(2): pp.183-200.</w:t>
      </w:r>
      <w:r w:rsidRPr="00452C80">
        <w:t xml:space="preserve"> </w:t>
      </w:r>
      <w:hyperlink r:id="rId392" w:history="1">
        <w:r w:rsidRPr="004143DB">
          <w:rPr>
            <w:rStyle w:val="Hyperlink"/>
            <w:color w:val="0070C0"/>
            <w:sz w:val="24"/>
            <w:szCs w:val="24"/>
          </w:rPr>
          <w:t>https://doi.org/10.1177/1350507698292004</w:t>
        </w:r>
      </w:hyperlink>
    </w:p>
    <w:p w14:paraId="4B2F24A7" w14:textId="588BC8A3" w:rsidR="00640A2D" w:rsidRPr="004143DB" w:rsidRDefault="00640A2D" w:rsidP="00481CEB">
      <w:pPr>
        <w:spacing w:line="360" w:lineRule="auto"/>
        <w:ind w:left="833" w:hanging="720"/>
        <w:rPr>
          <w:color w:val="0070C0"/>
          <w:sz w:val="24"/>
          <w:szCs w:val="24"/>
        </w:rPr>
      </w:pPr>
      <w:r w:rsidRPr="00452C80">
        <w:rPr>
          <w:sz w:val="24"/>
          <w:szCs w:val="24"/>
        </w:rPr>
        <w:t>Richardson, J.</w:t>
      </w:r>
      <w:r w:rsidR="00C67E7E">
        <w:rPr>
          <w:sz w:val="24"/>
          <w:szCs w:val="24"/>
        </w:rPr>
        <w:t xml:space="preserve"> </w:t>
      </w:r>
      <w:r w:rsidRPr="00452C80">
        <w:rPr>
          <w:sz w:val="24"/>
          <w:szCs w:val="24"/>
        </w:rPr>
        <w:t>T.</w:t>
      </w:r>
      <w:r w:rsidR="00C67E7E">
        <w:rPr>
          <w:sz w:val="24"/>
          <w:szCs w:val="24"/>
        </w:rPr>
        <w:t xml:space="preserve"> </w:t>
      </w:r>
      <w:r w:rsidRPr="00452C80">
        <w:rPr>
          <w:sz w:val="24"/>
          <w:szCs w:val="24"/>
        </w:rPr>
        <w:t xml:space="preserve">E., and Kind, E. (1998) Adult Students in Higher Education: Burden or Boon? </w:t>
      </w:r>
      <w:r w:rsidRPr="00452C80">
        <w:rPr>
          <w:i/>
          <w:iCs/>
          <w:sz w:val="24"/>
          <w:szCs w:val="24"/>
        </w:rPr>
        <w:t>Journal of Higher Education</w:t>
      </w:r>
      <w:r w:rsidRPr="00452C80">
        <w:rPr>
          <w:sz w:val="24"/>
          <w:szCs w:val="24"/>
        </w:rPr>
        <w:t xml:space="preserve">, </w:t>
      </w:r>
      <w:r w:rsidRPr="00452C80">
        <w:rPr>
          <w:b/>
          <w:bCs/>
          <w:sz w:val="24"/>
          <w:szCs w:val="24"/>
        </w:rPr>
        <w:t>69</w:t>
      </w:r>
      <w:r w:rsidRPr="00452C80">
        <w:rPr>
          <w:sz w:val="24"/>
          <w:szCs w:val="24"/>
        </w:rPr>
        <w:t>(1): pp.65-88.</w:t>
      </w:r>
      <w:r w:rsidRPr="00452C80">
        <w:rPr>
          <w:rFonts w:ascii="Courier New" w:eastAsia="Times New Roman" w:hAnsi="Courier New" w:cs="Courier New"/>
          <w:sz w:val="21"/>
          <w:szCs w:val="21"/>
          <w:shd w:val="clear" w:color="auto" w:fill="FFFFFF"/>
          <w:lang w:eastAsia="en-GB"/>
        </w:rPr>
        <w:t xml:space="preserve"> </w:t>
      </w:r>
      <w:hyperlink r:id="rId393" w:history="1">
        <w:r w:rsidRPr="004143DB">
          <w:rPr>
            <w:rStyle w:val="Hyperlink"/>
            <w:color w:val="0070C0"/>
            <w:sz w:val="24"/>
            <w:szCs w:val="24"/>
          </w:rPr>
          <w:t>https://api.semanticscholar.org/CorpusID:143523106</w:t>
        </w:r>
      </w:hyperlink>
    </w:p>
    <w:p w14:paraId="6A9E09C9" w14:textId="67EA1340" w:rsidR="00640A2D" w:rsidRPr="00452C80" w:rsidRDefault="00640A2D" w:rsidP="00481CEB">
      <w:pPr>
        <w:spacing w:line="360" w:lineRule="auto"/>
        <w:ind w:left="833" w:hanging="720"/>
        <w:rPr>
          <w:sz w:val="24"/>
          <w:szCs w:val="24"/>
        </w:rPr>
      </w:pPr>
      <w:r w:rsidRPr="00452C80">
        <w:rPr>
          <w:sz w:val="24"/>
          <w:szCs w:val="24"/>
        </w:rPr>
        <w:t xml:space="preserve">Richert, A. (1992) Voices and power in teaching and learning to teach. In: Valli, L. </w:t>
      </w:r>
      <w:r w:rsidR="00810B9C">
        <w:rPr>
          <w:sz w:val="24"/>
          <w:szCs w:val="24"/>
        </w:rPr>
        <w:t>(</w:t>
      </w:r>
      <w:r w:rsidRPr="00452C80">
        <w:rPr>
          <w:sz w:val="24"/>
          <w:szCs w:val="24"/>
        </w:rPr>
        <w:t>ed</w:t>
      </w:r>
      <w:r w:rsidR="00810B9C">
        <w:rPr>
          <w:sz w:val="24"/>
          <w:szCs w:val="24"/>
        </w:rPr>
        <w:t>)</w:t>
      </w:r>
      <w:r w:rsidRPr="00452C80">
        <w:rPr>
          <w:sz w:val="24"/>
          <w:szCs w:val="24"/>
        </w:rPr>
        <w:t xml:space="preserve"> </w:t>
      </w:r>
      <w:r w:rsidRPr="00452C80">
        <w:rPr>
          <w:i/>
          <w:iCs/>
          <w:sz w:val="24"/>
          <w:szCs w:val="24"/>
        </w:rPr>
        <w:t>Reflective teacher education: Cases and critiques</w:t>
      </w:r>
      <w:r w:rsidRPr="00452C80">
        <w:rPr>
          <w:sz w:val="24"/>
          <w:szCs w:val="24"/>
        </w:rPr>
        <w:t>. Albany: State University of New York Press, pp. 187- 197.</w:t>
      </w:r>
    </w:p>
    <w:p w14:paraId="4BEA4C2B" w14:textId="77777777" w:rsidR="00640A2D" w:rsidRPr="00452C80" w:rsidRDefault="00640A2D" w:rsidP="00481CEB">
      <w:pPr>
        <w:spacing w:line="360" w:lineRule="auto"/>
        <w:ind w:left="833" w:hanging="720"/>
        <w:rPr>
          <w:sz w:val="24"/>
          <w:szCs w:val="24"/>
        </w:rPr>
      </w:pPr>
      <w:r w:rsidRPr="00452C80">
        <w:rPr>
          <w:sz w:val="24"/>
          <w:szCs w:val="24"/>
        </w:rPr>
        <w:t xml:space="preserve">Riesman, D. (1961) The lonely crowd: A reconsideration in 1960. In S.M. Lipset and D. Riesman (Eds.), </w:t>
      </w:r>
      <w:r w:rsidRPr="00452C80">
        <w:rPr>
          <w:i/>
          <w:iCs/>
          <w:sz w:val="24"/>
          <w:szCs w:val="24"/>
        </w:rPr>
        <w:t>Culture and social character: The work of David Riesman reviewed</w:t>
      </w:r>
      <w:r w:rsidRPr="00452C80">
        <w:rPr>
          <w:sz w:val="24"/>
          <w:szCs w:val="24"/>
        </w:rPr>
        <w:t xml:space="preserve"> (pp.419-458). New York: Free Press.</w:t>
      </w:r>
    </w:p>
    <w:p w14:paraId="7678F9E4" w14:textId="77777777" w:rsidR="00640A2D" w:rsidRPr="00452C80" w:rsidRDefault="00640A2D" w:rsidP="00481CEB">
      <w:pPr>
        <w:spacing w:line="360" w:lineRule="auto"/>
        <w:ind w:left="833" w:hanging="720"/>
        <w:rPr>
          <w:sz w:val="24"/>
          <w:szCs w:val="24"/>
          <w:lang w:val="en-US"/>
        </w:rPr>
      </w:pPr>
      <w:r w:rsidRPr="00452C80">
        <w:rPr>
          <w:sz w:val="24"/>
          <w:szCs w:val="24"/>
          <w:lang w:val="en-US"/>
        </w:rPr>
        <w:t xml:space="preserve">Riessman, C. K.  (1993) </w:t>
      </w:r>
      <w:r w:rsidRPr="00452C80">
        <w:rPr>
          <w:i/>
          <w:iCs/>
          <w:sz w:val="24"/>
          <w:szCs w:val="24"/>
          <w:lang w:val="en-US"/>
        </w:rPr>
        <w:t>Narrative Analysis</w:t>
      </w:r>
      <w:r w:rsidRPr="00452C80">
        <w:rPr>
          <w:sz w:val="24"/>
          <w:szCs w:val="24"/>
          <w:lang w:val="en-US"/>
        </w:rPr>
        <w:t>. London: Sage.</w:t>
      </w:r>
    </w:p>
    <w:p w14:paraId="1A178BBA" w14:textId="77777777" w:rsidR="00640A2D" w:rsidRPr="00452C80" w:rsidRDefault="00640A2D" w:rsidP="00481CEB">
      <w:pPr>
        <w:spacing w:line="360" w:lineRule="auto"/>
        <w:ind w:left="833" w:hanging="720"/>
        <w:rPr>
          <w:sz w:val="24"/>
          <w:szCs w:val="24"/>
          <w:lang w:val="en-US"/>
        </w:rPr>
      </w:pPr>
      <w:r w:rsidRPr="00452C80">
        <w:rPr>
          <w:sz w:val="24"/>
          <w:szCs w:val="24"/>
          <w:lang w:val="en-US"/>
        </w:rPr>
        <w:t xml:space="preserve">Risjord, M. (2014) </w:t>
      </w:r>
      <w:r w:rsidRPr="00452C80">
        <w:rPr>
          <w:i/>
          <w:iCs/>
          <w:sz w:val="24"/>
          <w:szCs w:val="24"/>
          <w:lang w:val="en-US"/>
        </w:rPr>
        <w:t>Philosophy of Social Science</w:t>
      </w:r>
      <w:r w:rsidRPr="00452C80">
        <w:rPr>
          <w:sz w:val="24"/>
          <w:szCs w:val="24"/>
          <w:lang w:val="en-US"/>
        </w:rPr>
        <w:t xml:space="preserve">. London: Routledge. </w:t>
      </w:r>
    </w:p>
    <w:p w14:paraId="1678B4CF" w14:textId="12A6CF20" w:rsidR="00640A2D" w:rsidRPr="00452C80" w:rsidRDefault="00640A2D" w:rsidP="00481CEB">
      <w:pPr>
        <w:spacing w:line="360" w:lineRule="auto"/>
        <w:ind w:left="833" w:hanging="720"/>
        <w:rPr>
          <w:bCs/>
          <w:sz w:val="24"/>
          <w:szCs w:val="24"/>
        </w:rPr>
      </w:pPr>
      <w:r w:rsidRPr="00452C80">
        <w:rPr>
          <w:bCs/>
          <w:sz w:val="24"/>
          <w:szCs w:val="24"/>
        </w:rPr>
        <w:t>Robson, C., and McCartan, K. (2016)</w:t>
      </w:r>
      <w:r w:rsidR="00D96801">
        <w:rPr>
          <w:bCs/>
          <w:sz w:val="24"/>
          <w:szCs w:val="24"/>
        </w:rPr>
        <w:t xml:space="preserve"> </w:t>
      </w:r>
      <w:r w:rsidRPr="00452C80">
        <w:rPr>
          <w:bCs/>
          <w:i/>
          <w:iCs/>
          <w:sz w:val="24"/>
          <w:szCs w:val="24"/>
        </w:rPr>
        <w:t>Real World Research</w:t>
      </w:r>
      <w:r w:rsidRPr="00452C80">
        <w:rPr>
          <w:bCs/>
          <w:sz w:val="24"/>
          <w:szCs w:val="24"/>
        </w:rPr>
        <w:t xml:space="preserve"> (4th ed</w:t>
      </w:r>
      <w:r w:rsidR="00810B9C">
        <w:rPr>
          <w:bCs/>
          <w:sz w:val="24"/>
          <w:szCs w:val="24"/>
        </w:rPr>
        <w:t>ition</w:t>
      </w:r>
      <w:r w:rsidRPr="00452C80">
        <w:rPr>
          <w:bCs/>
          <w:sz w:val="24"/>
          <w:szCs w:val="24"/>
        </w:rPr>
        <w:t>). London: Wiley.</w:t>
      </w:r>
    </w:p>
    <w:p w14:paraId="2FBD303C" w14:textId="77777777" w:rsidR="00640A2D" w:rsidRPr="00452C80" w:rsidRDefault="00640A2D" w:rsidP="00481CEB">
      <w:pPr>
        <w:spacing w:line="360" w:lineRule="auto"/>
        <w:ind w:left="833" w:hanging="720"/>
        <w:rPr>
          <w:sz w:val="24"/>
          <w:szCs w:val="24"/>
        </w:rPr>
      </w:pPr>
      <w:r w:rsidRPr="00452C80">
        <w:rPr>
          <w:sz w:val="24"/>
          <w:szCs w:val="24"/>
        </w:rPr>
        <w:t xml:space="preserve">Rogers, C. (1957) The necessary and sufficient conditions of therapeutic personality change. </w:t>
      </w:r>
      <w:r w:rsidRPr="00452C80">
        <w:rPr>
          <w:i/>
          <w:sz w:val="24"/>
          <w:szCs w:val="24"/>
        </w:rPr>
        <w:t>Journal of Counselling Psychology</w:t>
      </w:r>
      <w:r w:rsidRPr="00452C80">
        <w:rPr>
          <w:iCs/>
          <w:sz w:val="24"/>
          <w:szCs w:val="24"/>
        </w:rPr>
        <w:t>,</w:t>
      </w:r>
      <w:r w:rsidRPr="00452C80">
        <w:rPr>
          <w:i/>
          <w:sz w:val="24"/>
          <w:szCs w:val="24"/>
        </w:rPr>
        <w:t xml:space="preserve"> </w:t>
      </w:r>
      <w:r w:rsidRPr="00452C80">
        <w:rPr>
          <w:b/>
          <w:bCs/>
          <w:sz w:val="24"/>
          <w:szCs w:val="24"/>
        </w:rPr>
        <w:t>21</w:t>
      </w:r>
      <w:r w:rsidRPr="00452C80">
        <w:rPr>
          <w:sz w:val="24"/>
          <w:szCs w:val="24"/>
        </w:rPr>
        <w:t xml:space="preserve">(2): pp. 95-103. </w:t>
      </w:r>
      <w:hyperlink r:id="rId394" w:history="1">
        <w:r w:rsidRPr="004143DB">
          <w:rPr>
            <w:rStyle w:val="Hyperlink"/>
            <w:color w:val="0070C0"/>
            <w:sz w:val="24"/>
            <w:szCs w:val="24"/>
          </w:rPr>
          <w:t>https://doi.org/10.1037/h0045357</w:t>
        </w:r>
      </w:hyperlink>
    </w:p>
    <w:p w14:paraId="07F028C5" w14:textId="77777777" w:rsidR="00640A2D" w:rsidRPr="004143DB" w:rsidRDefault="00640A2D" w:rsidP="00481CEB">
      <w:pPr>
        <w:spacing w:line="360" w:lineRule="auto"/>
        <w:ind w:left="833" w:hanging="720"/>
        <w:rPr>
          <w:color w:val="0070C0"/>
          <w:sz w:val="24"/>
          <w:szCs w:val="24"/>
        </w:rPr>
      </w:pPr>
      <w:r w:rsidRPr="00452C80">
        <w:rPr>
          <w:sz w:val="24"/>
          <w:szCs w:val="24"/>
        </w:rPr>
        <w:t xml:space="preserve">Rogers, R. R. (2001) Research in higher education: a concept analysis. </w:t>
      </w:r>
      <w:r w:rsidRPr="00452C80">
        <w:rPr>
          <w:i/>
          <w:iCs/>
          <w:sz w:val="24"/>
          <w:szCs w:val="24"/>
        </w:rPr>
        <w:t>Innovative Higher Education</w:t>
      </w:r>
      <w:r w:rsidRPr="00452C80">
        <w:rPr>
          <w:sz w:val="24"/>
          <w:szCs w:val="24"/>
        </w:rPr>
        <w:t>, 26: pp. 37-57.</w:t>
      </w:r>
      <w:r w:rsidRPr="00452C80">
        <w:rPr>
          <w:rFonts w:ascii="Merriweather Sans" w:hAnsi="Merriweather Sans"/>
          <w:shd w:val="clear" w:color="auto" w:fill="FFFFFF"/>
        </w:rPr>
        <w:t xml:space="preserve"> </w:t>
      </w:r>
      <w:hyperlink r:id="rId395" w:history="1">
        <w:r w:rsidRPr="004143DB">
          <w:rPr>
            <w:rStyle w:val="Hyperlink"/>
            <w:color w:val="0070C0"/>
            <w:sz w:val="24"/>
            <w:szCs w:val="24"/>
          </w:rPr>
          <w:t>https://doi.org/10.1023/A:1010986404527</w:t>
        </w:r>
      </w:hyperlink>
    </w:p>
    <w:p w14:paraId="2358BF2C" w14:textId="77777777" w:rsidR="00640A2D" w:rsidRPr="00452C80" w:rsidRDefault="00640A2D" w:rsidP="00481CEB">
      <w:pPr>
        <w:spacing w:line="360" w:lineRule="auto"/>
        <w:ind w:left="833" w:hanging="720"/>
        <w:rPr>
          <w:sz w:val="24"/>
          <w:szCs w:val="24"/>
        </w:rPr>
      </w:pPr>
      <w:r w:rsidRPr="00452C80">
        <w:rPr>
          <w:sz w:val="24"/>
          <w:szCs w:val="24"/>
        </w:rPr>
        <w:t xml:space="preserve">Rohr, R. (2012) </w:t>
      </w:r>
      <w:r w:rsidRPr="00452C80">
        <w:rPr>
          <w:i/>
          <w:iCs/>
          <w:sz w:val="24"/>
          <w:szCs w:val="24"/>
        </w:rPr>
        <w:t>Falling Upward: A spirituality for the two halves of life</w:t>
      </w:r>
      <w:r w:rsidRPr="00452C80">
        <w:rPr>
          <w:sz w:val="24"/>
          <w:szCs w:val="24"/>
        </w:rPr>
        <w:t>. London: Society for Promoting Christian Knowledge.</w:t>
      </w:r>
    </w:p>
    <w:p w14:paraId="1EAAB7E7" w14:textId="77777777" w:rsidR="00640A2D" w:rsidRPr="00452C80" w:rsidRDefault="00640A2D" w:rsidP="00481CEB">
      <w:pPr>
        <w:spacing w:line="360" w:lineRule="auto"/>
        <w:ind w:left="833" w:hanging="720"/>
        <w:rPr>
          <w:sz w:val="24"/>
          <w:szCs w:val="24"/>
        </w:rPr>
      </w:pPr>
      <w:r w:rsidRPr="00452C80">
        <w:rPr>
          <w:sz w:val="24"/>
          <w:szCs w:val="24"/>
        </w:rPr>
        <w:t xml:space="preserve">Rolfe, G. (2002) Reflective practice: Where now? </w:t>
      </w:r>
      <w:r w:rsidRPr="00452C80">
        <w:rPr>
          <w:i/>
          <w:iCs/>
          <w:sz w:val="24"/>
          <w:szCs w:val="24"/>
        </w:rPr>
        <w:t>Nurse Education in Practice</w:t>
      </w:r>
      <w:r w:rsidRPr="00452C80">
        <w:rPr>
          <w:sz w:val="24"/>
          <w:szCs w:val="24"/>
        </w:rPr>
        <w:t>,</w:t>
      </w:r>
      <w:r w:rsidRPr="00452C80">
        <w:rPr>
          <w:b/>
          <w:bCs/>
          <w:sz w:val="24"/>
          <w:szCs w:val="24"/>
        </w:rPr>
        <w:t xml:space="preserve"> 2</w:t>
      </w:r>
      <w:r w:rsidRPr="00452C80">
        <w:rPr>
          <w:sz w:val="24"/>
          <w:szCs w:val="24"/>
        </w:rPr>
        <w:t xml:space="preserve">(1): pp.21-29.  </w:t>
      </w:r>
      <w:hyperlink r:id="rId396" w:tgtFrame="_blank" w:tooltip="Persistent link using digital object identifier" w:history="1">
        <w:r w:rsidRPr="004143DB">
          <w:rPr>
            <w:rStyle w:val="Hyperlink"/>
            <w:color w:val="0070C0"/>
            <w:sz w:val="24"/>
            <w:szCs w:val="24"/>
          </w:rPr>
          <w:t>https://doi.org/10.1054/nepr.2002.0047</w:t>
        </w:r>
      </w:hyperlink>
    </w:p>
    <w:p w14:paraId="165DE63F" w14:textId="2E73B95F" w:rsidR="00640A2D" w:rsidRPr="00452C80" w:rsidRDefault="00640A2D" w:rsidP="00481CEB">
      <w:pPr>
        <w:spacing w:line="360" w:lineRule="auto"/>
        <w:ind w:left="833" w:hanging="720"/>
        <w:rPr>
          <w:bCs/>
          <w:sz w:val="24"/>
          <w:szCs w:val="24"/>
        </w:rPr>
      </w:pPr>
      <w:r w:rsidRPr="00452C80">
        <w:rPr>
          <w:bCs/>
          <w:sz w:val="24"/>
          <w:szCs w:val="24"/>
        </w:rPr>
        <w:lastRenderedPageBreak/>
        <w:t>Rolfe, G., Jasper, M.</w:t>
      </w:r>
      <w:r w:rsidR="00FB6501">
        <w:rPr>
          <w:bCs/>
          <w:sz w:val="24"/>
          <w:szCs w:val="24"/>
        </w:rPr>
        <w:t>,</w:t>
      </w:r>
      <w:r w:rsidRPr="00452C80">
        <w:rPr>
          <w:bCs/>
          <w:sz w:val="24"/>
          <w:szCs w:val="24"/>
        </w:rPr>
        <w:t xml:space="preserve"> and Freshwater, D. (2011) </w:t>
      </w:r>
      <w:r w:rsidRPr="00452C80">
        <w:rPr>
          <w:bCs/>
          <w:i/>
          <w:iCs/>
          <w:sz w:val="24"/>
          <w:szCs w:val="24"/>
        </w:rPr>
        <w:t>Critical Reflection in Practice: Generating Knowledge for Care</w:t>
      </w:r>
      <w:r w:rsidRPr="00452C80">
        <w:rPr>
          <w:bCs/>
          <w:sz w:val="24"/>
          <w:szCs w:val="24"/>
        </w:rPr>
        <w:t>. London: Palgrave Macmillan.</w:t>
      </w:r>
    </w:p>
    <w:p w14:paraId="2B56C3BF" w14:textId="77777777" w:rsidR="00640A2D" w:rsidRPr="00452C80" w:rsidRDefault="00640A2D" w:rsidP="00481CEB">
      <w:pPr>
        <w:spacing w:line="360" w:lineRule="auto"/>
        <w:ind w:left="833" w:hanging="720"/>
        <w:rPr>
          <w:bCs/>
          <w:sz w:val="24"/>
          <w:szCs w:val="24"/>
        </w:rPr>
      </w:pPr>
      <w:r w:rsidRPr="00452C80">
        <w:rPr>
          <w:bCs/>
          <w:sz w:val="24"/>
          <w:szCs w:val="24"/>
        </w:rPr>
        <w:t xml:space="preserve">Romanyshyn, R. (2021) </w:t>
      </w:r>
      <w:r w:rsidRPr="00452C80">
        <w:rPr>
          <w:bCs/>
          <w:i/>
          <w:sz w:val="24"/>
          <w:szCs w:val="24"/>
        </w:rPr>
        <w:t>The Wounded Researcher</w:t>
      </w:r>
      <w:r w:rsidRPr="00452C80">
        <w:rPr>
          <w:bCs/>
          <w:sz w:val="24"/>
          <w:szCs w:val="24"/>
        </w:rPr>
        <w:t xml:space="preserve">: </w:t>
      </w:r>
      <w:r w:rsidRPr="00452C80">
        <w:rPr>
          <w:bCs/>
          <w:i/>
          <w:sz w:val="24"/>
          <w:szCs w:val="24"/>
        </w:rPr>
        <w:t>Research with Soul in Mind</w:t>
      </w:r>
      <w:r w:rsidRPr="00452C80">
        <w:rPr>
          <w:bCs/>
          <w:sz w:val="24"/>
          <w:szCs w:val="24"/>
        </w:rPr>
        <w:t xml:space="preserve">. Abingdon, </w:t>
      </w:r>
      <w:r w:rsidRPr="00452C80">
        <w:rPr>
          <w:bCs/>
          <w:sz w:val="24"/>
          <w:szCs w:val="24"/>
        </w:rPr>
        <w:tab/>
        <w:t xml:space="preserve">Oxon: Routledge. </w:t>
      </w:r>
    </w:p>
    <w:p w14:paraId="3AA04D74" w14:textId="77777777" w:rsidR="00640A2D" w:rsidRPr="00452C80" w:rsidRDefault="00640A2D" w:rsidP="00481CEB">
      <w:pPr>
        <w:spacing w:line="360" w:lineRule="auto"/>
        <w:ind w:left="833" w:hanging="720"/>
        <w:rPr>
          <w:sz w:val="24"/>
          <w:szCs w:val="24"/>
        </w:rPr>
      </w:pPr>
      <w:r w:rsidRPr="00452C80">
        <w:rPr>
          <w:sz w:val="24"/>
          <w:szCs w:val="24"/>
        </w:rPr>
        <w:t xml:space="preserve">Rose, N. (1998) </w:t>
      </w:r>
      <w:r w:rsidRPr="00452C80">
        <w:rPr>
          <w:i/>
          <w:iCs/>
          <w:sz w:val="24"/>
          <w:szCs w:val="24"/>
        </w:rPr>
        <w:t>Inventing Our Selves: Psychology, Power and Personhood</w:t>
      </w:r>
      <w:r w:rsidRPr="00452C80">
        <w:rPr>
          <w:sz w:val="24"/>
          <w:szCs w:val="24"/>
        </w:rPr>
        <w:t>. Cambridge: Cambridge University Press.</w:t>
      </w:r>
    </w:p>
    <w:p w14:paraId="32C83787" w14:textId="1F03DD8B" w:rsidR="00640A2D" w:rsidRPr="0075458C" w:rsidRDefault="00640A2D" w:rsidP="00481CEB">
      <w:pPr>
        <w:spacing w:line="360" w:lineRule="auto"/>
        <w:ind w:left="833" w:hanging="720"/>
        <w:rPr>
          <w:color w:val="0070C0"/>
          <w:sz w:val="24"/>
          <w:szCs w:val="24"/>
        </w:rPr>
      </w:pPr>
      <w:r w:rsidRPr="00452C80">
        <w:rPr>
          <w:sz w:val="24"/>
          <w:szCs w:val="24"/>
        </w:rPr>
        <w:t xml:space="preserve">Ross, P. (2019) Clinical supervision in nursing. </w:t>
      </w:r>
      <w:r w:rsidRPr="00452C80">
        <w:rPr>
          <w:i/>
          <w:iCs/>
          <w:sz w:val="24"/>
          <w:szCs w:val="24"/>
        </w:rPr>
        <w:t>Nursing Education Network</w:t>
      </w:r>
      <w:r w:rsidRPr="00452C80">
        <w:rPr>
          <w:sz w:val="24"/>
          <w:szCs w:val="24"/>
        </w:rPr>
        <w:t>. 20 February 2019.</w:t>
      </w:r>
      <w:r w:rsidR="0075458C">
        <w:rPr>
          <w:sz w:val="24"/>
          <w:szCs w:val="24"/>
        </w:rPr>
        <w:t xml:space="preserve"> Available at: </w:t>
      </w:r>
      <w:r w:rsidRPr="00452C80">
        <w:rPr>
          <w:sz w:val="24"/>
          <w:szCs w:val="24"/>
        </w:rPr>
        <w:t xml:space="preserve"> </w:t>
      </w:r>
      <w:hyperlink r:id="rId397" w:history="1">
        <w:r w:rsidRPr="004143DB">
          <w:rPr>
            <w:rStyle w:val="Hyperlink"/>
            <w:color w:val="0070C0"/>
            <w:sz w:val="24"/>
            <w:szCs w:val="24"/>
          </w:rPr>
          <w:t>https://nursingeducationnetwork.net/2019/02/20/clinical-supervision-in-nursing/</w:t>
        </w:r>
      </w:hyperlink>
      <w:r w:rsidR="0075458C">
        <w:t xml:space="preserve">  </w:t>
      </w:r>
      <w:r w:rsidR="0075458C">
        <w:rPr>
          <w:sz w:val="24"/>
          <w:szCs w:val="24"/>
        </w:rPr>
        <w:t>[Accessed 16</w:t>
      </w:r>
      <w:r w:rsidR="0075458C" w:rsidRPr="0075458C">
        <w:rPr>
          <w:sz w:val="24"/>
          <w:szCs w:val="24"/>
          <w:vertAlign w:val="superscript"/>
        </w:rPr>
        <w:t>th</w:t>
      </w:r>
      <w:r w:rsidR="0075458C">
        <w:rPr>
          <w:sz w:val="24"/>
          <w:szCs w:val="24"/>
        </w:rPr>
        <w:t xml:space="preserve"> April 2024]</w:t>
      </w:r>
    </w:p>
    <w:p w14:paraId="17C2853C" w14:textId="77777777" w:rsidR="00640A2D" w:rsidRPr="00452C80" w:rsidRDefault="00640A2D" w:rsidP="00481CEB">
      <w:pPr>
        <w:spacing w:line="360" w:lineRule="auto"/>
        <w:ind w:left="833" w:hanging="720"/>
        <w:rPr>
          <w:sz w:val="24"/>
          <w:szCs w:val="24"/>
        </w:rPr>
      </w:pPr>
      <w:r w:rsidRPr="00452C80">
        <w:rPr>
          <w:sz w:val="24"/>
          <w:szCs w:val="24"/>
        </w:rPr>
        <w:t xml:space="preserve">Rouse, S. (2019) The role of the PMA and barriers to the successful implementation of restorative clinical supervision. </w:t>
      </w:r>
      <w:r w:rsidRPr="00452C80">
        <w:rPr>
          <w:i/>
          <w:iCs/>
          <w:sz w:val="24"/>
          <w:szCs w:val="24"/>
        </w:rPr>
        <w:t>British Journal of Midwifery</w:t>
      </w:r>
      <w:r w:rsidRPr="00452C80">
        <w:rPr>
          <w:sz w:val="24"/>
          <w:szCs w:val="24"/>
        </w:rPr>
        <w:t xml:space="preserve">, </w:t>
      </w:r>
      <w:r w:rsidRPr="00452C80">
        <w:rPr>
          <w:b/>
          <w:bCs/>
          <w:sz w:val="24"/>
          <w:szCs w:val="24"/>
        </w:rPr>
        <w:t>27</w:t>
      </w:r>
      <w:r w:rsidRPr="00452C80">
        <w:rPr>
          <w:sz w:val="24"/>
          <w:szCs w:val="24"/>
        </w:rPr>
        <w:t>(6): pp.381-386.</w:t>
      </w:r>
      <w:r w:rsidRPr="00452C80">
        <w:t xml:space="preserve"> </w:t>
      </w:r>
      <w:r w:rsidRPr="00452C80">
        <w:rPr>
          <w:sz w:val="24"/>
          <w:szCs w:val="24"/>
        </w:rPr>
        <w:t xml:space="preserve"> </w:t>
      </w:r>
      <w:hyperlink r:id="rId398" w:history="1">
        <w:r w:rsidRPr="004143DB">
          <w:rPr>
            <w:rStyle w:val="Hyperlink"/>
            <w:color w:val="0070C0"/>
            <w:sz w:val="24"/>
            <w:szCs w:val="24"/>
          </w:rPr>
          <w:t>https://doi.org/10.12968/bjom.2019.27.6.381</w:t>
        </w:r>
      </w:hyperlink>
    </w:p>
    <w:p w14:paraId="1C7E0366" w14:textId="3959D59F" w:rsidR="00640A2D" w:rsidRPr="00452C80" w:rsidRDefault="00640A2D" w:rsidP="00481CEB">
      <w:pPr>
        <w:spacing w:line="360" w:lineRule="auto"/>
        <w:ind w:left="833" w:hanging="720"/>
        <w:rPr>
          <w:sz w:val="24"/>
          <w:szCs w:val="24"/>
        </w:rPr>
      </w:pPr>
      <w:r w:rsidRPr="00452C80">
        <w:rPr>
          <w:sz w:val="24"/>
          <w:szCs w:val="24"/>
        </w:rPr>
        <w:t>Rowe, A. D., Fitness, J.</w:t>
      </w:r>
      <w:r w:rsidR="00FB6501">
        <w:rPr>
          <w:sz w:val="24"/>
          <w:szCs w:val="24"/>
        </w:rPr>
        <w:t>,</w:t>
      </w:r>
      <w:r w:rsidRPr="00452C80">
        <w:rPr>
          <w:sz w:val="24"/>
          <w:szCs w:val="24"/>
        </w:rPr>
        <w:t xml:space="preserve"> and Wood, L. N. (2015) University student and lecturer perceptions of positive emotions and learning. </w:t>
      </w:r>
      <w:r w:rsidRPr="00452C80">
        <w:rPr>
          <w:i/>
          <w:iCs/>
          <w:sz w:val="24"/>
          <w:szCs w:val="24"/>
        </w:rPr>
        <w:t>International Journal of Qualitative Studies in Education,</w:t>
      </w:r>
      <w:r w:rsidRPr="00452C80">
        <w:rPr>
          <w:sz w:val="24"/>
          <w:szCs w:val="24"/>
        </w:rPr>
        <w:t xml:space="preserve"> </w:t>
      </w:r>
      <w:r w:rsidRPr="00452C80">
        <w:rPr>
          <w:b/>
          <w:bCs/>
          <w:sz w:val="24"/>
          <w:szCs w:val="24"/>
        </w:rPr>
        <w:t>28</w:t>
      </w:r>
      <w:r w:rsidRPr="00452C80">
        <w:rPr>
          <w:sz w:val="24"/>
          <w:szCs w:val="24"/>
        </w:rPr>
        <w:t>(1): pp. 1-20</w:t>
      </w:r>
      <w:r w:rsidRPr="004143DB">
        <w:rPr>
          <w:color w:val="0070C0"/>
          <w:sz w:val="24"/>
          <w:szCs w:val="24"/>
        </w:rPr>
        <w:t xml:space="preserve">. </w:t>
      </w:r>
      <w:hyperlink r:id="rId399" w:history="1">
        <w:r w:rsidRPr="004143DB">
          <w:rPr>
            <w:rStyle w:val="Hyperlink"/>
            <w:color w:val="0070C0"/>
            <w:sz w:val="24"/>
            <w:szCs w:val="24"/>
          </w:rPr>
          <w:t>https://doi.org/10.1080/09518398.2013.847506</w:t>
        </w:r>
      </w:hyperlink>
    </w:p>
    <w:p w14:paraId="2955272A" w14:textId="4C55AC57" w:rsidR="00640A2D" w:rsidRPr="0075458C" w:rsidRDefault="00640A2D" w:rsidP="00481CEB">
      <w:pPr>
        <w:spacing w:line="360" w:lineRule="auto"/>
        <w:ind w:left="833" w:hanging="720"/>
        <w:rPr>
          <w:bCs/>
          <w:sz w:val="24"/>
          <w:szCs w:val="24"/>
        </w:rPr>
      </w:pPr>
      <w:r w:rsidRPr="00452C80">
        <w:rPr>
          <w:bCs/>
          <w:sz w:val="24"/>
          <w:szCs w:val="24"/>
        </w:rPr>
        <w:t>Rowley, J. (2014)</w:t>
      </w:r>
      <w:r w:rsidRPr="00452C80">
        <w:rPr>
          <w:rFonts w:ascii="Arial" w:hAnsi="Arial" w:cs="Arial"/>
          <w:sz w:val="21"/>
          <w:szCs w:val="21"/>
          <w:shd w:val="clear" w:color="auto" w:fill="F5F5F5"/>
        </w:rPr>
        <w:t xml:space="preserve"> </w:t>
      </w:r>
      <w:r w:rsidRPr="00452C80">
        <w:rPr>
          <w:bCs/>
          <w:i/>
          <w:iCs/>
          <w:sz w:val="24"/>
          <w:szCs w:val="24"/>
        </w:rPr>
        <w:t>Designing and Using Research Questionnaires</w:t>
      </w:r>
      <w:r w:rsidRPr="004143DB">
        <w:rPr>
          <w:bCs/>
          <w:color w:val="0070C0"/>
          <w:sz w:val="24"/>
          <w:szCs w:val="24"/>
        </w:rPr>
        <w:t>.</w:t>
      </w:r>
      <w:r w:rsidR="0075458C">
        <w:rPr>
          <w:bCs/>
          <w:color w:val="0070C0"/>
          <w:sz w:val="24"/>
          <w:szCs w:val="24"/>
        </w:rPr>
        <w:t xml:space="preserve"> </w:t>
      </w:r>
      <w:r w:rsidR="0075458C" w:rsidRPr="0075458C">
        <w:rPr>
          <w:bCs/>
          <w:sz w:val="24"/>
          <w:szCs w:val="24"/>
        </w:rPr>
        <w:t xml:space="preserve">Available at: </w:t>
      </w:r>
      <w:r w:rsidRPr="0075458C">
        <w:rPr>
          <w:bCs/>
          <w:sz w:val="24"/>
          <w:szCs w:val="24"/>
        </w:rPr>
        <w:t xml:space="preserve"> </w:t>
      </w:r>
      <w:hyperlink r:id="rId400" w:history="1">
        <w:r w:rsidRPr="004143DB">
          <w:rPr>
            <w:rStyle w:val="Hyperlink"/>
            <w:bCs/>
            <w:color w:val="0070C0"/>
            <w:sz w:val="24"/>
            <w:szCs w:val="24"/>
          </w:rPr>
          <w:t>https://e-space.mmu.ac.uk/579515/1/Designing%20and%20using%20Research%20QuestionnairesREV18042013.pdf</w:t>
        </w:r>
      </w:hyperlink>
      <w:r w:rsidR="0075458C">
        <w:t xml:space="preserve">  </w:t>
      </w:r>
      <w:r w:rsidR="0075458C">
        <w:rPr>
          <w:sz w:val="24"/>
          <w:szCs w:val="24"/>
        </w:rPr>
        <w:t xml:space="preserve">[Accessed </w:t>
      </w:r>
      <w:r w:rsidR="00304643">
        <w:rPr>
          <w:sz w:val="24"/>
          <w:szCs w:val="24"/>
        </w:rPr>
        <w:t>29</w:t>
      </w:r>
      <w:r w:rsidR="00304643" w:rsidRPr="00304643">
        <w:rPr>
          <w:sz w:val="24"/>
          <w:szCs w:val="24"/>
          <w:vertAlign w:val="superscript"/>
        </w:rPr>
        <w:t>th</w:t>
      </w:r>
      <w:r w:rsidR="00304643">
        <w:rPr>
          <w:sz w:val="24"/>
          <w:szCs w:val="24"/>
        </w:rPr>
        <w:t xml:space="preserve"> November 2023]</w:t>
      </w:r>
    </w:p>
    <w:p w14:paraId="42CC3832" w14:textId="79599120" w:rsidR="00640A2D" w:rsidRPr="00304643" w:rsidRDefault="00640A2D" w:rsidP="00481CEB">
      <w:pPr>
        <w:spacing w:line="360" w:lineRule="auto"/>
        <w:ind w:left="833" w:hanging="720"/>
        <w:rPr>
          <w:bCs/>
          <w:color w:val="0070C0"/>
          <w:sz w:val="24"/>
          <w:szCs w:val="24"/>
        </w:rPr>
      </w:pPr>
      <w:r w:rsidRPr="00452C80">
        <w:rPr>
          <w:bCs/>
          <w:sz w:val="24"/>
          <w:szCs w:val="24"/>
        </w:rPr>
        <w:t xml:space="preserve">Royal College of Nursing (RCN) (2023) </w:t>
      </w:r>
      <w:r w:rsidRPr="00452C80">
        <w:rPr>
          <w:sz w:val="24"/>
          <w:szCs w:val="24"/>
        </w:rPr>
        <w:t>Professional nurse advocate A-EQUIP model: a model of clinical supervision for nurses.</w:t>
      </w:r>
      <w:r w:rsidR="00304643">
        <w:rPr>
          <w:sz w:val="24"/>
          <w:szCs w:val="24"/>
        </w:rPr>
        <w:t xml:space="preserve"> Available at: </w:t>
      </w:r>
      <w:r w:rsidRPr="00452C80">
        <w:rPr>
          <w:b/>
          <w:bCs/>
          <w:sz w:val="24"/>
          <w:szCs w:val="24"/>
        </w:rPr>
        <w:t xml:space="preserve"> </w:t>
      </w:r>
      <w:hyperlink r:id="rId401" w:history="1">
        <w:r w:rsidRPr="004143DB">
          <w:rPr>
            <w:rStyle w:val="Hyperlink"/>
            <w:bCs/>
            <w:color w:val="0070C0"/>
            <w:sz w:val="24"/>
            <w:szCs w:val="24"/>
          </w:rPr>
          <w:t>https://www.england.nhs.uk/long-read/pna-equip-model-a-model-of-clinical-supervision-for-nurses/</w:t>
        </w:r>
      </w:hyperlink>
      <w:r w:rsidR="00304643">
        <w:t xml:space="preserve">  </w:t>
      </w:r>
      <w:r w:rsidR="00304643">
        <w:rPr>
          <w:sz w:val="24"/>
          <w:szCs w:val="24"/>
        </w:rPr>
        <w:t>[Accessed 11</w:t>
      </w:r>
      <w:r w:rsidR="00304643" w:rsidRPr="00304643">
        <w:rPr>
          <w:sz w:val="24"/>
          <w:szCs w:val="24"/>
          <w:vertAlign w:val="superscript"/>
        </w:rPr>
        <w:t>th</w:t>
      </w:r>
      <w:r w:rsidR="00304643">
        <w:rPr>
          <w:sz w:val="24"/>
          <w:szCs w:val="24"/>
        </w:rPr>
        <w:t xml:space="preserve"> </w:t>
      </w:r>
      <w:r w:rsidR="00F83DC3">
        <w:rPr>
          <w:sz w:val="24"/>
          <w:szCs w:val="24"/>
        </w:rPr>
        <w:t>April 2024]</w:t>
      </w:r>
    </w:p>
    <w:p w14:paraId="2F94AA03" w14:textId="64BAA193" w:rsidR="00640A2D" w:rsidRPr="00F83DC3" w:rsidRDefault="00640A2D" w:rsidP="00481CEB">
      <w:pPr>
        <w:spacing w:line="360" w:lineRule="auto"/>
        <w:ind w:left="833" w:hanging="720"/>
        <w:rPr>
          <w:rFonts w:ascii="Calibri" w:eastAsia="Calibri" w:hAnsi="Calibri" w:cs="Times New Roman"/>
          <w:color w:val="0070C0"/>
          <w:sz w:val="24"/>
          <w:szCs w:val="24"/>
        </w:rPr>
      </w:pPr>
      <w:r w:rsidRPr="00452C80">
        <w:rPr>
          <w:rFonts w:ascii="Calibri" w:eastAsia="Calibri" w:hAnsi="Calibri" w:cs="Times New Roman"/>
          <w:sz w:val="24"/>
          <w:szCs w:val="24"/>
        </w:rPr>
        <w:t>Royal College of Nursing (RCN) (2023a)</w:t>
      </w:r>
      <w:r w:rsidR="009A19D3">
        <w:rPr>
          <w:rFonts w:ascii="Calibri" w:eastAsia="Calibri" w:hAnsi="Calibri" w:cs="Times New Roman"/>
          <w:sz w:val="24"/>
          <w:szCs w:val="24"/>
        </w:rPr>
        <w:t xml:space="preserve"> </w:t>
      </w:r>
      <w:r w:rsidRPr="00452C80">
        <w:rPr>
          <w:rFonts w:ascii="Calibri" w:eastAsia="Calibri" w:hAnsi="Calibri" w:cs="Times New Roman"/>
          <w:sz w:val="24"/>
          <w:szCs w:val="24"/>
        </w:rPr>
        <w:t>Professional nurse advocate standards for education and training programs and modules. 2023.</w:t>
      </w:r>
      <w:r w:rsidR="00F83DC3">
        <w:rPr>
          <w:rFonts w:ascii="Calibri" w:eastAsia="Calibri" w:hAnsi="Calibri" w:cs="Times New Roman"/>
          <w:sz w:val="24"/>
          <w:szCs w:val="24"/>
        </w:rPr>
        <w:t xml:space="preserve"> Available at: </w:t>
      </w:r>
      <w:r w:rsidRPr="00452C80">
        <w:rPr>
          <w:rFonts w:ascii="Calibri" w:eastAsia="Calibri" w:hAnsi="Calibri" w:cs="Times New Roman"/>
          <w:sz w:val="24"/>
          <w:szCs w:val="24"/>
        </w:rPr>
        <w:t xml:space="preserve"> </w:t>
      </w:r>
      <w:hyperlink r:id="rId402" w:history="1">
        <w:r w:rsidRPr="004143DB">
          <w:rPr>
            <w:rStyle w:val="Hyperlink"/>
            <w:rFonts w:ascii="Calibri" w:eastAsia="Calibri" w:hAnsi="Calibri" w:cs="Times New Roman"/>
            <w:color w:val="0070C0"/>
            <w:sz w:val="24"/>
            <w:szCs w:val="24"/>
          </w:rPr>
          <w:t>https://www.rcn.org.uk/Professional-Development/publications/professional-nurse-advocate-standards-uk-pub-010-854</w:t>
        </w:r>
      </w:hyperlink>
      <w:r w:rsidR="00F83DC3">
        <w:t xml:space="preserve">  </w:t>
      </w:r>
      <w:r w:rsidR="00F83DC3">
        <w:rPr>
          <w:sz w:val="24"/>
          <w:szCs w:val="24"/>
        </w:rPr>
        <w:t>[Accessed 4</w:t>
      </w:r>
      <w:r w:rsidR="00F83DC3" w:rsidRPr="00F83DC3">
        <w:rPr>
          <w:sz w:val="24"/>
          <w:szCs w:val="24"/>
          <w:vertAlign w:val="superscript"/>
        </w:rPr>
        <w:t>th</w:t>
      </w:r>
      <w:r w:rsidR="00F83DC3">
        <w:rPr>
          <w:sz w:val="24"/>
          <w:szCs w:val="24"/>
        </w:rPr>
        <w:t xml:space="preserve"> </w:t>
      </w:r>
      <w:r w:rsidR="00BA7902">
        <w:rPr>
          <w:sz w:val="24"/>
          <w:szCs w:val="24"/>
        </w:rPr>
        <w:t>May 2024]</w:t>
      </w:r>
    </w:p>
    <w:p w14:paraId="754AF261" w14:textId="77777777" w:rsidR="00640A2D" w:rsidRPr="00452C80" w:rsidRDefault="00640A2D" w:rsidP="00481CEB">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lastRenderedPageBreak/>
        <w:t xml:space="preserve">Royal College of Psychiatrists (2011) </w:t>
      </w:r>
      <w:r w:rsidRPr="00452C80">
        <w:rPr>
          <w:rFonts w:ascii="Calibri" w:eastAsia="Calibri" w:hAnsi="Calibri" w:cs="Times New Roman"/>
          <w:i/>
          <w:iCs/>
          <w:sz w:val="24"/>
          <w:szCs w:val="24"/>
        </w:rPr>
        <w:t>The Mental Health of Students in Higher Education: College Report CR66</w:t>
      </w:r>
      <w:r w:rsidRPr="00452C80">
        <w:rPr>
          <w:rFonts w:ascii="Calibri" w:eastAsia="Calibri" w:hAnsi="Calibri" w:cs="Times New Roman"/>
          <w:sz w:val="24"/>
          <w:szCs w:val="24"/>
        </w:rPr>
        <w:t>. London: Royal College of Psychiatrists.</w:t>
      </w:r>
    </w:p>
    <w:p w14:paraId="57416368" w14:textId="77777777" w:rsidR="00640A2D" w:rsidRPr="00452C80" w:rsidRDefault="00640A2D" w:rsidP="00481CEB">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t xml:space="preserve">Royal College of Psychiatrists (2018) </w:t>
      </w:r>
      <w:r w:rsidRPr="00452C80">
        <w:rPr>
          <w:rFonts w:ascii="Calibri" w:eastAsia="Calibri" w:hAnsi="Calibri" w:cs="Times New Roman"/>
          <w:i/>
          <w:iCs/>
          <w:sz w:val="24"/>
          <w:szCs w:val="24"/>
        </w:rPr>
        <w:t>The Mental Health of Higher Education Students</w:t>
      </w:r>
      <w:r w:rsidRPr="00452C80">
        <w:rPr>
          <w:rFonts w:ascii="Calibri" w:eastAsia="Calibri" w:hAnsi="Calibri" w:cs="Times New Roman"/>
          <w:sz w:val="24"/>
          <w:szCs w:val="24"/>
        </w:rPr>
        <w:t xml:space="preserve">: </w:t>
      </w:r>
      <w:r w:rsidRPr="00452C80">
        <w:rPr>
          <w:rFonts w:ascii="Calibri" w:eastAsia="Calibri" w:hAnsi="Calibri" w:cs="Times New Roman"/>
          <w:i/>
          <w:iCs/>
          <w:sz w:val="24"/>
          <w:szCs w:val="24"/>
        </w:rPr>
        <w:t>College Report CR231</w:t>
      </w:r>
      <w:r w:rsidRPr="00452C80">
        <w:rPr>
          <w:rFonts w:ascii="Calibri" w:eastAsia="Calibri" w:hAnsi="Calibri" w:cs="Times New Roman"/>
          <w:sz w:val="24"/>
          <w:szCs w:val="24"/>
        </w:rPr>
        <w:t>. London: Royal College of Psychiatrists.</w:t>
      </w:r>
    </w:p>
    <w:p w14:paraId="028F637A" w14:textId="6886EECA" w:rsidR="00640A2D" w:rsidRPr="00452C80" w:rsidRDefault="00640A2D" w:rsidP="00481CEB">
      <w:pPr>
        <w:spacing w:line="360" w:lineRule="auto"/>
        <w:ind w:left="833" w:hanging="720"/>
        <w:rPr>
          <w:bCs/>
          <w:sz w:val="24"/>
          <w:szCs w:val="24"/>
        </w:rPr>
      </w:pPr>
      <w:r w:rsidRPr="00452C80">
        <w:rPr>
          <w:bCs/>
          <w:sz w:val="24"/>
          <w:szCs w:val="24"/>
        </w:rPr>
        <w:t>Rubin, H.</w:t>
      </w:r>
      <w:r w:rsidR="00FB6501">
        <w:rPr>
          <w:bCs/>
          <w:sz w:val="24"/>
          <w:szCs w:val="24"/>
        </w:rPr>
        <w:t xml:space="preserve"> </w:t>
      </w:r>
      <w:r w:rsidRPr="00452C80">
        <w:rPr>
          <w:bCs/>
          <w:sz w:val="24"/>
          <w:szCs w:val="24"/>
        </w:rPr>
        <w:t xml:space="preserve">J., and Rubin, I.S. (2012) </w:t>
      </w:r>
      <w:r w:rsidRPr="00452C80">
        <w:rPr>
          <w:bCs/>
          <w:i/>
          <w:iCs/>
          <w:sz w:val="24"/>
          <w:szCs w:val="24"/>
        </w:rPr>
        <w:t>Qualitative Interviewing: The art of hearing data</w:t>
      </w:r>
      <w:r w:rsidRPr="00452C80">
        <w:rPr>
          <w:bCs/>
          <w:sz w:val="24"/>
          <w:szCs w:val="24"/>
        </w:rPr>
        <w:t xml:space="preserve"> (3</w:t>
      </w:r>
      <w:r w:rsidRPr="00452C80">
        <w:rPr>
          <w:bCs/>
          <w:sz w:val="24"/>
          <w:szCs w:val="24"/>
          <w:vertAlign w:val="superscript"/>
        </w:rPr>
        <w:t>rd</w:t>
      </w:r>
      <w:r w:rsidRPr="00452C80">
        <w:rPr>
          <w:bCs/>
          <w:sz w:val="24"/>
          <w:szCs w:val="24"/>
        </w:rPr>
        <w:t xml:space="preserve"> edition). Thousand Oaks: Sage.</w:t>
      </w:r>
    </w:p>
    <w:p w14:paraId="51E7F8DD" w14:textId="41E03CC0" w:rsidR="00640A2D" w:rsidRPr="00BA7902" w:rsidRDefault="00640A2D" w:rsidP="00481CEB">
      <w:pPr>
        <w:spacing w:line="360" w:lineRule="auto"/>
        <w:ind w:left="833" w:hanging="720"/>
        <w:rPr>
          <w:color w:val="0070C0"/>
          <w:sz w:val="24"/>
          <w:szCs w:val="24"/>
        </w:rPr>
      </w:pPr>
      <w:r w:rsidRPr="00452C80">
        <w:rPr>
          <w:sz w:val="24"/>
          <w:szCs w:val="24"/>
        </w:rPr>
        <w:t xml:space="preserve">Runyon, N. (2022) </w:t>
      </w:r>
      <w:r w:rsidRPr="00452C80">
        <w:rPr>
          <w:i/>
          <w:iCs/>
          <w:sz w:val="24"/>
          <w:szCs w:val="24"/>
        </w:rPr>
        <w:t>Why power skills is the new term for soft skills in the hybrid work world. Thomson Reuters Institute</w:t>
      </w:r>
      <w:r w:rsidRPr="00452C80">
        <w:rPr>
          <w:sz w:val="24"/>
          <w:szCs w:val="24"/>
        </w:rPr>
        <w:t>.</w:t>
      </w:r>
      <w:r w:rsidR="00BA7902">
        <w:rPr>
          <w:sz w:val="24"/>
          <w:szCs w:val="24"/>
        </w:rPr>
        <w:t xml:space="preserve"> Available at: </w:t>
      </w:r>
      <w:r w:rsidRPr="00452C80">
        <w:rPr>
          <w:sz w:val="24"/>
          <w:szCs w:val="24"/>
        </w:rPr>
        <w:t xml:space="preserve"> </w:t>
      </w:r>
      <w:hyperlink r:id="rId403" w:history="1">
        <w:r w:rsidRPr="004143DB">
          <w:rPr>
            <w:rStyle w:val="Hyperlink"/>
            <w:color w:val="0070C0"/>
            <w:sz w:val="24"/>
            <w:szCs w:val="24"/>
          </w:rPr>
          <w:t>https://www.thomsonreuters.com/en-us/posts/legal/power-skills-rebranding/</w:t>
        </w:r>
      </w:hyperlink>
      <w:r w:rsidR="00BA7902">
        <w:t xml:space="preserve">  </w:t>
      </w:r>
      <w:r w:rsidR="00BA7902">
        <w:rPr>
          <w:sz w:val="24"/>
          <w:szCs w:val="24"/>
        </w:rPr>
        <w:t>[</w:t>
      </w:r>
      <w:r w:rsidR="00CF06E3">
        <w:rPr>
          <w:sz w:val="24"/>
          <w:szCs w:val="24"/>
        </w:rPr>
        <w:t>13</w:t>
      </w:r>
      <w:r w:rsidR="00CF06E3" w:rsidRPr="00CF06E3">
        <w:rPr>
          <w:sz w:val="24"/>
          <w:szCs w:val="24"/>
          <w:vertAlign w:val="superscript"/>
        </w:rPr>
        <w:t>th</w:t>
      </w:r>
      <w:r w:rsidR="00CF06E3">
        <w:rPr>
          <w:sz w:val="24"/>
          <w:szCs w:val="24"/>
        </w:rPr>
        <w:t xml:space="preserve"> September 2023]</w:t>
      </w:r>
    </w:p>
    <w:p w14:paraId="4B43234F" w14:textId="77777777" w:rsidR="00640A2D" w:rsidRPr="004143DB" w:rsidRDefault="00640A2D" w:rsidP="00481CEB">
      <w:pPr>
        <w:spacing w:line="360" w:lineRule="auto"/>
        <w:ind w:left="833" w:hanging="720"/>
        <w:rPr>
          <w:color w:val="0070C0"/>
          <w:sz w:val="24"/>
          <w:szCs w:val="24"/>
        </w:rPr>
      </w:pPr>
      <w:r w:rsidRPr="00452C80">
        <w:rPr>
          <w:sz w:val="24"/>
          <w:szCs w:val="24"/>
        </w:rPr>
        <w:t xml:space="preserve">Ruokonen-Engler, M., and Siouti, I. (2016) Biographical Entanglements, Self-Reflexivity, and Transnational Knowledge Production. </w:t>
      </w:r>
      <w:r w:rsidRPr="00452C80">
        <w:rPr>
          <w:i/>
          <w:iCs/>
          <w:sz w:val="24"/>
          <w:szCs w:val="24"/>
        </w:rPr>
        <w:t>Qualitative Inquiry</w:t>
      </w:r>
      <w:r w:rsidRPr="00452C80">
        <w:rPr>
          <w:sz w:val="24"/>
          <w:szCs w:val="24"/>
        </w:rPr>
        <w:t xml:space="preserve">, </w:t>
      </w:r>
      <w:r w:rsidRPr="00452C80">
        <w:rPr>
          <w:b/>
          <w:bCs/>
          <w:sz w:val="24"/>
          <w:szCs w:val="24"/>
        </w:rPr>
        <w:t>22</w:t>
      </w:r>
      <w:r w:rsidRPr="00452C80">
        <w:rPr>
          <w:sz w:val="24"/>
          <w:szCs w:val="24"/>
        </w:rPr>
        <w:t xml:space="preserve">(9): pp. 745-752. </w:t>
      </w:r>
      <w:hyperlink r:id="rId404" w:history="1">
        <w:r w:rsidRPr="004143DB">
          <w:rPr>
            <w:rStyle w:val="Hyperlink"/>
            <w:color w:val="0070C0"/>
            <w:sz w:val="24"/>
            <w:szCs w:val="24"/>
          </w:rPr>
          <w:t>https://doi-org/10.1177/1077800416658071</w:t>
        </w:r>
      </w:hyperlink>
    </w:p>
    <w:p w14:paraId="34C1C577" w14:textId="36D41CB5" w:rsidR="008D0005" w:rsidRDefault="008D0005" w:rsidP="008D0005">
      <w:pPr>
        <w:spacing w:line="360" w:lineRule="auto"/>
        <w:ind w:left="833" w:hanging="720"/>
        <w:rPr>
          <w:sz w:val="24"/>
          <w:szCs w:val="24"/>
        </w:rPr>
      </w:pPr>
      <w:r w:rsidRPr="008D0005">
        <w:rPr>
          <w:sz w:val="24"/>
          <w:szCs w:val="24"/>
        </w:rPr>
        <w:t xml:space="preserve">Rustin, M. (2019) </w:t>
      </w:r>
      <w:r w:rsidRPr="008D0005">
        <w:rPr>
          <w:i/>
          <w:iCs/>
          <w:sz w:val="24"/>
          <w:szCs w:val="24"/>
        </w:rPr>
        <w:t>Researching the Unconscious: Principles of Psychoanalytic Method</w:t>
      </w:r>
      <w:r w:rsidRPr="008D0005">
        <w:rPr>
          <w:sz w:val="24"/>
          <w:szCs w:val="24"/>
        </w:rPr>
        <w:t>. London: Routledge.</w:t>
      </w:r>
    </w:p>
    <w:p w14:paraId="69AE6331" w14:textId="6EE5DB5D" w:rsidR="00640A2D" w:rsidRPr="00452C80" w:rsidRDefault="00640A2D" w:rsidP="00481CEB">
      <w:pPr>
        <w:spacing w:line="360" w:lineRule="auto"/>
        <w:ind w:left="833" w:hanging="720"/>
        <w:rPr>
          <w:sz w:val="24"/>
          <w:szCs w:val="24"/>
        </w:rPr>
      </w:pPr>
      <w:r w:rsidRPr="00452C80">
        <w:rPr>
          <w:sz w:val="24"/>
          <w:szCs w:val="24"/>
        </w:rPr>
        <w:t>Rustin, M.</w:t>
      </w:r>
      <w:r w:rsidR="00E07DF2">
        <w:rPr>
          <w:sz w:val="24"/>
          <w:szCs w:val="24"/>
        </w:rPr>
        <w:t xml:space="preserve"> </w:t>
      </w:r>
      <w:r w:rsidRPr="00452C80">
        <w:rPr>
          <w:sz w:val="24"/>
          <w:szCs w:val="24"/>
        </w:rPr>
        <w:t>E., and Rustin, M.</w:t>
      </w:r>
      <w:r w:rsidR="00E07DF2">
        <w:rPr>
          <w:sz w:val="24"/>
          <w:szCs w:val="24"/>
        </w:rPr>
        <w:t xml:space="preserve"> </w:t>
      </w:r>
      <w:r w:rsidRPr="00452C80">
        <w:rPr>
          <w:sz w:val="24"/>
          <w:szCs w:val="24"/>
        </w:rPr>
        <w:t>J. (1984) Relational preconditions of socialism. In: B. Richards (ed)</w:t>
      </w:r>
      <w:r w:rsidR="00BC090A">
        <w:rPr>
          <w:sz w:val="24"/>
          <w:szCs w:val="24"/>
        </w:rPr>
        <w:t>,</w:t>
      </w:r>
      <w:r w:rsidR="00991728">
        <w:rPr>
          <w:sz w:val="24"/>
          <w:szCs w:val="24"/>
        </w:rPr>
        <w:t xml:space="preserve"> </w:t>
      </w:r>
      <w:r w:rsidRPr="00452C80">
        <w:rPr>
          <w:i/>
          <w:iCs/>
          <w:sz w:val="24"/>
          <w:szCs w:val="24"/>
        </w:rPr>
        <w:t>Capitalism and Infancy: Essays on psychoanalysis and politics</w:t>
      </w:r>
      <w:r w:rsidRPr="00452C80">
        <w:rPr>
          <w:sz w:val="24"/>
          <w:szCs w:val="24"/>
        </w:rPr>
        <w:t>. London: Free Association books.</w:t>
      </w:r>
    </w:p>
    <w:p w14:paraId="4A7BFF30" w14:textId="77777777" w:rsidR="00640A2D" w:rsidRPr="00452C80" w:rsidRDefault="00640A2D" w:rsidP="00481CEB">
      <w:pPr>
        <w:spacing w:line="360" w:lineRule="auto"/>
        <w:ind w:left="833" w:hanging="720"/>
        <w:rPr>
          <w:sz w:val="24"/>
          <w:szCs w:val="24"/>
        </w:rPr>
      </w:pPr>
      <w:r w:rsidRPr="00452C80">
        <w:rPr>
          <w:sz w:val="24"/>
          <w:szCs w:val="24"/>
        </w:rPr>
        <w:t xml:space="preserve">Ryan, J., and Sackrey, C. (1995) </w:t>
      </w:r>
      <w:r w:rsidRPr="00452C80">
        <w:rPr>
          <w:i/>
          <w:iCs/>
          <w:sz w:val="24"/>
          <w:szCs w:val="24"/>
        </w:rPr>
        <w:t>Strangers in Paradise: Academics from the Working Class</w:t>
      </w:r>
      <w:r w:rsidRPr="00452C80">
        <w:rPr>
          <w:sz w:val="24"/>
          <w:szCs w:val="24"/>
        </w:rPr>
        <w:t>. University Press of America.</w:t>
      </w:r>
    </w:p>
    <w:p w14:paraId="11F9BBC4" w14:textId="4DC02210" w:rsidR="00640A2D" w:rsidRPr="00452C80"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Ryan, R.</w:t>
      </w:r>
      <w:r w:rsidR="004007B5">
        <w:rPr>
          <w:rFonts w:ascii="Calibri" w:eastAsia="Aptos" w:hAnsi="Calibri" w:cs="Calibri"/>
          <w:kern w:val="2"/>
          <w:sz w:val="24"/>
          <w:szCs w:val="24"/>
          <w14:ligatures w14:val="standardContextual"/>
        </w:rPr>
        <w:t xml:space="preserve"> </w:t>
      </w:r>
      <w:r w:rsidRPr="00452C80">
        <w:rPr>
          <w:rFonts w:ascii="Calibri" w:eastAsia="Aptos" w:hAnsi="Calibri" w:cs="Calibri"/>
          <w:kern w:val="2"/>
          <w:sz w:val="24"/>
          <w:szCs w:val="24"/>
          <w14:ligatures w14:val="standardContextual"/>
        </w:rPr>
        <w:t xml:space="preserve">M., and Deci, E.L. (2000) Intrinsic and Extrinsic Motivations: Classic Definitions and New Directions. </w:t>
      </w:r>
      <w:r w:rsidRPr="00452C80">
        <w:rPr>
          <w:rFonts w:ascii="Calibri" w:eastAsia="Aptos" w:hAnsi="Calibri" w:cs="Calibri"/>
          <w:i/>
          <w:iCs/>
          <w:kern w:val="2"/>
          <w:sz w:val="24"/>
          <w:szCs w:val="24"/>
          <w14:ligatures w14:val="standardContextual"/>
        </w:rPr>
        <w:t>Contemporary Educational Psychology</w:t>
      </w:r>
      <w:r w:rsidRPr="00452C80">
        <w:rPr>
          <w:rFonts w:ascii="Calibri" w:eastAsia="Aptos" w:hAnsi="Calibri" w:cs="Calibri"/>
          <w:kern w:val="2"/>
          <w:sz w:val="24"/>
          <w:szCs w:val="24"/>
          <w14:ligatures w14:val="standardContextual"/>
        </w:rPr>
        <w:t xml:space="preserve"> </w:t>
      </w:r>
      <w:r w:rsidRPr="004143DB">
        <w:rPr>
          <w:rFonts w:ascii="Calibri" w:eastAsia="Aptos" w:hAnsi="Calibri" w:cs="Calibri"/>
          <w:b/>
          <w:bCs/>
          <w:kern w:val="2"/>
          <w:sz w:val="24"/>
          <w:szCs w:val="24"/>
          <w14:ligatures w14:val="standardContextual"/>
        </w:rPr>
        <w:t>25</w:t>
      </w:r>
      <w:r w:rsidRPr="00452C80">
        <w:rPr>
          <w:rFonts w:ascii="Calibri" w:eastAsia="Aptos" w:hAnsi="Calibri" w:cs="Calibri"/>
          <w:kern w:val="2"/>
          <w:sz w:val="24"/>
          <w:szCs w:val="24"/>
          <w14:ligatures w14:val="standardContextual"/>
        </w:rPr>
        <w:t>(1): pp.54–67.</w:t>
      </w:r>
      <w:r w:rsidRPr="00452C80">
        <w:t xml:space="preserve"> </w:t>
      </w:r>
      <w:hyperlink r:id="rId405" w:tgtFrame="_blank" w:tooltip="Persistent link using digital object identifier" w:history="1">
        <w:r w:rsidRPr="004143DB">
          <w:rPr>
            <w:rStyle w:val="Hyperlink"/>
            <w:rFonts w:ascii="Calibri" w:eastAsia="Aptos" w:hAnsi="Calibri" w:cs="Calibri"/>
            <w:color w:val="0070C0"/>
            <w:kern w:val="2"/>
            <w:sz w:val="24"/>
            <w:szCs w:val="24"/>
            <w14:ligatures w14:val="standardContextual"/>
          </w:rPr>
          <w:t>https://doi.org/10.1006/ceps.1999.1020</w:t>
        </w:r>
      </w:hyperlink>
    </w:p>
    <w:p w14:paraId="34A51430" w14:textId="1B839BBE" w:rsidR="00640A2D" w:rsidRPr="004143DB" w:rsidRDefault="00640A2D" w:rsidP="00481CEB">
      <w:pPr>
        <w:spacing w:line="360" w:lineRule="auto"/>
        <w:ind w:left="833" w:hanging="720"/>
        <w:rPr>
          <w:rFonts w:ascii="Calibri" w:eastAsia="Aptos" w:hAnsi="Calibri" w:cs="Calibri"/>
          <w:color w:val="0070C0"/>
          <w:kern w:val="2"/>
          <w:sz w:val="24"/>
          <w:szCs w:val="24"/>
          <w14:ligatures w14:val="standardContextual"/>
        </w:rPr>
      </w:pPr>
      <w:r w:rsidRPr="00452C80">
        <w:rPr>
          <w:rFonts w:ascii="Calibri" w:eastAsia="Aptos" w:hAnsi="Calibri" w:cs="Calibri"/>
          <w:kern w:val="2"/>
          <w:sz w:val="24"/>
          <w:szCs w:val="24"/>
          <w14:ligatures w14:val="standardContextual"/>
        </w:rPr>
        <w:t>Ryan, R., Huta, V.</w:t>
      </w:r>
      <w:r w:rsidR="00FB6501">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and Deci, E. (2008) Living well: A self-determination theory perspective on eudaimonia. </w:t>
      </w:r>
      <w:r w:rsidRPr="00452C80">
        <w:rPr>
          <w:rFonts w:ascii="Calibri" w:eastAsia="Aptos" w:hAnsi="Calibri" w:cs="Calibri"/>
          <w:i/>
          <w:iCs/>
          <w:kern w:val="2"/>
          <w:sz w:val="24"/>
          <w:szCs w:val="24"/>
          <w14:ligatures w14:val="standardContextual"/>
        </w:rPr>
        <w:t>Journal of Happiness Studies</w:t>
      </w:r>
      <w:r w:rsidRPr="00452C80">
        <w:rPr>
          <w:rFonts w:ascii="Calibri" w:eastAsia="Aptos" w:hAnsi="Calibri" w:cs="Calibri"/>
          <w:kern w:val="2"/>
          <w:sz w:val="24"/>
          <w:szCs w:val="24"/>
          <w14:ligatures w14:val="standardContextual"/>
        </w:rPr>
        <w:t xml:space="preserve"> (2008), 9: pp.139–170.</w:t>
      </w:r>
      <w:r w:rsidRPr="00452C80">
        <w:rPr>
          <w:rFonts w:ascii="Verdana" w:hAnsi="Verdana"/>
          <w:sz w:val="21"/>
          <w:szCs w:val="21"/>
          <w:shd w:val="clear" w:color="auto" w:fill="FFFFFF"/>
        </w:rPr>
        <w:t xml:space="preserve"> </w:t>
      </w:r>
      <w:hyperlink r:id="rId406" w:history="1">
        <w:r w:rsidRPr="004143DB">
          <w:rPr>
            <w:rStyle w:val="Hyperlink"/>
            <w:rFonts w:ascii="Calibri" w:eastAsia="Aptos" w:hAnsi="Calibri" w:cs="Calibri"/>
            <w:color w:val="0070C0"/>
            <w:kern w:val="2"/>
            <w:sz w:val="24"/>
            <w:szCs w:val="24"/>
            <w14:ligatures w14:val="standardContextual"/>
          </w:rPr>
          <w:t>https://doi.org/10.1007/s10902-006-9023-4</w:t>
        </w:r>
      </w:hyperlink>
    </w:p>
    <w:p w14:paraId="3C0441F1" w14:textId="0D48F904" w:rsidR="00640A2D" w:rsidRPr="00452C80"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lastRenderedPageBreak/>
        <w:t>Ryan, R.</w:t>
      </w:r>
      <w:r w:rsidR="00E07DF2">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and Deci, E. (2019) Brick by brick: The origins, development, and future of self-determination theory. </w:t>
      </w:r>
      <w:r w:rsidRPr="00452C80">
        <w:rPr>
          <w:rFonts w:ascii="Calibri" w:eastAsia="Aptos" w:hAnsi="Calibri" w:cs="Calibri"/>
          <w:i/>
          <w:iCs/>
          <w:kern w:val="2"/>
          <w:sz w:val="24"/>
          <w:szCs w:val="24"/>
          <w14:ligatures w14:val="standardContextual"/>
        </w:rPr>
        <w:t>Advances in Motivation Science</w:t>
      </w:r>
      <w:r w:rsidRPr="00452C80">
        <w:rPr>
          <w:rFonts w:ascii="Calibri" w:eastAsia="Aptos" w:hAnsi="Calibri" w:cs="Calibri"/>
          <w:kern w:val="2"/>
          <w:sz w:val="24"/>
          <w:szCs w:val="24"/>
          <w14:ligatures w14:val="standardContextual"/>
        </w:rPr>
        <w:t xml:space="preserve">, 6: pp.111–156. </w:t>
      </w:r>
      <w:hyperlink r:id="rId407" w:tgtFrame="_blank" w:tooltip="Persistent link using digital object identifier" w:history="1">
        <w:r w:rsidRPr="004143DB">
          <w:rPr>
            <w:rStyle w:val="Hyperlink"/>
            <w:rFonts w:ascii="Calibri" w:eastAsia="Aptos" w:hAnsi="Calibri" w:cs="Calibri"/>
            <w:color w:val="0070C0"/>
            <w:kern w:val="2"/>
            <w:sz w:val="24"/>
            <w:szCs w:val="24"/>
            <w14:ligatures w14:val="standardContextual"/>
          </w:rPr>
          <w:t>https://doi.org/10.1016/bs.adms.2019.01.001</w:t>
        </w:r>
      </w:hyperlink>
    </w:p>
    <w:p w14:paraId="0A627F7D" w14:textId="71F832B4" w:rsidR="00640A2D" w:rsidRPr="00AF189C" w:rsidRDefault="00640A2D" w:rsidP="00481CEB">
      <w:pPr>
        <w:spacing w:line="360" w:lineRule="auto"/>
        <w:ind w:left="833" w:hanging="720"/>
        <w:rPr>
          <w:bCs/>
          <w:sz w:val="24"/>
          <w:szCs w:val="24"/>
        </w:rPr>
      </w:pPr>
      <w:r w:rsidRPr="00452C80">
        <w:rPr>
          <w:bCs/>
          <w:sz w:val="24"/>
          <w:szCs w:val="24"/>
        </w:rPr>
        <w:t xml:space="preserve">Rye, H. (2002) </w:t>
      </w:r>
      <w:r w:rsidRPr="00AF189C">
        <w:rPr>
          <w:bCs/>
          <w:sz w:val="24"/>
          <w:szCs w:val="24"/>
        </w:rPr>
        <w:t>The Foundation of a Healthy Psychosocial Development</w:t>
      </w:r>
      <w:r w:rsidRPr="00452C80">
        <w:rPr>
          <w:bCs/>
          <w:sz w:val="24"/>
          <w:szCs w:val="24"/>
        </w:rPr>
        <w:t xml:space="preserve">. </w:t>
      </w:r>
      <w:r w:rsidRPr="00AF189C">
        <w:rPr>
          <w:bCs/>
          <w:i/>
          <w:iCs/>
          <w:sz w:val="24"/>
          <w:szCs w:val="24"/>
        </w:rPr>
        <w:t xml:space="preserve">International Child Development Program </w:t>
      </w:r>
      <w:r w:rsidRPr="00452C80">
        <w:rPr>
          <w:bCs/>
          <w:sz w:val="24"/>
          <w:szCs w:val="24"/>
        </w:rPr>
        <w:t>(ICDP) (2013): pp.1-9</w:t>
      </w:r>
      <w:r w:rsidRPr="004143DB">
        <w:rPr>
          <w:bCs/>
          <w:color w:val="0070C0"/>
          <w:sz w:val="24"/>
          <w:szCs w:val="24"/>
        </w:rPr>
        <w:t>.</w:t>
      </w:r>
      <w:r w:rsidR="00AF189C">
        <w:rPr>
          <w:bCs/>
          <w:color w:val="0070C0"/>
          <w:sz w:val="24"/>
          <w:szCs w:val="24"/>
        </w:rPr>
        <w:t xml:space="preserve"> </w:t>
      </w:r>
      <w:r w:rsidR="00AF189C" w:rsidRPr="00AF189C">
        <w:rPr>
          <w:bCs/>
          <w:sz w:val="24"/>
          <w:szCs w:val="24"/>
        </w:rPr>
        <w:t xml:space="preserve">Available at: </w:t>
      </w:r>
      <w:r w:rsidRPr="00AF189C">
        <w:rPr>
          <w:bCs/>
          <w:sz w:val="24"/>
          <w:szCs w:val="24"/>
        </w:rPr>
        <w:t xml:space="preserve"> </w:t>
      </w:r>
      <w:hyperlink r:id="rId408" w:history="1">
        <w:r w:rsidRPr="004143DB">
          <w:rPr>
            <w:rStyle w:val="Hyperlink"/>
            <w:bCs/>
            <w:color w:val="0070C0"/>
            <w:sz w:val="24"/>
            <w:szCs w:val="24"/>
          </w:rPr>
          <w:t>https://icdp.info/wp-content/uploads/2013/05/2013-05-09_06-31-12_the_foundation_of_a_healthy_psychosocial.pdf</w:t>
        </w:r>
      </w:hyperlink>
      <w:r w:rsidR="00AF189C">
        <w:t xml:space="preserve">  </w:t>
      </w:r>
      <w:r w:rsidR="00AF189C">
        <w:rPr>
          <w:sz w:val="24"/>
          <w:szCs w:val="24"/>
        </w:rPr>
        <w:t xml:space="preserve">[Accessed </w:t>
      </w:r>
      <w:r w:rsidR="00A66CD3">
        <w:rPr>
          <w:sz w:val="24"/>
          <w:szCs w:val="24"/>
        </w:rPr>
        <w:t>9</w:t>
      </w:r>
      <w:r w:rsidR="00A66CD3" w:rsidRPr="00A66CD3">
        <w:rPr>
          <w:sz w:val="24"/>
          <w:szCs w:val="24"/>
          <w:vertAlign w:val="superscript"/>
        </w:rPr>
        <w:t>th</w:t>
      </w:r>
      <w:r w:rsidR="00A66CD3">
        <w:rPr>
          <w:sz w:val="24"/>
          <w:szCs w:val="24"/>
        </w:rPr>
        <w:t xml:space="preserve"> June 2023]</w:t>
      </w:r>
    </w:p>
    <w:p w14:paraId="40A77BE5" w14:textId="0F7A2A34" w:rsidR="00640A2D" w:rsidRPr="004143DB" w:rsidRDefault="00640A2D" w:rsidP="00481CEB">
      <w:pPr>
        <w:spacing w:line="360" w:lineRule="auto"/>
        <w:ind w:left="833" w:hanging="720"/>
        <w:rPr>
          <w:bCs/>
          <w:color w:val="0070C0"/>
          <w:sz w:val="24"/>
          <w:szCs w:val="24"/>
        </w:rPr>
      </w:pPr>
      <w:r w:rsidRPr="00452C80">
        <w:rPr>
          <w:bCs/>
          <w:sz w:val="24"/>
          <w:szCs w:val="24"/>
        </w:rPr>
        <w:t>Sah, L.</w:t>
      </w:r>
      <w:r w:rsidR="00FB6501">
        <w:rPr>
          <w:bCs/>
          <w:sz w:val="24"/>
          <w:szCs w:val="24"/>
        </w:rPr>
        <w:t xml:space="preserve"> </w:t>
      </w:r>
      <w:r w:rsidRPr="00452C80">
        <w:rPr>
          <w:bCs/>
          <w:sz w:val="24"/>
          <w:szCs w:val="24"/>
        </w:rPr>
        <w:t>K., Singh, D.</w:t>
      </w:r>
      <w:r w:rsidR="00FB6501">
        <w:rPr>
          <w:bCs/>
          <w:sz w:val="24"/>
          <w:szCs w:val="24"/>
        </w:rPr>
        <w:t xml:space="preserve"> </w:t>
      </w:r>
      <w:r w:rsidRPr="00452C80">
        <w:rPr>
          <w:bCs/>
          <w:sz w:val="24"/>
          <w:szCs w:val="24"/>
        </w:rPr>
        <w:t>R</w:t>
      </w:r>
      <w:r w:rsidR="00DA0051">
        <w:rPr>
          <w:bCs/>
          <w:sz w:val="24"/>
          <w:szCs w:val="24"/>
        </w:rPr>
        <w:t>.,</w:t>
      </w:r>
      <w:r w:rsidRPr="00452C80">
        <w:rPr>
          <w:bCs/>
          <w:sz w:val="24"/>
          <w:szCs w:val="24"/>
        </w:rPr>
        <w:t xml:space="preserve"> and Sah, R.</w:t>
      </w:r>
      <w:r w:rsidR="00FB6501">
        <w:rPr>
          <w:bCs/>
          <w:sz w:val="24"/>
          <w:szCs w:val="24"/>
        </w:rPr>
        <w:t xml:space="preserve"> </w:t>
      </w:r>
      <w:r w:rsidRPr="00452C80">
        <w:rPr>
          <w:bCs/>
          <w:sz w:val="24"/>
          <w:szCs w:val="24"/>
        </w:rPr>
        <w:t xml:space="preserve">K. (2020) ‘Conducting qualitative interviews using virtual communication tools amid COVID-19 pandemic: A learning opportunity for future research’, </w:t>
      </w:r>
      <w:r w:rsidRPr="00452C80">
        <w:rPr>
          <w:bCs/>
          <w:i/>
          <w:iCs/>
          <w:sz w:val="24"/>
          <w:szCs w:val="24"/>
        </w:rPr>
        <w:t>Journal of Nepal Medical Association</w:t>
      </w:r>
      <w:r w:rsidRPr="00452C80">
        <w:rPr>
          <w:bCs/>
          <w:sz w:val="24"/>
          <w:szCs w:val="24"/>
        </w:rPr>
        <w:t xml:space="preserve">, </w:t>
      </w:r>
      <w:r w:rsidRPr="00452C80">
        <w:rPr>
          <w:b/>
          <w:sz w:val="24"/>
          <w:szCs w:val="24"/>
        </w:rPr>
        <w:t>58</w:t>
      </w:r>
      <w:r w:rsidRPr="00452C80">
        <w:rPr>
          <w:bCs/>
          <w:sz w:val="24"/>
          <w:szCs w:val="24"/>
        </w:rPr>
        <w:t>(232): pp.1103-1106.</w:t>
      </w:r>
      <w:r w:rsidRPr="00452C80">
        <w:rPr>
          <w:rFonts w:ascii="Consolas" w:hAnsi="Consolas"/>
          <w:shd w:val="clear" w:color="auto" w:fill="FFFFFF"/>
        </w:rPr>
        <w:t xml:space="preserve"> </w:t>
      </w:r>
      <w:hyperlink r:id="rId409" w:history="1">
        <w:r w:rsidRPr="004143DB">
          <w:rPr>
            <w:rStyle w:val="Hyperlink"/>
            <w:rFonts w:cstheme="minorHAnsi"/>
            <w:color w:val="0070C0"/>
            <w:sz w:val="24"/>
            <w:szCs w:val="24"/>
            <w:shd w:val="clear" w:color="auto" w:fill="FFFFFF"/>
          </w:rPr>
          <w:t>https://doi.org/</w:t>
        </w:r>
        <w:r w:rsidRPr="004143DB">
          <w:rPr>
            <w:rStyle w:val="Hyperlink"/>
            <w:rFonts w:cstheme="minorHAnsi"/>
            <w:color w:val="0070C0"/>
            <w:sz w:val="24"/>
            <w:szCs w:val="24"/>
          </w:rPr>
          <w:t>10.31729/jnma.5738</w:t>
        </w:r>
      </w:hyperlink>
    </w:p>
    <w:p w14:paraId="7448D921" w14:textId="77777777" w:rsidR="00640A2D" w:rsidRPr="00452C80" w:rsidRDefault="00640A2D" w:rsidP="00481CEB">
      <w:pPr>
        <w:spacing w:line="360" w:lineRule="auto"/>
        <w:ind w:left="833" w:hanging="720"/>
        <w:rPr>
          <w:bCs/>
          <w:sz w:val="24"/>
          <w:szCs w:val="24"/>
        </w:rPr>
      </w:pPr>
      <w:r w:rsidRPr="00452C80">
        <w:rPr>
          <w:bCs/>
          <w:sz w:val="24"/>
          <w:szCs w:val="24"/>
        </w:rPr>
        <w:t xml:space="preserve">Salzberger-Wittenberg, I., Henry, G., and Osborne, E. (1983) </w:t>
      </w:r>
      <w:r w:rsidRPr="00452C80">
        <w:rPr>
          <w:bCs/>
          <w:i/>
          <w:iCs/>
          <w:sz w:val="24"/>
          <w:szCs w:val="24"/>
        </w:rPr>
        <w:t>The Emotional Experience of Learning and Teaching</w:t>
      </w:r>
      <w:r w:rsidRPr="00452C80">
        <w:rPr>
          <w:bCs/>
          <w:sz w:val="24"/>
          <w:szCs w:val="24"/>
        </w:rPr>
        <w:t>. London: Routledge.</w:t>
      </w:r>
    </w:p>
    <w:p w14:paraId="29BEB822" w14:textId="77777777" w:rsidR="00640A2D" w:rsidRPr="00452C80" w:rsidRDefault="00640A2D" w:rsidP="00481CEB">
      <w:pPr>
        <w:spacing w:line="360" w:lineRule="auto"/>
        <w:ind w:left="833" w:hanging="720"/>
        <w:rPr>
          <w:sz w:val="24"/>
          <w:szCs w:val="24"/>
        </w:rPr>
      </w:pPr>
      <w:r w:rsidRPr="00452C80">
        <w:rPr>
          <w:sz w:val="24"/>
          <w:szCs w:val="24"/>
        </w:rPr>
        <w:t xml:space="preserve">Samuels, A. (1993) </w:t>
      </w:r>
      <w:r w:rsidRPr="00452C80">
        <w:rPr>
          <w:i/>
          <w:iCs/>
          <w:sz w:val="24"/>
          <w:szCs w:val="24"/>
        </w:rPr>
        <w:t>The Political Psyche</w:t>
      </w:r>
      <w:r w:rsidRPr="00452C80">
        <w:rPr>
          <w:sz w:val="24"/>
          <w:szCs w:val="24"/>
        </w:rPr>
        <w:t>. London: Routledge.</w:t>
      </w:r>
    </w:p>
    <w:p w14:paraId="72F9BB10" w14:textId="1E3C25FC" w:rsidR="00640A2D" w:rsidRPr="00452C80" w:rsidRDefault="00640A2D" w:rsidP="00481CEB">
      <w:pPr>
        <w:spacing w:line="360" w:lineRule="auto"/>
        <w:ind w:left="833" w:hanging="720"/>
        <w:rPr>
          <w:sz w:val="24"/>
          <w:szCs w:val="24"/>
        </w:rPr>
      </w:pPr>
      <w:r w:rsidRPr="00452C80">
        <w:rPr>
          <w:sz w:val="24"/>
          <w:szCs w:val="24"/>
        </w:rPr>
        <w:t>Sanjari, M., Bahramnezhad, F., Fomani, F.</w:t>
      </w:r>
      <w:r w:rsidR="00FB6501">
        <w:rPr>
          <w:sz w:val="24"/>
          <w:szCs w:val="24"/>
        </w:rPr>
        <w:t xml:space="preserve"> </w:t>
      </w:r>
      <w:r w:rsidRPr="00452C80">
        <w:rPr>
          <w:sz w:val="24"/>
          <w:szCs w:val="24"/>
        </w:rPr>
        <w:t>K., Shoghi, M., and Cheraghi, M.</w:t>
      </w:r>
      <w:r w:rsidR="00FB6501">
        <w:rPr>
          <w:sz w:val="24"/>
          <w:szCs w:val="24"/>
        </w:rPr>
        <w:t xml:space="preserve"> </w:t>
      </w:r>
      <w:r w:rsidRPr="00452C80">
        <w:rPr>
          <w:sz w:val="24"/>
          <w:szCs w:val="24"/>
        </w:rPr>
        <w:t xml:space="preserve">A. (2014) Ethical challenges of researchers in qualitative studies: the necessity to develop a specific guideline. </w:t>
      </w:r>
      <w:r w:rsidRPr="00452C80">
        <w:rPr>
          <w:i/>
          <w:iCs/>
          <w:sz w:val="24"/>
          <w:szCs w:val="24"/>
        </w:rPr>
        <w:t>J Med Ethics Hist Med.</w:t>
      </w:r>
      <w:r w:rsidRPr="00452C80">
        <w:rPr>
          <w:sz w:val="24"/>
          <w:szCs w:val="24"/>
        </w:rPr>
        <w:t xml:space="preserve"> 2014 Aug 4; 7:14. PMID: 25512833; PMC</w:t>
      </w:r>
      <w:r w:rsidR="005214FB">
        <w:rPr>
          <w:sz w:val="24"/>
          <w:szCs w:val="24"/>
        </w:rPr>
        <w:t xml:space="preserve">: </w:t>
      </w:r>
      <w:r w:rsidRPr="00452C80">
        <w:rPr>
          <w:sz w:val="24"/>
          <w:szCs w:val="24"/>
        </w:rPr>
        <w:t>4263394.</w:t>
      </w:r>
    </w:p>
    <w:p w14:paraId="60292C03" w14:textId="77777777" w:rsidR="00640A2D" w:rsidRPr="00452C80" w:rsidRDefault="00640A2D" w:rsidP="00481CEB">
      <w:pPr>
        <w:spacing w:line="360" w:lineRule="auto"/>
        <w:ind w:left="833" w:hanging="720"/>
        <w:rPr>
          <w:rFonts w:ascii="Calibri" w:eastAsia="Aptos" w:hAnsi="Calibri" w:cs="Calibri"/>
          <w:kern w:val="2"/>
          <w:sz w:val="24"/>
          <w:szCs w:val="24"/>
          <w:lang w:val="en-US"/>
          <w14:ligatures w14:val="standardContextual"/>
        </w:rPr>
      </w:pPr>
      <w:r w:rsidRPr="00452C80">
        <w:rPr>
          <w:rFonts w:ascii="Calibri" w:eastAsia="Aptos" w:hAnsi="Calibri" w:cs="Calibri"/>
          <w:kern w:val="2"/>
          <w:sz w:val="24"/>
          <w:szCs w:val="24"/>
          <w:lang w:val="en-US"/>
          <w14:ligatures w14:val="standardContextual"/>
        </w:rPr>
        <w:t xml:space="preserve">Savage, J.  (2000) One voice, different tunes: issues raised by dual analysis of the segment of qualitative data. </w:t>
      </w:r>
      <w:r w:rsidRPr="00452C80">
        <w:rPr>
          <w:rFonts w:ascii="Calibri" w:eastAsia="Aptos" w:hAnsi="Calibri" w:cs="Calibri"/>
          <w:i/>
          <w:iCs/>
          <w:kern w:val="2"/>
          <w:sz w:val="24"/>
          <w:szCs w:val="24"/>
          <w:lang w:val="en-US"/>
          <w14:ligatures w14:val="standardContextual"/>
        </w:rPr>
        <w:t>Journal of Advanced Nursing</w:t>
      </w:r>
      <w:r w:rsidRPr="00452C80">
        <w:rPr>
          <w:rFonts w:ascii="Calibri" w:eastAsia="Aptos" w:hAnsi="Calibri" w:cs="Calibri"/>
          <w:kern w:val="2"/>
          <w:sz w:val="24"/>
          <w:szCs w:val="24"/>
          <w:lang w:val="en-US"/>
          <w14:ligatures w14:val="standardContextual"/>
        </w:rPr>
        <w:t xml:space="preserve">, 31: pp. 1493-1500. </w:t>
      </w:r>
      <w:hyperlink r:id="rId410" w:history="1">
        <w:r w:rsidRPr="004143DB">
          <w:rPr>
            <w:rStyle w:val="Hyperlink"/>
            <w:rFonts w:ascii="Calibri" w:eastAsia="Aptos" w:hAnsi="Calibri" w:cs="Calibri"/>
            <w:color w:val="0070C0"/>
            <w:kern w:val="2"/>
            <w:sz w:val="24"/>
            <w:szCs w:val="24"/>
            <w:lang w:val="en-US"/>
            <w14:ligatures w14:val="standardContextual"/>
          </w:rPr>
          <w:t>https://doi.org/10.1046/j.1365-2648.2000.01432.x</w:t>
        </w:r>
      </w:hyperlink>
    </w:p>
    <w:p w14:paraId="268A5FDC" w14:textId="77777777" w:rsidR="00640A2D" w:rsidRPr="00452C80" w:rsidRDefault="00640A2D" w:rsidP="00481CEB">
      <w:pPr>
        <w:spacing w:line="360" w:lineRule="auto"/>
        <w:ind w:left="833" w:hanging="720"/>
        <w:rPr>
          <w:rFonts w:ascii="Calibri" w:eastAsia="Aptos" w:hAnsi="Calibri" w:cs="Calibri"/>
          <w:kern w:val="2"/>
          <w:sz w:val="24"/>
          <w:szCs w:val="24"/>
          <w:lang w:val="en-US"/>
          <w14:ligatures w14:val="standardContextual"/>
        </w:rPr>
      </w:pPr>
      <w:r w:rsidRPr="00452C80">
        <w:rPr>
          <w:sz w:val="24"/>
          <w:szCs w:val="24"/>
        </w:rPr>
        <w:t xml:space="preserve">Scaife, J. (2019) </w:t>
      </w:r>
      <w:r w:rsidRPr="00452C80">
        <w:rPr>
          <w:i/>
          <w:iCs/>
          <w:sz w:val="24"/>
          <w:szCs w:val="24"/>
        </w:rPr>
        <w:t>Supervision in Clinical Practice: A Practitioner’s Guide</w:t>
      </w:r>
      <w:r w:rsidRPr="00452C80">
        <w:rPr>
          <w:sz w:val="24"/>
          <w:szCs w:val="24"/>
        </w:rPr>
        <w:t>. (3rd edition). Abingdon: Routledge.</w:t>
      </w:r>
    </w:p>
    <w:p w14:paraId="258C3C90" w14:textId="35EEA7B3" w:rsidR="00640A2D" w:rsidRPr="00452C80" w:rsidRDefault="00640A2D" w:rsidP="00481CEB">
      <w:pPr>
        <w:spacing w:line="360" w:lineRule="auto"/>
        <w:ind w:left="833" w:hanging="720"/>
        <w:rPr>
          <w:sz w:val="24"/>
          <w:szCs w:val="24"/>
        </w:rPr>
      </w:pPr>
      <w:r w:rsidRPr="00452C80">
        <w:rPr>
          <w:sz w:val="24"/>
          <w:szCs w:val="24"/>
        </w:rPr>
        <w:t xml:space="preserve">Scales, P., Pickering, J., Senior, L., Headley, K., Garner, P., and Boulton, H. (2011) </w:t>
      </w:r>
      <w:r w:rsidRPr="00452C80">
        <w:rPr>
          <w:i/>
          <w:iCs/>
          <w:sz w:val="24"/>
          <w:szCs w:val="24"/>
        </w:rPr>
        <w:t>Continuing Professional Development in the Lifelong Learning Sector</w:t>
      </w:r>
      <w:r w:rsidRPr="00452C80">
        <w:rPr>
          <w:sz w:val="24"/>
          <w:szCs w:val="24"/>
        </w:rPr>
        <w:t>. Maidenhead: McGraw-Hill.</w:t>
      </w:r>
    </w:p>
    <w:p w14:paraId="7D6E619A" w14:textId="4B615DD0" w:rsidR="0057762A" w:rsidRDefault="00640A2D" w:rsidP="00E07DF2">
      <w:pPr>
        <w:spacing w:line="360" w:lineRule="auto"/>
        <w:ind w:left="833" w:hanging="720"/>
        <w:rPr>
          <w:sz w:val="24"/>
          <w:szCs w:val="24"/>
        </w:rPr>
      </w:pPr>
      <w:r w:rsidRPr="00452C80">
        <w:rPr>
          <w:sz w:val="24"/>
          <w:szCs w:val="24"/>
        </w:rPr>
        <w:lastRenderedPageBreak/>
        <w:t xml:space="preserve">Schaberg, S. (2022) </w:t>
      </w:r>
      <w:r w:rsidRPr="00452C80">
        <w:rPr>
          <w:i/>
          <w:iCs/>
          <w:sz w:val="24"/>
          <w:szCs w:val="24"/>
        </w:rPr>
        <w:t>Pedagogy of the Depressed</w:t>
      </w:r>
      <w:r w:rsidRPr="00452C80">
        <w:rPr>
          <w:sz w:val="24"/>
          <w:szCs w:val="24"/>
        </w:rPr>
        <w:t>. London: Bloomsbury Academic, Bloomsbury Publishing Inc.</w:t>
      </w:r>
    </w:p>
    <w:p w14:paraId="0B9309EB" w14:textId="3FC4D6BA" w:rsidR="00640A2D" w:rsidRPr="00452C80" w:rsidRDefault="00640A2D" w:rsidP="00481CEB">
      <w:pPr>
        <w:spacing w:line="360" w:lineRule="auto"/>
        <w:ind w:left="833" w:hanging="720"/>
        <w:rPr>
          <w:sz w:val="24"/>
          <w:szCs w:val="24"/>
        </w:rPr>
      </w:pPr>
      <w:r w:rsidRPr="00452C80">
        <w:rPr>
          <w:sz w:val="24"/>
          <w:szCs w:val="24"/>
        </w:rPr>
        <w:t xml:space="preserve">Scheffelaar A., Janssen, M., and Luijkx, K. (2021) The Story as a Quality Instrument: Developing an Instrument for Quality Improvement Based on Narratives of Older Adults Receiving Long-Term Care. </w:t>
      </w:r>
      <w:r w:rsidRPr="00452C80">
        <w:rPr>
          <w:i/>
          <w:iCs/>
          <w:sz w:val="24"/>
          <w:szCs w:val="24"/>
        </w:rPr>
        <w:t>International Journal of Environmental Research and Public Health</w:t>
      </w:r>
      <w:r w:rsidRPr="00452C80">
        <w:rPr>
          <w:sz w:val="24"/>
          <w:szCs w:val="24"/>
        </w:rPr>
        <w:t>. 2021, Mar 9</w:t>
      </w:r>
      <w:r w:rsidRPr="00452C80">
        <w:rPr>
          <w:sz w:val="24"/>
          <w:szCs w:val="24"/>
          <w:vertAlign w:val="superscript"/>
        </w:rPr>
        <w:t>th</w:t>
      </w:r>
      <w:r w:rsidRPr="00452C80">
        <w:rPr>
          <w:sz w:val="24"/>
          <w:szCs w:val="24"/>
        </w:rPr>
        <w:t xml:space="preserve">, </w:t>
      </w:r>
      <w:r w:rsidRPr="00452C80">
        <w:rPr>
          <w:b/>
          <w:bCs/>
          <w:sz w:val="24"/>
          <w:szCs w:val="24"/>
        </w:rPr>
        <w:t>18</w:t>
      </w:r>
      <w:r w:rsidRPr="00452C80">
        <w:rPr>
          <w:sz w:val="24"/>
          <w:szCs w:val="24"/>
        </w:rPr>
        <w:t xml:space="preserve">(5):2773. </w:t>
      </w:r>
      <w:hyperlink r:id="rId411" w:history="1">
        <w:r w:rsidRPr="004143DB">
          <w:rPr>
            <w:rStyle w:val="Hyperlink"/>
            <w:color w:val="0070C0"/>
            <w:sz w:val="24"/>
            <w:szCs w:val="24"/>
          </w:rPr>
          <w:t>https://doi.org./10.3390/ijerph18052773</w:t>
        </w:r>
      </w:hyperlink>
    </w:p>
    <w:p w14:paraId="22F03AB7" w14:textId="77777777" w:rsidR="00640A2D" w:rsidRPr="00452C80" w:rsidRDefault="00640A2D" w:rsidP="00481CEB">
      <w:pPr>
        <w:spacing w:line="360" w:lineRule="auto"/>
        <w:ind w:left="833" w:hanging="720"/>
        <w:rPr>
          <w:sz w:val="24"/>
          <w:szCs w:val="24"/>
        </w:rPr>
      </w:pPr>
      <w:r w:rsidRPr="00452C80">
        <w:rPr>
          <w:sz w:val="24"/>
          <w:szCs w:val="24"/>
        </w:rPr>
        <w:t xml:space="preserve">Schmidt, C. (2004) The Analysis of Semi-Structured Interviews. In: Flick, U., von Kardoff, E. and Steinke, I., (eds), </w:t>
      </w:r>
      <w:r w:rsidRPr="00452C80">
        <w:rPr>
          <w:i/>
          <w:iCs/>
          <w:sz w:val="24"/>
          <w:szCs w:val="24"/>
        </w:rPr>
        <w:t>A Companion to Qualitative Research</w:t>
      </w:r>
      <w:r w:rsidRPr="00452C80">
        <w:rPr>
          <w:sz w:val="24"/>
          <w:szCs w:val="24"/>
        </w:rPr>
        <w:t>. Reinbeck bei Hamburg, Germany: Rowohlt Taschenbuch Verlag GmbH. (pp. 253-259).</w:t>
      </w:r>
    </w:p>
    <w:p w14:paraId="750936C0" w14:textId="150B7AB4" w:rsidR="00640A2D" w:rsidRPr="00452C80" w:rsidRDefault="005F6C11" w:rsidP="00481CEB">
      <w:pPr>
        <w:spacing w:line="360" w:lineRule="auto"/>
        <w:ind w:left="833" w:hanging="720"/>
        <w:rPr>
          <w:sz w:val="24"/>
          <w:szCs w:val="24"/>
        </w:rPr>
      </w:pPr>
      <w:r w:rsidRPr="00452C80">
        <w:rPr>
          <w:sz w:val="24"/>
          <w:szCs w:val="24"/>
        </w:rPr>
        <w:t>Schön</w:t>
      </w:r>
      <w:r w:rsidR="00640A2D" w:rsidRPr="00452C80">
        <w:rPr>
          <w:sz w:val="24"/>
          <w:szCs w:val="24"/>
        </w:rPr>
        <w:t xml:space="preserve">, D. A. (1983) </w:t>
      </w:r>
      <w:r w:rsidR="00640A2D" w:rsidRPr="00452C80">
        <w:rPr>
          <w:i/>
          <w:iCs/>
          <w:sz w:val="24"/>
          <w:szCs w:val="24"/>
        </w:rPr>
        <w:t>The Reflective Practitioner: How professionals think in action</w:t>
      </w:r>
      <w:r w:rsidR="00640A2D" w:rsidRPr="00452C80">
        <w:rPr>
          <w:sz w:val="24"/>
          <w:szCs w:val="24"/>
        </w:rPr>
        <w:t>. New York: Basic books.</w:t>
      </w:r>
    </w:p>
    <w:p w14:paraId="7D864D65" w14:textId="77777777" w:rsidR="00640A2D" w:rsidRPr="00452C80" w:rsidRDefault="00640A2D" w:rsidP="00481CEB">
      <w:pPr>
        <w:spacing w:line="360" w:lineRule="auto"/>
        <w:ind w:left="833" w:hanging="720"/>
        <w:rPr>
          <w:sz w:val="24"/>
          <w:szCs w:val="24"/>
        </w:rPr>
      </w:pPr>
      <w:bookmarkStart w:id="100" w:name="_Hlk207874577"/>
      <w:r w:rsidRPr="00452C80">
        <w:rPr>
          <w:sz w:val="24"/>
          <w:szCs w:val="24"/>
        </w:rPr>
        <w:t>Schὂn</w:t>
      </w:r>
      <w:bookmarkEnd w:id="100"/>
      <w:r w:rsidRPr="00452C80">
        <w:rPr>
          <w:sz w:val="24"/>
          <w:szCs w:val="24"/>
        </w:rPr>
        <w:t xml:space="preserve">, D. A. (1987) </w:t>
      </w:r>
      <w:r w:rsidRPr="00452C80">
        <w:rPr>
          <w:i/>
          <w:iCs/>
          <w:sz w:val="24"/>
          <w:szCs w:val="24"/>
        </w:rPr>
        <w:t>Educating the Reflective Practitioner</w:t>
      </w:r>
      <w:r w:rsidRPr="00452C80">
        <w:rPr>
          <w:sz w:val="24"/>
          <w:szCs w:val="24"/>
        </w:rPr>
        <w:t>. San Francisco, CA: Jossey-Bass.</w:t>
      </w:r>
    </w:p>
    <w:p w14:paraId="24542064" w14:textId="0F0A906C" w:rsidR="00640A2D" w:rsidRPr="00452C80"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(2020) Private conversation with John Waterston. Online meeting. July 2020.</w:t>
      </w:r>
    </w:p>
    <w:p w14:paraId="4A6B6A2E" w14:textId="23532CB8" w:rsidR="00640A2D"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(2021) Private conversation with Oliver Barker. Sheffield: The University of Sheffield.</w:t>
      </w:r>
    </w:p>
    <w:p w14:paraId="331DAD7A" w14:textId="0986372A" w:rsidR="004D278E" w:rsidRPr="00452C80" w:rsidRDefault="004D278E" w:rsidP="004D278E">
      <w:pPr>
        <w:spacing w:line="360" w:lineRule="auto"/>
        <w:ind w:left="833" w:hanging="720"/>
        <w:rPr>
          <w:sz w:val="24"/>
          <w:szCs w:val="24"/>
        </w:rPr>
      </w:pPr>
      <w:r w:rsidRPr="004D278E">
        <w:rPr>
          <w:sz w:val="24"/>
          <w:szCs w:val="24"/>
        </w:rPr>
        <w:t>Schultz, S. D. (2022) Private conversation with Nuria Gwash. July 2022.</w:t>
      </w:r>
    </w:p>
    <w:p w14:paraId="15D535FD" w14:textId="7CFF0F16" w:rsidR="00640A2D" w:rsidRPr="00452C80"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(2022</w:t>
      </w:r>
      <w:r w:rsidR="00793954">
        <w:rPr>
          <w:sz w:val="24"/>
          <w:szCs w:val="24"/>
        </w:rPr>
        <w:t>a</w:t>
      </w:r>
      <w:r w:rsidRPr="00452C80">
        <w:rPr>
          <w:sz w:val="24"/>
          <w:szCs w:val="24"/>
        </w:rPr>
        <w:t xml:space="preserve">) </w:t>
      </w:r>
      <w:r w:rsidRPr="00452C80">
        <w:rPr>
          <w:i/>
          <w:iCs/>
          <w:sz w:val="24"/>
          <w:szCs w:val="24"/>
        </w:rPr>
        <w:t xml:space="preserve">An exploration of teacher affect from the teacher’s perspective: </w:t>
      </w:r>
      <w:r w:rsidRPr="00452C80">
        <w:rPr>
          <w:i/>
          <w:iCs/>
          <w:sz w:val="24"/>
          <w:szCs w:val="24"/>
        </w:rPr>
        <w:tab/>
      </w:r>
      <w:r w:rsidR="004C5229">
        <w:rPr>
          <w:i/>
          <w:iCs/>
          <w:sz w:val="24"/>
          <w:szCs w:val="24"/>
        </w:rPr>
        <w:t>M</w:t>
      </w:r>
      <w:r w:rsidRPr="00452C80">
        <w:rPr>
          <w:i/>
          <w:iCs/>
          <w:sz w:val="24"/>
          <w:szCs w:val="24"/>
        </w:rPr>
        <w:t>ediating uninvited guests, ghosts, and shadows in the pedagogic space.</w:t>
      </w:r>
      <w:r w:rsidRPr="00452C80">
        <w:rPr>
          <w:sz w:val="24"/>
          <w:szCs w:val="24"/>
        </w:rPr>
        <w:t xml:space="preserve"> </w:t>
      </w:r>
      <w:r w:rsidRPr="00452C80">
        <w:rPr>
          <w:sz w:val="24"/>
          <w:szCs w:val="24"/>
        </w:rPr>
        <w:tab/>
        <w:t>Unpublished EdD research proposal, University of Sheffield.</w:t>
      </w:r>
    </w:p>
    <w:p w14:paraId="6492FAB2" w14:textId="1B436034" w:rsidR="00346941" w:rsidRDefault="00346941" w:rsidP="00481CEB">
      <w:pPr>
        <w:spacing w:line="360" w:lineRule="auto"/>
        <w:ind w:left="833" w:hanging="720"/>
        <w:rPr>
          <w:sz w:val="24"/>
          <w:szCs w:val="24"/>
        </w:rPr>
      </w:pPr>
      <w:r>
        <w:rPr>
          <w:sz w:val="24"/>
          <w:szCs w:val="24"/>
        </w:rPr>
        <w:t>Schultz,</w:t>
      </w:r>
      <w:r w:rsidR="004A5315">
        <w:rPr>
          <w:sz w:val="24"/>
          <w:szCs w:val="24"/>
        </w:rPr>
        <w:t xml:space="preserve"> S. D. (2022b) Meeting with Professor Dan Goodley</w:t>
      </w:r>
      <w:r w:rsidR="00284227">
        <w:rPr>
          <w:sz w:val="24"/>
          <w:szCs w:val="24"/>
        </w:rPr>
        <w:t>, University of Sheffield (online). July 2022.</w:t>
      </w:r>
    </w:p>
    <w:p w14:paraId="18570200" w14:textId="38926E01" w:rsidR="00640A2D" w:rsidRPr="00452C80"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(2023) Private conversation with Jayne Walker at the Advance HE Mental Health Conference, 2023.</w:t>
      </w:r>
    </w:p>
    <w:p w14:paraId="5CF479C3" w14:textId="2024A1C4" w:rsidR="00640A2D" w:rsidRPr="00452C80"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(2024) Email communication with Jayne Walker, University of Hull. September 2024.</w:t>
      </w:r>
    </w:p>
    <w:p w14:paraId="29F01DC9" w14:textId="6537EC10" w:rsidR="00640A2D" w:rsidRPr="00452C80" w:rsidRDefault="00640A2D" w:rsidP="00481CEB">
      <w:pPr>
        <w:spacing w:line="360" w:lineRule="auto"/>
        <w:ind w:left="833" w:hanging="720"/>
        <w:rPr>
          <w:sz w:val="24"/>
          <w:szCs w:val="24"/>
        </w:rPr>
      </w:pPr>
      <w:r w:rsidRPr="00452C80">
        <w:rPr>
          <w:sz w:val="24"/>
          <w:szCs w:val="24"/>
        </w:rPr>
        <w:lastRenderedPageBreak/>
        <w:t>Schultz, S.</w:t>
      </w:r>
      <w:r w:rsidR="00FB6501">
        <w:rPr>
          <w:sz w:val="24"/>
          <w:szCs w:val="24"/>
        </w:rPr>
        <w:t xml:space="preserve"> </w:t>
      </w:r>
      <w:r w:rsidRPr="00452C80">
        <w:rPr>
          <w:sz w:val="24"/>
          <w:szCs w:val="24"/>
        </w:rPr>
        <w:t>D. (2025) Research supervision with Professor Dan Goodley</w:t>
      </w:r>
      <w:r w:rsidR="00F35AF7" w:rsidRPr="00F35AF7">
        <w:rPr>
          <w:sz w:val="24"/>
          <w:szCs w:val="24"/>
        </w:rPr>
        <w:t xml:space="preserve"> </w:t>
      </w:r>
      <w:r w:rsidR="00F35AF7">
        <w:rPr>
          <w:sz w:val="24"/>
          <w:szCs w:val="24"/>
        </w:rPr>
        <w:t xml:space="preserve">and </w:t>
      </w:r>
      <w:r w:rsidR="00F35AF7" w:rsidRPr="00F35AF7">
        <w:rPr>
          <w:sz w:val="24"/>
          <w:szCs w:val="24"/>
        </w:rPr>
        <w:t>Dr Tim Herrick</w:t>
      </w:r>
      <w:r w:rsidR="005D10D1">
        <w:rPr>
          <w:sz w:val="24"/>
          <w:szCs w:val="24"/>
        </w:rPr>
        <w:t>.</w:t>
      </w:r>
      <w:r w:rsidRPr="00452C80">
        <w:rPr>
          <w:sz w:val="24"/>
          <w:szCs w:val="24"/>
        </w:rPr>
        <w:t xml:space="preserve"> University of Sheffield. February 2025.</w:t>
      </w:r>
    </w:p>
    <w:p w14:paraId="7BB369BA" w14:textId="2238CFAA" w:rsidR="00640A2D" w:rsidRPr="00452C80" w:rsidRDefault="00640A2D" w:rsidP="00481CEB">
      <w:pPr>
        <w:spacing w:line="360" w:lineRule="auto"/>
        <w:ind w:left="833" w:hanging="720"/>
        <w:rPr>
          <w:sz w:val="24"/>
          <w:szCs w:val="24"/>
        </w:rPr>
      </w:pPr>
      <w:r w:rsidRPr="00452C80">
        <w:rPr>
          <w:sz w:val="24"/>
          <w:szCs w:val="24"/>
        </w:rPr>
        <w:t>Schultz, S.</w:t>
      </w:r>
      <w:r w:rsidR="00FB6501">
        <w:rPr>
          <w:sz w:val="24"/>
          <w:szCs w:val="24"/>
        </w:rPr>
        <w:t xml:space="preserve"> </w:t>
      </w:r>
      <w:r w:rsidRPr="00452C80">
        <w:rPr>
          <w:sz w:val="24"/>
          <w:szCs w:val="24"/>
        </w:rPr>
        <w:t>D. (2025a) Private conversation with John Waterston. Online meeting. February 2025.</w:t>
      </w:r>
    </w:p>
    <w:p w14:paraId="2CEC103D" w14:textId="7687673B" w:rsidR="00640A2D" w:rsidRPr="00452C80" w:rsidRDefault="00640A2D" w:rsidP="00481CEB">
      <w:pPr>
        <w:spacing w:line="360" w:lineRule="auto"/>
        <w:ind w:left="833" w:hanging="720"/>
        <w:rPr>
          <w:sz w:val="24"/>
          <w:szCs w:val="24"/>
        </w:rPr>
      </w:pPr>
      <w:r w:rsidRPr="00452C80">
        <w:rPr>
          <w:sz w:val="24"/>
          <w:szCs w:val="24"/>
        </w:rPr>
        <w:t>Schultz, S.D. (2025b) Private conversation with Hina Agarwal</w:t>
      </w:r>
      <w:r w:rsidR="002A11CA">
        <w:rPr>
          <w:sz w:val="24"/>
          <w:szCs w:val="24"/>
        </w:rPr>
        <w:t>l</w:t>
      </w:r>
      <w:r w:rsidRPr="00452C80">
        <w:rPr>
          <w:sz w:val="24"/>
          <w:szCs w:val="24"/>
        </w:rPr>
        <w:t>a. Online meeting: 21</w:t>
      </w:r>
      <w:r w:rsidRPr="00452C80">
        <w:rPr>
          <w:sz w:val="24"/>
          <w:szCs w:val="24"/>
          <w:vertAlign w:val="superscript"/>
        </w:rPr>
        <w:t>st</w:t>
      </w:r>
      <w:r w:rsidRPr="00452C80">
        <w:rPr>
          <w:sz w:val="24"/>
          <w:szCs w:val="24"/>
        </w:rPr>
        <w:t xml:space="preserve"> August 2025.</w:t>
      </w:r>
    </w:p>
    <w:p w14:paraId="3079C39C" w14:textId="48ECE8DD" w:rsidR="00640A2D" w:rsidRPr="00452C80" w:rsidRDefault="00640A2D" w:rsidP="00481CEB">
      <w:pPr>
        <w:spacing w:line="360" w:lineRule="auto"/>
        <w:ind w:left="833" w:hanging="720"/>
        <w:rPr>
          <w:sz w:val="24"/>
          <w:szCs w:val="24"/>
        </w:rPr>
      </w:pPr>
      <w:r w:rsidRPr="00452C80">
        <w:rPr>
          <w:sz w:val="24"/>
          <w:szCs w:val="24"/>
        </w:rPr>
        <w:t>Seale, C., Gobo, G., Gubrium, J.</w:t>
      </w:r>
      <w:r w:rsidR="00FB6501">
        <w:rPr>
          <w:sz w:val="24"/>
          <w:szCs w:val="24"/>
        </w:rPr>
        <w:t xml:space="preserve"> </w:t>
      </w:r>
      <w:r w:rsidRPr="00452C80">
        <w:rPr>
          <w:sz w:val="24"/>
          <w:szCs w:val="24"/>
        </w:rPr>
        <w:t>F.</w:t>
      </w:r>
      <w:r w:rsidR="00FB6501">
        <w:rPr>
          <w:sz w:val="24"/>
          <w:szCs w:val="24"/>
        </w:rPr>
        <w:t xml:space="preserve">, </w:t>
      </w:r>
      <w:r w:rsidRPr="00452C80">
        <w:rPr>
          <w:sz w:val="24"/>
          <w:szCs w:val="24"/>
        </w:rPr>
        <w:t xml:space="preserve">and Silverman, D. </w:t>
      </w:r>
      <w:r w:rsidR="00544468">
        <w:rPr>
          <w:sz w:val="24"/>
          <w:szCs w:val="24"/>
        </w:rPr>
        <w:t xml:space="preserve">(eds) </w:t>
      </w:r>
      <w:r w:rsidRPr="00452C80">
        <w:rPr>
          <w:sz w:val="24"/>
          <w:szCs w:val="24"/>
        </w:rPr>
        <w:t>(2004)</w:t>
      </w:r>
      <w:r w:rsidR="00987ADB">
        <w:rPr>
          <w:sz w:val="24"/>
          <w:szCs w:val="24"/>
        </w:rPr>
        <w:t xml:space="preserve"> </w:t>
      </w:r>
      <w:r w:rsidRPr="00452C80">
        <w:rPr>
          <w:sz w:val="24"/>
          <w:szCs w:val="24"/>
        </w:rPr>
        <w:t>Qualitative Research Practice. London: Sage.</w:t>
      </w:r>
    </w:p>
    <w:p w14:paraId="4A51F2A4" w14:textId="77777777" w:rsidR="00640A2D" w:rsidRPr="00452C80" w:rsidRDefault="00640A2D" w:rsidP="00481CEB">
      <w:pPr>
        <w:spacing w:line="360" w:lineRule="auto"/>
        <w:ind w:left="833" w:hanging="720"/>
        <w:rPr>
          <w:bCs/>
          <w:sz w:val="24"/>
          <w:szCs w:val="24"/>
        </w:rPr>
      </w:pPr>
      <w:r w:rsidRPr="00452C80">
        <w:rPr>
          <w:bCs/>
          <w:sz w:val="24"/>
          <w:szCs w:val="24"/>
        </w:rPr>
        <w:t xml:space="preserve">Sedgwick, E. K. (1997) (ed.) Paranoid reading and reparative reading; or you’re so paranoid, you probably think this introduction is about you. </w:t>
      </w:r>
      <w:r w:rsidRPr="00452C80">
        <w:rPr>
          <w:bCs/>
          <w:i/>
          <w:iCs/>
          <w:sz w:val="24"/>
          <w:szCs w:val="24"/>
        </w:rPr>
        <w:t>In Novel Gazing: queer readings in fiction.</w:t>
      </w:r>
      <w:r w:rsidRPr="00452C80">
        <w:rPr>
          <w:bCs/>
          <w:sz w:val="24"/>
          <w:szCs w:val="24"/>
        </w:rPr>
        <w:t xml:space="preserve"> Durham: Duke University press.</w:t>
      </w:r>
    </w:p>
    <w:p w14:paraId="44D6558B" w14:textId="43AE4A2A" w:rsidR="00640A2D" w:rsidRPr="00452C80" w:rsidRDefault="00640A2D" w:rsidP="00481CEB">
      <w:pPr>
        <w:spacing w:line="360" w:lineRule="auto"/>
        <w:ind w:left="833" w:hanging="720"/>
        <w:rPr>
          <w:bCs/>
          <w:sz w:val="24"/>
          <w:szCs w:val="24"/>
        </w:rPr>
      </w:pPr>
      <w:r w:rsidRPr="00452C80">
        <w:rPr>
          <w:bCs/>
          <w:sz w:val="24"/>
          <w:szCs w:val="24"/>
        </w:rPr>
        <w:t>Sedgwick, M.</w:t>
      </w:r>
      <w:r w:rsidR="00FB6501">
        <w:rPr>
          <w:bCs/>
          <w:sz w:val="24"/>
          <w:szCs w:val="24"/>
        </w:rPr>
        <w:t>,</w:t>
      </w:r>
      <w:r w:rsidRPr="00452C80">
        <w:rPr>
          <w:bCs/>
          <w:sz w:val="24"/>
          <w:szCs w:val="24"/>
        </w:rPr>
        <w:t xml:space="preserve"> and Spiers, J. (2009) The Use of Videoconferencing as a Medium for the Qualitative Interview, </w:t>
      </w:r>
      <w:r w:rsidRPr="00452C80">
        <w:rPr>
          <w:bCs/>
          <w:i/>
          <w:iCs/>
          <w:sz w:val="24"/>
          <w:szCs w:val="24"/>
        </w:rPr>
        <w:t>International Journal of Qualitative Methods</w:t>
      </w:r>
      <w:r w:rsidRPr="00452C80">
        <w:rPr>
          <w:bCs/>
          <w:sz w:val="24"/>
          <w:szCs w:val="24"/>
        </w:rPr>
        <w:t xml:space="preserve">, </w:t>
      </w:r>
      <w:r w:rsidRPr="00452C80">
        <w:rPr>
          <w:b/>
          <w:bCs/>
          <w:sz w:val="24"/>
          <w:szCs w:val="24"/>
        </w:rPr>
        <w:t>8</w:t>
      </w:r>
      <w:r w:rsidRPr="00452C80">
        <w:rPr>
          <w:bCs/>
          <w:sz w:val="24"/>
          <w:szCs w:val="24"/>
        </w:rPr>
        <w:t>(1): pp. 1-11.</w:t>
      </w:r>
      <w:r w:rsidR="004143DB">
        <w:rPr>
          <w:bCs/>
          <w:sz w:val="24"/>
          <w:szCs w:val="24"/>
        </w:rPr>
        <w:t xml:space="preserve"> </w:t>
      </w:r>
      <w:hyperlink r:id="rId412" w:history="1">
        <w:r w:rsidR="004143DB" w:rsidRPr="00295513">
          <w:rPr>
            <w:rStyle w:val="Hyperlink"/>
            <w:bCs/>
            <w:sz w:val="24"/>
            <w:szCs w:val="24"/>
          </w:rPr>
          <w:t>https://doi.org/10.1177/160940690900800101</w:t>
        </w:r>
      </w:hyperlink>
    </w:p>
    <w:p w14:paraId="6D9C98C6" w14:textId="10600BF8" w:rsidR="00640A2D" w:rsidRPr="00452C80" w:rsidRDefault="00640A2D" w:rsidP="00481CEB">
      <w:pPr>
        <w:spacing w:line="360" w:lineRule="auto"/>
        <w:ind w:left="833" w:hanging="720"/>
        <w:rPr>
          <w:bCs/>
          <w:sz w:val="24"/>
          <w:szCs w:val="24"/>
        </w:rPr>
      </w:pPr>
      <w:r w:rsidRPr="00452C80">
        <w:rPr>
          <w:bCs/>
          <w:sz w:val="24"/>
          <w:szCs w:val="24"/>
        </w:rPr>
        <w:t>Seligman, M.</w:t>
      </w:r>
      <w:r w:rsidR="00FB6501">
        <w:rPr>
          <w:bCs/>
          <w:sz w:val="24"/>
          <w:szCs w:val="24"/>
        </w:rPr>
        <w:t xml:space="preserve"> </w:t>
      </w:r>
      <w:r w:rsidRPr="00452C80">
        <w:rPr>
          <w:bCs/>
          <w:sz w:val="24"/>
          <w:szCs w:val="24"/>
        </w:rPr>
        <w:t xml:space="preserve">E. (2012) </w:t>
      </w:r>
      <w:r w:rsidRPr="00452C80">
        <w:rPr>
          <w:bCs/>
          <w:i/>
          <w:iCs/>
          <w:sz w:val="24"/>
          <w:szCs w:val="24"/>
        </w:rPr>
        <w:t>What is Well-Being? Flourish: A Visionary New Understanding of Happiness and Well-Being.</w:t>
      </w:r>
      <w:r w:rsidRPr="00452C80">
        <w:rPr>
          <w:bCs/>
          <w:sz w:val="24"/>
          <w:szCs w:val="24"/>
        </w:rPr>
        <w:t xml:space="preserve"> New York: Simon &amp; Schuster.</w:t>
      </w:r>
    </w:p>
    <w:p w14:paraId="6165B39E" w14:textId="578C0A15" w:rsidR="00640A2D" w:rsidRPr="00033321" w:rsidRDefault="00640A2D" w:rsidP="00481CEB">
      <w:pPr>
        <w:spacing w:line="360" w:lineRule="auto"/>
        <w:ind w:left="833" w:hanging="720"/>
        <w:rPr>
          <w:sz w:val="24"/>
          <w:szCs w:val="24"/>
        </w:rPr>
      </w:pPr>
      <w:r w:rsidRPr="00452C80">
        <w:rPr>
          <w:sz w:val="24"/>
          <w:szCs w:val="24"/>
        </w:rPr>
        <w:t>Shackle, S. (2019) “The way universities are run is making us ill’: Inside the student mental health crisis.</w:t>
      </w:r>
      <w:r w:rsidR="00033321">
        <w:rPr>
          <w:sz w:val="24"/>
          <w:szCs w:val="24"/>
        </w:rPr>
        <w:t xml:space="preserve"> Available at: </w:t>
      </w:r>
      <w:r w:rsidRPr="00452C80">
        <w:t xml:space="preserve"> </w:t>
      </w:r>
      <w:hyperlink r:id="rId413" w:history="1">
        <w:r w:rsidRPr="0071496A">
          <w:rPr>
            <w:rStyle w:val="Hyperlink"/>
            <w:color w:val="0070C0"/>
            <w:sz w:val="24"/>
            <w:szCs w:val="24"/>
          </w:rPr>
          <w:t>https://www.theguardian.com/society/2019/sep/27/anxiety-mental-breakdowns-depression-uk-students</w:t>
        </w:r>
      </w:hyperlink>
      <w:r w:rsidR="00033321">
        <w:t xml:space="preserve">  </w:t>
      </w:r>
      <w:r w:rsidR="00033321">
        <w:rPr>
          <w:sz w:val="24"/>
          <w:szCs w:val="24"/>
        </w:rPr>
        <w:t xml:space="preserve">[Accessed </w:t>
      </w:r>
      <w:r w:rsidR="00C32AEB">
        <w:rPr>
          <w:sz w:val="24"/>
          <w:szCs w:val="24"/>
        </w:rPr>
        <w:t>11</w:t>
      </w:r>
      <w:r w:rsidR="00C32AEB" w:rsidRPr="00C32AEB">
        <w:rPr>
          <w:sz w:val="24"/>
          <w:szCs w:val="24"/>
          <w:vertAlign w:val="superscript"/>
        </w:rPr>
        <w:t>th</w:t>
      </w:r>
      <w:r w:rsidR="00C32AEB">
        <w:rPr>
          <w:sz w:val="24"/>
          <w:szCs w:val="24"/>
        </w:rPr>
        <w:t xml:space="preserve"> March 2022]</w:t>
      </w:r>
    </w:p>
    <w:p w14:paraId="15A8B1D5" w14:textId="77777777" w:rsidR="00640A2D" w:rsidRPr="00452C80" w:rsidRDefault="00640A2D" w:rsidP="00481CEB">
      <w:pPr>
        <w:spacing w:line="360" w:lineRule="auto"/>
        <w:ind w:left="833" w:hanging="720"/>
        <w:rPr>
          <w:sz w:val="24"/>
          <w:szCs w:val="24"/>
        </w:rPr>
      </w:pPr>
      <w:r w:rsidRPr="00452C80">
        <w:rPr>
          <w:sz w:val="24"/>
          <w:szCs w:val="24"/>
        </w:rPr>
        <w:t xml:space="preserve">Sharp, J., and Theiler, S. (2018) A review of psychological distress among university students: Pervasiveness, implications, and potential points of intervention. </w:t>
      </w:r>
      <w:r w:rsidRPr="00452C80">
        <w:rPr>
          <w:i/>
          <w:iCs/>
          <w:sz w:val="24"/>
          <w:szCs w:val="24"/>
        </w:rPr>
        <w:t>International Journal for the Advancement of</w:t>
      </w:r>
      <w:r w:rsidRPr="00452C80">
        <w:rPr>
          <w:sz w:val="24"/>
          <w:szCs w:val="24"/>
        </w:rPr>
        <w:t xml:space="preserve"> </w:t>
      </w:r>
      <w:r w:rsidRPr="00452C80">
        <w:rPr>
          <w:i/>
          <w:iCs/>
          <w:sz w:val="24"/>
          <w:szCs w:val="24"/>
        </w:rPr>
        <w:t>Counselling</w:t>
      </w:r>
      <w:r w:rsidRPr="00452C80">
        <w:rPr>
          <w:sz w:val="24"/>
          <w:szCs w:val="24"/>
        </w:rPr>
        <w:t xml:space="preserve">, </w:t>
      </w:r>
      <w:r w:rsidRPr="00452C80">
        <w:rPr>
          <w:b/>
          <w:bCs/>
          <w:sz w:val="24"/>
          <w:szCs w:val="24"/>
        </w:rPr>
        <w:t>40</w:t>
      </w:r>
      <w:r w:rsidRPr="00452C80">
        <w:rPr>
          <w:sz w:val="24"/>
          <w:szCs w:val="24"/>
        </w:rPr>
        <w:t xml:space="preserve">(3): pp. 193– 212. </w:t>
      </w:r>
      <w:hyperlink r:id="rId414" w:history="1">
        <w:r w:rsidRPr="0071496A">
          <w:rPr>
            <w:rStyle w:val="Hyperlink"/>
            <w:color w:val="0070C0"/>
            <w:sz w:val="24"/>
            <w:szCs w:val="24"/>
          </w:rPr>
          <w:t>https://doi.org/10.1007/s10447-018-9321-7</w:t>
        </w:r>
      </w:hyperlink>
      <w:r w:rsidRPr="0071496A">
        <w:rPr>
          <w:color w:val="0070C0"/>
          <w:sz w:val="24"/>
          <w:szCs w:val="24"/>
        </w:rPr>
        <w:t xml:space="preserve"> </w:t>
      </w:r>
    </w:p>
    <w:p w14:paraId="03BAEE68" w14:textId="4FB7F359" w:rsidR="00640A2D" w:rsidRPr="00452C80" w:rsidRDefault="00640A2D" w:rsidP="00481CEB">
      <w:pPr>
        <w:spacing w:line="360" w:lineRule="auto"/>
        <w:ind w:left="833" w:hanging="720"/>
        <w:rPr>
          <w:bCs/>
          <w:sz w:val="24"/>
          <w:szCs w:val="24"/>
        </w:rPr>
      </w:pPr>
      <w:r w:rsidRPr="00452C80">
        <w:rPr>
          <w:bCs/>
          <w:sz w:val="24"/>
          <w:szCs w:val="24"/>
        </w:rPr>
        <w:t>Shin, D. and Konrad, A.</w:t>
      </w:r>
      <w:r w:rsidR="00FB6501">
        <w:rPr>
          <w:bCs/>
          <w:sz w:val="24"/>
          <w:szCs w:val="24"/>
        </w:rPr>
        <w:t xml:space="preserve"> </w:t>
      </w:r>
      <w:r w:rsidRPr="00452C80">
        <w:rPr>
          <w:bCs/>
          <w:sz w:val="24"/>
          <w:szCs w:val="24"/>
        </w:rPr>
        <w:t xml:space="preserve">M. (2017) Causality between high-performance work systems and organizational performance. </w:t>
      </w:r>
      <w:r w:rsidRPr="00452C80">
        <w:rPr>
          <w:bCs/>
          <w:i/>
          <w:iCs/>
          <w:sz w:val="24"/>
          <w:szCs w:val="24"/>
        </w:rPr>
        <w:t>Journal of Management</w:t>
      </w:r>
      <w:r w:rsidRPr="00452C80">
        <w:rPr>
          <w:bCs/>
          <w:sz w:val="24"/>
          <w:szCs w:val="24"/>
        </w:rPr>
        <w:t>, </w:t>
      </w:r>
      <w:r w:rsidRPr="00452C80">
        <w:rPr>
          <w:b/>
          <w:sz w:val="24"/>
          <w:szCs w:val="24"/>
        </w:rPr>
        <w:t>43</w:t>
      </w:r>
      <w:r w:rsidRPr="00452C80">
        <w:rPr>
          <w:bCs/>
          <w:sz w:val="24"/>
          <w:szCs w:val="24"/>
        </w:rPr>
        <w:t>(4): pp.973-997.</w:t>
      </w:r>
      <w:r w:rsidRPr="00452C80">
        <w:t xml:space="preserve"> </w:t>
      </w:r>
      <w:hyperlink r:id="rId415" w:history="1">
        <w:r w:rsidRPr="0071496A">
          <w:rPr>
            <w:rStyle w:val="Hyperlink"/>
            <w:bCs/>
            <w:color w:val="0070C0"/>
            <w:sz w:val="24"/>
            <w:szCs w:val="24"/>
          </w:rPr>
          <w:t>https://doi.org/10.1177/0149206314544746</w:t>
        </w:r>
      </w:hyperlink>
    </w:p>
    <w:p w14:paraId="3558BDD6" w14:textId="180BD818" w:rsidR="00640A2D" w:rsidRPr="00452C80" w:rsidRDefault="00640A2D" w:rsidP="00481CEB">
      <w:pPr>
        <w:spacing w:line="360" w:lineRule="auto"/>
        <w:ind w:left="833" w:hanging="720"/>
        <w:rPr>
          <w:bCs/>
          <w:sz w:val="24"/>
          <w:szCs w:val="24"/>
        </w:rPr>
      </w:pPr>
      <w:r w:rsidRPr="00452C80">
        <w:rPr>
          <w:bCs/>
          <w:sz w:val="24"/>
          <w:szCs w:val="24"/>
        </w:rPr>
        <w:lastRenderedPageBreak/>
        <w:t>Shipp, A.</w:t>
      </w:r>
      <w:r w:rsidR="00FB6501">
        <w:rPr>
          <w:bCs/>
          <w:sz w:val="24"/>
          <w:szCs w:val="24"/>
        </w:rPr>
        <w:t xml:space="preserve"> </w:t>
      </w:r>
      <w:r w:rsidRPr="00452C80">
        <w:rPr>
          <w:bCs/>
          <w:sz w:val="24"/>
          <w:szCs w:val="24"/>
        </w:rPr>
        <w:t>J., Edwards, J.</w:t>
      </w:r>
      <w:r w:rsidR="00FB6501">
        <w:rPr>
          <w:bCs/>
          <w:sz w:val="24"/>
          <w:szCs w:val="24"/>
        </w:rPr>
        <w:t xml:space="preserve"> </w:t>
      </w:r>
      <w:r w:rsidRPr="00452C80">
        <w:rPr>
          <w:bCs/>
          <w:sz w:val="24"/>
          <w:szCs w:val="24"/>
        </w:rPr>
        <w:t>R., and Lambert, L.</w:t>
      </w:r>
      <w:r w:rsidR="00FB6501">
        <w:rPr>
          <w:bCs/>
          <w:sz w:val="24"/>
          <w:szCs w:val="24"/>
        </w:rPr>
        <w:t xml:space="preserve"> </w:t>
      </w:r>
      <w:r w:rsidRPr="00452C80">
        <w:rPr>
          <w:bCs/>
          <w:sz w:val="24"/>
          <w:szCs w:val="24"/>
        </w:rPr>
        <w:t xml:space="preserve">S. (2009) Conceptualization and Measurement of Temporal Focus: The subjective experience of the past, present and future. </w:t>
      </w:r>
      <w:r w:rsidRPr="00452C80">
        <w:rPr>
          <w:bCs/>
          <w:i/>
          <w:iCs/>
          <w:sz w:val="24"/>
          <w:szCs w:val="24"/>
        </w:rPr>
        <w:t>Organizational Behavior and Human Decision Processes</w:t>
      </w:r>
      <w:r w:rsidRPr="00452C80">
        <w:rPr>
          <w:bCs/>
          <w:sz w:val="24"/>
          <w:szCs w:val="24"/>
        </w:rPr>
        <w:t xml:space="preserve">, </w:t>
      </w:r>
      <w:r w:rsidRPr="00452C80">
        <w:rPr>
          <w:b/>
          <w:sz w:val="24"/>
          <w:szCs w:val="24"/>
        </w:rPr>
        <w:t>110</w:t>
      </w:r>
      <w:r w:rsidRPr="00452C80">
        <w:rPr>
          <w:bCs/>
          <w:sz w:val="24"/>
          <w:szCs w:val="24"/>
        </w:rPr>
        <w:t>(1): pp.1-22.</w:t>
      </w:r>
      <w:r w:rsidRPr="00452C80">
        <w:t xml:space="preserve"> </w:t>
      </w:r>
      <w:hyperlink r:id="rId416" w:tgtFrame="_blank" w:history="1">
        <w:r w:rsidRPr="0071496A">
          <w:rPr>
            <w:rStyle w:val="Hyperlink"/>
            <w:bCs/>
            <w:color w:val="0070C0"/>
            <w:sz w:val="24"/>
            <w:szCs w:val="24"/>
          </w:rPr>
          <w:t>https://doi.org/10.1016/j.obhdp.2009.05.001</w:t>
        </w:r>
      </w:hyperlink>
    </w:p>
    <w:p w14:paraId="28777B1B" w14:textId="77777777" w:rsidR="00640A2D" w:rsidRPr="00452C80" w:rsidRDefault="00640A2D" w:rsidP="00481CEB">
      <w:pPr>
        <w:spacing w:line="360" w:lineRule="auto"/>
        <w:ind w:left="833" w:hanging="720"/>
        <w:rPr>
          <w:bCs/>
          <w:sz w:val="24"/>
          <w:szCs w:val="24"/>
        </w:rPr>
      </w:pPr>
      <w:r w:rsidRPr="00452C80">
        <w:rPr>
          <w:bCs/>
          <w:sz w:val="24"/>
          <w:szCs w:val="24"/>
        </w:rPr>
        <w:t xml:space="preserve">Sikes, P. (2004) Methodology, Procedures and Ethical Concerns. In C. Opie (ed.) </w:t>
      </w:r>
      <w:r w:rsidRPr="00452C80">
        <w:rPr>
          <w:bCs/>
          <w:i/>
          <w:iCs/>
          <w:sz w:val="24"/>
          <w:szCs w:val="24"/>
        </w:rPr>
        <w:t>Doing Educational Research</w:t>
      </w:r>
      <w:r w:rsidRPr="00452C80">
        <w:rPr>
          <w:bCs/>
          <w:sz w:val="24"/>
          <w:szCs w:val="24"/>
        </w:rPr>
        <w:t>. London: Sage.</w:t>
      </w:r>
    </w:p>
    <w:p w14:paraId="0ABA95C6" w14:textId="4385D569" w:rsidR="00640A2D" w:rsidRPr="00452C80" w:rsidRDefault="00640A2D" w:rsidP="00481CEB">
      <w:pPr>
        <w:spacing w:line="360" w:lineRule="auto"/>
        <w:ind w:left="833" w:hanging="720"/>
        <w:rPr>
          <w:bCs/>
          <w:sz w:val="24"/>
          <w:szCs w:val="24"/>
        </w:rPr>
      </w:pPr>
      <w:r w:rsidRPr="00452C80">
        <w:rPr>
          <w:bCs/>
          <w:sz w:val="24"/>
          <w:szCs w:val="24"/>
        </w:rPr>
        <w:t>Sikes, P. (2006) On dodgy ground? Problematics and ethics in educational research. </w:t>
      </w:r>
      <w:r w:rsidRPr="00452C80">
        <w:rPr>
          <w:bCs/>
          <w:i/>
          <w:iCs/>
          <w:sz w:val="24"/>
          <w:szCs w:val="24"/>
        </w:rPr>
        <w:t>International Journal of Research &amp; Method in Education</w:t>
      </w:r>
      <w:r w:rsidRPr="00452C80">
        <w:rPr>
          <w:bCs/>
          <w:sz w:val="24"/>
          <w:szCs w:val="24"/>
        </w:rPr>
        <w:t>, </w:t>
      </w:r>
      <w:r w:rsidRPr="00452C80">
        <w:rPr>
          <w:b/>
          <w:sz w:val="24"/>
          <w:szCs w:val="24"/>
        </w:rPr>
        <w:t>29</w:t>
      </w:r>
      <w:r w:rsidRPr="00452C80">
        <w:rPr>
          <w:bCs/>
          <w:sz w:val="24"/>
          <w:szCs w:val="24"/>
        </w:rPr>
        <w:t xml:space="preserve">(1): pp. 105–117. </w:t>
      </w:r>
      <w:hyperlink r:id="rId417" w:history="1">
        <w:r w:rsidRPr="0071496A">
          <w:rPr>
            <w:rStyle w:val="Hyperlink"/>
            <w:bCs/>
            <w:color w:val="0070C0"/>
            <w:sz w:val="24"/>
            <w:szCs w:val="24"/>
          </w:rPr>
          <w:t>https://doi.org/10.1080/01406720500537502</w:t>
        </w:r>
      </w:hyperlink>
    </w:p>
    <w:p w14:paraId="3310940A" w14:textId="642F28F0" w:rsidR="00640A2D" w:rsidRPr="00452C80" w:rsidRDefault="00640A2D" w:rsidP="00481CEB">
      <w:pPr>
        <w:spacing w:line="360" w:lineRule="auto"/>
        <w:ind w:left="833" w:hanging="720"/>
        <w:rPr>
          <w:bCs/>
          <w:sz w:val="24"/>
          <w:szCs w:val="24"/>
        </w:rPr>
      </w:pPr>
      <w:r w:rsidRPr="00452C80">
        <w:rPr>
          <w:bCs/>
          <w:sz w:val="24"/>
          <w:szCs w:val="24"/>
        </w:rPr>
        <w:t xml:space="preserve">Sikes, P., and Potts, A. </w:t>
      </w:r>
      <w:r w:rsidR="00544468">
        <w:rPr>
          <w:bCs/>
          <w:sz w:val="24"/>
          <w:szCs w:val="24"/>
        </w:rPr>
        <w:t xml:space="preserve">(eds) </w:t>
      </w:r>
      <w:r w:rsidRPr="00452C80">
        <w:rPr>
          <w:bCs/>
          <w:sz w:val="24"/>
          <w:szCs w:val="24"/>
        </w:rPr>
        <w:t>(2008)</w:t>
      </w:r>
      <w:r w:rsidR="005E0CAD">
        <w:rPr>
          <w:bCs/>
          <w:sz w:val="24"/>
          <w:szCs w:val="24"/>
        </w:rPr>
        <w:t xml:space="preserve"> </w:t>
      </w:r>
      <w:r w:rsidRPr="00452C80">
        <w:rPr>
          <w:bCs/>
          <w:i/>
          <w:iCs/>
          <w:sz w:val="24"/>
          <w:szCs w:val="24"/>
        </w:rPr>
        <w:t>Researching Education from the Inside: Investigations from within</w:t>
      </w:r>
      <w:r w:rsidRPr="00452C80">
        <w:rPr>
          <w:bCs/>
          <w:sz w:val="24"/>
          <w:szCs w:val="24"/>
        </w:rPr>
        <w:t>. (</w:t>
      </w:r>
      <w:r w:rsidR="007220EC">
        <w:rPr>
          <w:bCs/>
          <w:sz w:val="24"/>
          <w:szCs w:val="24"/>
        </w:rPr>
        <w:t>1st</w:t>
      </w:r>
      <w:r w:rsidRPr="00452C80">
        <w:rPr>
          <w:bCs/>
          <w:sz w:val="24"/>
          <w:szCs w:val="24"/>
        </w:rPr>
        <w:t xml:space="preserve"> edition). London: Routledge.</w:t>
      </w:r>
    </w:p>
    <w:p w14:paraId="1E0C0592" w14:textId="77777777" w:rsidR="00640A2D" w:rsidRPr="00452C80" w:rsidRDefault="00640A2D" w:rsidP="00481CEB">
      <w:pPr>
        <w:spacing w:line="360" w:lineRule="auto"/>
        <w:ind w:left="833" w:hanging="720"/>
        <w:rPr>
          <w:bCs/>
          <w:sz w:val="24"/>
          <w:szCs w:val="24"/>
        </w:rPr>
      </w:pPr>
      <w:r w:rsidRPr="00452C80">
        <w:rPr>
          <w:bCs/>
          <w:sz w:val="24"/>
          <w:szCs w:val="24"/>
        </w:rPr>
        <w:t xml:space="preserve">Silverstone, R. (1994) </w:t>
      </w:r>
      <w:r w:rsidRPr="00452C80">
        <w:rPr>
          <w:bCs/>
          <w:i/>
          <w:iCs/>
          <w:sz w:val="24"/>
          <w:szCs w:val="24"/>
        </w:rPr>
        <w:t>Television and Everyday Life</w:t>
      </w:r>
      <w:r w:rsidRPr="00452C80">
        <w:rPr>
          <w:bCs/>
          <w:sz w:val="24"/>
          <w:szCs w:val="24"/>
        </w:rPr>
        <w:t>. London and New York: Routledge.</w:t>
      </w:r>
    </w:p>
    <w:p w14:paraId="4E3E85E2" w14:textId="77777777" w:rsidR="00640A2D" w:rsidRPr="00452C80" w:rsidRDefault="00640A2D" w:rsidP="00481CEB">
      <w:pPr>
        <w:spacing w:line="360" w:lineRule="auto"/>
        <w:ind w:left="833" w:hanging="720"/>
        <w:rPr>
          <w:bCs/>
          <w:sz w:val="24"/>
          <w:szCs w:val="24"/>
        </w:rPr>
      </w:pPr>
      <w:r w:rsidRPr="00452C80">
        <w:rPr>
          <w:bCs/>
          <w:sz w:val="24"/>
          <w:szCs w:val="24"/>
        </w:rPr>
        <w:t xml:space="preserve">Simmel, G. (1950) </w:t>
      </w:r>
      <w:r w:rsidRPr="00452C80">
        <w:rPr>
          <w:bCs/>
          <w:i/>
          <w:iCs/>
          <w:sz w:val="24"/>
          <w:szCs w:val="24"/>
        </w:rPr>
        <w:t>The Sociology of Georg Simmel</w:t>
      </w:r>
      <w:r w:rsidRPr="00452C80">
        <w:rPr>
          <w:bCs/>
          <w:sz w:val="24"/>
          <w:szCs w:val="24"/>
        </w:rPr>
        <w:t>. New York: Free Press.</w:t>
      </w:r>
    </w:p>
    <w:p w14:paraId="4FA312C1" w14:textId="1A9B17B7" w:rsidR="00640A2D" w:rsidRPr="00452C80" w:rsidRDefault="00640A2D" w:rsidP="00481CEB">
      <w:pPr>
        <w:spacing w:line="360" w:lineRule="auto"/>
        <w:ind w:left="833" w:hanging="720"/>
        <w:rPr>
          <w:bCs/>
          <w:sz w:val="24"/>
          <w:szCs w:val="24"/>
        </w:rPr>
      </w:pPr>
      <w:r w:rsidRPr="00452C80">
        <w:rPr>
          <w:bCs/>
          <w:sz w:val="24"/>
          <w:szCs w:val="24"/>
        </w:rPr>
        <w:t xml:space="preserve">Sinclair, K. (1998) Reflective practice in health care. In J. Creek (ed) </w:t>
      </w:r>
      <w:r w:rsidRPr="00452C80">
        <w:rPr>
          <w:bCs/>
          <w:i/>
          <w:iCs/>
          <w:sz w:val="24"/>
          <w:szCs w:val="24"/>
        </w:rPr>
        <w:t>Occupational Therapy: New Perspectives</w:t>
      </w:r>
      <w:r w:rsidRPr="00452C80">
        <w:rPr>
          <w:bCs/>
          <w:sz w:val="24"/>
          <w:szCs w:val="24"/>
        </w:rPr>
        <w:t>. London: Whurr Publishers.</w:t>
      </w:r>
    </w:p>
    <w:p w14:paraId="3E136648" w14:textId="4AE9805A" w:rsidR="00640A2D" w:rsidRPr="00452C80" w:rsidRDefault="00640A2D" w:rsidP="00481CEB">
      <w:pPr>
        <w:spacing w:line="360" w:lineRule="auto"/>
        <w:ind w:left="833" w:hanging="720"/>
        <w:rPr>
          <w:bCs/>
          <w:sz w:val="24"/>
          <w:szCs w:val="24"/>
        </w:rPr>
      </w:pPr>
      <w:r w:rsidRPr="00452C80">
        <w:rPr>
          <w:bCs/>
          <w:sz w:val="24"/>
          <w:szCs w:val="24"/>
        </w:rPr>
        <w:t xml:space="preserve">Singer, E., van Hoewyk, J., Gebler, N., Ragunathan, T., and McGonacle, K. (1999) The effect of incentives on response rates in interview mediated surveys. </w:t>
      </w:r>
      <w:r w:rsidRPr="00452C80">
        <w:rPr>
          <w:bCs/>
          <w:i/>
          <w:iCs/>
          <w:sz w:val="24"/>
          <w:szCs w:val="24"/>
        </w:rPr>
        <w:t>Journal of Official Statistics</w:t>
      </w:r>
      <w:r w:rsidRPr="00452C80">
        <w:rPr>
          <w:bCs/>
          <w:sz w:val="24"/>
          <w:szCs w:val="24"/>
        </w:rPr>
        <w:t>, 15: pp. 217-230.</w:t>
      </w:r>
      <w:r w:rsidRPr="00452C80">
        <w:t xml:space="preserve"> </w:t>
      </w:r>
      <w:hyperlink r:id="rId418" w:history="1">
        <w:r w:rsidRPr="0071496A">
          <w:rPr>
            <w:rStyle w:val="Hyperlink"/>
            <w:bCs/>
            <w:color w:val="0070C0"/>
            <w:sz w:val="24"/>
            <w:szCs w:val="24"/>
          </w:rPr>
          <w:t>https://www.scirp.org/reference/referencespapers?referenceid=770355</w:t>
        </w:r>
      </w:hyperlink>
    </w:p>
    <w:p w14:paraId="0947AEC7" w14:textId="2739D3BB" w:rsidR="00640A2D" w:rsidRPr="00452C80" w:rsidRDefault="00640A2D" w:rsidP="00481CEB">
      <w:pPr>
        <w:spacing w:line="360" w:lineRule="auto"/>
        <w:ind w:left="833" w:hanging="720"/>
        <w:rPr>
          <w:bCs/>
          <w:sz w:val="24"/>
          <w:szCs w:val="24"/>
        </w:rPr>
      </w:pPr>
      <w:r w:rsidRPr="00452C80">
        <w:rPr>
          <w:bCs/>
          <w:sz w:val="24"/>
          <w:szCs w:val="24"/>
        </w:rPr>
        <w:t>Skaalvik, E.</w:t>
      </w:r>
      <w:r w:rsidR="00FB6501">
        <w:rPr>
          <w:bCs/>
          <w:sz w:val="24"/>
          <w:szCs w:val="24"/>
        </w:rPr>
        <w:t xml:space="preserve"> </w:t>
      </w:r>
      <w:r w:rsidRPr="00452C80">
        <w:rPr>
          <w:bCs/>
          <w:sz w:val="24"/>
          <w:szCs w:val="24"/>
        </w:rPr>
        <w:t>M.</w:t>
      </w:r>
      <w:r w:rsidR="00FB6501">
        <w:rPr>
          <w:bCs/>
          <w:sz w:val="24"/>
          <w:szCs w:val="24"/>
        </w:rPr>
        <w:t>,</w:t>
      </w:r>
      <w:r w:rsidRPr="00452C80">
        <w:rPr>
          <w:bCs/>
          <w:sz w:val="24"/>
          <w:szCs w:val="24"/>
        </w:rPr>
        <w:t xml:space="preserve"> and Skaalvik, S. (2020) Teacher Burnout: Relations between Dimensions of Burnout, Perceived School Context, Job Satisfaction and Motivation for Teaching. A Longitudinal Study. </w:t>
      </w:r>
      <w:r w:rsidRPr="00452C80">
        <w:rPr>
          <w:bCs/>
          <w:i/>
          <w:iCs/>
          <w:sz w:val="24"/>
          <w:szCs w:val="24"/>
        </w:rPr>
        <w:t>Teachers and Teaching</w:t>
      </w:r>
      <w:r w:rsidRPr="00452C80">
        <w:rPr>
          <w:bCs/>
          <w:sz w:val="24"/>
          <w:szCs w:val="24"/>
        </w:rPr>
        <w:t xml:space="preserve">, 26: pp. 602-616. </w:t>
      </w:r>
      <w:hyperlink r:id="rId419" w:history="1">
        <w:r w:rsidRPr="0071496A">
          <w:rPr>
            <w:rStyle w:val="Hyperlink"/>
            <w:bCs/>
            <w:color w:val="0070C0"/>
            <w:sz w:val="24"/>
            <w:szCs w:val="24"/>
          </w:rPr>
          <w:t>https://doi.org/10.1080/13540602.2021.1913404</w:t>
        </w:r>
      </w:hyperlink>
    </w:p>
    <w:p w14:paraId="1E08BADF" w14:textId="77777777" w:rsidR="00640A2D" w:rsidRPr="00452C80" w:rsidRDefault="00640A2D" w:rsidP="00481CEB">
      <w:pPr>
        <w:spacing w:line="360" w:lineRule="auto"/>
        <w:ind w:left="833" w:hanging="720"/>
        <w:rPr>
          <w:bCs/>
          <w:sz w:val="24"/>
          <w:szCs w:val="24"/>
        </w:rPr>
      </w:pPr>
      <w:r w:rsidRPr="00452C80">
        <w:rPr>
          <w:bCs/>
          <w:sz w:val="24"/>
          <w:szCs w:val="24"/>
        </w:rPr>
        <w:t xml:space="preserve">Skowronek, R., and Lewis, K. (2010) </w:t>
      </w:r>
      <w:r w:rsidRPr="00452C80">
        <w:rPr>
          <w:bCs/>
          <w:i/>
          <w:iCs/>
          <w:sz w:val="24"/>
          <w:szCs w:val="24"/>
        </w:rPr>
        <w:t>Beneath the Ivory Tower: The Archaeology of Academia.</w:t>
      </w:r>
      <w:r w:rsidRPr="00452C80">
        <w:rPr>
          <w:bCs/>
          <w:sz w:val="24"/>
          <w:szCs w:val="24"/>
        </w:rPr>
        <w:t xml:space="preserve"> USA: University Press of Florida.</w:t>
      </w:r>
    </w:p>
    <w:p w14:paraId="4FF5C7CA" w14:textId="24BE0EFB" w:rsidR="00640A2D" w:rsidRPr="0071496A" w:rsidRDefault="00640A2D" w:rsidP="00481CEB">
      <w:pPr>
        <w:spacing w:line="360" w:lineRule="auto"/>
        <w:ind w:left="833" w:hanging="720"/>
        <w:rPr>
          <w:bCs/>
          <w:color w:val="0070C0"/>
          <w:sz w:val="24"/>
          <w:szCs w:val="24"/>
        </w:rPr>
      </w:pPr>
      <w:r w:rsidRPr="00452C80">
        <w:rPr>
          <w:bCs/>
          <w:sz w:val="24"/>
          <w:szCs w:val="24"/>
        </w:rPr>
        <w:lastRenderedPageBreak/>
        <w:t xml:space="preserve">Skott-Myhre, K., Weima, K., Gibbs, H. </w:t>
      </w:r>
      <w:r w:rsidR="00544468">
        <w:rPr>
          <w:bCs/>
          <w:sz w:val="24"/>
          <w:szCs w:val="24"/>
        </w:rPr>
        <w:t xml:space="preserve">(eds) </w:t>
      </w:r>
      <w:r w:rsidRPr="00452C80">
        <w:rPr>
          <w:bCs/>
          <w:sz w:val="24"/>
          <w:szCs w:val="24"/>
        </w:rPr>
        <w:t xml:space="preserve">(2012) </w:t>
      </w:r>
      <w:r w:rsidRPr="00452C80">
        <w:rPr>
          <w:bCs/>
          <w:i/>
          <w:iCs/>
          <w:sz w:val="24"/>
          <w:szCs w:val="24"/>
        </w:rPr>
        <w:t>Writing the Family. Transgressions: Cultural Studies and Education</w:t>
      </w:r>
      <w:r w:rsidRPr="00452C80">
        <w:rPr>
          <w:bCs/>
          <w:sz w:val="24"/>
          <w:szCs w:val="24"/>
        </w:rPr>
        <w:t xml:space="preserve">, vol 80. Rotterdam, Holland: Sense Publishers. </w:t>
      </w:r>
      <w:hyperlink r:id="rId420" w:history="1">
        <w:r w:rsidRPr="0071496A">
          <w:rPr>
            <w:rStyle w:val="Hyperlink"/>
            <w:bCs/>
            <w:color w:val="0070C0"/>
            <w:sz w:val="24"/>
            <w:szCs w:val="24"/>
          </w:rPr>
          <w:t>https://doi.org/10.1007/978-94-6091-749-3_3</w:t>
        </w:r>
      </w:hyperlink>
    </w:p>
    <w:p w14:paraId="22FE74DD" w14:textId="34DFC4CC" w:rsidR="00640A2D" w:rsidRPr="00452C80" w:rsidRDefault="00640A2D" w:rsidP="00481CEB">
      <w:pPr>
        <w:spacing w:line="360" w:lineRule="auto"/>
        <w:ind w:left="833" w:hanging="720"/>
        <w:rPr>
          <w:bCs/>
          <w:sz w:val="24"/>
          <w:szCs w:val="24"/>
        </w:rPr>
      </w:pPr>
      <w:r w:rsidRPr="00452C80">
        <w:rPr>
          <w:bCs/>
          <w:sz w:val="24"/>
          <w:szCs w:val="24"/>
        </w:rPr>
        <w:t>Slater, T. (2016) (</w:t>
      </w:r>
      <w:r w:rsidR="0019204F">
        <w:rPr>
          <w:bCs/>
          <w:sz w:val="24"/>
          <w:szCs w:val="24"/>
        </w:rPr>
        <w:t>e</w:t>
      </w:r>
      <w:r w:rsidRPr="00452C80">
        <w:rPr>
          <w:bCs/>
          <w:sz w:val="24"/>
          <w:szCs w:val="24"/>
        </w:rPr>
        <w:t xml:space="preserve">d) </w:t>
      </w:r>
      <w:r w:rsidRPr="00452C80">
        <w:rPr>
          <w:bCs/>
          <w:i/>
          <w:iCs/>
          <w:sz w:val="24"/>
          <w:szCs w:val="24"/>
        </w:rPr>
        <w:t>Unsafe Space: The Crisis of Free Speech on Campus</w:t>
      </w:r>
      <w:r w:rsidRPr="00452C80">
        <w:rPr>
          <w:bCs/>
          <w:sz w:val="24"/>
          <w:szCs w:val="24"/>
        </w:rPr>
        <w:t>. London: Palgrave Macmillan.</w:t>
      </w:r>
    </w:p>
    <w:p w14:paraId="16D60C04" w14:textId="707C6175" w:rsidR="00640A2D" w:rsidRPr="00452C80" w:rsidRDefault="00640A2D" w:rsidP="00481CEB">
      <w:pPr>
        <w:spacing w:line="360" w:lineRule="auto"/>
        <w:ind w:left="833" w:hanging="720"/>
        <w:rPr>
          <w:bCs/>
          <w:sz w:val="24"/>
          <w:szCs w:val="24"/>
        </w:rPr>
      </w:pPr>
      <w:r w:rsidRPr="00452C80">
        <w:rPr>
          <w:bCs/>
          <w:sz w:val="24"/>
          <w:szCs w:val="24"/>
        </w:rPr>
        <w:t>Slaughter, S.</w:t>
      </w:r>
      <w:r w:rsidR="00FB6501">
        <w:rPr>
          <w:bCs/>
          <w:sz w:val="24"/>
          <w:szCs w:val="24"/>
        </w:rPr>
        <w:t>,</w:t>
      </w:r>
      <w:r w:rsidRPr="00452C80">
        <w:rPr>
          <w:bCs/>
          <w:sz w:val="24"/>
          <w:szCs w:val="24"/>
        </w:rPr>
        <w:t xml:space="preserve"> and Leslie, L. (1997) </w:t>
      </w:r>
      <w:r w:rsidRPr="00452C80">
        <w:rPr>
          <w:bCs/>
          <w:i/>
          <w:iCs/>
          <w:sz w:val="24"/>
          <w:szCs w:val="24"/>
        </w:rPr>
        <w:t>Academic Capitalism: Politics, Policies and The Entrepreneurial University</w:t>
      </w:r>
      <w:r w:rsidRPr="00452C80">
        <w:rPr>
          <w:bCs/>
          <w:sz w:val="24"/>
          <w:szCs w:val="24"/>
        </w:rPr>
        <w:t>. Baltimore, MD: John Hopkins University Press.</w:t>
      </w:r>
    </w:p>
    <w:p w14:paraId="2C97C51A" w14:textId="49227CE5" w:rsidR="00640A2D" w:rsidRPr="00452C80" w:rsidRDefault="00640A2D" w:rsidP="00481CEB">
      <w:pPr>
        <w:spacing w:line="360" w:lineRule="auto"/>
        <w:ind w:left="833" w:hanging="720"/>
        <w:rPr>
          <w:bCs/>
          <w:sz w:val="24"/>
          <w:szCs w:val="24"/>
        </w:rPr>
      </w:pPr>
      <w:r w:rsidRPr="00452C80">
        <w:rPr>
          <w:bCs/>
          <w:sz w:val="24"/>
          <w:szCs w:val="24"/>
        </w:rPr>
        <w:t>Slowey, M.</w:t>
      </w:r>
      <w:r w:rsidR="00FB6501">
        <w:rPr>
          <w:bCs/>
          <w:sz w:val="24"/>
          <w:szCs w:val="24"/>
        </w:rPr>
        <w:t>,</w:t>
      </w:r>
      <w:r w:rsidRPr="00452C80">
        <w:rPr>
          <w:bCs/>
          <w:sz w:val="24"/>
          <w:szCs w:val="24"/>
        </w:rPr>
        <w:t xml:space="preserve"> and Schuetze, H.G. (2012) All change – no change? Lifelong learners and higher education revisited. In H.G. Schuetze and M. Slowey (</w:t>
      </w:r>
      <w:r w:rsidR="00E0160D">
        <w:rPr>
          <w:bCs/>
          <w:sz w:val="24"/>
          <w:szCs w:val="24"/>
        </w:rPr>
        <w:t>e</w:t>
      </w:r>
      <w:r w:rsidRPr="00452C80">
        <w:rPr>
          <w:bCs/>
          <w:sz w:val="24"/>
          <w:szCs w:val="24"/>
        </w:rPr>
        <w:t xml:space="preserve">ds), </w:t>
      </w:r>
      <w:r w:rsidRPr="00452C80">
        <w:rPr>
          <w:bCs/>
          <w:i/>
          <w:iCs/>
          <w:sz w:val="24"/>
          <w:szCs w:val="24"/>
        </w:rPr>
        <w:t>Global Perspectives on Higher Education and Lifelong Learners</w:t>
      </w:r>
      <w:r w:rsidRPr="00452C80">
        <w:rPr>
          <w:bCs/>
          <w:sz w:val="24"/>
          <w:szCs w:val="24"/>
        </w:rPr>
        <w:t>. London: Routledge.</w:t>
      </w:r>
    </w:p>
    <w:p w14:paraId="55715381" w14:textId="120EF02A" w:rsidR="00640A2D" w:rsidRPr="00761B0B" w:rsidRDefault="00640A2D" w:rsidP="00481CEB">
      <w:pPr>
        <w:spacing w:line="360" w:lineRule="auto"/>
        <w:ind w:left="833" w:hanging="720"/>
        <w:rPr>
          <w:color w:val="0070C0"/>
          <w:sz w:val="24"/>
          <w:szCs w:val="24"/>
        </w:rPr>
      </w:pPr>
      <w:r w:rsidRPr="00452C80">
        <w:rPr>
          <w:sz w:val="24"/>
          <w:szCs w:val="24"/>
        </w:rPr>
        <w:t xml:space="preserve">Smart, M. (2025) </w:t>
      </w:r>
      <w:r w:rsidRPr="00452C80">
        <w:rPr>
          <w:i/>
          <w:iCs/>
          <w:sz w:val="24"/>
          <w:szCs w:val="24"/>
        </w:rPr>
        <w:t>Reflections on the demand for higher education – and what UCAS data reveal ahead of Results Day 2025</w:t>
      </w:r>
      <w:r w:rsidRPr="00452C80">
        <w:rPr>
          <w:sz w:val="24"/>
          <w:szCs w:val="24"/>
        </w:rPr>
        <w:t>. 17</w:t>
      </w:r>
      <w:r w:rsidRPr="00452C80">
        <w:rPr>
          <w:sz w:val="24"/>
          <w:szCs w:val="24"/>
          <w:vertAlign w:val="superscript"/>
        </w:rPr>
        <w:t>th</w:t>
      </w:r>
      <w:r w:rsidRPr="00452C80">
        <w:rPr>
          <w:sz w:val="24"/>
          <w:szCs w:val="24"/>
        </w:rPr>
        <w:t xml:space="preserve"> July 2025. HEPI blog.</w:t>
      </w:r>
      <w:r w:rsidR="00C32AEB">
        <w:rPr>
          <w:sz w:val="24"/>
          <w:szCs w:val="24"/>
        </w:rPr>
        <w:t xml:space="preserve"> Available at: </w:t>
      </w:r>
      <w:hyperlink r:id="rId421" w:history="1">
        <w:r w:rsidRPr="0071496A">
          <w:rPr>
            <w:rStyle w:val="Hyperlink"/>
            <w:bCs/>
            <w:color w:val="0070C0"/>
            <w:sz w:val="24"/>
            <w:szCs w:val="24"/>
          </w:rPr>
          <w:t>https://www.hepi.ac.uk/2025/07/17/reflections-on-the-demand-for-higher-education-and-what-ucas-data-is-telling-us-ahead-of-results-day-2025/</w:t>
        </w:r>
      </w:hyperlink>
      <w:r w:rsidR="00761B0B">
        <w:t xml:space="preserve">  </w:t>
      </w:r>
      <w:r w:rsidR="00761B0B">
        <w:rPr>
          <w:sz w:val="24"/>
          <w:szCs w:val="24"/>
        </w:rPr>
        <w:t>[Accessed 9</w:t>
      </w:r>
      <w:r w:rsidR="00761B0B" w:rsidRPr="00761B0B">
        <w:rPr>
          <w:sz w:val="24"/>
          <w:szCs w:val="24"/>
          <w:vertAlign w:val="superscript"/>
        </w:rPr>
        <w:t>th</w:t>
      </w:r>
      <w:r w:rsidR="00761B0B">
        <w:rPr>
          <w:sz w:val="24"/>
          <w:szCs w:val="24"/>
        </w:rPr>
        <w:t xml:space="preserve"> November 2025]</w:t>
      </w:r>
    </w:p>
    <w:p w14:paraId="779D6CA1" w14:textId="1A006938" w:rsidR="00640A2D" w:rsidRPr="00452C80" w:rsidRDefault="00640A2D" w:rsidP="00481CEB">
      <w:pPr>
        <w:spacing w:line="360" w:lineRule="auto"/>
        <w:ind w:left="833" w:hanging="720"/>
        <w:rPr>
          <w:bCs/>
          <w:sz w:val="24"/>
          <w:szCs w:val="24"/>
        </w:rPr>
      </w:pPr>
      <w:r w:rsidRPr="00452C80">
        <w:rPr>
          <w:bCs/>
          <w:sz w:val="24"/>
          <w:szCs w:val="24"/>
        </w:rPr>
        <w:t xml:space="preserve">Smith, H. W. (1991) </w:t>
      </w:r>
      <w:r w:rsidRPr="00452C80">
        <w:rPr>
          <w:bCs/>
          <w:i/>
          <w:iCs/>
          <w:sz w:val="24"/>
          <w:szCs w:val="24"/>
        </w:rPr>
        <w:t>Strategies of Social Research</w:t>
      </w:r>
      <w:r w:rsidRPr="00452C80">
        <w:rPr>
          <w:bCs/>
          <w:sz w:val="24"/>
          <w:szCs w:val="24"/>
        </w:rPr>
        <w:t xml:space="preserve"> (</w:t>
      </w:r>
      <w:r w:rsidR="007220EC">
        <w:rPr>
          <w:bCs/>
          <w:sz w:val="24"/>
          <w:szCs w:val="24"/>
        </w:rPr>
        <w:t>3rd</w:t>
      </w:r>
      <w:r w:rsidRPr="00452C80">
        <w:rPr>
          <w:bCs/>
          <w:sz w:val="24"/>
          <w:szCs w:val="24"/>
        </w:rPr>
        <w:t xml:space="preserve"> edition). Orlando, FL: Holt, Rinehart &amp; Winston.</w:t>
      </w:r>
    </w:p>
    <w:p w14:paraId="6D5D447C" w14:textId="2E99B36E" w:rsidR="00640A2D" w:rsidRPr="0071496A" w:rsidRDefault="00640A2D" w:rsidP="00481CEB">
      <w:pPr>
        <w:spacing w:line="360" w:lineRule="auto"/>
        <w:ind w:left="833" w:hanging="720"/>
        <w:rPr>
          <w:bCs/>
          <w:sz w:val="24"/>
          <w:szCs w:val="24"/>
        </w:rPr>
      </w:pPr>
      <w:hyperlink r:id="rId422" w:history="1">
        <w:r w:rsidRPr="0071496A">
          <w:rPr>
            <w:rStyle w:val="Hyperlink"/>
            <w:bCs/>
            <w:color w:val="auto"/>
            <w:sz w:val="24"/>
            <w:szCs w:val="24"/>
            <w:u w:val="none"/>
          </w:rPr>
          <w:t>Smith</w:t>
        </w:r>
      </w:hyperlink>
      <w:r w:rsidRPr="0071496A">
        <w:rPr>
          <w:bCs/>
          <w:sz w:val="24"/>
          <w:szCs w:val="24"/>
        </w:rPr>
        <w:t>, T.</w:t>
      </w:r>
      <w:r w:rsidR="00FB6501">
        <w:rPr>
          <w:bCs/>
          <w:sz w:val="24"/>
          <w:szCs w:val="24"/>
        </w:rPr>
        <w:t xml:space="preserve"> </w:t>
      </w:r>
      <w:r w:rsidRPr="0071496A">
        <w:rPr>
          <w:bCs/>
          <w:sz w:val="24"/>
          <w:szCs w:val="24"/>
        </w:rPr>
        <w:t>B., </w:t>
      </w:r>
      <w:hyperlink r:id="rId423" w:history="1">
        <w:r w:rsidRPr="0071496A">
          <w:rPr>
            <w:rStyle w:val="Hyperlink"/>
            <w:bCs/>
            <w:color w:val="auto"/>
            <w:sz w:val="24"/>
            <w:szCs w:val="24"/>
            <w:u w:val="none"/>
          </w:rPr>
          <w:t>Domenech-Rodríguez</w:t>
        </w:r>
      </w:hyperlink>
      <w:r w:rsidRPr="0071496A">
        <w:rPr>
          <w:bCs/>
          <w:sz w:val="24"/>
          <w:szCs w:val="24"/>
        </w:rPr>
        <w:t xml:space="preserve">, M., and </w:t>
      </w:r>
      <w:hyperlink r:id="rId424" w:history="1">
        <w:r w:rsidRPr="0071496A">
          <w:rPr>
            <w:rStyle w:val="Hyperlink"/>
            <w:bCs/>
            <w:color w:val="auto"/>
            <w:sz w:val="24"/>
            <w:szCs w:val="24"/>
            <w:u w:val="none"/>
          </w:rPr>
          <w:t>Bernal</w:t>
        </w:r>
      </w:hyperlink>
      <w:r w:rsidRPr="0071496A">
        <w:rPr>
          <w:bCs/>
          <w:sz w:val="24"/>
          <w:szCs w:val="24"/>
        </w:rPr>
        <w:t>, G.</w:t>
      </w:r>
      <w:r w:rsidRPr="0071496A">
        <w:rPr>
          <w:rFonts w:ascii="Open Sans" w:hAnsi="Open Sans" w:cs="Open Sans"/>
          <w:sz w:val="21"/>
          <w:szCs w:val="21"/>
          <w:shd w:val="clear" w:color="auto" w:fill="FFFFFF"/>
        </w:rPr>
        <w:t xml:space="preserve"> </w:t>
      </w:r>
      <w:r w:rsidRPr="0071496A">
        <w:rPr>
          <w:bCs/>
          <w:sz w:val="24"/>
          <w:szCs w:val="24"/>
        </w:rPr>
        <w:t> (2011) Culture.  In J.</w:t>
      </w:r>
      <w:r w:rsidR="006C3F33">
        <w:rPr>
          <w:bCs/>
          <w:sz w:val="24"/>
          <w:szCs w:val="24"/>
        </w:rPr>
        <w:t xml:space="preserve"> </w:t>
      </w:r>
      <w:r w:rsidRPr="0071496A">
        <w:rPr>
          <w:bCs/>
          <w:sz w:val="24"/>
          <w:szCs w:val="24"/>
        </w:rPr>
        <w:t>C. Norcross (</w:t>
      </w:r>
      <w:r w:rsidR="0019204F">
        <w:rPr>
          <w:bCs/>
          <w:sz w:val="24"/>
          <w:szCs w:val="24"/>
        </w:rPr>
        <w:t>e</w:t>
      </w:r>
      <w:r w:rsidRPr="0071496A">
        <w:rPr>
          <w:bCs/>
          <w:sz w:val="24"/>
          <w:szCs w:val="24"/>
        </w:rPr>
        <w:t>d), 2011, </w:t>
      </w:r>
      <w:r w:rsidRPr="0071496A">
        <w:rPr>
          <w:bCs/>
          <w:i/>
          <w:iCs/>
          <w:sz w:val="24"/>
          <w:szCs w:val="24"/>
        </w:rPr>
        <w:t>Psychotherapy Relationships That Work</w:t>
      </w:r>
      <w:r w:rsidRPr="0071496A">
        <w:rPr>
          <w:bCs/>
          <w:sz w:val="24"/>
          <w:szCs w:val="24"/>
        </w:rPr>
        <w:t> (2nd ed</w:t>
      </w:r>
      <w:r w:rsidR="0019204F">
        <w:rPr>
          <w:bCs/>
          <w:sz w:val="24"/>
          <w:szCs w:val="24"/>
        </w:rPr>
        <w:t>ition</w:t>
      </w:r>
      <w:r w:rsidRPr="0071496A">
        <w:rPr>
          <w:bCs/>
          <w:sz w:val="24"/>
          <w:szCs w:val="24"/>
        </w:rPr>
        <w:t>). New York: Oxford University Press</w:t>
      </w:r>
      <w:r w:rsidRPr="0071496A">
        <w:t xml:space="preserve">. </w:t>
      </w:r>
    </w:p>
    <w:p w14:paraId="1BC8663D" w14:textId="4753C471" w:rsidR="00640A2D" w:rsidRPr="00452C80" w:rsidRDefault="00640A2D" w:rsidP="00481CEB">
      <w:pPr>
        <w:spacing w:line="360" w:lineRule="auto"/>
        <w:ind w:left="833" w:hanging="720"/>
        <w:rPr>
          <w:bCs/>
          <w:sz w:val="24"/>
          <w:szCs w:val="24"/>
        </w:rPr>
      </w:pPr>
      <w:r w:rsidRPr="00452C80">
        <w:rPr>
          <w:bCs/>
          <w:sz w:val="24"/>
          <w:szCs w:val="24"/>
        </w:rPr>
        <w:t xml:space="preserve">Sobočan, A. M., Bertotti, T., </w:t>
      </w:r>
      <w:r w:rsidR="00FB6501">
        <w:rPr>
          <w:bCs/>
          <w:sz w:val="24"/>
          <w:szCs w:val="24"/>
        </w:rPr>
        <w:t xml:space="preserve">and </w:t>
      </w:r>
      <w:r w:rsidRPr="00452C80">
        <w:rPr>
          <w:bCs/>
          <w:sz w:val="24"/>
          <w:szCs w:val="24"/>
        </w:rPr>
        <w:t>Strom-Gottfried, K. (2018) Ethical considerations in social work research. </w:t>
      </w:r>
      <w:r w:rsidRPr="00452C80">
        <w:rPr>
          <w:bCs/>
          <w:i/>
          <w:iCs/>
          <w:sz w:val="24"/>
          <w:szCs w:val="24"/>
        </w:rPr>
        <w:t>European Journal of Social Work</w:t>
      </w:r>
      <w:r w:rsidRPr="00452C80">
        <w:rPr>
          <w:bCs/>
          <w:sz w:val="24"/>
          <w:szCs w:val="24"/>
        </w:rPr>
        <w:t>, </w:t>
      </w:r>
      <w:r w:rsidRPr="00452C80">
        <w:rPr>
          <w:b/>
          <w:sz w:val="24"/>
          <w:szCs w:val="24"/>
        </w:rPr>
        <w:t>22</w:t>
      </w:r>
      <w:r w:rsidRPr="00452C80">
        <w:rPr>
          <w:bCs/>
          <w:sz w:val="24"/>
          <w:szCs w:val="24"/>
        </w:rPr>
        <w:t xml:space="preserve">(5): pp.805–818. </w:t>
      </w:r>
      <w:hyperlink r:id="rId425" w:history="1">
        <w:r w:rsidRPr="0078649D">
          <w:rPr>
            <w:rStyle w:val="Hyperlink"/>
            <w:bCs/>
            <w:color w:val="0070C0"/>
            <w:sz w:val="24"/>
            <w:szCs w:val="24"/>
          </w:rPr>
          <w:t>https://doi.org/10.1080/13691457.2018.1544117</w:t>
        </w:r>
      </w:hyperlink>
    </w:p>
    <w:p w14:paraId="7207016E" w14:textId="77777777" w:rsidR="00640A2D" w:rsidRPr="00452C80" w:rsidRDefault="00640A2D" w:rsidP="00481CEB">
      <w:pPr>
        <w:spacing w:line="360" w:lineRule="auto"/>
        <w:ind w:left="833" w:hanging="720"/>
        <w:rPr>
          <w:bCs/>
          <w:sz w:val="24"/>
          <w:szCs w:val="24"/>
        </w:rPr>
      </w:pPr>
      <w:r w:rsidRPr="00452C80">
        <w:rPr>
          <w:bCs/>
          <w:sz w:val="24"/>
          <w:szCs w:val="24"/>
        </w:rPr>
        <w:t xml:space="preserve">Solnit, R. (2006) </w:t>
      </w:r>
      <w:r w:rsidRPr="00452C80">
        <w:rPr>
          <w:bCs/>
          <w:i/>
          <w:iCs/>
          <w:sz w:val="24"/>
          <w:szCs w:val="24"/>
        </w:rPr>
        <w:t>A Field Guide to Getting Lost</w:t>
      </w:r>
      <w:r w:rsidRPr="00452C80">
        <w:rPr>
          <w:bCs/>
          <w:sz w:val="24"/>
          <w:szCs w:val="24"/>
        </w:rPr>
        <w:t>. Edinburgh: Canongate Books Ltd.</w:t>
      </w:r>
    </w:p>
    <w:p w14:paraId="11CEDFE9" w14:textId="77777777" w:rsidR="00640A2D" w:rsidRPr="00452C80" w:rsidRDefault="00640A2D" w:rsidP="00481CEB">
      <w:pPr>
        <w:spacing w:line="360" w:lineRule="auto"/>
        <w:ind w:left="833" w:hanging="720"/>
        <w:rPr>
          <w:bCs/>
          <w:sz w:val="24"/>
          <w:szCs w:val="24"/>
        </w:rPr>
      </w:pPr>
      <w:r w:rsidRPr="00452C80">
        <w:rPr>
          <w:bCs/>
          <w:sz w:val="24"/>
          <w:szCs w:val="24"/>
        </w:rPr>
        <w:t xml:space="preserve">Solnit, R. (2013) </w:t>
      </w:r>
      <w:r w:rsidRPr="00452C80">
        <w:rPr>
          <w:bCs/>
          <w:i/>
          <w:iCs/>
          <w:sz w:val="24"/>
          <w:szCs w:val="24"/>
        </w:rPr>
        <w:t>The Faraway Nearby</w:t>
      </w:r>
      <w:r w:rsidRPr="00452C80">
        <w:rPr>
          <w:bCs/>
          <w:sz w:val="24"/>
          <w:szCs w:val="24"/>
        </w:rPr>
        <w:t>. London: Granta Publications.</w:t>
      </w:r>
    </w:p>
    <w:p w14:paraId="4870A65D" w14:textId="77777777" w:rsidR="00640A2D" w:rsidRPr="00452C80"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Solnit, R. (2019) </w:t>
      </w:r>
      <w:bookmarkStart w:id="101" w:name="_Hlk193181787"/>
      <w:r w:rsidRPr="00452C80">
        <w:rPr>
          <w:rFonts w:ascii="Calibri" w:eastAsia="Aptos" w:hAnsi="Calibri" w:cs="Calibri"/>
          <w:i/>
          <w:iCs/>
          <w:kern w:val="2"/>
          <w:sz w:val="24"/>
          <w:szCs w:val="24"/>
          <w14:ligatures w14:val="standardContextual"/>
        </w:rPr>
        <w:t>Whose Story Is This?</w:t>
      </w:r>
      <w:r w:rsidRPr="00452C80">
        <w:rPr>
          <w:rFonts w:ascii="Calibri" w:eastAsia="Aptos" w:hAnsi="Calibri" w:cs="Calibri"/>
          <w:kern w:val="2"/>
          <w:sz w:val="24"/>
          <w:szCs w:val="24"/>
          <w14:ligatures w14:val="standardContextual"/>
        </w:rPr>
        <w:t xml:space="preserve"> </w:t>
      </w:r>
      <w:bookmarkEnd w:id="101"/>
      <w:r w:rsidRPr="00452C80">
        <w:rPr>
          <w:rFonts w:ascii="Calibri" w:eastAsia="Aptos" w:hAnsi="Calibri" w:cs="Calibri"/>
          <w:bCs/>
          <w:i/>
          <w:iCs/>
          <w:kern w:val="2"/>
          <w:sz w:val="24"/>
          <w:szCs w:val="24"/>
          <w14:ligatures w14:val="standardContextual"/>
        </w:rPr>
        <w:t>Old Conflicts, New Chapters</w:t>
      </w:r>
      <w:r w:rsidRPr="00452C80">
        <w:rPr>
          <w:rFonts w:ascii="Calibri" w:eastAsia="Aptos" w:hAnsi="Calibri" w:cs="Calibri"/>
          <w:bCs/>
          <w:kern w:val="2"/>
          <w:sz w:val="24"/>
          <w:szCs w:val="24"/>
          <w14:ligatures w14:val="standardContextual"/>
        </w:rPr>
        <w:t xml:space="preserve">. </w:t>
      </w:r>
      <w:r w:rsidRPr="00452C80">
        <w:rPr>
          <w:rFonts w:ascii="Calibri" w:eastAsia="Aptos" w:hAnsi="Calibri" w:cs="Calibri"/>
          <w:kern w:val="2"/>
          <w:sz w:val="24"/>
          <w:szCs w:val="24"/>
          <w14:ligatures w14:val="standardContextual"/>
        </w:rPr>
        <w:t xml:space="preserve">London: Granta Publications. </w:t>
      </w:r>
    </w:p>
    <w:p w14:paraId="007635D7" w14:textId="73A3F0D3" w:rsidR="00640A2D" w:rsidRPr="0078649D" w:rsidRDefault="00640A2D" w:rsidP="00481CEB">
      <w:pPr>
        <w:spacing w:line="360" w:lineRule="auto"/>
        <w:ind w:left="833" w:hanging="720"/>
        <w:rPr>
          <w:color w:val="0070C0"/>
          <w:sz w:val="24"/>
          <w:szCs w:val="24"/>
        </w:rPr>
      </w:pPr>
      <w:r w:rsidRPr="00452C80">
        <w:rPr>
          <w:sz w:val="24"/>
          <w:szCs w:val="24"/>
        </w:rPr>
        <w:lastRenderedPageBreak/>
        <w:t>Southall</w:t>
      </w:r>
      <w:r w:rsidR="003F4BD0">
        <w:rPr>
          <w:sz w:val="24"/>
          <w:szCs w:val="24"/>
        </w:rPr>
        <w:t>,</w:t>
      </w:r>
      <w:r w:rsidRPr="00452C80">
        <w:rPr>
          <w:sz w:val="24"/>
          <w:szCs w:val="24"/>
        </w:rPr>
        <w:t xml:space="preserve"> A., Gardner</w:t>
      </w:r>
      <w:r w:rsidR="003F4BD0">
        <w:rPr>
          <w:sz w:val="24"/>
          <w:szCs w:val="24"/>
        </w:rPr>
        <w:t>,</w:t>
      </w:r>
      <w:r w:rsidRPr="00452C80">
        <w:rPr>
          <w:sz w:val="24"/>
          <w:szCs w:val="24"/>
        </w:rPr>
        <w:t xml:space="preserve"> F., </w:t>
      </w:r>
      <w:r w:rsidR="003F4BD0">
        <w:rPr>
          <w:sz w:val="24"/>
          <w:szCs w:val="24"/>
        </w:rPr>
        <w:t xml:space="preserve">and </w:t>
      </w:r>
      <w:r w:rsidRPr="00452C80">
        <w:rPr>
          <w:sz w:val="24"/>
          <w:szCs w:val="24"/>
        </w:rPr>
        <w:t>Baxter L. P. (2021) Educator perspectives on teaching students from traumatic backgrounds and the potential for reflective circles. </w:t>
      </w:r>
      <w:r w:rsidRPr="00452C80">
        <w:rPr>
          <w:i/>
          <w:iCs/>
          <w:sz w:val="24"/>
          <w:szCs w:val="24"/>
        </w:rPr>
        <w:t>The Australian Educational Researcher</w:t>
      </w:r>
      <w:r w:rsidRPr="00452C80">
        <w:rPr>
          <w:sz w:val="24"/>
          <w:szCs w:val="24"/>
        </w:rPr>
        <w:t xml:space="preserve">, </w:t>
      </w:r>
      <w:r w:rsidRPr="00452C80">
        <w:rPr>
          <w:b/>
          <w:bCs/>
          <w:sz w:val="24"/>
          <w:szCs w:val="24"/>
        </w:rPr>
        <w:t>49</w:t>
      </w:r>
      <w:r w:rsidRPr="00452C80">
        <w:rPr>
          <w:sz w:val="24"/>
          <w:szCs w:val="24"/>
        </w:rPr>
        <w:t>(4): pp. 675–689. </w:t>
      </w:r>
      <w:hyperlink r:id="rId426" w:history="1">
        <w:r w:rsidRPr="0078649D">
          <w:rPr>
            <w:rStyle w:val="Hyperlink"/>
            <w:color w:val="0070C0"/>
            <w:sz w:val="24"/>
            <w:szCs w:val="24"/>
          </w:rPr>
          <w:t>https://doi.org/10.1007/s13384-021-00455-7</w:t>
        </w:r>
      </w:hyperlink>
    </w:p>
    <w:p w14:paraId="51FC2E27" w14:textId="77777777" w:rsidR="00640A2D" w:rsidRPr="00452C80" w:rsidRDefault="00640A2D" w:rsidP="00481CEB">
      <w:pPr>
        <w:spacing w:line="360" w:lineRule="auto"/>
        <w:ind w:left="833" w:hanging="720"/>
        <w:rPr>
          <w:sz w:val="24"/>
          <w:szCs w:val="24"/>
          <w:lang w:val="en-US"/>
        </w:rPr>
      </w:pPr>
      <w:r w:rsidRPr="00452C80">
        <w:rPr>
          <w:sz w:val="24"/>
          <w:szCs w:val="24"/>
          <w:lang w:val="en-US"/>
        </w:rPr>
        <w:t xml:space="preserve">Southey, R. (1837) </w:t>
      </w:r>
      <w:r w:rsidRPr="00452C80">
        <w:rPr>
          <w:i/>
          <w:iCs/>
          <w:sz w:val="24"/>
          <w:szCs w:val="24"/>
          <w:lang w:val="en-US"/>
        </w:rPr>
        <w:t>The Story of the Three Bears</w:t>
      </w:r>
      <w:r w:rsidRPr="00452C80">
        <w:rPr>
          <w:sz w:val="24"/>
          <w:szCs w:val="24"/>
          <w:lang w:val="en-US"/>
        </w:rPr>
        <w:t xml:space="preserve"> in </w:t>
      </w:r>
      <w:r w:rsidRPr="00452C80">
        <w:rPr>
          <w:i/>
          <w:iCs/>
          <w:sz w:val="24"/>
          <w:szCs w:val="24"/>
          <w:lang w:val="en-US"/>
        </w:rPr>
        <w:t>The Doctor</w:t>
      </w:r>
      <w:r w:rsidRPr="00452C80">
        <w:rPr>
          <w:sz w:val="24"/>
          <w:szCs w:val="24"/>
          <w:lang w:val="en-US"/>
        </w:rPr>
        <w:t>. London: Longman, Rees, Orme, Brown and Green.</w:t>
      </w:r>
    </w:p>
    <w:p w14:paraId="52837F16" w14:textId="77777777" w:rsidR="00640A2D" w:rsidRPr="00452C80" w:rsidRDefault="00640A2D" w:rsidP="00481CEB">
      <w:pPr>
        <w:spacing w:line="360" w:lineRule="auto"/>
        <w:ind w:left="833" w:hanging="720"/>
        <w:rPr>
          <w:sz w:val="24"/>
          <w:szCs w:val="24"/>
          <w:lang w:val="en-US"/>
        </w:rPr>
      </w:pPr>
      <w:r w:rsidRPr="00452C80">
        <w:rPr>
          <w:sz w:val="24"/>
          <w:szCs w:val="24"/>
          <w:lang w:val="en-US"/>
        </w:rPr>
        <w:t xml:space="preserve">Sparker, A. (2005) Narrative analysis: exploring the what’s and how’s of personal stories. In: Holloway, I. (ed.). </w:t>
      </w:r>
      <w:r w:rsidRPr="00452C80">
        <w:rPr>
          <w:i/>
          <w:iCs/>
          <w:sz w:val="24"/>
          <w:szCs w:val="24"/>
          <w:lang w:val="en-US"/>
        </w:rPr>
        <w:t xml:space="preserve">Qualitative Research in Healthcare </w:t>
      </w:r>
      <w:r w:rsidRPr="00452C80">
        <w:rPr>
          <w:sz w:val="24"/>
          <w:szCs w:val="24"/>
          <w:lang w:val="en-US"/>
        </w:rPr>
        <w:t>(1</w:t>
      </w:r>
      <w:r w:rsidRPr="00452C80">
        <w:rPr>
          <w:sz w:val="24"/>
          <w:szCs w:val="24"/>
          <w:vertAlign w:val="superscript"/>
          <w:lang w:val="en-US"/>
        </w:rPr>
        <w:t>st</w:t>
      </w:r>
      <w:r w:rsidRPr="00452C80">
        <w:rPr>
          <w:sz w:val="24"/>
          <w:szCs w:val="24"/>
          <w:lang w:val="en-US"/>
        </w:rPr>
        <w:t xml:space="preserve"> edition). Berkshire: Open University press: pp.199-218.</w:t>
      </w:r>
    </w:p>
    <w:p w14:paraId="19AF4A08" w14:textId="7C822684" w:rsidR="00640A2D" w:rsidRPr="00452C80" w:rsidRDefault="00640A2D" w:rsidP="00481CEB">
      <w:pPr>
        <w:spacing w:line="360" w:lineRule="auto"/>
        <w:ind w:left="833" w:hanging="720"/>
        <w:rPr>
          <w:sz w:val="24"/>
          <w:szCs w:val="24"/>
        </w:rPr>
      </w:pPr>
      <w:r w:rsidRPr="00452C80">
        <w:rPr>
          <w:sz w:val="24"/>
          <w:szCs w:val="24"/>
        </w:rPr>
        <w:t xml:space="preserve">Spence, C. (2019) Judgement versus metrics in higher education management. </w:t>
      </w:r>
      <w:r w:rsidRPr="00452C80">
        <w:rPr>
          <w:i/>
          <w:iCs/>
          <w:sz w:val="24"/>
          <w:szCs w:val="24"/>
        </w:rPr>
        <w:t>Higher Education</w:t>
      </w:r>
      <w:r w:rsidRPr="00452C80">
        <w:rPr>
          <w:sz w:val="24"/>
          <w:szCs w:val="24"/>
        </w:rPr>
        <w:t xml:space="preserve">, 77: pp.761-775. </w:t>
      </w:r>
      <w:hyperlink r:id="rId427" w:history="1">
        <w:r w:rsidR="004268D1" w:rsidRPr="00A22652">
          <w:rPr>
            <w:rStyle w:val="Hyperlink"/>
            <w:sz w:val="24"/>
            <w:szCs w:val="24"/>
          </w:rPr>
          <w:t>https://link.springer.com/content/pdf/10.1007/s10734-018-0300-z.pdf</w:t>
        </w:r>
      </w:hyperlink>
    </w:p>
    <w:p w14:paraId="74B7E2FB" w14:textId="3BF5FA27" w:rsidR="00640A2D" w:rsidRPr="00452C80" w:rsidRDefault="00640A2D" w:rsidP="00481CEB">
      <w:pPr>
        <w:spacing w:line="360" w:lineRule="auto"/>
        <w:ind w:left="833" w:hanging="720"/>
        <w:rPr>
          <w:sz w:val="24"/>
          <w:szCs w:val="24"/>
        </w:rPr>
      </w:pPr>
      <w:r w:rsidRPr="00452C80">
        <w:rPr>
          <w:sz w:val="24"/>
          <w:szCs w:val="24"/>
        </w:rPr>
        <w:t>Spilt, J.</w:t>
      </w:r>
      <w:r w:rsidR="003F4BD0">
        <w:rPr>
          <w:sz w:val="24"/>
          <w:szCs w:val="24"/>
        </w:rPr>
        <w:t xml:space="preserve"> </w:t>
      </w:r>
      <w:r w:rsidRPr="00452C80">
        <w:rPr>
          <w:sz w:val="24"/>
          <w:szCs w:val="24"/>
        </w:rPr>
        <w:t>L., Koomen, H.</w:t>
      </w:r>
      <w:r w:rsidR="003F4BD0">
        <w:rPr>
          <w:sz w:val="24"/>
          <w:szCs w:val="24"/>
        </w:rPr>
        <w:t xml:space="preserve"> </w:t>
      </w:r>
      <w:r w:rsidRPr="00452C80">
        <w:rPr>
          <w:sz w:val="24"/>
          <w:szCs w:val="24"/>
        </w:rPr>
        <w:t>M., and Thijs</w:t>
      </w:r>
      <w:r w:rsidR="003F4BD0">
        <w:rPr>
          <w:sz w:val="24"/>
          <w:szCs w:val="24"/>
        </w:rPr>
        <w:t>,</w:t>
      </w:r>
      <w:r w:rsidRPr="00452C80">
        <w:rPr>
          <w:sz w:val="24"/>
          <w:szCs w:val="24"/>
        </w:rPr>
        <w:t xml:space="preserve"> J.</w:t>
      </w:r>
      <w:r w:rsidR="003F4BD0">
        <w:rPr>
          <w:sz w:val="24"/>
          <w:szCs w:val="24"/>
        </w:rPr>
        <w:t xml:space="preserve"> </w:t>
      </w:r>
      <w:r w:rsidRPr="00452C80">
        <w:rPr>
          <w:sz w:val="24"/>
          <w:szCs w:val="24"/>
        </w:rPr>
        <w:t>T. (2011)</w:t>
      </w:r>
      <w:r w:rsidR="003F4BD0">
        <w:rPr>
          <w:sz w:val="24"/>
          <w:szCs w:val="24"/>
        </w:rPr>
        <w:t xml:space="preserve"> </w:t>
      </w:r>
      <w:r w:rsidRPr="00452C80">
        <w:rPr>
          <w:sz w:val="24"/>
          <w:szCs w:val="24"/>
        </w:rPr>
        <w:t xml:space="preserve">Teacher wellbeing: The importance of teacher–student relationships. </w:t>
      </w:r>
      <w:r w:rsidRPr="00452C80">
        <w:rPr>
          <w:i/>
          <w:iCs/>
          <w:sz w:val="24"/>
          <w:szCs w:val="24"/>
        </w:rPr>
        <w:t>Educ. Psychol. Rev</w:t>
      </w:r>
      <w:r w:rsidRPr="00452C80">
        <w:rPr>
          <w:sz w:val="24"/>
          <w:szCs w:val="24"/>
        </w:rPr>
        <w:t xml:space="preserve">., 23: pp. 457–477. </w:t>
      </w:r>
      <w:hyperlink r:id="rId428" w:history="1">
        <w:r w:rsidRPr="0078649D">
          <w:rPr>
            <w:rStyle w:val="Hyperlink"/>
            <w:color w:val="0070C0"/>
            <w:sz w:val="24"/>
            <w:szCs w:val="24"/>
          </w:rPr>
          <w:t>https://doi.org/10.1007/s10648-011-9170-y</w:t>
        </w:r>
      </w:hyperlink>
    </w:p>
    <w:p w14:paraId="4D8B9B5D" w14:textId="76AB0B8E" w:rsidR="00640A2D" w:rsidRPr="00452C80" w:rsidRDefault="00640A2D" w:rsidP="00481CEB">
      <w:pPr>
        <w:spacing w:line="360" w:lineRule="auto"/>
        <w:ind w:left="833" w:hanging="720"/>
        <w:rPr>
          <w:sz w:val="24"/>
          <w:szCs w:val="24"/>
        </w:rPr>
      </w:pPr>
      <w:r w:rsidRPr="00452C80">
        <w:rPr>
          <w:sz w:val="24"/>
          <w:szCs w:val="24"/>
        </w:rPr>
        <w:t>Springer, S., Birch, K., and MacLeavy, J. (eds) (2016) The</w:t>
      </w:r>
      <w:r w:rsidRPr="00452C80">
        <w:rPr>
          <w:i/>
          <w:iCs/>
          <w:sz w:val="24"/>
          <w:szCs w:val="24"/>
        </w:rPr>
        <w:t xml:space="preserve"> Handbook of Neoliberalism</w:t>
      </w:r>
      <w:r w:rsidRPr="00452C80">
        <w:rPr>
          <w:sz w:val="24"/>
          <w:szCs w:val="24"/>
        </w:rPr>
        <w:t>. London: Routledge.</w:t>
      </w:r>
    </w:p>
    <w:p w14:paraId="7FD41313" w14:textId="735ABD52" w:rsidR="00640A2D" w:rsidRPr="0078649D" w:rsidRDefault="00640A2D" w:rsidP="00481CEB">
      <w:pPr>
        <w:spacing w:line="360" w:lineRule="auto"/>
        <w:ind w:left="833" w:hanging="720"/>
        <w:rPr>
          <w:bCs/>
          <w:color w:val="0070C0"/>
          <w:sz w:val="24"/>
          <w:szCs w:val="24"/>
        </w:rPr>
      </w:pPr>
      <w:r w:rsidRPr="00452C80">
        <w:rPr>
          <w:bCs/>
          <w:sz w:val="24"/>
          <w:szCs w:val="24"/>
        </w:rPr>
        <w:t xml:space="preserve">Srivedi, K. V. (2013) A study of relationship among general anxiety, test anxiety and academic achievement of higher secondary students. </w:t>
      </w:r>
      <w:r w:rsidRPr="00452C80">
        <w:rPr>
          <w:bCs/>
          <w:i/>
          <w:iCs/>
          <w:sz w:val="24"/>
          <w:szCs w:val="24"/>
        </w:rPr>
        <w:t>Journal of Education and Practice</w:t>
      </w:r>
      <w:r w:rsidRPr="00452C80">
        <w:rPr>
          <w:bCs/>
          <w:sz w:val="24"/>
          <w:szCs w:val="24"/>
        </w:rPr>
        <w:t xml:space="preserve">, </w:t>
      </w:r>
      <w:r w:rsidRPr="00452C80">
        <w:rPr>
          <w:b/>
          <w:bCs/>
          <w:sz w:val="24"/>
          <w:szCs w:val="24"/>
        </w:rPr>
        <w:t>4</w:t>
      </w:r>
      <w:r w:rsidRPr="00452C80">
        <w:rPr>
          <w:bCs/>
          <w:sz w:val="24"/>
          <w:szCs w:val="24"/>
        </w:rPr>
        <w:t xml:space="preserve">(1): pp. 122-130. </w:t>
      </w:r>
      <w:hyperlink r:id="rId429" w:history="1">
        <w:r w:rsidRPr="0078649D">
          <w:rPr>
            <w:rStyle w:val="Hyperlink"/>
            <w:bCs/>
            <w:color w:val="0070C0"/>
            <w:sz w:val="24"/>
            <w:szCs w:val="24"/>
          </w:rPr>
          <w:t>https://api.semanticscholar.org/CorpusID:145090947</w:t>
        </w:r>
      </w:hyperlink>
    </w:p>
    <w:p w14:paraId="688F6696" w14:textId="2389AC72" w:rsidR="00640A2D" w:rsidRPr="00452C80" w:rsidRDefault="00640A2D" w:rsidP="00481CEB">
      <w:pPr>
        <w:spacing w:line="360" w:lineRule="auto"/>
        <w:ind w:left="833" w:hanging="720"/>
        <w:rPr>
          <w:sz w:val="24"/>
          <w:szCs w:val="24"/>
        </w:rPr>
      </w:pPr>
      <w:r w:rsidRPr="00452C80">
        <w:rPr>
          <w:sz w:val="24"/>
          <w:szCs w:val="24"/>
        </w:rPr>
        <w:t>Stallman, H.</w:t>
      </w:r>
      <w:r w:rsidR="003F4BD0">
        <w:rPr>
          <w:sz w:val="24"/>
          <w:szCs w:val="24"/>
        </w:rPr>
        <w:t xml:space="preserve"> </w:t>
      </w:r>
      <w:r w:rsidRPr="00452C80">
        <w:rPr>
          <w:sz w:val="24"/>
          <w:szCs w:val="24"/>
        </w:rPr>
        <w:t>M. and Shochet, I.</w:t>
      </w:r>
      <w:r w:rsidR="003F4BD0">
        <w:rPr>
          <w:sz w:val="24"/>
          <w:szCs w:val="24"/>
        </w:rPr>
        <w:t xml:space="preserve"> </w:t>
      </w:r>
      <w:r w:rsidRPr="00452C80">
        <w:rPr>
          <w:sz w:val="24"/>
          <w:szCs w:val="24"/>
        </w:rPr>
        <w:t>A.</w:t>
      </w:r>
      <w:r w:rsidR="003F4BD0">
        <w:rPr>
          <w:sz w:val="24"/>
          <w:szCs w:val="24"/>
        </w:rPr>
        <w:t xml:space="preserve"> </w:t>
      </w:r>
      <w:r w:rsidRPr="00452C80">
        <w:rPr>
          <w:sz w:val="24"/>
          <w:szCs w:val="24"/>
        </w:rPr>
        <w:t xml:space="preserve">N. (2009) Prevalence of Mental Health Problems in Australian University Health Services. </w:t>
      </w:r>
      <w:r w:rsidRPr="00452C80">
        <w:rPr>
          <w:i/>
          <w:iCs/>
          <w:sz w:val="24"/>
          <w:szCs w:val="24"/>
        </w:rPr>
        <w:t>Australian Psychologist</w:t>
      </w:r>
      <w:r w:rsidRPr="00452C80">
        <w:rPr>
          <w:sz w:val="24"/>
          <w:szCs w:val="24"/>
        </w:rPr>
        <w:t xml:space="preserve">, </w:t>
      </w:r>
      <w:r w:rsidRPr="00452C80">
        <w:rPr>
          <w:b/>
          <w:bCs/>
          <w:sz w:val="24"/>
          <w:szCs w:val="24"/>
        </w:rPr>
        <w:t>44</w:t>
      </w:r>
      <w:r w:rsidRPr="00452C80">
        <w:rPr>
          <w:sz w:val="24"/>
          <w:szCs w:val="24"/>
        </w:rPr>
        <w:t xml:space="preserve">: pp.122-127. </w:t>
      </w:r>
      <w:hyperlink r:id="rId430" w:history="1">
        <w:r w:rsidRPr="0078649D">
          <w:rPr>
            <w:rStyle w:val="Hyperlink"/>
            <w:color w:val="0070C0"/>
            <w:sz w:val="24"/>
            <w:szCs w:val="24"/>
          </w:rPr>
          <w:t>https://doi.org/10.1080/00050060902733727</w:t>
        </w:r>
      </w:hyperlink>
      <w:r w:rsidRPr="0078649D">
        <w:rPr>
          <w:color w:val="0070C0"/>
          <w:sz w:val="24"/>
          <w:szCs w:val="24"/>
        </w:rPr>
        <w:t xml:space="preserve"> </w:t>
      </w:r>
    </w:p>
    <w:p w14:paraId="605F87B8" w14:textId="2E2C0CC0" w:rsidR="00640A2D" w:rsidRPr="00452C80" w:rsidRDefault="00640A2D" w:rsidP="00481CEB">
      <w:pPr>
        <w:spacing w:line="360" w:lineRule="auto"/>
        <w:ind w:left="833" w:hanging="720"/>
      </w:pPr>
      <w:r w:rsidRPr="00452C80">
        <w:rPr>
          <w:sz w:val="24"/>
          <w:szCs w:val="24"/>
        </w:rPr>
        <w:t>Stammers, L.</w:t>
      </w:r>
      <w:r w:rsidR="003F4BD0">
        <w:rPr>
          <w:sz w:val="24"/>
          <w:szCs w:val="24"/>
        </w:rPr>
        <w:t xml:space="preserve">, </w:t>
      </w:r>
      <w:r w:rsidRPr="00452C80">
        <w:rPr>
          <w:sz w:val="24"/>
          <w:szCs w:val="24"/>
        </w:rPr>
        <w:t xml:space="preserve">and Williams, A. (2019) Recognising the role of emotion in the classroom: an examination of how the psychoanalytic theory of containment influences learning capacity. </w:t>
      </w:r>
      <w:r w:rsidRPr="00452C80">
        <w:rPr>
          <w:i/>
          <w:iCs/>
          <w:sz w:val="24"/>
          <w:szCs w:val="24"/>
        </w:rPr>
        <w:t>Psychodynamic Practice</w:t>
      </w:r>
      <w:r w:rsidRPr="00452C80">
        <w:rPr>
          <w:sz w:val="24"/>
          <w:szCs w:val="24"/>
        </w:rPr>
        <w:t xml:space="preserve">, </w:t>
      </w:r>
      <w:r w:rsidRPr="00452C80">
        <w:rPr>
          <w:b/>
          <w:bCs/>
          <w:sz w:val="24"/>
          <w:szCs w:val="24"/>
        </w:rPr>
        <w:t>25</w:t>
      </w:r>
      <w:r w:rsidRPr="00452C80">
        <w:rPr>
          <w:sz w:val="24"/>
          <w:szCs w:val="24"/>
        </w:rPr>
        <w:t>(1): pp.33-43.</w:t>
      </w:r>
      <w:r w:rsidRPr="00452C80">
        <w:rPr>
          <w:rFonts w:ascii="Roboto" w:hAnsi="Roboto"/>
          <w:sz w:val="21"/>
          <w:szCs w:val="21"/>
          <w:shd w:val="clear" w:color="auto" w:fill="FFFFFF"/>
        </w:rPr>
        <w:t xml:space="preserve"> </w:t>
      </w:r>
      <w:r w:rsidRPr="0078649D">
        <w:rPr>
          <w:color w:val="0070C0"/>
          <w:sz w:val="24"/>
          <w:szCs w:val="24"/>
          <w:u w:val="single"/>
        </w:rPr>
        <w:t>https://doi.org/</w:t>
      </w:r>
      <w:hyperlink r:id="rId431" w:tgtFrame="_blank" w:history="1">
        <w:r w:rsidRPr="0078649D">
          <w:rPr>
            <w:rStyle w:val="Hyperlink"/>
            <w:color w:val="0070C0"/>
            <w:sz w:val="24"/>
            <w:szCs w:val="24"/>
          </w:rPr>
          <w:t>10.1080/14753634.2018.1563498</w:t>
        </w:r>
      </w:hyperlink>
    </w:p>
    <w:p w14:paraId="4BE68804" w14:textId="77777777" w:rsidR="00640A2D" w:rsidRPr="00452C80" w:rsidRDefault="00640A2D" w:rsidP="00481CEB">
      <w:pPr>
        <w:spacing w:line="360" w:lineRule="auto"/>
        <w:ind w:left="833" w:hanging="720"/>
        <w:rPr>
          <w:bCs/>
          <w:sz w:val="24"/>
          <w:szCs w:val="24"/>
        </w:rPr>
      </w:pPr>
      <w:r w:rsidRPr="00452C80">
        <w:rPr>
          <w:bCs/>
          <w:sz w:val="24"/>
          <w:szCs w:val="24"/>
        </w:rPr>
        <w:lastRenderedPageBreak/>
        <w:t xml:space="preserve">Steel, L. (2001) Staff support through supervision. </w:t>
      </w:r>
      <w:r w:rsidRPr="00452C80">
        <w:rPr>
          <w:bCs/>
          <w:i/>
          <w:iCs/>
          <w:sz w:val="24"/>
          <w:szCs w:val="24"/>
        </w:rPr>
        <w:t>Emotional and Behavioural Difficulties</w:t>
      </w:r>
      <w:r w:rsidRPr="00452C80">
        <w:rPr>
          <w:bCs/>
          <w:sz w:val="24"/>
          <w:szCs w:val="24"/>
        </w:rPr>
        <w:t xml:space="preserve">, </w:t>
      </w:r>
      <w:r w:rsidRPr="00452C80">
        <w:rPr>
          <w:b/>
          <w:sz w:val="24"/>
          <w:szCs w:val="24"/>
        </w:rPr>
        <w:t>6</w:t>
      </w:r>
      <w:r w:rsidRPr="00452C80">
        <w:rPr>
          <w:bCs/>
          <w:sz w:val="24"/>
          <w:szCs w:val="24"/>
        </w:rPr>
        <w:t xml:space="preserve">(2): pp. 91-101. </w:t>
      </w:r>
      <w:hyperlink r:id="rId432" w:history="1">
        <w:r w:rsidRPr="0078649D">
          <w:rPr>
            <w:rStyle w:val="Hyperlink"/>
            <w:bCs/>
            <w:color w:val="0070C0"/>
            <w:sz w:val="24"/>
            <w:szCs w:val="24"/>
          </w:rPr>
          <w:t>https://doi.org/10.1080/13632750100507659</w:t>
        </w:r>
      </w:hyperlink>
    </w:p>
    <w:p w14:paraId="65FCEA0D" w14:textId="412E6C68" w:rsidR="00640A2D" w:rsidRPr="00452C80" w:rsidRDefault="00640A2D" w:rsidP="00481CEB">
      <w:pPr>
        <w:spacing w:line="360" w:lineRule="auto"/>
        <w:ind w:left="833" w:hanging="720"/>
        <w:rPr>
          <w:bCs/>
          <w:sz w:val="24"/>
          <w:szCs w:val="24"/>
        </w:rPr>
      </w:pPr>
      <w:r w:rsidRPr="00452C80">
        <w:rPr>
          <w:bCs/>
          <w:sz w:val="24"/>
          <w:szCs w:val="24"/>
        </w:rPr>
        <w:t xml:space="preserve">Steier, F. (1991) (ed) </w:t>
      </w:r>
      <w:r w:rsidRPr="00452C80">
        <w:rPr>
          <w:bCs/>
          <w:i/>
          <w:iCs/>
          <w:sz w:val="24"/>
          <w:szCs w:val="24"/>
        </w:rPr>
        <w:t>Research and Reflexivity</w:t>
      </w:r>
      <w:r w:rsidRPr="00452C80">
        <w:rPr>
          <w:bCs/>
          <w:sz w:val="24"/>
          <w:szCs w:val="24"/>
        </w:rPr>
        <w:t>. London: Sage Publications Ltd.</w:t>
      </w:r>
    </w:p>
    <w:p w14:paraId="32ABE471" w14:textId="77777777" w:rsidR="00640A2D" w:rsidRPr="00452C80" w:rsidRDefault="00640A2D" w:rsidP="00481CEB">
      <w:pPr>
        <w:spacing w:line="360" w:lineRule="auto"/>
        <w:ind w:left="833" w:hanging="720"/>
        <w:rPr>
          <w:sz w:val="24"/>
          <w:szCs w:val="24"/>
        </w:rPr>
      </w:pPr>
      <w:r w:rsidRPr="00452C80">
        <w:rPr>
          <w:sz w:val="24"/>
          <w:szCs w:val="24"/>
        </w:rPr>
        <w:t xml:space="preserve">Stenhouse, L. (1975) </w:t>
      </w:r>
      <w:r w:rsidRPr="00452C80">
        <w:rPr>
          <w:i/>
          <w:iCs/>
          <w:sz w:val="24"/>
          <w:szCs w:val="24"/>
        </w:rPr>
        <w:t>Introduction to Curriculum Research and Development</w:t>
      </w:r>
      <w:r w:rsidRPr="00452C80">
        <w:rPr>
          <w:sz w:val="24"/>
          <w:szCs w:val="24"/>
        </w:rPr>
        <w:t>. London: Heinemann Educational.</w:t>
      </w:r>
    </w:p>
    <w:p w14:paraId="48298A02" w14:textId="77777777" w:rsidR="00640A2D" w:rsidRPr="00452C80" w:rsidRDefault="00640A2D" w:rsidP="00481CEB">
      <w:pPr>
        <w:spacing w:line="360" w:lineRule="auto"/>
        <w:ind w:left="833" w:hanging="720"/>
        <w:rPr>
          <w:bCs/>
          <w:sz w:val="24"/>
          <w:szCs w:val="24"/>
          <w:lang w:val="en-US"/>
        </w:rPr>
      </w:pPr>
      <w:r w:rsidRPr="00452C80">
        <w:rPr>
          <w:bCs/>
          <w:sz w:val="24"/>
          <w:szCs w:val="24"/>
          <w:lang w:val="en-US"/>
        </w:rPr>
        <w:t xml:space="preserve">Stevens, A. (1997) </w:t>
      </w:r>
      <w:r w:rsidRPr="00452C80">
        <w:rPr>
          <w:bCs/>
          <w:i/>
          <w:iCs/>
          <w:sz w:val="24"/>
          <w:szCs w:val="24"/>
          <w:lang w:val="en-US"/>
        </w:rPr>
        <w:t>Private Myths: Dreams and Dreaming</w:t>
      </w:r>
      <w:r w:rsidRPr="00452C80">
        <w:rPr>
          <w:bCs/>
          <w:sz w:val="24"/>
          <w:szCs w:val="24"/>
          <w:lang w:val="en-US"/>
        </w:rPr>
        <w:t>. USA: Harvard University Press.</w:t>
      </w:r>
    </w:p>
    <w:p w14:paraId="2AEA6169" w14:textId="02C5FBD0" w:rsidR="00640A2D" w:rsidRPr="004268D1" w:rsidRDefault="00640A2D" w:rsidP="00481CEB">
      <w:pPr>
        <w:spacing w:line="360" w:lineRule="auto"/>
        <w:ind w:left="833" w:hanging="720"/>
        <w:rPr>
          <w:bCs/>
          <w:color w:val="0070C0"/>
          <w:sz w:val="24"/>
          <w:szCs w:val="24"/>
        </w:rPr>
      </w:pPr>
      <w:r w:rsidRPr="00452C80">
        <w:rPr>
          <w:bCs/>
          <w:sz w:val="24"/>
          <w:szCs w:val="24"/>
        </w:rPr>
        <w:t>Stevenson, D.</w:t>
      </w:r>
      <w:r w:rsidR="003F4BD0">
        <w:rPr>
          <w:bCs/>
          <w:sz w:val="24"/>
          <w:szCs w:val="24"/>
        </w:rPr>
        <w:t>,</w:t>
      </w:r>
      <w:r w:rsidRPr="00452C80">
        <w:rPr>
          <w:bCs/>
          <w:sz w:val="24"/>
          <w:szCs w:val="24"/>
        </w:rPr>
        <w:t xml:space="preserve"> and Farmer, P. (2017) </w:t>
      </w:r>
      <w:r w:rsidRPr="00452C80">
        <w:rPr>
          <w:bCs/>
          <w:i/>
          <w:iCs/>
          <w:sz w:val="24"/>
          <w:szCs w:val="24"/>
        </w:rPr>
        <w:t>Thriving at Work</w:t>
      </w:r>
      <w:r w:rsidRPr="00452C80">
        <w:rPr>
          <w:bCs/>
          <w:sz w:val="24"/>
          <w:szCs w:val="24"/>
        </w:rPr>
        <w:t xml:space="preserve">. London: Gov.uk. </w:t>
      </w:r>
      <w:r w:rsidR="004268D1">
        <w:rPr>
          <w:bCs/>
          <w:sz w:val="24"/>
          <w:szCs w:val="24"/>
        </w:rPr>
        <w:t xml:space="preserve">Available at: </w:t>
      </w:r>
      <w:hyperlink r:id="rId433" w:history="1">
        <w:r w:rsidR="004268D1" w:rsidRPr="00A22652">
          <w:rPr>
            <w:rStyle w:val="Hyperlink"/>
            <w:bCs/>
            <w:sz w:val="24"/>
            <w:szCs w:val="24"/>
          </w:rPr>
          <w:t>https://assets.publishing.service.gov.uk/government/uploads/system/uploads/attachment_data/file/658145/thriving-at-work-stevenson-farmer-review.pdf</w:t>
        </w:r>
      </w:hyperlink>
      <w:r w:rsidR="004268D1">
        <w:t xml:space="preserve">  </w:t>
      </w:r>
      <w:r w:rsidR="004268D1">
        <w:rPr>
          <w:sz w:val="24"/>
          <w:szCs w:val="24"/>
        </w:rPr>
        <w:t>[Accessed</w:t>
      </w:r>
      <w:r w:rsidR="009F7DD1">
        <w:rPr>
          <w:sz w:val="24"/>
          <w:szCs w:val="24"/>
        </w:rPr>
        <w:t xml:space="preserve"> 15</w:t>
      </w:r>
      <w:r w:rsidR="009F7DD1" w:rsidRPr="009F7DD1">
        <w:rPr>
          <w:sz w:val="24"/>
          <w:szCs w:val="24"/>
          <w:vertAlign w:val="superscript"/>
        </w:rPr>
        <w:t>th</w:t>
      </w:r>
      <w:r w:rsidR="009F7DD1">
        <w:rPr>
          <w:sz w:val="24"/>
          <w:szCs w:val="24"/>
        </w:rPr>
        <w:t xml:space="preserve"> April 2023]</w:t>
      </w:r>
    </w:p>
    <w:p w14:paraId="66D5C9AE" w14:textId="7152AC42" w:rsidR="00B44A72" w:rsidRDefault="00B44A72" w:rsidP="00B44A72">
      <w:pPr>
        <w:spacing w:line="360" w:lineRule="auto"/>
        <w:ind w:left="833" w:hanging="720"/>
        <w:rPr>
          <w:bCs/>
          <w:sz w:val="24"/>
          <w:szCs w:val="24"/>
        </w:rPr>
      </w:pPr>
      <w:r w:rsidRPr="00B44A72">
        <w:rPr>
          <w:bCs/>
          <w:sz w:val="24"/>
          <w:szCs w:val="24"/>
        </w:rPr>
        <w:t>Stevenson, F., and Petrescu, D. (2016)</w:t>
      </w:r>
      <w:r w:rsidR="0026457D">
        <w:rPr>
          <w:bCs/>
          <w:sz w:val="24"/>
          <w:szCs w:val="24"/>
        </w:rPr>
        <w:t xml:space="preserve"> </w:t>
      </w:r>
      <w:r w:rsidRPr="00B44A72">
        <w:rPr>
          <w:bCs/>
          <w:sz w:val="24"/>
          <w:szCs w:val="24"/>
        </w:rPr>
        <w:t>Co-producing neighbourhood resilience. </w:t>
      </w:r>
      <w:r w:rsidRPr="00B44A72">
        <w:rPr>
          <w:bCs/>
          <w:i/>
          <w:iCs/>
          <w:sz w:val="24"/>
          <w:szCs w:val="24"/>
        </w:rPr>
        <w:t>Building Research &amp; Information</w:t>
      </w:r>
      <w:r w:rsidRPr="00B44A72">
        <w:rPr>
          <w:bCs/>
          <w:sz w:val="24"/>
          <w:szCs w:val="24"/>
        </w:rPr>
        <w:t>, </w:t>
      </w:r>
      <w:r w:rsidRPr="00B44A72">
        <w:rPr>
          <w:b/>
          <w:bCs/>
          <w:sz w:val="24"/>
          <w:szCs w:val="24"/>
        </w:rPr>
        <w:t>44</w:t>
      </w:r>
      <w:r w:rsidRPr="00B44A72">
        <w:rPr>
          <w:bCs/>
          <w:sz w:val="24"/>
          <w:szCs w:val="24"/>
        </w:rPr>
        <w:t xml:space="preserve">(7): pp.695–702. </w:t>
      </w:r>
      <w:hyperlink r:id="rId434" w:history="1">
        <w:r w:rsidRPr="00B44A72">
          <w:rPr>
            <w:rStyle w:val="Hyperlink"/>
            <w:bCs/>
            <w:sz w:val="24"/>
            <w:szCs w:val="24"/>
          </w:rPr>
          <w:t>https://doi.org/10.1080/09613218.2016.1213865</w:t>
        </w:r>
      </w:hyperlink>
    </w:p>
    <w:p w14:paraId="7CA7CCD6" w14:textId="52A32D8B" w:rsidR="00640A2D" w:rsidRPr="00452C80" w:rsidRDefault="00640A2D" w:rsidP="00481CEB">
      <w:pPr>
        <w:spacing w:line="360" w:lineRule="auto"/>
        <w:ind w:left="833" w:hanging="720"/>
        <w:rPr>
          <w:bCs/>
          <w:sz w:val="24"/>
          <w:szCs w:val="24"/>
        </w:rPr>
      </w:pPr>
      <w:r w:rsidRPr="00452C80">
        <w:rPr>
          <w:bCs/>
          <w:sz w:val="24"/>
          <w:szCs w:val="24"/>
        </w:rPr>
        <w:t>Stoltenberg, C.</w:t>
      </w:r>
      <w:r w:rsidR="003F4BD0">
        <w:rPr>
          <w:bCs/>
          <w:sz w:val="24"/>
          <w:szCs w:val="24"/>
        </w:rPr>
        <w:t xml:space="preserve"> </w:t>
      </w:r>
      <w:r w:rsidRPr="00452C80">
        <w:rPr>
          <w:bCs/>
          <w:sz w:val="24"/>
          <w:szCs w:val="24"/>
        </w:rPr>
        <w:t>D.</w:t>
      </w:r>
      <w:r w:rsidR="00962C79">
        <w:rPr>
          <w:bCs/>
          <w:sz w:val="24"/>
          <w:szCs w:val="24"/>
        </w:rPr>
        <w:t>,</w:t>
      </w:r>
      <w:r w:rsidRPr="00452C80">
        <w:rPr>
          <w:bCs/>
          <w:sz w:val="24"/>
          <w:szCs w:val="24"/>
        </w:rPr>
        <w:t xml:space="preserve"> and Delworth, U. (1987) </w:t>
      </w:r>
      <w:r w:rsidRPr="00452C80">
        <w:rPr>
          <w:bCs/>
          <w:i/>
          <w:iCs/>
          <w:sz w:val="24"/>
          <w:szCs w:val="24"/>
        </w:rPr>
        <w:t>Supervising Counsellors and Therapists: A developmental approach</w:t>
      </w:r>
      <w:r w:rsidRPr="00452C80">
        <w:rPr>
          <w:bCs/>
          <w:sz w:val="24"/>
          <w:szCs w:val="24"/>
        </w:rPr>
        <w:t xml:space="preserve">. San Francisco: Jossey-Bass, Inc. </w:t>
      </w:r>
    </w:p>
    <w:p w14:paraId="4935F62D" w14:textId="4BDB4858" w:rsidR="00640A2D" w:rsidRPr="00452C80" w:rsidRDefault="00640A2D" w:rsidP="00481CEB">
      <w:pPr>
        <w:spacing w:line="360" w:lineRule="auto"/>
        <w:ind w:left="833" w:hanging="720"/>
        <w:rPr>
          <w:bCs/>
          <w:sz w:val="24"/>
          <w:szCs w:val="24"/>
        </w:rPr>
      </w:pPr>
      <w:r w:rsidRPr="00452C80">
        <w:rPr>
          <w:bCs/>
          <w:sz w:val="24"/>
          <w:szCs w:val="24"/>
        </w:rPr>
        <w:t>Student Minds (2023) </w:t>
      </w:r>
      <w:r w:rsidRPr="00452C80">
        <w:rPr>
          <w:bCs/>
          <w:i/>
          <w:iCs/>
          <w:sz w:val="24"/>
          <w:szCs w:val="24"/>
        </w:rPr>
        <w:t>Putting Student Mental Health First: Our Impact in 2022/23</w:t>
      </w:r>
      <w:r w:rsidRPr="00452C80">
        <w:rPr>
          <w:bCs/>
          <w:sz w:val="24"/>
          <w:szCs w:val="24"/>
        </w:rPr>
        <w:t>. Student Minds, 2023</w:t>
      </w:r>
      <w:r w:rsidRPr="0078649D">
        <w:rPr>
          <w:bCs/>
          <w:color w:val="0070C0"/>
          <w:sz w:val="24"/>
          <w:szCs w:val="24"/>
        </w:rPr>
        <w:t>.</w:t>
      </w:r>
      <w:r w:rsidR="009F7DD1">
        <w:rPr>
          <w:bCs/>
          <w:color w:val="0070C0"/>
          <w:sz w:val="24"/>
          <w:szCs w:val="24"/>
        </w:rPr>
        <w:t xml:space="preserve"> </w:t>
      </w:r>
      <w:r w:rsidR="009F7DD1" w:rsidRPr="00DF1F79">
        <w:rPr>
          <w:bCs/>
          <w:sz w:val="24"/>
          <w:szCs w:val="24"/>
        </w:rPr>
        <w:t xml:space="preserve">Available at: </w:t>
      </w:r>
      <w:r w:rsidRPr="00DF1F79">
        <w:rPr>
          <w:bCs/>
          <w:sz w:val="24"/>
          <w:szCs w:val="24"/>
        </w:rPr>
        <w:t> </w:t>
      </w:r>
      <w:hyperlink r:id="rId435" w:history="1">
        <w:r w:rsidRPr="0078649D">
          <w:rPr>
            <w:rStyle w:val="Hyperlink"/>
            <w:bCs/>
            <w:color w:val="0070C0"/>
            <w:sz w:val="24"/>
            <w:szCs w:val="24"/>
          </w:rPr>
          <w:t>https://studentminds.org.uk</w:t>
        </w:r>
      </w:hyperlink>
      <w:r w:rsidRPr="00452C80">
        <w:rPr>
          <w:bCs/>
          <w:sz w:val="24"/>
          <w:szCs w:val="24"/>
        </w:rPr>
        <w:t>.</w:t>
      </w:r>
      <w:r w:rsidR="009F7DD1">
        <w:rPr>
          <w:bCs/>
          <w:sz w:val="24"/>
          <w:szCs w:val="24"/>
        </w:rPr>
        <w:t xml:space="preserve">  [Accessed </w:t>
      </w:r>
      <w:r w:rsidR="006C305F">
        <w:rPr>
          <w:bCs/>
          <w:sz w:val="24"/>
          <w:szCs w:val="24"/>
        </w:rPr>
        <w:t>21</w:t>
      </w:r>
      <w:r w:rsidR="006C305F" w:rsidRPr="006C305F">
        <w:rPr>
          <w:bCs/>
          <w:sz w:val="24"/>
          <w:szCs w:val="24"/>
          <w:vertAlign w:val="superscript"/>
        </w:rPr>
        <w:t>st</w:t>
      </w:r>
      <w:r w:rsidR="006C305F">
        <w:rPr>
          <w:bCs/>
          <w:sz w:val="24"/>
          <w:szCs w:val="24"/>
        </w:rPr>
        <w:t xml:space="preserve"> July 2024]</w:t>
      </w:r>
    </w:p>
    <w:p w14:paraId="3631E9F9" w14:textId="35A1BCAA" w:rsidR="00640A2D" w:rsidRPr="0078649D" w:rsidRDefault="00640A2D" w:rsidP="00481CEB">
      <w:pPr>
        <w:spacing w:line="360" w:lineRule="auto"/>
        <w:ind w:left="833" w:hanging="720"/>
        <w:rPr>
          <w:bCs/>
          <w:color w:val="0070C0"/>
          <w:sz w:val="24"/>
          <w:szCs w:val="24"/>
        </w:rPr>
      </w:pPr>
      <w:r w:rsidRPr="00452C80">
        <w:rPr>
          <w:bCs/>
          <w:sz w:val="24"/>
          <w:szCs w:val="24"/>
        </w:rPr>
        <w:t>Su, Y.</w:t>
      </w:r>
      <w:r w:rsidR="003F4BD0">
        <w:rPr>
          <w:bCs/>
          <w:sz w:val="24"/>
          <w:szCs w:val="24"/>
        </w:rPr>
        <w:t>,</w:t>
      </w:r>
      <w:r w:rsidRPr="00452C80">
        <w:rPr>
          <w:bCs/>
          <w:sz w:val="24"/>
          <w:szCs w:val="24"/>
        </w:rPr>
        <w:t xml:space="preserve"> and Chung, Y. (2015) Understanding the emotional reactions and exploring the professional development of college students based on reflections. </w:t>
      </w:r>
      <w:r w:rsidRPr="00452C80">
        <w:rPr>
          <w:bCs/>
          <w:i/>
          <w:iCs/>
          <w:sz w:val="24"/>
          <w:szCs w:val="24"/>
        </w:rPr>
        <w:t>Teaching in Higher Education</w:t>
      </w:r>
      <w:r w:rsidRPr="00452C80">
        <w:rPr>
          <w:bCs/>
          <w:sz w:val="24"/>
          <w:szCs w:val="24"/>
        </w:rPr>
        <w:t xml:space="preserve">, </w:t>
      </w:r>
      <w:r w:rsidRPr="00452C80">
        <w:rPr>
          <w:b/>
          <w:bCs/>
          <w:sz w:val="24"/>
          <w:szCs w:val="24"/>
        </w:rPr>
        <w:t>20</w:t>
      </w:r>
      <w:r w:rsidRPr="00452C80">
        <w:rPr>
          <w:bCs/>
          <w:sz w:val="24"/>
          <w:szCs w:val="24"/>
        </w:rPr>
        <w:t xml:space="preserve">(2): pp. 285-99. </w:t>
      </w:r>
      <w:hyperlink r:id="rId436" w:history="1">
        <w:r w:rsidRPr="0078649D">
          <w:rPr>
            <w:rStyle w:val="Hyperlink"/>
            <w:bCs/>
            <w:color w:val="0070C0"/>
            <w:sz w:val="24"/>
            <w:szCs w:val="24"/>
          </w:rPr>
          <w:t>https://doi.org/10.1080/13562517.2014.1001834</w:t>
        </w:r>
      </w:hyperlink>
    </w:p>
    <w:p w14:paraId="17F4382A" w14:textId="408264E1" w:rsidR="00FD672B" w:rsidRDefault="00B95AD9" w:rsidP="00481CEB">
      <w:pPr>
        <w:spacing w:line="360" w:lineRule="auto"/>
        <w:ind w:left="833" w:hanging="720"/>
        <w:rPr>
          <w:bCs/>
          <w:sz w:val="24"/>
          <w:szCs w:val="24"/>
        </w:rPr>
      </w:pPr>
      <w:r>
        <w:rPr>
          <w:bCs/>
          <w:sz w:val="24"/>
          <w:szCs w:val="24"/>
        </w:rPr>
        <w:t>Sun Mentors</w:t>
      </w:r>
      <w:r w:rsidR="00FD672B">
        <w:rPr>
          <w:bCs/>
          <w:sz w:val="24"/>
          <w:szCs w:val="24"/>
        </w:rPr>
        <w:t xml:space="preserve"> (2026) </w:t>
      </w:r>
      <w:r w:rsidR="00254EBD" w:rsidRPr="00B95AD9">
        <w:rPr>
          <w:bCs/>
          <w:i/>
          <w:iCs/>
          <w:sz w:val="24"/>
          <w:szCs w:val="24"/>
        </w:rPr>
        <w:t>Support for university students</w:t>
      </w:r>
      <w:r w:rsidR="0064241C" w:rsidRPr="00B95AD9">
        <w:rPr>
          <w:bCs/>
          <w:i/>
          <w:iCs/>
          <w:sz w:val="24"/>
          <w:szCs w:val="24"/>
        </w:rPr>
        <w:t xml:space="preserve"> mental health- training for teaching staff: Enhancing mental well-being for HE students</w:t>
      </w:r>
      <w:r w:rsidR="0064241C">
        <w:rPr>
          <w:bCs/>
          <w:sz w:val="24"/>
          <w:szCs w:val="24"/>
        </w:rPr>
        <w:t>.</w:t>
      </w:r>
      <w:r w:rsidR="00BE25FB">
        <w:rPr>
          <w:bCs/>
          <w:sz w:val="24"/>
          <w:szCs w:val="24"/>
        </w:rPr>
        <w:t xml:space="preserve"> Available at:</w:t>
      </w:r>
      <w:r w:rsidR="00BE25FB" w:rsidRPr="00BE25FB">
        <w:rPr>
          <w:rFonts w:ascii="Calibri" w:hAnsi="Calibri" w:cs="Calibri"/>
          <w:sz w:val="18"/>
          <w:szCs w:val="18"/>
        </w:rPr>
        <w:t xml:space="preserve"> </w:t>
      </w:r>
      <w:hyperlink r:id="rId437" w:history="1">
        <w:r w:rsidR="00BE25FB" w:rsidRPr="00713F85">
          <w:rPr>
            <w:rStyle w:val="Hyperlink"/>
            <w:bCs/>
            <w:sz w:val="24"/>
            <w:szCs w:val="24"/>
          </w:rPr>
          <w:t>https://sunmentors.eu/#</w:t>
        </w:r>
      </w:hyperlink>
      <w:r w:rsidR="00BE25FB">
        <w:rPr>
          <w:bCs/>
          <w:sz w:val="24"/>
          <w:szCs w:val="24"/>
        </w:rPr>
        <w:t xml:space="preserve"> </w:t>
      </w:r>
      <w:r>
        <w:rPr>
          <w:bCs/>
          <w:sz w:val="24"/>
          <w:szCs w:val="24"/>
        </w:rPr>
        <w:t xml:space="preserve"> </w:t>
      </w:r>
      <w:r w:rsidR="00BE25FB">
        <w:rPr>
          <w:bCs/>
          <w:sz w:val="24"/>
          <w:szCs w:val="24"/>
        </w:rPr>
        <w:t>[Accessed 16</w:t>
      </w:r>
      <w:r w:rsidR="00BE25FB" w:rsidRPr="00BE25FB">
        <w:rPr>
          <w:bCs/>
          <w:sz w:val="24"/>
          <w:szCs w:val="24"/>
          <w:vertAlign w:val="superscript"/>
        </w:rPr>
        <w:t>th</w:t>
      </w:r>
      <w:r w:rsidR="00BE25FB">
        <w:rPr>
          <w:bCs/>
          <w:sz w:val="24"/>
          <w:szCs w:val="24"/>
        </w:rPr>
        <w:t xml:space="preserve"> January 2026</w:t>
      </w:r>
      <w:r>
        <w:rPr>
          <w:bCs/>
          <w:sz w:val="24"/>
          <w:szCs w:val="24"/>
        </w:rPr>
        <w:t>]</w:t>
      </w:r>
    </w:p>
    <w:p w14:paraId="33E9D631" w14:textId="33D1F016" w:rsidR="00640A2D" w:rsidRPr="00452C80" w:rsidRDefault="00640A2D" w:rsidP="00481CEB">
      <w:pPr>
        <w:spacing w:line="360" w:lineRule="auto"/>
        <w:ind w:left="833" w:hanging="720"/>
        <w:rPr>
          <w:sz w:val="24"/>
          <w:szCs w:val="24"/>
        </w:rPr>
      </w:pPr>
      <w:r w:rsidRPr="00452C80">
        <w:rPr>
          <w:bCs/>
          <w:sz w:val="24"/>
          <w:szCs w:val="24"/>
        </w:rPr>
        <w:t xml:space="preserve">Supervision in Education Network (2025) </w:t>
      </w:r>
      <w:r w:rsidR="002E01FD" w:rsidRPr="002E01FD">
        <w:rPr>
          <w:bCs/>
          <w:i/>
          <w:iCs/>
          <w:sz w:val="24"/>
          <w:szCs w:val="24"/>
        </w:rPr>
        <w:t>Supervision in Education</w:t>
      </w:r>
      <w:r w:rsidR="008B1BCF">
        <w:rPr>
          <w:bCs/>
          <w:i/>
          <w:iCs/>
          <w:sz w:val="24"/>
          <w:szCs w:val="24"/>
        </w:rPr>
        <w:t xml:space="preserve"> Conference. </w:t>
      </w:r>
      <w:r w:rsidRPr="00452C80">
        <w:rPr>
          <w:bCs/>
          <w:sz w:val="24"/>
          <w:szCs w:val="24"/>
        </w:rPr>
        <w:t xml:space="preserve">Chairs: </w:t>
      </w:r>
      <w:r w:rsidRPr="00452C80">
        <w:rPr>
          <w:sz w:val="24"/>
          <w:szCs w:val="24"/>
        </w:rPr>
        <w:t>Emeritus Professor Gill Brackenbury and Dr Catherine Carroll. Centre for Wellbeing in Education, St Mary’s University, Twickenham.</w:t>
      </w:r>
      <w:r w:rsidR="002E01FD">
        <w:rPr>
          <w:sz w:val="24"/>
          <w:szCs w:val="24"/>
        </w:rPr>
        <w:t xml:space="preserve"> Available at :</w:t>
      </w:r>
      <w:r w:rsidRPr="00452C80">
        <w:rPr>
          <w:sz w:val="24"/>
          <w:szCs w:val="24"/>
        </w:rPr>
        <w:t xml:space="preserve"> </w:t>
      </w:r>
      <w:hyperlink r:id="rId438" w:history="1">
        <w:r w:rsidRPr="0078649D">
          <w:rPr>
            <w:rStyle w:val="Hyperlink"/>
            <w:bCs/>
            <w:color w:val="0070C0"/>
            <w:sz w:val="24"/>
            <w:szCs w:val="24"/>
          </w:rPr>
          <w:t>https://www.stmarys.ac.uk/research/areas/education-and-teaching/supervision-in-education-network/welcome.aspx</w:t>
        </w:r>
      </w:hyperlink>
      <w:r w:rsidRPr="0078649D">
        <w:rPr>
          <w:bCs/>
          <w:color w:val="0070C0"/>
          <w:sz w:val="24"/>
          <w:szCs w:val="24"/>
        </w:rPr>
        <w:t xml:space="preserve"> </w:t>
      </w:r>
      <w:r w:rsidR="008B1BCF">
        <w:rPr>
          <w:bCs/>
          <w:color w:val="0070C0"/>
          <w:sz w:val="24"/>
          <w:szCs w:val="24"/>
        </w:rPr>
        <w:t xml:space="preserve"> </w:t>
      </w:r>
      <w:r w:rsidR="008B1BCF" w:rsidRPr="007654EE">
        <w:rPr>
          <w:bCs/>
          <w:sz w:val="24"/>
          <w:szCs w:val="24"/>
        </w:rPr>
        <w:t xml:space="preserve">[Accessed </w:t>
      </w:r>
      <w:r w:rsidR="007654EE" w:rsidRPr="007654EE">
        <w:rPr>
          <w:bCs/>
          <w:sz w:val="24"/>
          <w:szCs w:val="24"/>
        </w:rPr>
        <w:t>18</w:t>
      </w:r>
      <w:r w:rsidR="007654EE" w:rsidRPr="007654EE">
        <w:rPr>
          <w:bCs/>
          <w:sz w:val="24"/>
          <w:szCs w:val="24"/>
          <w:vertAlign w:val="superscript"/>
        </w:rPr>
        <w:t>th</w:t>
      </w:r>
      <w:r w:rsidR="007654EE" w:rsidRPr="007654EE">
        <w:rPr>
          <w:bCs/>
          <w:sz w:val="24"/>
          <w:szCs w:val="24"/>
        </w:rPr>
        <w:t xml:space="preserve"> December 2025]</w:t>
      </w:r>
    </w:p>
    <w:p w14:paraId="2CCADC62" w14:textId="77777777" w:rsidR="00640A2D" w:rsidRPr="0078649D" w:rsidRDefault="00640A2D" w:rsidP="00481CEB">
      <w:pPr>
        <w:spacing w:line="360" w:lineRule="auto"/>
        <w:ind w:left="833" w:hanging="720"/>
        <w:rPr>
          <w:bCs/>
          <w:color w:val="0070C0"/>
          <w:sz w:val="24"/>
          <w:szCs w:val="24"/>
        </w:rPr>
      </w:pPr>
      <w:r w:rsidRPr="00452C80">
        <w:rPr>
          <w:bCs/>
          <w:sz w:val="24"/>
          <w:szCs w:val="24"/>
        </w:rPr>
        <w:t xml:space="preserve">Supervision in Education Network (2025a) </w:t>
      </w:r>
      <w:r w:rsidRPr="00452C80">
        <w:rPr>
          <w:bCs/>
          <w:i/>
          <w:iCs/>
          <w:sz w:val="24"/>
          <w:szCs w:val="24"/>
        </w:rPr>
        <w:t>Supervision in Education Quality Standards Framework</w:t>
      </w:r>
      <w:r w:rsidRPr="00452C80">
        <w:rPr>
          <w:bCs/>
          <w:sz w:val="24"/>
          <w:szCs w:val="24"/>
        </w:rPr>
        <w:t>, September 2025. London: St Mary’s University.</w:t>
      </w:r>
      <w:r w:rsidRPr="00452C80">
        <w:t xml:space="preserve"> </w:t>
      </w:r>
      <w:hyperlink r:id="rId439" w:history="1">
        <w:r w:rsidRPr="0078649D">
          <w:rPr>
            <w:rStyle w:val="Hyperlink"/>
            <w:bCs/>
            <w:color w:val="0070C0"/>
            <w:sz w:val="24"/>
            <w:szCs w:val="24"/>
          </w:rPr>
          <w:t>https://www.stmarys.ac.uk/research/areas/education-and-teaching/docs/supervision-in-education-quality-standards-framework-oct-2025.pdf</w:t>
        </w:r>
      </w:hyperlink>
    </w:p>
    <w:p w14:paraId="7D75797C" w14:textId="18CF99AE" w:rsidR="00640A2D" w:rsidRPr="00452C80" w:rsidRDefault="00640A2D" w:rsidP="00481CEB">
      <w:pPr>
        <w:spacing w:line="360" w:lineRule="auto"/>
        <w:ind w:left="833" w:hanging="720"/>
        <w:rPr>
          <w:sz w:val="24"/>
          <w:szCs w:val="24"/>
        </w:rPr>
      </w:pPr>
      <w:r w:rsidRPr="00452C80">
        <w:rPr>
          <w:sz w:val="24"/>
          <w:szCs w:val="24"/>
        </w:rPr>
        <w:t>Sussman, M.</w:t>
      </w:r>
      <w:r w:rsidR="003F4BD0">
        <w:rPr>
          <w:sz w:val="24"/>
          <w:szCs w:val="24"/>
        </w:rPr>
        <w:t xml:space="preserve"> </w:t>
      </w:r>
      <w:r w:rsidRPr="00452C80">
        <w:rPr>
          <w:sz w:val="24"/>
          <w:szCs w:val="24"/>
        </w:rPr>
        <w:t xml:space="preserve">B. (2007) </w:t>
      </w:r>
      <w:r w:rsidRPr="00452C80">
        <w:rPr>
          <w:i/>
          <w:iCs/>
          <w:sz w:val="24"/>
          <w:szCs w:val="24"/>
        </w:rPr>
        <w:t>A Curious Calling: Unconscious motivations for practicing psychotherapy</w:t>
      </w:r>
      <w:r w:rsidRPr="00452C80">
        <w:rPr>
          <w:sz w:val="24"/>
          <w:szCs w:val="24"/>
        </w:rPr>
        <w:t>. Maryland, USA: Jason Aronson.</w:t>
      </w:r>
      <w:r w:rsidR="00587146" w:rsidRPr="00587146">
        <w:rPr>
          <w:color w:val="0070C0"/>
        </w:rPr>
        <w:t xml:space="preserve"> </w:t>
      </w:r>
    </w:p>
    <w:p w14:paraId="1EC27ABE" w14:textId="02A8DBCF" w:rsidR="00640A2D" w:rsidRPr="008858EC" w:rsidRDefault="00640A2D" w:rsidP="00481CEB">
      <w:pPr>
        <w:spacing w:line="360" w:lineRule="auto"/>
        <w:ind w:left="833" w:hanging="720"/>
        <w:rPr>
          <w:rFonts w:cstheme="minorHAnsi"/>
          <w:bCs/>
          <w:sz w:val="24"/>
          <w:szCs w:val="24"/>
        </w:rPr>
      </w:pPr>
      <w:r w:rsidRPr="00452C80">
        <w:rPr>
          <w:bCs/>
          <w:sz w:val="24"/>
          <w:szCs w:val="24"/>
        </w:rPr>
        <w:t xml:space="preserve">Suttie, I. (1922) Critique of the theory of the “herd instinct”. </w:t>
      </w:r>
      <w:r w:rsidRPr="00452C80">
        <w:rPr>
          <w:bCs/>
          <w:i/>
          <w:iCs/>
          <w:sz w:val="24"/>
          <w:szCs w:val="24"/>
        </w:rPr>
        <w:t>Journal of Mental Science,</w:t>
      </w:r>
      <w:r w:rsidRPr="00452C80">
        <w:rPr>
          <w:bCs/>
          <w:sz w:val="24"/>
          <w:szCs w:val="24"/>
        </w:rPr>
        <w:t xml:space="preserve"> </w:t>
      </w:r>
      <w:r w:rsidRPr="00587146">
        <w:rPr>
          <w:b/>
          <w:sz w:val="24"/>
          <w:szCs w:val="24"/>
        </w:rPr>
        <w:t xml:space="preserve">68 </w:t>
      </w:r>
      <w:r w:rsidRPr="00452C80">
        <w:rPr>
          <w:bCs/>
          <w:sz w:val="24"/>
          <w:szCs w:val="24"/>
        </w:rPr>
        <w:t>(282): pp. 245-254</w:t>
      </w:r>
      <w:r w:rsidR="00D25E6B" w:rsidRPr="00D25E6B">
        <w:rPr>
          <w:bCs/>
          <w:sz w:val="24"/>
          <w:szCs w:val="24"/>
        </w:rPr>
        <w:t xml:space="preserve">.  </w:t>
      </w:r>
      <w:hyperlink r:id="rId440" w:history="1">
        <w:r w:rsidR="00D25E6B" w:rsidRPr="00D25E6B">
          <w:rPr>
            <w:rStyle w:val="Hyperlink"/>
            <w:bCs/>
            <w:sz w:val="24"/>
            <w:szCs w:val="24"/>
          </w:rPr>
          <w:t>https://doi.org/10.1192/bjp.68.282.245</w:t>
        </w:r>
      </w:hyperlink>
      <w:r w:rsidR="00587146" w:rsidRPr="00B61C0B">
        <w:rPr>
          <w:bCs/>
          <w:sz w:val="24"/>
          <w:szCs w:val="24"/>
        </w:rPr>
        <w:t xml:space="preserve">. </w:t>
      </w:r>
    </w:p>
    <w:p w14:paraId="25EB85B2" w14:textId="1269FE95" w:rsidR="00640A2D" w:rsidRPr="00452C80" w:rsidRDefault="00640A2D" w:rsidP="00481CEB">
      <w:pPr>
        <w:spacing w:line="360" w:lineRule="auto"/>
        <w:ind w:left="833" w:hanging="720"/>
        <w:rPr>
          <w:sz w:val="24"/>
          <w:szCs w:val="24"/>
        </w:rPr>
      </w:pPr>
      <w:r w:rsidRPr="00452C80">
        <w:rPr>
          <w:sz w:val="24"/>
          <w:szCs w:val="24"/>
        </w:rPr>
        <w:t>Swan, E., and Bailey, A. (2004) Thinking with Feeling: The emotions of reflection. In</w:t>
      </w:r>
      <w:r w:rsidR="00820FA3">
        <w:rPr>
          <w:sz w:val="24"/>
          <w:szCs w:val="24"/>
        </w:rPr>
        <w:t>:</w:t>
      </w:r>
      <w:r w:rsidRPr="00452C80">
        <w:rPr>
          <w:sz w:val="24"/>
          <w:szCs w:val="24"/>
        </w:rPr>
        <w:t xml:space="preserve"> M. Reynolds and R. Vince (eds), </w:t>
      </w:r>
      <w:r w:rsidRPr="00452C80">
        <w:rPr>
          <w:i/>
          <w:iCs/>
          <w:sz w:val="24"/>
          <w:szCs w:val="24"/>
        </w:rPr>
        <w:t>Organising Reflection</w:t>
      </w:r>
      <w:r w:rsidRPr="00452C80">
        <w:rPr>
          <w:sz w:val="24"/>
          <w:szCs w:val="24"/>
        </w:rPr>
        <w:t>. Hampshire, UK: Ashgate publishing.</w:t>
      </w:r>
    </w:p>
    <w:p w14:paraId="5774B9C1" w14:textId="71ADFF8F" w:rsidR="00640A2D" w:rsidRPr="00452C80" w:rsidRDefault="00640A2D" w:rsidP="00481CEB">
      <w:pPr>
        <w:spacing w:line="360" w:lineRule="auto"/>
        <w:ind w:left="833" w:hanging="720"/>
        <w:rPr>
          <w:sz w:val="24"/>
          <w:szCs w:val="24"/>
        </w:rPr>
      </w:pPr>
      <w:r w:rsidRPr="00452C80">
        <w:rPr>
          <w:sz w:val="24"/>
          <w:szCs w:val="24"/>
        </w:rPr>
        <w:t xml:space="preserve">Symington, J., and Symington, N. (1996) </w:t>
      </w:r>
      <w:r w:rsidRPr="00452C80">
        <w:rPr>
          <w:i/>
          <w:iCs/>
          <w:sz w:val="24"/>
          <w:szCs w:val="24"/>
        </w:rPr>
        <w:t>The Clinical Thinking of Wilfred Bion</w:t>
      </w:r>
      <w:r w:rsidRPr="00452C80">
        <w:rPr>
          <w:sz w:val="24"/>
          <w:szCs w:val="24"/>
        </w:rPr>
        <w:t>. London/New York: Routledge.</w:t>
      </w:r>
    </w:p>
    <w:p w14:paraId="0EB8C792" w14:textId="77777777" w:rsidR="00640A2D" w:rsidRPr="00452C80" w:rsidRDefault="00640A2D" w:rsidP="00481CEB">
      <w:pPr>
        <w:spacing w:line="360" w:lineRule="auto"/>
        <w:ind w:left="833" w:hanging="720"/>
        <w:rPr>
          <w:sz w:val="24"/>
          <w:szCs w:val="24"/>
        </w:rPr>
      </w:pPr>
      <w:r w:rsidRPr="00452C80">
        <w:rPr>
          <w:sz w:val="24"/>
          <w:szCs w:val="24"/>
        </w:rPr>
        <w:t xml:space="preserve">Szanto, T., and Krueger, J. (2019) Introduction: Empathy, shared emotions, and social identity. </w:t>
      </w:r>
      <w:r w:rsidRPr="00452C80">
        <w:rPr>
          <w:i/>
          <w:iCs/>
          <w:sz w:val="24"/>
          <w:szCs w:val="24"/>
        </w:rPr>
        <w:t>Tpoi</w:t>
      </w:r>
      <w:r w:rsidRPr="00452C80">
        <w:rPr>
          <w:sz w:val="24"/>
          <w:szCs w:val="24"/>
        </w:rPr>
        <w:t xml:space="preserve">, </w:t>
      </w:r>
      <w:r w:rsidRPr="00452C80">
        <w:rPr>
          <w:b/>
          <w:bCs/>
          <w:sz w:val="24"/>
          <w:szCs w:val="24"/>
        </w:rPr>
        <w:t>38</w:t>
      </w:r>
      <w:r w:rsidRPr="00452C80">
        <w:rPr>
          <w:sz w:val="24"/>
          <w:szCs w:val="24"/>
        </w:rPr>
        <w:t xml:space="preserve">: pp.153-162. </w:t>
      </w:r>
      <w:hyperlink r:id="rId441" w:history="1">
        <w:r w:rsidRPr="00C31380">
          <w:rPr>
            <w:rStyle w:val="Hyperlink"/>
            <w:color w:val="0070C0"/>
            <w:sz w:val="24"/>
            <w:szCs w:val="24"/>
          </w:rPr>
          <w:t>https://doi.org/10.1007/s11245-019-09641-w</w:t>
        </w:r>
      </w:hyperlink>
      <w:r w:rsidRPr="00C31380">
        <w:rPr>
          <w:color w:val="0070C0"/>
        </w:rPr>
        <w:t xml:space="preserve"> </w:t>
      </w:r>
    </w:p>
    <w:p w14:paraId="61CCD89F" w14:textId="59276115" w:rsidR="00640A2D" w:rsidRPr="00452C80" w:rsidRDefault="00640A2D" w:rsidP="00481CEB">
      <w:pPr>
        <w:spacing w:line="360" w:lineRule="auto"/>
        <w:ind w:left="833" w:hanging="720"/>
      </w:pPr>
      <w:r w:rsidRPr="00452C80">
        <w:rPr>
          <w:sz w:val="24"/>
          <w:szCs w:val="24"/>
        </w:rPr>
        <w:t xml:space="preserve">Szykierski, D. (2010) The Traumatic Roots of Containment: The evolution of Bion’s </w:t>
      </w:r>
      <w:r w:rsidRPr="00C47A5C">
        <w:rPr>
          <w:sz w:val="24"/>
          <w:szCs w:val="24"/>
        </w:rPr>
        <w:t xml:space="preserve">metapsychology. </w:t>
      </w:r>
      <w:r w:rsidRPr="00C47A5C">
        <w:rPr>
          <w:i/>
          <w:iCs/>
          <w:sz w:val="24"/>
          <w:szCs w:val="24"/>
        </w:rPr>
        <w:t>The Psychoanalytic Quarterly</w:t>
      </w:r>
      <w:r w:rsidRPr="00C47A5C">
        <w:rPr>
          <w:sz w:val="24"/>
          <w:szCs w:val="24"/>
        </w:rPr>
        <w:t xml:space="preserve">, </w:t>
      </w:r>
      <w:r w:rsidRPr="00C47A5C">
        <w:rPr>
          <w:b/>
          <w:bCs/>
          <w:sz w:val="24"/>
          <w:szCs w:val="24"/>
        </w:rPr>
        <w:t>79</w:t>
      </w:r>
      <w:r w:rsidRPr="00C47A5C">
        <w:rPr>
          <w:sz w:val="24"/>
          <w:szCs w:val="24"/>
        </w:rPr>
        <w:t xml:space="preserve">(4): pp.935-968. </w:t>
      </w:r>
      <w:r w:rsidRPr="00C47A5C">
        <w:rPr>
          <w:color w:val="0070C0"/>
        </w:rPr>
        <w:t xml:space="preserve"> </w:t>
      </w:r>
      <w:hyperlink r:id="rId442" w:history="1">
        <w:r w:rsidRPr="00C47A5C">
          <w:rPr>
            <w:rStyle w:val="Hyperlink"/>
            <w:color w:val="0070C0"/>
            <w:sz w:val="24"/>
            <w:szCs w:val="24"/>
          </w:rPr>
          <w:t>https://doi.org/10.1002/j.2167-4086.2010.tb00472.x</w:t>
        </w:r>
      </w:hyperlink>
      <w:r w:rsidRPr="00C47A5C">
        <w:rPr>
          <w:color w:val="0070C0"/>
        </w:rPr>
        <w:t> </w:t>
      </w:r>
    </w:p>
    <w:p w14:paraId="0A9F2887" w14:textId="77777777" w:rsidR="00640A2D" w:rsidRPr="00452C80" w:rsidRDefault="00640A2D" w:rsidP="00481CEB">
      <w:pPr>
        <w:spacing w:line="360" w:lineRule="auto"/>
        <w:ind w:left="833" w:hanging="720"/>
        <w:rPr>
          <w:bCs/>
          <w:sz w:val="24"/>
          <w:szCs w:val="24"/>
        </w:rPr>
      </w:pPr>
      <w:r w:rsidRPr="00452C80">
        <w:rPr>
          <w:bCs/>
          <w:sz w:val="24"/>
          <w:szCs w:val="24"/>
        </w:rPr>
        <w:t xml:space="preserve">Tacey, D. (2001) </w:t>
      </w:r>
      <w:r w:rsidRPr="00452C80">
        <w:rPr>
          <w:bCs/>
          <w:i/>
          <w:iCs/>
          <w:sz w:val="24"/>
          <w:szCs w:val="24"/>
        </w:rPr>
        <w:t>Jung and the New Age</w:t>
      </w:r>
      <w:r w:rsidRPr="00452C80">
        <w:rPr>
          <w:bCs/>
          <w:sz w:val="24"/>
          <w:szCs w:val="24"/>
        </w:rPr>
        <w:t>. New York: Brunner-Routledge.</w:t>
      </w:r>
    </w:p>
    <w:p w14:paraId="16E27194" w14:textId="07585FD1" w:rsidR="00640A2D" w:rsidRPr="00452C80" w:rsidRDefault="00640A2D" w:rsidP="00481CEB">
      <w:pPr>
        <w:spacing w:line="360" w:lineRule="auto"/>
        <w:ind w:left="833" w:hanging="720"/>
        <w:rPr>
          <w:bCs/>
          <w:sz w:val="24"/>
          <w:szCs w:val="24"/>
        </w:rPr>
      </w:pPr>
      <w:r w:rsidRPr="00452C80">
        <w:rPr>
          <w:bCs/>
          <w:sz w:val="24"/>
          <w:szCs w:val="24"/>
        </w:rPr>
        <w:t>Tacey, D. (2011) The Challenge of Teaching Jung in the University. In</w:t>
      </w:r>
      <w:r w:rsidR="00820FA3">
        <w:rPr>
          <w:bCs/>
          <w:sz w:val="24"/>
          <w:szCs w:val="24"/>
        </w:rPr>
        <w:t>:</w:t>
      </w:r>
      <w:r w:rsidRPr="00452C80">
        <w:rPr>
          <w:bCs/>
          <w:sz w:val="24"/>
          <w:szCs w:val="24"/>
        </w:rPr>
        <w:t xml:space="preserve"> Kelly Bulkeley and Clodagh Weldon (eds), </w:t>
      </w:r>
      <w:r w:rsidRPr="00452C80">
        <w:rPr>
          <w:bCs/>
          <w:i/>
          <w:iCs/>
          <w:sz w:val="24"/>
          <w:szCs w:val="24"/>
        </w:rPr>
        <w:t>Teaching Jung.</w:t>
      </w:r>
      <w:r w:rsidRPr="00452C80">
        <w:rPr>
          <w:bCs/>
          <w:sz w:val="24"/>
          <w:szCs w:val="24"/>
        </w:rPr>
        <w:t xml:space="preserve"> New York: Oxford University Press, Inc.</w:t>
      </w:r>
    </w:p>
    <w:p w14:paraId="082BE687" w14:textId="77777777" w:rsidR="00640A2D" w:rsidRPr="00452C80" w:rsidRDefault="00640A2D" w:rsidP="00481CEB">
      <w:pPr>
        <w:spacing w:line="360" w:lineRule="auto"/>
        <w:ind w:left="833" w:hanging="720"/>
        <w:rPr>
          <w:bCs/>
          <w:sz w:val="24"/>
          <w:szCs w:val="24"/>
        </w:rPr>
      </w:pPr>
      <w:r w:rsidRPr="00452C80">
        <w:rPr>
          <w:bCs/>
          <w:sz w:val="24"/>
          <w:szCs w:val="24"/>
        </w:rPr>
        <w:t xml:space="preserve">Taylor, B. (2014) </w:t>
      </w:r>
      <w:r w:rsidRPr="00452C80">
        <w:rPr>
          <w:bCs/>
          <w:i/>
          <w:iCs/>
          <w:sz w:val="24"/>
          <w:szCs w:val="24"/>
        </w:rPr>
        <w:t>The Last Asylum: A memoir of madness in our times</w:t>
      </w:r>
      <w:r w:rsidRPr="00452C80">
        <w:rPr>
          <w:bCs/>
          <w:sz w:val="24"/>
          <w:szCs w:val="24"/>
        </w:rPr>
        <w:t>. London: Hamish Hamilton.</w:t>
      </w:r>
    </w:p>
    <w:p w14:paraId="17377F85" w14:textId="7CEF72A1" w:rsidR="00640A2D" w:rsidRPr="00452C80" w:rsidRDefault="00640A2D" w:rsidP="00481CEB">
      <w:pPr>
        <w:spacing w:line="360" w:lineRule="auto"/>
        <w:ind w:left="833" w:hanging="720"/>
        <w:rPr>
          <w:rFonts w:ascii="Calibri" w:eastAsia="Calibri" w:hAnsi="Calibri" w:cs="Times New Roman"/>
          <w:sz w:val="24"/>
          <w:szCs w:val="24"/>
        </w:rPr>
      </w:pPr>
      <w:r w:rsidRPr="00452C80">
        <w:rPr>
          <w:rFonts w:ascii="Calibri" w:eastAsia="Calibri" w:hAnsi="Calibri" w:cs="Times New Roman"/>
          <w:sz w:val="24"/>
          <w:szCs w:val="24"/>
        </w:rPr>
        <w:lastRenderedPageBreak/>
        <w:t xml:space="preserve">Taylor J. (2003) Institutional Diversity in UK Higher Education: Policy and Outcomes Since the End of the Binary Divide. </w:t>
      </w:r>
      <w:r w:rsidRPr="00452C80">
        <w:rPr>
          <w:rFonts w:ascii="Calibri" w:eastAsia="Calibri" w:hAnsi="Calibri" w:cs="Times New Roman"/>
          <w:i/>
          <w:iCs/>
          <w:sz w:val="24"/>
          <w:szCs w:val="24"/>
        </w:rPr>
        <w:t>Higher Education Quarterly</w:t>
      </w:r>
      <w:r w:rsidRPr="00452C80">
        <w:rPr>
          <w:rFonts w:ascii="Calibri" w:eastAsia="Calibri" w:hAnsi="Calibri" w:cs="Times New Roman"/>
          <w:sz w:val="24"/>
          <w:szCs w:val="24"/>
        </w:rPr>
        <w:t xml:space="preserve">, </w:t>
      </w:r>
      <w:r w:rsidRPr="00452C80">
        <w:rPr>
          <w:rFonts w:ascii="Calibri" w:eastAsia="Calibri" w:hAnsi="Calibri" w:cs="Times New Roman"/>
          <w:b/>
          <w:bCs/>
          <w:sz w:val="24"/>
          <w:szCs w:val="24"/>
        </w:rPr>
        <w:t>57</w:t>
      </w:r>
      <w:r w:rsidRPr="00452C80">
        <w:rPr>
          <w:rFonts w:ascii="Calibri" w:eastAsia="Calibri" w:hAnsi="Calibri" w:cs="Times New Roman"/>
          <w:sz w:val="24"/>
          <w:szCs w:val="24"/>
        </w:rPr>
        <w:t>(3): pp.266-293.</w:t>
      </w:r>
      <w:r w:rsidRPr="00452C80">
        <w:t xml:space="preserve"> </w:t>
      </w:r>
      <w:r w:rsidRPr="00C47A5C">
        <w:rPr>
          <w:color w:val="0070C0"/>
          <w:sz w:val="24"/>
          <w:szCs w:val="24"/>
        </w:rPr>
        <w:t>https</w:t>
      </w:r>
      <w:r w:rsidRPr="00C47A5C">
        <w:rPr>
          <w:color w:val="0070C0"/>
        </w:rPr>
        <w:t>://</w:t>
      </w:r>
      <w:hyperlink r:id="rId443" w:tgtFrame="_blank" w:history="1">
        <w:r w:rsidRPr="00C47A5C">
          <w:rPr>
            <w:rStyle w:val="Hyperlink"/>
            <w:rFonts w:ascii="Calibri" w:eastAsia="Calibri" w:hAnsi="Calibri" w:cs="Times New Roman"/>
            <w:color w:val="0070C0"/>
            <w:sz w:val="24"/>
            <w:szCs w:val="24"/>
            <w:u w:val="none"/>
          </w:rPr>
          <w:t>10.1111/j.0951-5224.2003.00247.x</w:t>
        </w:r>
      </w:hyperlink>
    </w:p>
    <w:p w14:paraId="4723C6D1" w14:textId="76E2F1BD" w:rsidR="00640A2D" w:rsidRPr="00452C80" w:rsidRDefault="00640A2D" w:rsidP="00481CEB">
      <w:pPr>
        <w:spacing w:line="360" w:lineRule="auto"/>
        <w:ind w:left="833" w:hanging="720"/>
        <w:rPr>
          <w:bCs/>
          <w:sz w:val="24"/>
          <w:szCs w:val="24"/>
        </w:rPr>
      </w:pPr>
      <w:r w:rsidRPr="00452C80">
        <w:rPr>
          <w:bCs/>
          <w:sz w:val="24"/>
          <w:szCs w:val="24"/>
        </w:rPr>
        <w:t>Taylor, G.</w:t>
      </w:r>
      <w:r w:rsidR="003F4BD0">
        <w:rPr>
          <w:bCs/>
          <w:sz w:val="24"/>
          <w:szCs w:val="24"/>
        </w:rPr>
        <w:t xml:space="preserve"> </w:t>
      </w:r>
      <w:r w:rsidRPr="00452C80">
        <w:rPr>
          <w:bCs/>
          <w:sz w:val="24"/>
          <w:szCs w:val="24"/>
        </w:rPr>
        <w:t>W.</w:t>
      </w:r>
      <w:r w:rsidR="00C46C49">
        <w:rPr>
          <w:bCs/>
          <w:sz w:val="24"/>
          <w:szCs w:val="24"/>
        </w:rPr>
        <w:t>,</w:t>
      </w:r>
      <w:r w:rsidRPr="00452C80">
        <w:rPr>
          <w:bCs/>
          <w:sz w:val="24"/>
          <w:szCs w:val="24"/>
        </w:rPr>
        <w:t xml:space="preserve"> and Ussher, J.</w:t>
      </w:r>
      <w:r w:rsidR="003F4BD0">
        <w:rPr>
          <w:bCs/>
          <w:sz w:val="24"/>
          <w:szCs w:val="24"/>
        </w:rPr>
        <w:t xml:space="preserve"> </w:t>
      </w:r>
      <w:r w:rsidRPr="00452C80">
        <w:rPr>
          <w:bCs/>
          <w:sz w:val="24"/>
          <w:szCs w:val="24"/>
        </w:rPr>
        <w:t xml:space="preserve">M. (2001) </w:t>
      </w:r>
      <w:r w:rsidRPr="00452C80">
        <w:rPr>
          <w:bCs/>
          <w:i/>
          <w:iCs/>
          <w:sz w:val="24"/>
          <w:szCs w:val="24"/>
        </w:rPr>
        <w:t xml:space="preserve">Making Sense of S&amp;M: A Discourse Analytic Account. Sexualities, </w:t>
      </w:r>
      <w:r w:rsidRPr="00452C80">
        <w:rPr>
          <w:bCs/>
          <w:sz w:val="24"/>
          <w:szCs w:val="24"/>
        </w:rPr>
        <w:t>4: pp.293-314.</w:t>
      </w:r>
      <w:r w:rsidRPr="00452C80">
        <w:rPr>
          <w:bCs/>
          <w:sz w:val="24"/>
          <w:szCs w:val="24"/>
        </w:rPr>
        <w:br/>
      </w:r>
      <w:hyperlink r:id="rId444" w:history="1">
        <w:r w:rsidRPr="00C47A5C">
          <w:rPr>
            <w:rStyle w:val="Hyperlink"/>
            <w:bCs/>
            <w:color w:val="0070C0"/>
            <w:sz w:val="24"/>
            <w:szCs w:val="24"/>
          </w:rPr>
          <w:t>https://doi.org/10.1177/136346001004003002</w:t>
        </w:r>
      </w:hyperlink>
    </w:p>
    <w:p w14:paraId="428F0DED" w14:textId="77777777" w:rsidR="00640A2D" w:rsidRPr="00452C80" w:rsidRDefault="00640A2D" w:rsidP="00481CEB">
      <w:pPr>
        <w:spacing w:line="360" w:lineRule="auto"/>
        <w:ind w:left="833" w:hanging="720"/>
        <w:rPr>
          <w:bCs/>
          <w:i/>
          <w:iCs/>
          <w:sz w:val="24"/>
          <w:szCs w:val="24"/>
        </w:rPr>
      </w:pPr>
      <w:r w:rsidRPr="00452C80">
        <w:rPr>
          <w:bCs/>
          <w:sz w:val="24"/>
          <w:szCs w:val="24"/>
        </w:rPr>
        <w:t>Temple, P. (2009) University spaces: Creating cit</w:t>
      </w:r>
      <w:r w:rsidRPr="00452C80">
        <w:rPr>
          <w:rFonts w:cstheme="minorHAnsi"/>
          <w:bCs/>
          <w:sz w:val="24"/>
          <w:szCs w:val="24"/>
        </w:rPr>
        <w:t>é</w:t>
      </w:r>
      <w:r w:rsidRPr="00452C80">
        <w:rPr>
          <w:bCs/>
          <w:sz w:val="24"/>
          <w:szCs w:val="24"/>
        </w:rPr>
        <w:t xml:space="preserve"> and space. </w:t>
      </w:r>
      <w:r w:rsidRPr="00452C80">
        <w:rPr>
          <w:bCs/>
          <w:i/>
          <w:iCs/>
          <w:sz w:val="24"/>
          <w:szCs w:val="24"/>
        </w:rPr>
        <w:t xml:space="preserve">London Review of Education, </w:t>
      </w:r>
      <w:r w:rsidRPr="00452C80">
        <w:rPr>
          <w:b/>
          <w:sz w:val="24"/>
          <w:szCs w:val="24"/>
        </w:rPr>
        <w:t>17</w:t>
      </w:r>
      <w:r w:rsidRPr="00452C80">
        <w:rPr>
          <w:bCs/>
          <w:sz w:val="24"/>
          <w:szCs w:val="24"/>
        </w:rPr>
        <w:t xml:space="preserve">(2): pp.223-235. </w:t>
      </w:r>
      <w:hyperlink r:id="rId445" w:history="1">
        <w:r w:rsidRPr="00C47A5C">
          <w:rPr>
            <w:rStyle w:val="Hyperlink"/>
            <w:bCs/>
            <w:color w:val="0070C0"/>
            <w:sz w:val="24"/>
            <w:szCs w:val="24"/>
          </w:rPr>
          <w:t>https://doi.org/10.18546/LRE.17.2.09</w:t>
        </w:r>
      </w:hyperlink>
    </w:p>
    <w:p w14:paraId="3BFC210A" w14:textId="3B31F66C" w:rsidR="00640A2D" w:rsidRPr="00C47A5C" w:rsidRDefault="00640A2D" w:rsidP="00481CEB">
      <w:pPr>
        <w:spacing w:line="360" w:lineRule="auto"/>
        <w:ind w:left="833" w:hanging="720"/>
        <w:rPr>
          <w:rFonts w:ascii="Calibri" w:eastAsia="Aptos" w:hAnsi="Calibri" w:cs="Calibri"/>
          <w:color w:val="0070C0"/>
          <w:kern w:val="2"/>
          <w:sz w:val="24"/>
          <w:szCs w:val="24"/>
          <w14:ligatures w14:val="standardContextual"/>
        </w:rPr>
      </w:pPr>
      <w:r w:rsidRPr="00452C80">
        <w:rPr>
          <w:rFonts w:ascii="Calibri" w:eastAsia="Aptos" w:hAnsi="Calibri" w:cs="Calibri"/>
          <w:kern w:val="2"/>
          <w:sz w:val="24"/>
          <w:szCs w:val="24"/>
          <w14:ligatures w14:val="standardContextual"/>
        </w:rPr>
        <w:t>Tett, L. (2004) Mature working-class students in an ‘elite’ university: Discourses of risk, choice and exclusion. </w:t>
      </w:r>
      <w:r w:rsidRPr="00452C80">
        <w:rPr>
          <w:rFonts w:ascii="Calibri" w:eastAsia="Aptos" w:hAnsi="Calibri" w:cs="Calibri"/>
          <w:i/>
          <w:iCs/>
          <w:kern w:val="2"/>
          <w:sz w:val="24"/>
          <w:szCs w:val="24"/>
          <w14:ligatures w14:val="standardContextual"/>
        </w:rPr>
        <w:t>Studies in the Education of Adults</w:t>
      </w:r>
      <w:r w:rsidRPr="00452C80">
        <w:rPr>
          <w:rFonts w:ascii="Calibri" w:eastAsia="Aptos" w:hAnsi="Calibri" w:cs="Calibri"/>
          <w:kern w:val="2"/>
          <w:sz w:val="24"/>
          <w:szCs w:val="24"/>
          <w14:ligatures w14:val="standardContextual"/>
        </w:rPr>
        <w:t>, </w:t>
      </w:r>
      <w:r w:rsidRPr="00452C80">
        <w:rPr>
          <w:rFonts w:ascii="Calibri" w:eastAsia="Aptos" w:hAnsi="Calibri" w:cs="Calibri"/>
          <w:b/>
          <w:bCs/>
          <w:kern w:val="2"/>
          <w:sz w:val="24"/>
          <w:szCs w:val="24"/>
          <w14:ligatures w14:val="standardContextual"/>
        </w:rPr>
        <w:t>36</w:t>
      </w:r>
      <w:r w:rsidRPr="00452C80">
        <w:rPr>
          <w:rFonts w:ascii="Calibri" w:eastAsia="Aptos" w:hAnsi="Calibri" w:cs="Calibri"/>
          <w:kern w:val="2"/>
          <w:sz w:val="24"/>
          <w:szCs w:val="24"/>
          <w14:ligatures w14:val="standardContextual"/>
        </w:rPr>
        <w:t xml:space="preserve">(2): pp. 252–264. </w:t>
      </w:r>
      <w:hyperlink r:id="rId446" w:history="1">
        <w:r w:rsidRPr="00C47A5C">
          <w:rPr>
            <w:rFonts w:ascii="Calibri" w:eastAsia="Aptos" w:hAnsi="Calibri" w:cs="Calibri"/>
            <w:color w:val="0070C0"/>
            <w:kern w:val="2"/>
            <w:sz w:val="24"/>
            <w:szCs w:val="24"/>
            <w:u w:val="single"/>
            <w14:ligatures w14:val="standardContextual"/>
          </w:rPr>
          <w:t>https://doi.org/10.1080/02660830.2004.11661500</w:t>
        </w:r>
      </w:hyperlink>
    </w:p>
    <w:p w14:paraId="528C5C64" w14:textId="2F652BF8" w:rsidR="00640A2D" w:rsidRPr="00DE141B" w:rsidRDefault="00640A2D" w:rsidP="00481CEB">
      <w:pPr>
        <w:spacing w:line="360" w:lineRule="auto"/>
        <w:ind w:left="833" w:hanging="720"/>
        <w:rPr>
          <w:bCs/>
          <w:color w:val="0070C0"/>
          <w:sz w:val="24"/>
          <w:szCs w:val="24"/>
        </w:rPr>
      </w:pPr>
      <w:r w:rsidRPr="00452C80">
        <w:rPr>
          <w:bCs/>
          <w:sz w:val="24"/>
          <w:szCs w:val="24"/>
        </w:rPr>
        <w:t xml:space="preserve">The British Psychological Society (2010) Code of Human Research Ethics. </w:t>
      </w:r>
      <w:r w:rsidR="00DE141B">
        <w:rPr>
          <w:bCs/>
          <w:sz w:val="24"/>
          <w:szCs w:val="24"/>
        </w:rPr>
        <w:t xml:space="preserve">Available at: </w:t>
      </w:r>
      <w:hyperlink r:id="rId447" w:history="1">
        <w:r w:rsidR="00DE141B" w:rsidRPr="00A22652">
          <w:rPr>
            <w:rStyle w:val="Hyperlink"/>
            <w:bCs/>
            <w:sz w:val="24"/>
            <w:szCs w:val="24"/>
          </w:rPr>
          <w:t>www.bps.org.uk/sites/default/files/documents/code_of_human_research_ethics.pdf</w:t>
        </w:r>
      </w:hyperlink>
      <w:r w:rsidR="00DE141B">
        <w:t xml:space="preserve">  </w:t>
      </w:r>
      <w:r w:rsidR="00DE141B">
        <w:rPr>
          <w:sz w:val="24"/>
          <w:szCs w:val="24"/>
        </w:rPr>
        <w:t>[Accessed 14</w:t>
      </w:r>
      <w:r w:rsidR="00DE141B" w:rsidRPr="00DE141B">
        <w:rPr>
          <w:sz w:val="24"/>
          <w:szCs w:val="24"/>
          <w:vertAlign w:val="superscript"/>
        </w:rPr>
        <w:t>th</w:t>
      </w:r>
      <w:r w:rsidR="00DE141B">
        <w:rPr>
          <w:sz w:val="24"/>
          <w:szCs w:val="24"/>
        </w:rPr>
        <w:t xml:space="preserve"> January</w:t>
      </w:r>
      <w:r w:rsidR="00CB40B4">
        <w:rPr>
          <w:sz w:val="24"/>
          <w:szCs w:val="24"/>
        </w:rPr>
        <w:t xml:space="preserve"> 2022]</w:t>
      </w:r>
    </w:p>
    <w:p w14:paraId="2ADD743E" w14:textId="18146FFA" w:rsidR="00640A2D" w:rsidRPr="00CB40B4" w:rsidRDefault="00640A2D" w:rsidP="00481CEB">
      <w:pPr>
        <w:spacing w:line="360" w:lineRule="auto"/>
        <w:ind w:left="833" w:hanging="720"/>
        <w:rPr>
          <w:sz w:val="24"/>
          <w:szCs w:val="24"/>
        </w:rPr>
      </w:pPr>
      <w:r w:rsidRPr="00452C80">
        <w:rPr>
          <w:sz w:val="24"/>
          <w:szCs w:val="24"/>
        </w:rPr>
        <w:t>The Insight Network (2019) University Student Mental Health Survey 2018. London: The Insight Network.</w:t>
      </w:r>
      <w:r w:rsidR="00CB40B4">
        <w:rPr>
          <w:sz w:val="24"/>
          <w:szCs w:val="24"/>
        </w:rPr>
        <w:t xml:space="preserve"> Available at: </w:t>
      </w:r>
      <w:r w:rsidRPr="00452C80">
        <w:rPr>
          <w:sz w:val="24"/>
          <w:szCs w:val="24"/>
        </w:rPr>
        <w:t xml:space="preserve"> </w:t>
      </w:r>
      <w:hyperlink r:id="rId448" w:history="1">
        <w:r w:rsidRPr="00C47A5C">
          <w:rPr>
            <w:rStyle w:val="Hyperlink"/>
            <w:color w:val="0070C0"/>
            <w:sz w:val="24"/>
            <w:szCs w:val="24"/>
          </w:rPr>
          <w:t>https://uploads-ssl.webflow.com/561110743bc7e45e78292140/5c7d4b5d314d163fecdc3706_Mental%20Health%20Report%202018.pdf</w:t>
        </w:r>
      </w:hyperlink>
      <w:r w:rsidR="00CB40B4">
        <w:t xml:space="preserve">  </w:t>
      </w:r>
      <w:r w:rsidR="00CB40B4">
        <w:rPr>
          <w:sz w:val="24"/>
          <w:szCs w:val="24"/>
        </w:rPr>
        <w:t xml:space="preserve">[Accessed </w:t>
      </w:r>
      <w:r w:rsidR="00405D1A">
        <w:rPr>
          <w:sz w:val="24"/>
          <w:szCs w:val="24"/>
        </w:rPr>
        <w:t>2</w:t>
      </w:r>
      <w:r w:rsidR="00405D1A" w:rsidRPr="00405D1A">
        <w:rPr>
          <w:sz w:val="24"/>
          <w:szCs w:val="24"/>
          <w:vertAlign w:val="superscript"/>
        </w:rPr>
        <w:t>nd</w:t>
      </w:r>
      <w:r w:rsidR="00405D1A">
        <w:rPr>
          <w:sz w:val="24"/>
          <w:szCs w:val="24"/>
        </w:rPr>
        <w:t xml:space="preserve"> April 2021]</w:t>
      </w:r>
    </w:p>
    <w:p w14:paraId="6AF40CA2" w14:textId="75CE7BC2" w:rsidR="00640A2D" w:rsidRPr="00452C80" w:rsidRDefault="00640A2D" w:rsidP="00481CEB">
      <w:pPr>
        <w:spacing w:line="360" w:lineRule="auto"/>
        <w:ind w:left="833" w:hanging="720"/>
        <w:rPr>
          <w:bCs/>
          <w:sz w:val="24"/>
          <w:szCs w:val="24"/>
        </w:rPr>
      </w:pPr>
      <w:r w:rsidRPr="00452C80">
        <w:rPr>
          <w:bCs/>
          <w:sz w:val="24"/>
          <w:szCs w:val="24"/>
        </w:rPr>
        <w:t>The University of Sheffield (2022) Policy on Good Research and Innovation Practice (GRIP)</w:t>
      </w:r>
      <w:r w:rsidR="00405D1A">
        <w:rPr>
          <w:bCs/>
          <w:sz w:val="24"/>
          <w:szCs w:val="24"/>
        </w:rPr>
        <w:t xml:space="preserve">. Available at: </w:t>
      </w:r>
      <w:r w:rsidRPr="00452C80">
        <w:rPr>
          <w:bCs/>
          <w:sz w:val="24"/>
          <w:szCs w:val="24"/>
        </w:rPr>
        <w:t xml:space="preserve"> </w:t>
      </w:r>
      <w:hyperlink r:id="rId449" w:history="1">
        <w:r w:rsidRPr="00C47A5C">
          <w:rPr>
            <w:rStyle w:val="Hyperlink"/>
            <w:bCs/>
            <w:color w:val="0070C0"/>
            <w:sz w:val="24"/>
            <w:szCs w:val="24"/>
          </w:rPr>
          <w:t>https://sites.google.com/sheffiels.ac.uk/soe-pgr-handbook/your-studies/research-ethics</w:t>
        </w:r>
      </w:hyperlink>
      <w:r w:rsidRPr="00C47A5C">
        <w:rPr>
          <w:bCs/>
          <w:color w:val="0070C0"/>
          <w:sz w:val="24"/>
          <w:szCs w:val="24"/>
        </w:rPr>
        <w:t xml:space="preserve"> </w:t>
      </w:r>
      <w:r w:rsidR="00914F73" w:rsidRPr="00914F73">
        <w:rPr>
          <w:bCs/>
          <w:sz w:val="24"/>
          <w:szCs w:val="24"/>
        </w:rPr>
        <w:t>[Accessed 10</w:t>
      </w:r>
      <w:r w:rsidR="00914F73" w:rsidRPr="00914F73">
        <w:rPr>
          <w:bCs/>
          <w:sz w:val="24"/>
          <w:szCs w:val="24"/>
          <w:vertAlign w:val="superscript"/>
        </w:rPr>
        <w:t>th</w:t>
      </w:r>
      <w:r w:rsidR="00914F73" w:rsidRPr="00914F73">
        <w:rPr>
          <w:bCs/>
          <w:sz w:val="24"/>
          <w:szCs w:val="24"/>
        </w:rPr>
        <w:t xml:space="preserve"> December 2022]</w:t>
      </w:r>
    </w:p>
    <w:p w14:paraId="2F9584A2" w14:textId="0A82CCE1" w:rsidR="00640A2D" w:rsidRPr="00914F73" w:rsidRDefault="00640A2D" w:rsidP="00481CEB">
      <w:pPr>
        <w:spacing w:line="360" w:lineRule="auto"/>
        <w:ind w:left="833" w:hanging="720"/>
        <w:rPr>
          <w:sz w:val="24"/>
          <w:szCs w:val="24"/>
        </w:rPr>
      </w:pPr>
      <w:r w:rsidRPr="00452C80">
        <w:rPr>
          <w:bCs/>
          <w:sz w:val="24"/>
          <w:szCs w:val="24"/>
        </w:rPr>
        <w:t xml:space="preserve">Thorley, C. (2017) </w:t>
      </w:r>
      <w:r w:rsidRPr="00452C80">
        <w:rPr>
          <w:bCs/>
          <w:i/>
          <w:iCs/>
          <w:sz w:val="24"/>
          <w:szCs w:val="24"/>
        </w:rPr>
        <w:t>Not by Degrees: Improving student mental health in the UK’s universities</w:t>
      </w:r>
      <w:r w:rsidRPr="00452C80">
        <w:rPr>
          <w:bCs/>
          <w:sz w:val="24"/>
          <w:szCs w:val="24"/>
        </w:rPr>
        <w:t xml:space="preserve">. Institute for Public Policy Research (IPPR). </w:t>
      </w:r>
      <w:r w:rsidR="00914F73">
        <w:rPr>
          <w:bCs/>
          <w:sz w:val="24"/>
          <w:szCs w:val="24"/>
        </w:rPr>
        <w:t xml:space="preserve">Available at: </w:t>
      </w:r>
      <w:hyperlink r:id="rId450" w:history="1">
        <w:r w:rsidR="00914F73" w:rsidRPr="00A22652">
          <w:rPr>
            <w:rStyle w:val="Hyperlink"/>
            <w:bCs/>
            <w:sz w:val="24"/>
            <w:szCs w:val="24"/>
          </w:rPr>
          <w:t>https://www.ippr.org/research/publications/not-by-degrees</w:t>
        </w:r>
      </w:hyperlink>
      <w:r w:rsidR="00914F73">
        <w:t xml:space="preserve">  </w:t>
      </w:r>
      <w:r w:rsidR="00914F73">
        <w:rPr>
          <w:sz w:val="24"/>
          <w:szCs w:val="24"/>
        </w:rPr>
        <w:t xml:space="preserve">[Accessed </w:t>
      </w:r>
      <w:r w:rsidR="008F6044">
        <w:rPr>
          <w:sz w:val="24"/>
          <w:szCs w:val="24"/>
        </w:rPr>
        <w:t>2</w:t>
      </w:r>
      <w:r w:rsidR="008F6044" w:rsidRPr="008F6044">
        <w:rPr>
          <w:sz w:val="24"/>
          <w:szCs w:val="24"/>
          <w:vertAlign w:val="superscript"/>
        </w:rPr>
        <w:t>nd</w:t>
      </w:r>
      <w:r w:rsidR="008F6044">
        <w:rPr>
          <w:sz w:val="24"/>
          <w:szCs w:val="24"/>
        </w:rPr>
        <w:t xml:space="preserve"> February 2021]</w:t>
      </w:r>
    </w:p>
    <w:p w14:paraId="160E1658" w14:textId="77777777" w:rsidR="00640A2D" w:rsidRPr="00C47A5C" w:rsidRDefault="00640A2D" w:rsidP="00481CEB">
      <w:pPr>
        <w:spacing w:line="360" w:lineRule="auto"/>
        <w:ind w:left="833" w:hanging="720"/>
        <w:rPr>
          <w:bCs/>
          <w:color w:val="0070C0"/>
          <w:sz w:val="24"/>
          <w:szCs w:val="24"/>
        </w:rPr>
      </w:pPr>
      <w:r w:rsidRPr="00452C80">
        <w:rPr>
          <w:bCs/>
          <w:sz w:val="24"/>
          <w:szCs w:val="24"/>
        </w:rPr>
        <w:t xml:space="preserve">Thunborg, C., Bron, A., and Edström, E. (2013) Motives, commitment and student identity in higher education – Experiences of non-traditional students in Sweden. </w:t>
      </w:r>
      <w:r w:rsidRPr="00452C80">
        <w:rPr>
          <w:bCs/>
          <w:i/>
          <w:iCs/>
          <w:sz w:val="24"/>
          <w:szCs w:val="24"/>
        </w:rPr>
        <w:t xml:space="preserve">Studies in </w:t>
      </w:r>
      <w:r w:rsidRPr="00452C80">
        <w:rPr>
          <w:bCs/>
          <w:i/>
          <w:iCs/>
          <w:sz w:val="24"/>
          <w:szCs w:val="24"/>
        </w:rPr>
        <w:lastRenderedPageBreak/>
        <w:t>the Education of Adults</w:t>
      </w:r>
      <w:r w:rsidRPr="00452C80">
        <w:rPr>
          <w:bCs/>
          <w:sz w:val="24"/>
          <w:szCs w:val="24"/>
        </w:rPr>
        <w:t xml:space="preserve">, </w:t>
      </w:r>
      <w:r w:rsidRPr="00452C80">
        <w:rPr>
          <w:b/>
          <w:sz w:val="24"/>
          <w:szCs w:val="24"/>
        </w:rPr>
        <w:t>45</w:t>
      </w:r>
      <w:r w:rsidRPr="00452C80">
        <w:rPr>
          <w:bCs/>
          <w:sz w:val="24"/>
          <w:szCs w:val="24"/>
        </w:rPr>
        <w:t xml:space="preserve">(2): pp.177–193. </w:t>
      </w:r>
      <w:r w:rsidRPr="00C47A5C">
        <w:rPr>
          <w:bCs/>
          <w:color w:val="0070C0"/>
          <w:sz w:val="24"/>
          <w:szCs w:val="24"/>
          <w:u w:val="single"/>
        </w:rPr>
        <w:t>https://doi.org/</w:t>
      </w:r>
      <w:r w:rsidRPr="00C47A5C">
        <w:rPr>
          <w:color w:val="0070C0"/>
          <w:u w:val="single"/>
        </w:rPr>
        <w:t xml:space="preserve"> </w:t>
      </w:r>
      <w:hyperlink r:id="rId451" w:tgtFrame="_blank" w:history="1">
        <w:r w:rsidRPr="00C47A5C">
          <w:rPr>
            <w:rStyle w:val="Hyperlink"/>
            <w:bCs/>
            <w:color w:val="0070C0"/>
            <w:sz w:val="24"/>
            <w:szCs w:val="24"/>
          </w:rPr>
          <w:t>10.1080/02660830.2013.11661650</w:t>
        </w:r>
      </w:hyperlink>
    </w:p>
    <w:p w14:paraId="6B459270" w14:textId="659D8F73" w:rsidR="00640A2D" w:rsidRPr="00C47A5C" w:rsidRDefault="00640A2D" w:rsidP="00481CEB">
      <w:pPr>
        <w:spacing w:line="360" w:lineRule="auto"/>
        <w:ind w:left="833" w:hanging="720"/>
        <w:rPr>
          <w:color w:val="0070C0"/>
          <w:sz w:val="24"/>
          <w:szCs w:val="24"/>
        </w:rPr>
      </w:pPr>
      <w:r w:rsidRPr="00452C80">
        <w:rPr>
          <w:sz w:val="24"/>
          <w:szCs w:val="24"/>
        </w:rPr>
        <w:t xml:space="preserve">Tindle, R., Castillo, P., Doring, N., Grant, L. and Willis, R. (2022) Developing and validating a university needs instrument to measure the psychosocial needs of university students. </w:t>
      </w:r>
      <w:r w:rsidRPr="00452C80">
        <w:rPr>
          <w:i/>
          <w:iCs/>
          <w:sz w:val="24"/>
          <w:szCs w:val="24"/>
        </w:rPr>
        <w:t>British Journal of Educational Psychology</w:t>
      </w:r>
      <w:r w:rsidRPr="00452C80">
        <w:rPr>
          <w:sz w:val="24"/>
          <w:szCs w:val="24"/>
        </w:rPr>
        <w:t xml:space="preserve">, </w:t>
      </w:r>
      <w:r w:rsidRPr="00452C80">
        <w:rPr>
          <w:b/>
          <w:bCs/>
          <w:sz w:val="24"/>
          <w:szCs w:val="24"/>
        </w:rPr>
        <w:t>92</w:t>
      </w:r>
      <w:r w:rsidRPr="00452C80">
        <w:rPr>
          <w:sz w:val="24"/>
          <w:szCs w:val="24"/>
        </w:rPr>
        <w:t xml:space="preserve">(4): pp.1550-1570. </w:t>
      </w:r>
      <w:hyperlink r:id="rId452" w:history="1">
        <w:r w:rsidRPr="00C47A5C">
          <w:rPr>
            <w:rStyle w:val="Hyperlink"/>
            <w:color w:val="0070C0"/>
            <w:sz w:val="24"/>
            <w:szCs w:val="24"/>
          </w:rPr>
          <w:t>https://doi.org/10.1111/bjep.12515</w:t>
        </w:r>
      </w:hyperlink>
    </w:p>
    <w:p w14:paraId="670FCF84" w14:textId="3B9B0640" w:rsidR="00640A2D" w:rsidRPr="00C47A5C" w:rsidRDefault="00640A2D" w:rsidP="00481CEB">
      <w:pPr>
        <w:spacing w:line="360" w:lineRule="auto"/>
        <w:ind w:left="833" w:hanging="720"/>
        <w:rPr>
          <w:color w:val="0070C0"/>
          <w:sz w:val="24"/>
          <w:szCs w:val="24"/>
          <w:lang w:val="en-US"/>
        </w:rPr>
      </w:pPr>
      <w:r w:rsidRPr="00452C80">
        <w:rPr>
          <w:sz w:val="24"/>
          <w:szCs w:val="24"/>
          <w:lang w:val="en-US"/>
        </w:rPr>
        <w:t>Tobin, G.</w:t>
      </w:r>
      <w:r w:rsidR="0058452B">
        <w:rPr>
          <w:sz w:val="24"/>
          <w:szCs w:val="24"/>
          <w:lang w:val="en-US"/>
        </w:rPr>
        <w:t xml:space="preserve"> </w:t>
      </w:r>
      <w:r w:rsidRPr="00452C80">
        <w:rPr>
          <w:sz w:val="24"/>
          <w:szCs w:val="24"/>
          <w:lang w:val="en-US"/>
        </w:rPr>
        <w:t>A.</w:t>
      </w:r>
      <w:r w:rsidR="003F4BD0">
        <w:rPr>
          <w:sz w:val="24"/>
          <w:szCs w:val="24"/>
          <w:lang w:val="en-US"/>
        </w:rPr>
        <w:t>,</w:t>
      </w:r>
      <w:r w:rsidRPr="00452C80">
        <w:rPr>
          <w:sz w:val="24"/>
          <w:szCs w:val="24"/>
          <w:lang w:val="en-US"/>
        </w:rPr>
        <w:t xml:space="preserve"> and Begley, C.</w:t>
      </w:r>
      <w:r w:rsidR="0058452B">
        <w:rPr>
          <w:sz w:val="24"/>
          <w:szCs w:val="24"/>
          <w:lang w:val="en-US"/>
        </w:rPr>
        <w:t xml:space="preserve"> </w:t>
      </w:r>
      <w:r w:rsidRPr="00452C80">
        <w:rPr>
          <w:sz w:val="24"/>
          <w:szCs w:val="24"/>
          <w:lang w:val="en-US"/>
        </w:rPr>
        <w:t xml:space="preserve">M. (2004) Methodological rigor within a qualitative framework. </w:t>
      </w:r>
      <w:r w:rsidRPr="00452C80">
        <w:rPr>
          <w:i/>
          <w:iCs/>
          <w:sz w:val="24"/>
          <w:szCs w:val="24"/>
          <w:lang w:val="en-US"/>
        </w:rPr>
        <w:t>Journal of Advanced Nursing</w:t>
      </w:r>
      <w:r w:rsidRPr="00452C80">
        <w:rPr>
          <w:sz w:val="24"/>
          <w:szCs w:val="24"/>
          <w:lang w:val="en-US"/>
        </w:rPr>
        <w:t xml:space="preserve">, 48: pp. 388-396. </w:t>
      </w:r>
      <w:hyperlink r:id="rId453" w:history="1">
        <w:r w:rsidRPr="00C47A5C">
          <w:rPr>
            <w:rStyle w:val="Hyperlink"/>
            <w:color w:val="0070C0"/>
            <w:sz w:val="24"/>
            <w:szCs w:val="24"/>
            <w:lang w:val="en-US"/>
          </w:rPr>
          <w:t>https://doi.org/10.1111/j.1365-2648.2004.03207.x</w:t>
        </w:r>
      </w:hyperlink>
    </w:p>
    <w:p w14:paraId="6498EC78" w14:textId="00CD78BD" w:rsidR="00640A2D" w:rsidRPr="00452C80" w:rsidRDefault="00640A2D" w:rsidP="00481CEB">
      <w:pPr>
        <w:spacing w:line="360" w:lineRule="auto"/>
        <w:ind w:left="833" w:hanging="720"/>
        <w:rPr>
          <w:sz w:val="24"/>
          <w:szCs w:val="24"/>
        </w:rPr>
      </w:pPr>
      <w:r w:rsidRPr="00452C80">
        <w:rPr>
          <w:sz w:val="24"/>
          <w:szCs w:val="24"/>
        </w:rPr>
        <w:t>Tobitt, S., and Kamboj, S. (2011) Crisis Resolution/Home Treatment Team Workers' Understandings of the Concept of Crisis. </w:t>
      </w:r>
      <w:r w:rsidRPr="00452C80">
        <w:rPr>
          <w:i/>
          <w:iCs/>
          <w:sz w:val="24"/>
          <w:szCs w:val="24"/>
        </w:rPr>
        <w:t>Social Psychiatry and Psychiatric Epidemiology</w:t>
      </w:r>
      <w:r w:rsidRPr="00452C80">
        <w:rPr>
          <w:sz w:val="24"/>
          <w:szCs w:val="24"/>
        </w:rPr>
        <w:t> </w:t>
      </w:r>
      <w:r w:rsidRPr="00452C80">
        <w:rPr>
          <w:b/>
          <w:bCs/>
          <w:sz w:val="24"/>
          <w:szCs w:val="24"/>
        </w:rPr>
        <w:t>46</w:t>
      </w:r>
      <w:r w:rsidRPr="00452C80">
        <w:rPr>
          <w:sz w:val="24"/>
          <w:szCs w:val="24"/>
        </w:rPr>
        <w:t>(8): pp. 671–683. </w:t>
      </w:r>
      <w:hyperlink r:id="rId454" w:history="1">
        <w:r w:rsidRPr="00C47A5C">
          <w:rPr>
            <w:rStyle w:val="Hyperlink"/>
            <w:color w:val="0070C0"/>
            <w:sz w:val="24"/>
            <w:szCs w:val="24"/>
          </w:rPr>
          <w:t>https://doi.org/10.1007/s00127-010-0234-y</w:t>
        </w:r>
      </w:hyperlink>
      <w:r w:rsidRPr="00C47A5C">
        <w:rPr>
          <w:color w:val="0070C0"/>
          <w:sz w:val="24"/>
          <w:szCs w:val="24"/>
        </w:rPr>
        <w:t>.</w:t>
      </w:r>
    </w:p>
    <w:p w14:paraId="004D34B7" w14:textId="1A915143" w:rsidR="00640A2D" w:rsidRPr="00452C80" w:rsidRDefault="00640A2D" w:rsidP="00481CEB">
      <w:pPr>
        <w:spacing w:line="360" w:lineRule="auto"/>
        <w:ind w:left="833" w:hanging="720"/>
        <w:rPr>
          <w:sz w:val="24"/>
          <w:szCs w:val="24"/>
        </w:rPr>
      </w:pPr>
      <w:r w:rsidRPr="00452C80">
        <w:rPr>
          <w:sz w:val="24"/>
          <w:szCs w:val="24"/>
        </w:rPr>
        <w:t xml:space="preserve">Tom, A. R. (1985) Inquiring into Inquiry-oriented teacher education. </w:t>
      </w:r>
      <w:r w:rsidRPr="00452C80">
        <w:rPr>
          <w:i/>
          <w:iCs/>
          <w:sz w:val="24"/>
          <w:szCs w:val="24"/>
        </w:rPr>
        <w:t>Journal of Teacher Education</w:t>
      </w:r>
      <w:r w:rsidRPr="00452C80">
        <w:rPr>
          <w:sz w:val="24"/>
          <w:szCs w:val="24"/>
        </w:rPr>
        <w:t xml:space="preserve">, </w:t>
      </w:r>
      <w:r w:rsidRPr="00452C80">
        <w:rPr>
          <w:b/>
          <w:bCs/>
          <w:sz w:val="24"/>
          <w:szCs w:val="24"/>
        </w:rPr>
        <w:t>36</w:t>
      </w:r>
      <w:r w:rsidRPr="00452C80">
        <w:rPr>
          <w:sz w:val="24"/>
          <w:szCs w:val="24"/>
        </w:rPr>
        <w:t>(5): pp. 35-44.</w:t>
      </w:r>
      <w:r w:rsidRPr="00C47A5C">
        <w:rPr>
          <w:color w:val="0070C0"/>
        </w:rPr>
        <w:t xml:space="preserve"> </w:t>
      </w:r>
      <w:hyperlink r:id="rId455" w:history="1">
        <w:r w:rsidRPr="00C47A5C">
          <w:rPr>
            <w:rStyle w:val="Hyperlink"/>
            <w:color w:val="0070C0"/>
            <w:sz w:val="24"/>
            <w:szCs w:val="24"/>
          </w:rPr>
          <w:t>https://doi.org/10.1177/002248718503600507</w:t>
        </w:r>
      </w:hyperlink>
    </w:p>
    <w:p w14:paraId="71A46A64" w14:textId="1D06A3E2" w:rsidR="000631F8" w:rsidRDefault="000631F8" w:rsidP="008F6044">
      <w:pPr>
        <w:spacing w:line="360" w:lineRule="auto"/>
        <w:ind w:left="720" w:hanging="720"/>
        <w:rPr>
          <w:sz w:val="24"/>
          <w:szCs w:val="24"/>
        </w:rPr>
      </w:pPr>
      <w:r w:rsidRPr="000631F8">
        <w:rPr>
          <w:sz w:val="24"/>
          <w:szCs w:val="24"/>
        </w:rPr>
        <w:t>Trigwell, K., Ellis, R. A., and Han, F. (2011) Relations between students’ approaches to learning, experienced emotions and outcomes of learning. </w:t>
      </w:r>
      <w:r w:rsidRPr="000631F8">
        <w:rPr>
          <w:i/>
          <w:iCs/>
          <w:sz w:val="24"/>
          <w:szCs w:val="24"/>
        </w:rPr>
        <w:t>Studies in Higher Education</w:t>
      </w:r>
      <w:r w:rsidRPr="000631F8">
        <w:rPr>
          <w:sz w:val="24"/>
          <w:szCs w:val="24"/>
        </w:rPr>
        <w:t>, </w:t>
      </w:r>
      <w:r w:rsidRPr="000631F8">
        <w:rPr>
          <w:b/>
          <w:bCs/>
          <w:sz w:val="24"/>
          <w:szCs w:val="24"/>
        </w:rPr>
        <w:t>37</w:t>
      </w:r>
      <w:r w:rsidRPr="000631F8">
        <w:rPr>
          <w:sz w:val="24"/>
          <w:szCs w:val="24"/>
        </w:rPr>
        <w:t xml:space="preserve">(7), 811–824. </w:t>
      </w:r>
      <w:hyperlink r:id="rId456" w:history="1">
        <w:r w:rsidRPr="000631F8">
          <w:rPr>
            <w:rStyle w:val="Hyperlink"/>
            <w:sz w:val="24"/>
            <w:szCs w:val="24"/>
          </w:rPr>
          <w:t>https://doi.org/10.1080/03075079.2010.549220</w:t>
        </w:r>
      </w:hyperlink>
    </w:p>
    <w:p w14:paraId="2CEBFBA4" w14:textId="770F7332" w:rsidR="00640A2D" w:rsidRPr="00452C80" w:rsidRDefault="00640A2D" w:rsidP="00481CEB">
      <w:pPr>
        <w:spacing w:line="360" w:lineRule="auto"/>
        <w:ind w:left="833" w:hanging="720"/>
        <w:rPr>
          <w:sz w:val="24"/>
          <w:szCs w:val="24"/>
        </w:rPr>
      </w:pPr>
      <w:r w:rsidRPr="00452C80">
        <w:rPr>
          <w:sz w:val="24"/>
          <w:szCs w:val="24"/>
        </w:rPr>
        <w:t>Trigwell, K.</w:t>
      </w:r>
      <w:r w:rsidR="003F4BD0">
        <w:rPr>
          <w:sz w:val="24"/>
          <w:szCs w:val="24"/>
        </w:rPr>
        <w:t>,</w:t>
      </w:r>
      <w:r w:rsidRPr="00452C80">
        <w:rPr>
          <w:sz w:val="24"/>
          <w:szCs w:val="24"/>
        </w:rPr>
        <w:t xml:space="preserve"> and Prosser, M. (1996) Changing approaches to teaching: A relational perspective, </w:t>
      </w:r>
      <w:r w:rsidRPr="00452C80">
        <w:rPr>
          <w:i/>
          <w:iCs/>
          <w:sz w:val="24"/>
          <w:szCs w:val="24"/>
        </w:rPr>
        <w:t>Studies in Higher Education</w:t>
      </w:r>
      <w:r w:rsidRPr="00452C80">
        <w:rPr>
          <w:sz w:val="24"/>
          <w:szCs w:val="24"/>
        </w:rPr>
        <w:t xml:space="preserve">, 22: pp.251-66. </w:t>
      </w:r>
      <w:hyperlink r:id="rId457" w:history="1">
        <w:r w:rsidRPr="00C47A5C">
          <w:rPr>
            <w:rStyle w:val="Hyperlink"/>
            <w:color w:val="0070C0"/>
            <w:sz w:val="24"/>
            <w:szCs w:val="24"/>
          </w:rPr>
          <w:t>https://api.semanticscholar.org/CorpusID:145394397</w:t>
        </w:r>
      </w:hyperlink>
    </w:p>
    <w:p w14:paraId="33AA99D3" w14:textId="0B9DB102" w:rsidR="00640A2D" w:rsidRPr="00801314" w:rsidRDefault="00640A2D" w:rsidP="00481CEB">
      <w:pPr>
        <w:spacing w:line="360" w:lineRule="auto"/>
        <w:ind w:left="833" w:hanging="720"/>
        <w:rPr>
          <w:bCs/>
          <w:sz w:val="24"/>
          <w:szCs w:val="24"/>
        </w:rPr>
      </w:pPr>
      <w:r w:rsidRPr="00452C80">
        <w:rPr>
          <w:bCs/>
          <w:sz w:val="24"/>
          <w:szCs w:val="24"/>
        </w:rPr>
        <w:t xml:space="preserve">Unite Students (2023) An Asset, not a Problem: </w:t>
      </w:r>
      <w:r w:rsidRPr="00452C80">
        <w:rPr>
          <w:bCs/>
          <w:i/>
          <w:iCs/>
          <w:sz w:val="24"/>
          <w:szCs w:val="24"/>
        </w:rPr>
        <w:t>Meeting the Needs of Neurodivergent Students Report (2023)</w:t>
      </w:r>
      <w:r w:rsidRPr="00452C80">
        <w:rPr>
          <w:bCs/>
          <w:sz w:val="24"/>
          <w:szCs w:val="24"/>
        </w:rPr>
        <w:t xml:space="preserve">. University of Bristol. </w:t>
      </w:r>
      <w:r w:rsidR="00801314">
        <w:rPr>
          <w:bCs/>
          <w:sz w:val="24"/>
          <w:szCs w:val="24"/>
        </w:rPr>
        <w:t xml:space="preserve">Available at: </w:t>
      </w:r>
      <w:hyperlink r:id="rId458" w:history="1">
        <w:r w:rsidR="00801314" w:rsidRPr="00A22652">
          <w:rPr>
            <w:rStyle w:val="Hyperlink"/>
            <w:bCs/>
            <w:sz w:val="24"/>
            <w:szCs w:val="24"/>
          </w:rPr>
          <w:t>https://unitegroup.com/neurodivergent-students-report</w:t>
        </w:r>
      </w:hyperlink>
      <w:r w:rsidR="00801314">
        <w:t xml:space="preserve">  </w:t>
      </w:r>
      <w:r w:rsidR="00801314">
        <w:rPr>
          <w:sz w:val="24"/>
          <w:szCs w:val="24"/>
        </w:rPr>
        <w:t>[Accessed 10</w:t>
      </w:r>
      <w:r w:rsidR="00801314" w:rsidRPr="00801314">
        <w:rPr>
          <w:sz w:val="24"/>
          <w:szCs w:val="24"/>
          <w:vertAlign w:val="superscript"/>
        </w:rPr>
        <w:t>th</w:t>
      </w:r>
      <w:r w:rsidR="00801314">
        <w:rPr>
          <w:sz w:val="24"/>
          <w:szCs w:val="24"/>
        </w:rPr>
        <w:t xml:space="preserve"> </w:t>
      </w:r>
      <w:r w:rsidR="001C04A8">
        <w:rPr>
          <w:sz w:val="24"/>
          <w:szCs w:val="24"/>
        </w:rPr>
        <w:t>November 2024]</w:t>
      </w:r>
    </w:p>
    <w:p w14:paraId="32DBF2D1" w14:textId="4400EF2C" w:rsidR="00640A2D" w:rsidRPr="001C04A8" w:rsidRDefault="00640A2D" w:rsidP="00481CEB">
      <w:pPr>
        <w:spacing w:line="360" w:lineRule="auto"/>
        <w:ind w:left="833" w:hanging="720"/>
        <w:rPr>
          <w:bCs/>
          <w:sz w:val="24"/>
          <w:szCs w:val="24"/>
        </w:rPr>
      </w:pPr>
      <w:r w:rsidRPr="00452C80">
        <w:rPr>
          <w:bCs/>
          <w:sz w:val="24"/>
          <w:szCs w:val="24"/>
        </w:rPr>
        <w:t xml:space="preserve">United Kingdom Association of Humanistic Psychology Practitioners (UKAHPP) (2023) </w:t>
      </w:r>
      <w:r w:rsidRPr="00452C80">
        <w:rPr>
          <w:bCs/>
          <w:i/>
          <w:iCs/>
          <w:sz w:val="24"/>
          <w:szCs w:val="24"/>
        </w:rPr>
        <w:t>Code of Practice and Ethical Principles</w:t>
      </w:r>
      <w:r w:rsidRPr="00452C80">
        <w:rPr>
          <w:bCs/>
          <w:sz w:val="24"/>
          <w:szCs w:val="24"/>
        </w:rPr>
        <w:t>.</w:t>
      </w:r>
      <w:r w:rsidR="001C04A8">
        <w:rPr>
          <w:bCs/>
          <w:sz w:val="24"/>
          <w:szCs w:val="24"/>
        </w:rPr>
        <w:t xml:space="preserve"> Available at: </w:t>
      </w:r>
      <w:r w:rsidRPr="00452C80">
        <w:t xml:space="preserve"> </w:t>
      </w:r>
      <w:hyperlink r:id="rId459" w:history="1">
        <w:r w:rsidRPr="00C47A5C">
          <w:rPr>
            <w:rStyle w:val="Hyperlink"/>
            <w:bCs/>
            <w:color w:val="0070C0"/>
            <w:sz w:val="24"/>
            <w:szCs w:val="24"/>
          </w:rPr>
          <w:t>https://ahpp.org.uk/code-of-ethical-principles/</w:t>
        </w:r>
      </w:hyperlink>
      <w:r w:rsidR="001C04A8">
        <w:t xml:space="preserve">  </w:t>
      </w:r>
      <w:r w:rsidR="001C04A8">
        <w:rPr>
          <w:sz w:val="24"/>
          <w:szCs w:val="24"/>
        </w:rPr>
        <w:t>[Accessed 12</w:t>
      </w:r>
      <w:r w:rsidR="001C04A8" w:rsidRPr="001C04A8">
        <w:rPr>
          <w:sz w:val="24"/>
          <w:szCs w:val="24"/>
          <w:vertAlign w:val="superscript"/>
        </w:rPr>
        <w:t>th</w:t>
      </w:r>
      <w:r w:rsidR="001C04A8">
        <w:rPr>
          <w:sz w:val="24"/>
          <w:szCs w:val="24"/>
        </w:rPr>
        <w:t xml:space="preserve"> </w:t>
      </w:r>
      <w:r w:rsidR="00E56263">
        <w:rPr>
          <w:sz w:val="24"/>
          <w:szCs w:val="24"/>
        </w:rPr>
        <w:t>January 2024]</w:t>
      </w:r>
    </w:p>
    <w:p w14:paraId="3AFF1A7C" w14:textId="4AB29073" w:rsidR="00640A2D" w:rsidRPr="00E56263" w:rsidRDefault="00640A2D" w:rsidP="00481CEB">
      <w:pPr>
        <w:spacing w:line="360" w:lineRule="auto"/>
        <w:ind w:left="833" w:hanging="720"/>
        <w:rPr>
          <w:bCs/>
          <w:sz w:val="24"/>
          <w:szCs w:val="24"/>
        </w:rPr>
      </w:pPr>
      <w:r w:rsidRPr="00452C80">
        <w:rPr>
          <w:bCs/>
          <w:sz w:val="24"/>
          <w:szCs w:val="24"/>
        </w:rPr>
        <w:lastRenderedPageBreak/>
        <w:t xml:space="preserve">United Kingdom Council for Psychotherapy (UKCP) (2019) </w:t>
      </w:r>
      <w:r w:rsidRPr="00452C80">
        <w:rPr>
          <w:bCs/>
          <w:i/>
          <w:iCs/>
          <w:sz w:val="24"/>
          <w:szCs w:val="24"/>
        </w:rPr>
        <w:t>Code of Ethics and Professional practice.</w:t>
      </w:r>
      <w:r w:rsidR="00E56263">
        <w:rPr>
          <w:bCs/>
          <w:sz w:val="24"/>
          <w:szCs w:val="24"/>
        </w:rPr>
        <w:t xml:space="preserve"> Available at: </w:t>
      </w:r>
      <w:r w:rsidRPr="00452C80">
        <w:t xml:space="preserve"> </w:t>
      </w:r>
      <w:hyperlink r:id="rId460" w:history="1">
        <w:r w:rsidRPr="00C47A5C">
          <w:rPr>
            <w:rStyle w:val="Hyperlink"/>
            <w:bCs/>
            <w:color w:val="0070C0"/>
            <w:sz w:val="24"/>
            <w:szCs w:val="24"/>
          </w:rPr>
          <w:t>https://www.psychotherapy.org.uk/media/bkjdm33f/ukcp-code-of-ethics-and-professional-practice-2019.pdf</w:t>
        </w:r>
      </w:hyperlink>
      <w:r w:rsidR="00E56263">
        <w:t xml:space="preserve">  </w:t>
      </w:r>
      <w:r w:rsidR="00717D63">
        <w:rPr>
          <w:sz w:val="24"/>
          <w:szCs w:val="24"/>
        </w:rPr>
        <w:t>[Accessed 11</w:t>
      </w:r>
      <w:r w:rsidR="00717D63" w:rsidRPr="00717D63">
        <w:rPr>
          <w:sz w:val="24"/>
          <w:szCs w:val="24"/>
          <w:vertAlign w:val="superscript"/>
        </w:rPr>
        <w:t>th</w:t>
      </w:r>
      <w:r w:rsidR="00717D63">
        <w:rPr>
          <w:sz w:val="24"/>
          <w:szCs w:val="24"/>
        </w:rPr>
        <w:t xml:space="preserve"> January 2024]</w:t>
      </w:r>
    </w:p>
    <w:p w14:paraId="67A7E9BA" w14:textId="20547643" w:rsidR="00640A2D" w:rsidRPr="00452C80" w:rsidRDefault="00640A2D" w:rsidP="00481CEB">
      <w:pPr>
        <w:spacing w:line="360" w:lineRule="auto"/>
        <w:ind w:left="833" w:hanging="720"/>
        <w:rPr>
          <w:bCs/>
          <w:sz w:val="24"/>
          <w:szCs w:val="24"/>
        </w:rPr>
      </w:pPr>
      <w:r w:rsidRPr="00452C80">
        <w:rPr>
          <w:bCs/>
          <w:sz w:val="24"/>
          <w:szCs w:val="24"/>
        </w:rPr>
        <w:t xml:space="preserve">Universities UK (2017) </w:t>
      </w:r>
      <w:r w:rsidRPr="00452C80">
        <w:rPr>
          <w:bCs/>
          <w:i/>
          <w:iCs/>
          <w:sz w:val="24"/>
          <w:szCs w:val="24"/>
        </w:rPr>
        <w:t>Step Change: Mentally Healthy Universities</w:t>
      </w:r>
      <w:r w:rsidRPr="00452C80">
        <w:rPr>
          <w:bCs/>
          <w:sz w:val="24"/>
          <w:szCs w:val="24"/>
        </w:rPr>
        <w:t>. London: Universities UK.</w:t>
      </w:r>
      <w:r w:rsidRPr="00452C80">
        <w:t xml:space="preserve"> </w:t>
      </w:r>
      <w:r w:rsidR="00717D63" w:rsidRPr="00717D63">
        <w:rPr>
          <w:sz w:val="24"/>
          <w:szCs w:val="24"/>
        </w:rPr>
        <w:t xml:space="preserve">Available at: </w:t>
      </w:r>
      <w:hyperlink r:id="rId461" w:history="1">
        <w:r w:rsidR="00717D63" w:rsidRPr="00A22652">
          <w:rPr>
            <w:rStyle w:val="Hyperlink"/>
            <w:bCs/>
            <w:sz w:val="24"/>
            <w:szCs w:val="24"/>
          </w:rPr>
          <w:t>https://www.universitiesuk.ac.uk/sites/default/files/field/downloads/2021-07/uuk-stepchange-mhu.pdf</w:t>
        </w:r>
      </w:hyperlink>
      <w:r w:rsidR="00717D63">
        <w:rPr>
          <w:bCs/>
          <w:sz w:val="24"/>
          <w:szCs w:val="24"/>
        </w:rPr>
        <w:t xml:space="preserve">  </w:t>
      </w:r>
      <w:r w:rsidR="00677AAE">
        <w:rPr>
          <w:bCs/>
          <w:sz w:val="24"/>
          <w:szCs w:val="24"/>
        </w:rPr>
        <w:t>[Accessed 4</w:t>
      </w:r>
      <w:r w:rsidR="00677AAE" w:rsidRPr="00677AAE">
        <w:rPr>
          <w:bCs/>
          <w:sz w:val="24"/>
          <w:szCs w:val="24"/>
          <w:vertAlign w:val="superscript"/>
        </w:rPr>
        <w:t>th</w:t>
      </w:r>
      <w:r w:rsidR="00677AAE">
        <w:rPr>
          <w:bCs/>
          <w:sz w:val="24"/>
          <w:szCs w:val="24"/>
        </w:rPr>
        <w:t xml:space="preserve"> April 2021]</w:t>
      </w:r>
    </w:p>
    <w:p w14:paraId="2FBE66E1" w14:textId="4E626070" w:rsidR="00640A2D" w:rsidRPr="00452C80" w:rsidRDefault="00640A2D" w:rsidP="00481CEB">
      <w:pPr>
        <w:spacing w:line="360" w:lineRule="auto"/>
        <w:ind w:left="833" w:hanging="720"/>
        <w:rPr>
          <w:sz w:val="24"/>
          <w:szCs w:val="24"/>
        </w:rPr>
      </w:pPr>
      <w:r w:rsidRPr="00452C80">
        <w:rPr>
          <w:sz w:val="24"/>
          <w:szCs w:val="24"/>
        </w:rPr>
        <w:t xml:space="preserve">Universities UK (2025) </w:t>
      </w:r>
      <w:r w:rsidRPr="00452C80">
        <w:rPr>
          <w:i/>
          <w:iCs/>
          <w:sz w:val="24"/>
          <w:szCs w:val="24"/>
        </w:rPr>
        <w:t>Universities grip financial crisis – but at what cost to the nation?</w:t>
      </w:r>
      <w:r w:rsidRPr="00452C80">
        <w:rPr>
          <w:sz w:val="24"/>
          <w:szCs w:val="24"/>
        </w:rPr>
        <w:t xml:space="preserve"> Survey conducted by Universities UK, 2025.</w:t>
      </w:r>
      <w:r w:rsidRPr="00677AAE">
        <w:rPr>
          <w:sz w:val="24"/>
          <w:szCs w:val="24"/>
        </w:rPr>
        <w:t xml:space="preserve"> </w:t>
      </w:r>
      <w:r w:rsidR="00677AAE" w:rsidRPr="00677AAE">
        <w:rPr>
          <w:sz w:val="24"/>
          <w:szCs w:val="24"/>
        </w:rPr>
        <w:t xml:space="preserve">Available at: </w:t>
      </w:r>
      <w:hyperlink r:id="rId462" w:anchor=":~:text=The%20reality%20for%20most%20universities,four%20nations%20of%20the%20UK" w:history="1">
        <w:r w:rsidR="00677AAE" w:rsidRPr="00A22652">
          <w:rPr>
            <w:rStyle w:val="Hyperlink"/>
            <w:sz w:val="24"/>
            <w:szCs w:val="24"/>
          </w:rPr>
          <w:t>https://www.universitiesuk.ac.uk/what-we-do/creating-voice-our-members/media-releases/universities-grip-financial-crisis-what#:~:text=The%20reality%20for%20most%20universities,four%20nations%20of%20the%20UK</w:t>
        </w:r>
      </w:hyperlink>
      <w:r w:rsidR="002B1E15">
        <w:rPr>
          <w:color w:val="0070C0"/>
          <w:sz w:val="24"/>
          <w:szCs w:val="24"/>
        </w:rPr>
        <w:t xml:space="preserve">  </w:t>
      </w:r>
      <w:r w:rsidR="002B1E15" w:rsidRPr="002B1E15">
        <w:rPr>
          <w:sz w:val="24"/>
          <w:szCs w:val="24"/>
        </w:rPr>
        <w:t>[Accessed 22</w:t>
      </w:r>
      <w:r w:rsidR="002B1E15" w:rsidRPr="002B1E15">
        <w:rPr>
          <w:sz w:val="24"/>
          <w:szCs w:val="24"/>
          <w:vertAlign w:val="superscript"/>
        </w:rPr>
        <w:t>nd</w:t>
      </w:r>
      <w:r w:rsidR="002B1E15" w:rsidRPr="002B1E15">
        <w:rPr>
          <w:sz w:val="24"/>
          <w:szCs w:val="24"/>
        </w:rPr>
        <w:t xml:space="preserve"> September 2025]</w:t>
      </w:r>
    </w:p>
    <w:p w14:paraId="086BEFF7" w14:textId="26C33FD3" w:rsidR="00640A2D" w:rsidRPr="00452C80" w:rsidRDefault="00640A2D" w:rsidP="00481CEB">
      <w:pPr>
        <w:spacing w:line="360" w:lineRule="auto"/>
        <w:ind w:left="833" w:hanging="720"/>
        <w:rPr>
          <w:bCs/>
          <w:sz w:val="24"/>
          <w:szCs w:val="24"/>
        </w:rPr>
      </w:pPr>
      <w:r w:rsidRPr="00452C80">
        <w:rPr>
          <w:bCs/>
          <w:sz w:val="24"/>
          <w:szCs w:val="24"/>
        </w:rPr>
        <w:t>Usher, K., Durkin, J.</w:t>
      </w:r>
      <w:r w:rsidR="003F4BD0">
        <w:rPr>
          <w:bCs/>
          <w:sz w:val="24"/>
          <w:szCs w:val="24"/>
        </w:rPr>
        <w:t>,</w:t>
      </w:r>
      <w:r w:rsidRPr="00452C80">
        <w:rPr>
          <w:bCs/>
          <w:sz w:val="24"/>
          <w:szCs w:val="24"/>
        </w:rPr>
        <w:t xml:space="preserve"> and Bhullar, N. (2020) The COVID-19 Pandemic and Mental Health Impacts. </w:t>
      </w:r>
      <w:r w:rsidRPr="00452C80">
        <w:rPr>
          <w:bCs/>
          <w:i/>
          <w:iCs/>
          <w:sz w:val="24"/>
          <w:szCs w:val="24"/>
        </w:rPr>
        <w:t>International Journal of Mental Health Nursing</w:t>
      </w:r>
      <w:r w:rsidRPr="00452C80">
        <w:rPr>
          <w:bCs/>
          <w:sz w:val="24"/>
          <w:szCs w:val="24"/>
        </w:rPr>
        <w:t>, 29: pp. 315-318.</w:t>
      </w:r>
      <w:r w:rsidRPr="00452C80">
        <w:rPr>
          <w:bCs/>
          <w:sz w:val="24"/>
          <w:szCs w:val="24"/>
        </w:rPr>
        <w:br/>
      </w:r>
      <w:hyperlink r:id="rId463" w:history="1">
        <w:r w:rsidRPr="00C47A5C">
          <w:rPr>
            <w:rStyle w:val="Hyperlink"/>
            <w:bCs/>
            <w:color w:val="0070C0"/>
            <w:sz w:val="24"/>
            <w:szCs w:val="24"/>
          </w:rPr>
          <w:t>https://doi.org/10.1111/inm.12726</w:t>
        </w:r>
      </w:hyperlink>
    </w:p>
    <w:p w14:paraId="2FE18291" w14:textId="77777777" w:rsidR="00640A2D" w:rsidRPr="00452C80" w:rsidRDefault="00640A2D" w:rsidP="00481CEB">
      <w:pPr>
        <w:spacing w:line="360" w:lineRule="auto"/>
        <w:ind w:left="833" w:hanging="720"/>
        <w:rPr>
          <w:bCs/>
          <w:sz w:val="24"/>
          <w:szCs w:val="24"/>
        </w:rPr>
      </w:pPr>
      <w:r w:rsidRPr="00452C80">
        <w:rPr>
          <w:bCs/>
          <w:sz w:val="24"/>
          <w:szCs w:val="24"/>
        </w:rPr>
        <w:t xml:space="preserve">Valentine, C. (2008) </w:t>
      </w:r>
      <w:r w:rsidRPr="00452C80">
        <w:rPr>
          <w:bCs/>
          <w:i/>
          <w:iCs/>
          <w:sz w:val="24"/>
          <w:szCs w:val="24"/>
        </w:rPr>
        <w:t>Bereavement Narratives: Continuing Bonds in the 21</w:t>
      </w:r>
      <w:r w:rsidRPr="00452C80">
        <w:rPr>
          <w:bCs/>
          <w:i/>
          <w:iCs/>
          <w:sz w:val="24"/>
          <w:szCs w:val="24"/>
          <w:vertAlign w:val="superscript"/>
        </w:rPr>
        <w:t>st</w:t>
      </w:r>
      <w:r w:rsidRPr="00452C80">
        <w:rPr>
          <w:bCs/>
          <w:i/>
          <w:iCs/>
          <w:sz w:val="24"/>
          <w:szCs w:val="24"/>
        </w:rPr>
        <w:t xml:space="preserve"> Century</w:t>
      </w:r>
      <w:r w:rsidRPr="00452C80">
        <w:rPr>
          <w:bCs/>
          <w:sz w:val="24"/>
          <w:szCs w:val="24"/>
        </w:rPr>
        <w:t>. Oxon: Routledge.</w:t>
      </w:r>
    </w:p>
    <w:p w14:paraId="795AB21D" w14:textId="2B744278" w:rsidR="00640A2D" w:rsidRPr="00452C80" w:rsidRDefault="00640A2D" w:rsidP="00481CEB">
      <w:pPr>
        <w:spacing w:line="360" w:lineRule="auto"/>
        <w:ind w:left="833" w:hanging="720"/>
        <w:rPr>
          <w:bCs/>
          <w:sz w:val="24"/>
          <w:szCs w:val="24"/>
        </w:rPr>
      </w:pPr>
      <w:r w:rsidRPr="00452C80">
        <w:rPr>
          <w:bCs/>
          <w:sz w:val="24"/>
          <w:szCs w:val="24"/>
        </w:rPr>
        <w:t>Van Buskirk, W.</w:t>
      </w:r>
      <w:r w:rsidR="003F4BD0">
        <w:rPr>
          <w:bCs/>
          <w:sz w:val="24"/>
          <w:szCs w:val="24"/>
        </w:rPr>
        <w:t>,</w:t>
      </w:r>
      <w:r w:rsidRPr="00452C80">
        <w:rPr>
          <w:bCs/>
          <w:sz w:val="24"/>
          <w:szCs w:val="24"/>
        </w:rPr>
        <w:t xml:space="preserve"> and McGrath, D. (1999) “Organizational Cultures as Holding Environments: A psychodynamic look at organizational symbolism”, </w:t>
      </w:r>
      <w:r w:rsidRPr="00452C80">
        <w:rPr>
          <w:bCs/>
          <w:i/>
          <w:iCs/>
          <w:sz w:val="24"/>
          <w:szCs w:val="24"/>
        </w:rPr>
        <w:t>Human Relations</w:t>
      </w:r>
      <w:r w:rsidRPr="00452C80">
        <w:rPr>
          <w:bCs/>
          <w:sz w:val="24"/>
          <w:szCs w:val="24"/>
        </w:rPr>
        <w:t xml:space="preserve">, </w:t>
      </w:r>
      <w:r w:rsidRPr="00452C80">
        <w:rPr>
          <w:b/>
          <w:sz w:val="24"/>
          <w:szCs w:val="24"/>
        </w:rPr>
        <w:t>52</w:t>
      </w:r>
      <w:r w:rsidRPr="00452C80">
        <w:rPr>
          <w:bCs/>
          <w:sz w:val="24"/>
          <w:szCs w:val="24"/>
        </w:rPr>
        <w:t>(6): pp.805-32.</w:t>
      </w:r>
      <w:r w:rsidRPr="00452C80">
        <w:t xml:space="preserve"> </w:t>
      </w:r>
      <w:hyperlink r:id="rId464" w:history="1">
        <w:r w:rsidRPr="00FC5D26">
          <w:rPr>
            <w:rStyle w:val="Hyperlink"/>
            <w:bCs/>
            <w:color w:val="0070C0"/>
            <w:sz w:val="24"/>
            <w:szCs w:val="24"/>
          </w:rPr>
          <w:t>https://doi.org/10.1177/001872679905200606</w:t>
        </w:r>
      </w:hyperlink>
      <w:r w:rsidRPr="00452C80">
        <w:t xml:space="preserve"> </w:t>
      </w:r>
    </w:p>
    <w:p w14:paraId="277000A4" w14:textId="20720AB8" w:rsidR="00640A2D" w:rsidRPr="00452C80" w:rsidRDefault="00640A2D" w:rsidP="00481CEB">
      <w:pPr>
        <w:spacing w:line="360" w:lineRule="auto"/>
        <w:ind w:left="833" w:hanging="720"/>
        <w:rPr>
          <w:bCs/>
          <w:sz w:val="24"/>
          <w:szCs w:val="24"/>
        </w:rPr>
      </w:pPr>
      <w:r w:rsidRPr="00452C80">
        <w:rPr>
          <w:bCs/>
          <w:sz w:val="24"/>
          <w:szCs w:val="24"/>
        </w:rPr>
        <w:t>Van Eenwyk, J.</w:t>
      </w:r>
      <w:r w:rsidR="00F13703">
        <w:rPr>
          <w:bCs/>
          <w:sz w:val="24"/>
          <w:szCs w:val="24"/>
        </w:rPr>
        <w:t xml:space="preserve"> </w:t>
      </w:r>
      <w:r w:rsidRPr="00452C80">
        <w:rPr>
          <w:bCs/>
          <w:sz w:val="24"/>
          <w:szCs w:val="24"/>
        </w:rPr>
        <w:t xml:space="preserve">R. (1997) </w:t>
      </w:r>
      <w:r w:rsidRPr="00452C80">
        <w:rPr>
          <w:bCs/>
          <w:i/>
          <w:iCs/>
          <w:sz w:val="24"/>
          <w:szCs w:val="24"/>
        </w:rPr>
        <w:t>Archetypes and Strange Attractors: The chaotic world of symbols</w:t>
      </w:r>
      <w:r w:rsidRPr="00452C80">
        <w:rPr>
          <w:bCs/>
          <w:sz w:val="24"/>
          <w:szCs w:val="24"/>
        </w:rPr>
        <w:t>. Toronto, Canada: Inner City Books.</w:t>
      </w:r>
    </w:p>
    <w:p w14:paraId="0ED56208" w14:textId="77777777" w:rsidR="00640A2D" w:rsidRPr="00452C80" w:rsidRDefault="00640A2D" w:rsidP="00481CEB">
      <w:pPr>
        <w:spacing w:line="360" w:lineRule="auto"/>
        <w:ind w:left="833" w:hanging="720"/>
        <w:rPr>
          <w:bCs/>
          <w:sz w:val="24"/>
          <w:szCs w:val="24"/>
        </w:rPr>
      </w:pPr>
      <w:r w:rsidRPr="00452C80">
        <w:rPr>
          <w:bCs/>
          <w:sz w:val="24"/>
          <w:szCs w:val="24"/>
        </w:rPr>
        <w:t xml:space="preserve">Van Gennep, A. (1909) </w:t>
      </w:r>
      <w:r w:rsidRPr="00452C80">
        <w:rPr>
          <w:bCs/>
          <w:i/>
          <w:iCs/>
          <w:sz w:val="24"/>
          <w:szCs w:val="24"/>
        </w:rPr>
        <w:t>Les Rites de Passage</w:t>
      </w:r>
      <w:r w:rsidRPr="00452C80">
        <w:rPr>
          <w:bCs/>
          <w:sz w:val="24"/>
          <w:szCs w:val="24"/>
        </w:rPr>
        <w:t>. Paris: Nourry.</w:t>
      </w:r>
    </w:p>
    <w:p w14:paraId="2B1E8734" w14:textId="6460858D" w:rsidR="00640A2D" w:rsidRPr="00452C80" w:rsidRDefault="00640A2D" w:rsidP="00481CEB">
      <w:pPr>
        <w:spacing w:line="360" w:lineRule="auto"/>
        <w:ind w:left="833" w:hanging="720"/>
        <w:rPr>
          <w:bCs/>
          <w:sz w:val="24"/>
          <w:szCs w:val="24"/>
        </w:rPr>
      </w:pPr>
      <w:r w:rsidRPr="00452C80">
        <w:rPr>
          <w:bCs/>
          <w:sz w:val="24"/>
          <w:szCs w:val="24"/>
        </w:rPr>
        <w:t>Villa-Vicencio, C. (1994) Ethics of responsibility. In</w:t>
      </w:r>
      <w:r w:rsidR="00820FA3">
        <w:rPr>
          <w:bCs/>
          <w:sz w:val="24"/>
          <w:szCs w:val="24"/>
        </w:rPr>
        <w:t>:</w:t>
      </w:r>
      <w:r w:rsidRPr="00452C80">
        <w:rPr>
          <w:bCs/>
          <w:sz w:val="24"/>
          <w:szCs w:val="24"/>
        </w:rPr>
        <w:t xml:space="preserve"> C. Villa-Vicencio and J. de Grucy (eds) </w:t>
      </w:r>
      <w:r w:rsidRPr="00452C80">
        <w:rPr>
          <w:bCs/>
          <w:i/>
          <w:iCs/>
          <w:sz w:val="24"/>
          <w:szCs w:val="24"/>
        </w:rPr>
        <w:t>Doing Ethics in Context</w:t>
      </w:r>
      <w:r w:rsidRPr="00452C80">
        <w:rPr>
          <w:bCs/>
          <w:sz w:val="24"/>
          <w:szCs w:val="24"/>
        </w:rPr>
        <w:t xml:space="preserve">. New York: Orbis books. </w:t>
      </w:r>
    </w:p>
    <w:p w14:paraId="4D359581" w14:textId="77777777" w:rsidR="00640A2D" w:rsidRPr="00452C80" w:rsidRDefault="00640A2D" w:rsidP="00481CEB">
      <w:pPr>
        <w:spacing w:line="360" w:lineRule="auto"/>
        <w:ind w:left="833" w:hanging="720"/>
        <w:rPr>
          <w:bCs/>
          <w:sz w:val="24"/>
          <w:szCs w:val="24"/>
        </w:rPr>
      </w:pPr>
      <w:r w:rsidRPr="00452C80">
        <w:rPr>
          <w:bCs/>
          <w:sz w:val="24"/>
          <w:szCs w:val="24"/>
        </w:rPr>
        <w:lastRenderedPageBreak/>
        <w:t xml:space="preserve">Vince, R. (2006) Being Taken Over: Managers’ Emotions and Rationalizations During a Company Takeover. </w:t>
      </w:r>
      <w:r w:rsidRPr="00452C80">
        <w:rPr>
          <w:bCs/>
          <w:i/>
          <w:iCs/>
          <w:sz w:val="24"/>
          <w:szCs w:val="24"/>
        </w:rPr>
        <w:t>Journal of Management Studies</w:t>
      </w:r>
      <w:r w:rsidRPr="00452C80">
        <w:rPr>
          <w:bCs/>
          <w:sz w:val="24"/>
          <w:szCs w:val="24"/>
        </w:rPr>
        <w:t xml:space="preserve">, </w:t>
      </w:r>
      <w:r w:rsidRPr="00452C80">
        <w:rPr>
          <w:b/>
          <w:sz w:val="24"/>
          <w:szCs w:val="24"/>
        </w:rPr>
        <w:t>43</w:t>
      </w:r>
      <w:r w:rsidRPr="00452C80">
        <w:rPr>
          <w:bCs/>
          <w:sz w:val="24"/>
          <w:szCs w:val="24"/>
        </w:rPr>
        <w:t>(2): pp. 343-365.</w:t>
      </w:r>
      <w:r w:rsidRPr="00452C80">
        <w:rPr>
          <w:rFonts w:ascii="Open Sans" w:eastAsia="Times New Roman" w:hAnsi="Open Sans" w:cs="Open Sans"/>
          <w:sz w:val="21"/>
          <w:szCs w:val="21"/>
          <w:shd w:val="clear" w:color="auto" w:fill="FFFFFF"/>
          <w:lang w:eastAsia="en-GB"/>
        </w:rPr>
        <w:t xml:space="preserve"> </w:t>
      </w:r>
      <w:r w:rsidRPr="00FC5D26">
        <w:rPr>
          <w:bCs/>
          <w:color w:val="0070C0"/>
          <w:sz w:val="24"/>
          <w:szCs w:val="24"/>
        </w:rPr>
        <w:t> </w:t>
      </w:r>
      <w:hyperlink r:id="rId465" w:history="1">
        <w:r w:rsidRPr="00FC5D26">
          <w:rPr>
            <w:rStyle w:val="Hyperlink"/>
            <w:bCs/>
            <w:color w:val="0070C0"/>
            <w:sz w:val="24"/>
            <w:szCs w:val="24"/>
          </w:rPr>
          <w:t>https://doi.org/10.1111/j.1467-6486.2006.00593.x</w:t>
        </w:r>
      </w:hyperlink>
    </w:p>
    <w:p w14:paraId="1BB557DF" w14:textId="77777777" w:rsidR="00640A2D" w:rsidRPr="00452C80" w:rsidRDefault="00640A2D" w:rsidP="00481CEB">
      <w:pPr>
        <w:spacing w:line="360" w:lineRule="auto"/>
        <w:ind w:left="833" w:hanging="720"/>
        <w:rPr>
          <w:bCs/>
          <w:sz w:val="24"/>
          <w:szCs w:val="24"/>
        </w:rPr>
      </w:pPr>
      <w:r w:rsidRPr="00452C80">
        <w:rPr>
          <w:bCs/>
          <w:sz w:val="24"/>
          <w:szCs w:val="24"/>
        </w:rPr>
        <w:t>Vogler, C. (1998)</w:t>
      </w:r>
      <w:r w:rsidRPr="00452C80">
        <w:rPr>
          <w:bCs/>
          <w:i/>
          <w:iCs/>
          <w:sz w:val="24"/>
          <w:szCs w:val="24"/>
        </w:rPr>
        <w:t xml:space="preserve"> The Writer’s Journey: Mythic Structure for Writers.</w:t>
      </w:r>
      <w:r w:rsidRPr="00452C80">
        <w:rPr>
          <w:bCs/>
          <w:sz w:val="24"/>
          <w:szCs w:val="24"/>
        </w:rPr>
        <w:t xml:space="preserve"> Studio City, CA: Michael Wiese Productions.</w:t>
      </w:r>
    </w:p>
    <w:p w14:paraId="624F1B48" w14:textId="521200AC" w:rsidR="00640A2D" w:rsidRPr="00452C80" w:rsidRDefault="00640A2D" w:rsidP="00481CEB">
      <w:pPr>
        <w:spacing w:line="360" w:lineRule="auto"/>
        <w:ind w:left="833" w:hanging="720"/>
        <w:rPr>
          <w:bCs/>
          <w:sz w:val="24"/>
          <w:szCs w:val="24"/>
        </w:rPr>
      </w:pPr>
      <w:r w:rsidRPr="00452C80">
        <w:rPr>
          <w:bCs/>
          <w:sz w:val="24"/>
          <w:szCs w:val="24"/>
        </w:rPr>
        <w:t>Von Franz, M.</w:t>
      </w:r>
      <w:r w:rsidR="00F13703">
        <w:rPr>
          <w:bCs/>
          <w:sz w:val="24"/>
          <w:szCs w:val="24"/>
        </w:rPr>
        <w:t xml:space="preserve"> </w:t>
      </w:r>
      <w:r w:rsidRPr="00452C80">
        <w:rPr>
          <w:bCs/>
          <w:sz w:val="24"/>
          <w:szCs w:val="24"/>
        </w:rPr>
        <w:t xml:space="preserve">L. (1997) </w:t>
      </w:r>
      <w:r w:rsidRPr="00452C80">
        <w:rPr>
          <w:bCs/>
          <w:i/>
          <w:iCs/>
          <w:sz w:val="24"/>
          <w:szCs w:val="24"/>
        </w:rPr>
        <w:t>Archetypal Patterns in Fairy Tales.</w:t>
      </w:r>
      <w:r w:rsidRPr="00452C80">
        <w:rPr>
          <w:bCs/>
          <w:sz w:val="24"/>
          <w:szCs w:val="24"/>
        </w:rPr>
        <w:t xml:space="preserve"> Toronto, Canada: Inner City Books. </w:t>
      </w:r>
    </w:p>
    <w:p w14:paraId="0FD69038" w14:textId="17B0996F" w:rsidR="00640A2D" w:rsidRPr="00452C80" w:rsidRDefault="00640A2D" w:rsidP="00481CEB">
      <w:pPr>
        <w:spacing w:line="360" w:lineRule="auto"/>
        <w:ind w:left="833" w:hanging="720"/>
        <w:rPr>
          <w:sz w:val="24"/>
          <w:szCs w:val="24"/>
          <w:lang w:val="en-US"/>
        </w:rPr>
      </w:pPr>
      <w:r w:rsidRPr="00452C80">
        <w:rPr>
          <w:sz w:val="24"/>
          <w:szCs w:val="24"/>
          <w:lang w:val="en-US"/>
        </w:rPr>
        <w:t>Vygotsky, L.</w:t>
      </w:r>
      <w:r w:rsidR="00F13703">
        <w:rPr>
          <w:sz w:val="24"/>
          <w:szCs w:val="24"/>
          <w:lang w:val="en-US"/>
        </w:rPr>
        <w:t xml:space="preserve"> </w:t>
      </w:r>
      <w:r w:rsidRPr="00452C80">
        <w:rPr>
          <w:sz w:val="24"/>
          <w:szCs w:val="24"/>
          <w:lang w:val="en-US"/>
        </w:rPr>
        <w:t xml:space="preserve">S.  (1978) </w:t>
      </w:r>
      <w:r w:rsidRPr="00452C80">
        <w:rPr>
          <w:i/>
          <w:iCs/>
          <w:sz w:val="24"/>
          <w:szCs w:val="24"/>
          <w:lang w:val="en-US"/>
        </w:rPr>
        <w:t>Mind in Society: The Development of Higher Psychological Processes</w:t>
      </w:r>
      <w:r w:rsidRPr="00452C80">
        <w:rPr>
          <w:sz w:val="24"/>
          <w:szCs w:val="24"/>
          <w:lang w:val="en-US"/>
        </w:rPr>
        <w:t xml:space="preserve">. </w:t>
      </w:r>
      <w:r w:rsidRPr="00452C80">
        <w:rPr>
          <w:sz w:val="24"/>
          <w:szCs w:val="24"/>
          <w:lang w:val="en-US"/>
        </w:rPr>
        <w:tab/>
        <w:t>Cambridge, Mass: Harvard University Press.</w:t>
      </w:r>
    </w:p>
    <w:p w14:paraId="5EA16B72" w14:textId="6CFAEDB8" w:rsidR="00640A2D" w:rsidRPr="00452C80" w:rsidRDefault="00640A2D" w:rsidP="00481CEB">
      <w:pPr>
        <w:spacing w:line="360" w:lineRule="auto"/>
        <w:ind w:left="833" w:hanging="720"/>
        <w:rPr>
          <w:sz w:val="24"/>
          <w:szCs w:val="24"/>
        </w:rPr>
      </w:pPr>
      <w:r w:rsidRPr="00452C80">
        <w:rPr>
          <w:sz w:val="24"/>
          <w:szCs w:val="24"/>
        </w:rPr>
        <w:t>Waldbuesser, C., Rubinsky, V.</w:t>
      </w:r>
      <w:r w:rsidR="00F13703">
        <w:rPr>
          <w:sz w:val="24"/>
          <w:szCs w:val="24"/>
        </w:rPr>
        <w:t>,</w:t>
      </w:r>
      <w:r w:rsidRPr="00452C80">
        <w:rPr>
          <w:sz w:val="24"/>
          <w:szCs w:val="24"/>
        </w:rPr>
        <w:t xml:space="preserve"> and Titsworth, S. (2021) Teacher Emotional Labour: Examining Teacher Feeling Rules in the college Classroom. </w:t>
      </w:r>
      <w:r w:rsidRPr="00452C80">
        <w:rPr>
          <w:i/>
          <w:iCs/>
          <w:sz w:val="24"/>
          <w:szCs w:val="24"/>
        </w:rPr>
        <w:t>Communication Education</w:t>
      </w:r>
      <w:r w:rsidRPr="00452C80">
        <w:rPr>
          <w:sz w:val="24"/>
          <w:szCs w:val="24"/>
        </w:rPr>
        <w:t xml:space="preserve">, </w:t>
      </w:r>
      <w:r w:rsidRPr="00452C80">
        <w:rPr>
          <w:b/>
          <w:bCs/>
          <w:sz w:val="24"/>
          <w:szCs w:val="24"/>
        </w:rPr>
        <w:t>70</w:t>
      </w:r>
      <w:r w:rsidRPr="00452C80">
        <w:rPr>
          <w:sz w:val="24"/>
          <w:szCs w:val="24"/>
        </w:rPr>
        <w:t xml:space="preserve">(4): pp. 384-401. </w:t>
      </w:r>
      <w:hyperlink r:id="rId466" w:tgtFrame="_blank" w:history="1">
        <w:r w:rsidRPr="00FC5D26">
          <w:rPr>
            <w:rStyle w:val="Hyperlink"/>
            <w:color w:val="0070C0"/>
            <w:sz w:val="24"/>
            <w:szCs w:val="24"/>
          </w:rPr>
          <w:t>https://doi.org/10.1080/03634523.2021.1936097</w:t>
        </w:r>
      </w:hyperlink>
    </w:p>
    <w:p w14:paraId="71A3E1A8" w14:textId="616C457E" w:rsidR="00640A2D" w:rsidRPr="002B1E15" w:rsidRDefault="00640A2D" w:rsidP="00481CEB">
      <w:pPr>
        <w:spacing w:line="360" w:lineRule="auto"/>
        <w:ind w:left="833" w:hanging="720"/>
        <w:rPr>
          <w:sz w:val="24"/>
          <w:szCs w:val="24"/>
        </w:rPr>
      </w:pPr>
      <w:r w:rsidRPr="00452C80">
        <w:rPr>
          <w:sz w:val="24"/>
          <w:szCs w:val="24"/>
        </w:rPr>
        <w:t xml:space="preserve">Walker, J., Jennison, L., </w:t>
      </w:r>
      <w:r w:rsidR="00F13703">
        <w:rPr>
          <w:sz w:val="24"/>
          <w:szCs w:val="24"/>
        </w:rPr>
        <w:t>and</w:t>
      </w:r>
      <w:r w:rsidRPr="00452C80">
        <w:rPr>
          <w:sz w:val="24"/>
          <w:szCs w:val="24"/>
        </w:rPr>
        <w:t xml:space="preserve"> Lachanudis, L. (2024) The Practising Midwife Blog 11 Jun 2024: Supporting Nursing and Midwifery Students: Restorative Supervision</w:t>
      </w:r>
      <w:r w:rsidR="002B1E15">
        <w:rPr>
          <w:sz w:val="24"/>
          <w:szCs w:val="24"/>
        </w:rPr>
        <w:t xml:space="preserve"> </w:t>
      </w:r>
      <w:r w:rsidRPr="00452C80">
        <w:rPr>
          <w:sz w:val="24"/>
          <w:szCs w:val="24"/>
        </w:rPr>
        <w:t xml:space="preserve">[blog post]. </w:t>
      </w:r>
      <w:r w:rsidR="002B1E15">
        <w:rPr>
          <w:sz w:val="24"/>
          <w:szCs w:val="24"/>
        </w:rPr>
        <w:t xml:space="preserve">Available at: </w:t>
      </w:r>
      <w:hyperlink r:id="rId467" w:history="1">
        <w:r w:rsidR="002B1E15" w:rsidRPr="00A22652">
          <w:rPr>
            <w:rStyle w:val="Hyperlink"/>
            <w:sz w:val="24"/>
            <w:szCs w:val="24"/>
          </w:rPr>
          <w:t>https://hull-repository.worktribe.com/output/4717968/the-practising-midwife-blog-11-jun-2024-supporting-nursing-and-midwifery-students-restorative-supervision</w:t>
        </w:r>
      </w:hyperlink>
      <w:r w:rsidR="002B1E15">
        <w:t xml:space="preserve">  </w:t>
      </w:r>
      <w:r w:rsidR="002B1E15">
        <w:rPr>
          <w:sz w:val="24"/>
          <w:szCs w:val="24"/>
        </w:rPr>
        <w:t xml:space="preserve">[Accessed </w:t>
      </w:r>
      <w:r w:rsidR="00181E73">
        <w:rPr>
          <w:sz w:val="24"/>
          <w:szCs w:val="24"/>
        </w:rPr>
        <w:t>3</w:t>
      </w:r>
      <w:r w:rsidR="00181E73" w:rsidRPr="00181E73">
        <w:rPr>
          <w:sz w:val="24"/>
          <w:szCs w:val="24"/>
          <w:vertAlign w:val="superscript"/>
        </w:rPr>
        <w:t>rd</w:t>
      </w:r>
      <w:r w:rsidR="00181E73">
        <w:rPr>
          <w:sz w:val="24"/>
          <w:szCs w:val="24"/>
        </w:rPr>
        <w:t xml:space="preserve"> January 2025]</w:t>
      </w:r>
    </w:p>
    <w:p w14:paraId="08C4BCBA" w14:textId="6E6D4B40" w:rsidR="00651F1A" w:rsidRDefault="00651F1A" w:rsidP="00651F1A">
      <w:pPr>
        <w:spacing w:line="360" w:lineRule="auto"/>
        <w:ind w:left="833" w:hanging="720"/>
        <w:rPr>
          <w:sz w:val="24"/>
          <w:szCs w:val="24"/>
        </w:rPr>
      </w:pPr>
      <w:r w:rsidRPr="00651F1A">
        <w:rPr>
          <w:sz w:val="24"/>
          <w:szCs w:val="24"/>
        </w:rPr>
        <w:t>Wallace</w:t>
      </w:r>
      <w:r w:rsidR="007E4BFD">
        <w:rPr>
          <w:sz w:val="24"/>
          <w:szCs w:val="24"/>
        </w:rPr>
        <w:t>,</w:t>
      </w:r>
      <w:r w:rsidRPr="00651F1A">
        <w:rPr>
          <w:sz w:val="24"/>
          <w:szCs w:val="24"/>
        </w:rPr>
        <w:t xml:space="preserve"> P. (2012) The impact of counselling on academic outcomes: The student perspective. </w:t>
      </w:r>
      <w:r w:rsidRPr="00651F1A">
        <w:rPr>
          <w:i/>
          <w:iCs/>
          <w:sz w:val="24"/>
          <w:szCs w:val="24"/>
        </w:rPr>
        <w:t>AUCC Journal</w:t>
      </w:r>
      <w:r w:rsidRPr="00651F1A">
        <w:rPr>
          <w:sz w:val="24"/>
          <w:szCs w:val="24"/>
        </w:rPr>
        <w:t xml:space="preserve">; November 2012: pp.6–11. </w:t>
      </w:r>
      <w:hyperlink r:id="rId468" w:history="1">
        <w:r w:rsidRPr="00651F1A">
          <w:rPr>
            <w:rStyle w:val="Hyperlink"/>
            <w:sz w:val="24"/>
            <w:szCs w:val="24"/>
          </w:rPr>
          <w:t>https://www.bacp.co.uk/bacp-journals/university-and-college-counselling/november-2012/the-impact-of-counselling-on-academic-outcomes/</w:t>
        </w:r>
      </w:hyperlink>
    </w:p>
    <w:p w14:paraId="3714E3CA" w14:textId="45CDF1DE" w:rsidR="00640A2D" w:rsidRPr="00452C80" w:rsidRDefault="00640A2D" w:rsidP="00481CEB">
      <w:pPr>
        <w:spacing w:line="360" w:lineRule="auto"/>
        <w:ind w:left="833" w:hanging="720"/>
        <w:rPr>
          <w:sz w:val="24"/>
          <w:szCs w:val="24"/>
        </w:rPr>
      </w:pPr>
      <w:r w:rsidRPr="00452C80">
        <w:rPr>
          <w:sz w:val="24"/>
          <w:szCs w:val="24"/>
        </w:rPr>
        <w:t xml:space="preserve">Wallace, S. (2002) No good surprises: intending lecturers’ preconceptions and initial experiences of further education. </w:t>
      </w:r>
      <w:r w:rsidRPr="00452C80">
        <w:rPr>
          <w:i/>
          <w:iCs/>
          <w:sz w:val="24"/>
          <w:szCs w:val="24"/>
        </w:rPr>
        <w:t>British Educational Research Journal</w:t>
      </w:r>
      <w:r w:rsidRPr="00452C80">
        <w:rPr>
          <w:sz w:val="24"/>
          <w:szCs w:val="24"/>
        </w:rPr>
        <w:t xml:space="preserve"> </w:t>
      </w:r>
      <w:r w:rsidRPr="00452C80">
        <w:rPr>
          <w:b/>
          <w:bCs/>
          <w:sz w:val="24"/>
          <w:szCs w:val="24"/>
        </w:rPr>
        <w:t>28</w:t>
      </w:r>
      <w:r w:rsidRPr="00452C80">
        <w:rPr>
          <w:sz w:val="24"/>
          <w:szCs w:val="24"/>
        </w:rPr>
        <w:t xml:space="preserve">(1): pp.79-93. </w:t>
      </w:r>
      <w:hyperlink r:id="rId469" w:history="1">
        <w:r w:rsidRPr="00FC5D26">
          <w:rPr>
            <w:rStyle w:val="Hyperlink"/>
            <w:color w:val="0070C0"/>
            <w:sz w:val="24"/>
            <w:szCs w:val="24"/>
          </w:rPr>
          <w:t>https://doi.org/10.1080/01411920120109766</w:t>
        </w:r>
      </w:hyperlink>
    </w:p>
    <w:p w14:paraId="694E0F41" w14:textId="77777777" w:rsidR="00640A2D" w:rsidRPr="00452C80" w:rsidRDefault="00640A2D" w:rsidP="00481CEB">
      <w:pPr>
        <w:spacing w:line="360" w:lineRule="auto"/>
        <w:ind w:left="833" w:hanging="720"/>
        <w:rPr>
          <w:sz w:val="24"/>
          <w:szCs w:val="24"/>
        </w:rPr>
      </w:pPr>
      <w:r w:rsidRPr="00452C80">
        <w:rPr>
          <w:sz w:val="24"/>
          <w:szCs w:val="24"/>
        </w:rPr>
        <w:t xml:space="preserve">Wallbank S. (2016) </w:t>
      </w:r>
      <w:r w:rsidRPr="00452C80">
        <w:rPr>
          <w:i/>
          <w:iCs/>
          <w:sz w:val="24"/>
          <w:szCs w:val="24"/>
        </w:rPr>
        <w:t>The Restorative Resilience Model of Supervision.</w:t>
      </w:r>
      <w:r w:rsidRPr="00452C80">
        <w:rPr>
          <w:sz w:val="24"/>
          <w:szCs w:val="24"/>
        </w:rPr>
        <w:t xml:space="preserve"> Hove: Pavilion. </w:t>
      </w:r>
    </w:p>
    <w:p w14:paraId="72AC2739" w14:textId="192DE2CC" w:rsidR="00640A2D" w:rsidRPr="00452C80" w:rsidRDefault="00640A2D" w:rsidP="00481CEB">
      <w:pPr>
        <w:spacing w:line="360" w:lineRule="auto"/>
        <w:ind w:left="833" w:hanging="720"/>
        <w:rPr>
          <w:sz w:val="24"/>
          <w:szCs w:val="24"/>
        </w:rPr>
      </w:pPr>
      <w:r w:rsidRPr="00452C80">
        <w:rPr>
          <w:sz w:val="24"/>
          <w:szCs w:val="24"/>
        </w:rPr>
        <w:lastRenderedPageBreak/>
        <w:t>Wallbank, D.</w:t>
      </w:r>
      <w:r w:rsidR="006D5312" w:rsidRPr="00452C80">
        <w:rPr>
          <w:sz w:val="24"/>
          <w:szCs w:val="24"/>
        </w:rPr>
        <w:t xml:space="preserve"> </w:t>
      </w:r>
      <w:r w:rsidRPr="00452C80">
        <w:rPr>
          <w:sz w:val="24"/>
          <w:szCs w:val="24"/>
        </w:rPr>
        <w:t>R.</w:t>
      </w:r>
      <w:r w:rsidR="006D5312" w:rsidRPr="00452C80">
        <w:rPr>
          <w:sz w:val="24"/>
          <w:szCs w:val="24"/>
        </w:rPr>
        <w:t xml:space="preserve"> </w:t>
      </w:r>
      <w:r w:rsidRPr="00452C80">
        <w:rPr>
          <w:sz w:val="24"/>
          <w:szCs w:val="24"/>
        </w:rPr>
        <w:t>S.</w:t>
      </w:r>
      <w:r w:rsidR="001F1DD5">
        <w:rPr>
          <w:sz w:val="24"/>
          <w:szCs w:val="24"/>
        </w:rPr>
        <w:t>,</w:t>
      </w:r>
      <w:r w:rsidRPr="00452C80">
        <w:rPr>
          <w:sz w:val="24"/>
          <w:szCs w:val="24"/>
        </w:rPr>
        <w:t xml:space="preserve"> and Wonnacott, J. (2015) The integrated model of restorative supervision for use within safeguarding. </w:t>
      </w:r>
      <w:r w:rsidRPr="00452C80">
        <w:rPr>
          <w:i/>
          <w:iCs/>
          <w:sz w:val="24"/>
          <w:szCs w:val="24"/>
        </w:rPr>
        <w:t>Community Practitioner</w:t>
      </w:r>
      <w:r w:rsidRPr="00452C80">
        <w:rPr>
          <w:sz w:val="24"/>
          <w:szCs w:val="24"/>
        </w:rPr>
        <w:t xml:space="preserve">, </w:t>
      </w:r>
      <w:r w:rsidRPr="00452C80">
        <w:rPr>
          <w:b/>
          <w:bCs/>
          <w:sz w:val="24"/>
          <w:szCs w:val="24"/>
        </w:rPr>
        <w:t>88</w:t>
      </w:r>
      <w:r w:rsidRPr="00452C80">
        <w:rPr>
          <w:sz w:val="24"/>
          <w:szCs w:val="24"/>
        </w:rPr>
        <w:t>(5): pp. 41-45.</w:t>
      </w:r>
      <w:r w:rsidRPr="00452C80">
        <w:rPr>
          <w:rFonts w:ascii="Segoe UI" w:hAnsi="Segoe UI" w:cs="Segoe UI"/>
          <w:shd w:val="clear" w:color="auto" w:fill="FFFFFF"/>
        </w:rPr>
        <w:t xml:space="preserve"> </w:t>
      </w:r>
      <w:r w:rsidRPr="00452C80">
        <w:rPr>
          <w:sz w:val="24"/>
          <w:szCs w:val="24"/>
        </w:rPr>
        <w:t> PMID: 26364336.</w:t>
      </w:r>
      <w:r w:rsidRPr="00452C80">
        <w:t xml:space="preserve"> </w:t>
      </w:r>
      <w:hyperlink r:id="rId470" w:history="1">
        <w:r w:rsidRPr="00FC5D26">
          <w:rPr>
            <w:rStyle w:val="Hyperlink"/>
            <w:color w:val="0070C0"/>
            <w:sz w:val="24"/>
            <w:szCs w:val="24"/>
          </w:rPr>
          <w:t>https://pubmed.ncbi.nlm.nih.gov/26364336/</w:t>
        </w:r>
      </w:hyperlink>
    </w:p>
    <w:p w14:paraId="5169A427" w14:textId="106279BD" w:rsidR="00640A2D" w:rsidRPr="00452C80" w:rsidRDefault="00640A2D" w:rsidP="00481CEB">
      <w:pPr>
        <w:spacing w:line="360" w:lineRule="auto"/>
        <w:ind w:left="833" w:hanging="720"/>
        <w:rPr>
          <w:sz w:val="24"/>
          <w:szCs w:val="24"/>
        </w:rPr>
      </w:pPr>
      <w:r w:rsidRPr="00452C80">
        <w:rPr>
          <w:sz w:val="24"/>
          <w:szCs w:val="24"/>
        </w:rPr>
        <w:t>Wallbank, S.</w:t>
      </w:r>
      <w:r w:rsidR="001F1DD5">
        <w:rPr>
          <w:sz w:val="24"/>
          <w:szCs w:val="24"/>
        </w:rPr>
        <w:t>,</w:t>
      </w:r>
      <w:r w:rsidRPr="00452C80">
        <w:rPr>
          <w:sz w:val="24"/>
          <w:szCs w:val="24"/>
        </w:rPr>
        <w:t xml:space="preserve"> and Woods, G. (2012) A healthier health visiting workforce: findings from the restorative supervision programme. </w:t>
      </w:r>
      <w:r w:rsidRPr="00452C80">
        <w:rPr>
          <w:i/>
          <w:iCs/>
          <w:sz w:val="24"/>
          <w:szCs w:val="24"/>
        </w:rPr>
        <w:t>Community Practitioner</w:t>
      </w:r>
      <w:r w:rsidRPr="00452C80">
        <w:rPr>
          <w:sz w:val="24"/>
          <w:szCs w:val="24"/>
        </w:rPr>
        <w:t xml:space="preserve"> 2012, </w:t>
      </w:r>
      <w:r w:rsidRPr="00452C80">
        <w:rPr>
          <w:b/>
          <w:bCs/>
          <w:sz w:val="24"/>
          <w:szCs w:val="24"/>
        </w:rPr>
        <w:t>85</w:t>
      </w:r>
      <w:r w:rsidRPr="00452C80">
        <w:rPr>
          <w:sz w:val="24"/>
          <w:szCs w:val="24"/>
        </w:rPr>
        <w:t>(11): pp. 20-23.</w:t>
      </w:r>
      <w:r w:rsidRPr="00452C80">
        <w:rPr>
          <w:rFonts w:ascii="Segoe UI" w:hAnsi="Segoe UI" w:cs="Segoe UI"/>
          <w:shd w:val="clear" w:color="auto" w:fill="FFFFFF"/>
        </w:rPr>
        <w:t xml:space="preserve"> </w:t>
      </w:r>
      <w:r w:rsidRPr="00452C80">
        <w:rPr>
          <w:sz w:val="24"/>
          <w:szCs w:val="24"/>
        </w:rPr>
        <w:t xml:space="preserve"> PMID: 23243999.</w:t>
      </w:r>
      <w:r w:rsidRPr="00452C80">
        <w:t xml:space="preserve"> </w:t>
      </w:r>
      <w:hyperlink r:id="rId471" w:history="1">
        <w:r w:rsidRPr="00FC5D26">
          <w:rPr>
            <w:rStyle w:val="Hyperlink"/>
            <w:color w:val="0070C0"/>
            <w:sz w:val="24"/>
            <w:szCs w:val="24"/>
          </w:rPr>
          <w:t>https://pubmed.ncbi.nlm.nih.gov/23243999/</w:t>
        </w:r>
      </w:hyperlink>
    </w:p>
    <w:p w14:paraId="5CCB3C1D" w14:textId="3401AF06" w:rsidR="00640A2D" w:rsidRPr="00452C80" w:rsidRDefault="00640A2D" w:rsidP="00481CEB">
      <w:pPr>
        <w:spacing w:line="360" w:lineRule="auto"/>
        <w:ind w:left="833" w:hanging="720"/>
        <w:rPr>
          <w:sz w:val="24"/>
          <w:szCs w:val="24"/>
        </w:rPr>
      </w:pPr>
      <w:r w:rsidRPr="00452C80">
        <w:rPr>
          <w:sz w:val="24"/>
          <w:szCs w:val="24"/>
        </w:rPr>
        <w:t xml:space="preserve">Walter, C., and McKersie, P. (2020) </w:t>
      </w:r>
      <w:r w:rsidRPr="00452C80">
        <w:rPr>
          <w:i/>
          <w:iCs/>
          <w:sz w:val="24"/>
          <w:szCs w:val="24"/>
        </w:rPr>
        <w:t>The Coach’s Handbook: The Complete Practitioner Guide for Professionals.</w:t>
      </w:r>
      <w:r w:rsidRPr="00452C80">
        <w:rPr>
          <w:sz w:val="24"/>
          <w:szCs w:val="24"/>
        </w:rPr>
        <w:t xml:space="preserve"> (2</w:t>
      </w:r>
      <w:r w:rsidRPr="00452C80">
        <w:rPr>
          <w:sz w:val="24"/>
          <w:szCs w:val="24"/>
          <w:vertAlign w:val="superscript"/>
        </w:rPr>
        <w:t>nd</w:t>
      </w:r>
      <w:r w:rsidRPr="00452C80">
        <w:rPr>
          <w:sz w:val="24"/>
          <w:szCs w:val="24"/>
        </w:rPr>
        <w:t xml:space="preserve"> edition). London: Routledge.</w:t>
      </w:r>
    </w:p>
    <w:p w14:paraId="7BCE1D77" w14:textId="11B2CE30" w:rsidR="00640A2D" w:rsidRPr="00452C80" w:rsidRDefault="00640A2D" w:rsidP="00481CEB">
      <w:pPr>
        <w:spacing w:line="360" w:lineRule="auto"/>
        <w:ind w:left="833" w:hanging="720"/>
        <w:rPr>
          <w:sz w:val="24"/>
          <w:szCs w:val="24"/>
        </w:rPr>
      </w:pPr>
      <w:r w:rsidRPr="00452C80">
        <w:rPr>
          <w:sz w:val="24"/>
          <w:szCs w:val="24"/>
        </w:rPr>
        <w:t xml:space="preserve">Washburn, J. (2005) </w:t>
      </w:r>
      <w:r w:rsidRPr="00452C80">
        <w:rPr>
          <w:i/>
          <w:iCs/>
          <w:sz w:val="24"/>
          <w:szCs w:val="24"/>
        </w:rPr>
        <w:t>University, Inc: The Corporate Corruption of Higher Education</w:t>
      </w:r>
      <w:r w:rsidRPr="00452C80">
        <w:rPr>
          <w:sz w:val="24"/>
          <w:szCs w:val="24"/>
        </w:rPr>
        <w:t>. New York: Basic books.</w:t>
      </w:r>
    </w:p>
    <w:p w14:paraId="2D4D64E1" w14:textId="77777777" w:rsidR="00640A2D" w:rsidRPr="00452C80" w:rsidRDefault="00640A2D" w:rsidP="00481CEB">
      <w:pPr>
        <w:spacing w:line="360" w:lineRule="auto"/>
        <w:ind w:left="833" w:hanging="720"/>
        <w:rPr>
          <w:sz w:val="24"/>
          <w:szCs w:val="24"/>
        </w:rPr>
      </w:pPr>
      <w:r w:rsidRPr="00452C80">
        <w:rPr>
          <w:sz w:val="24"/>
          <w:szCs w:val="24"/>
        </w:rPr>
        <w:t xml:space="preserve">Wass, R., Timmermans, J., Harland, T., and McLean, A. (2018) Annoyance and Frustration: Emotional responses to being assessed in higher education. </w:t>
      </w:r>
      <w:r w:rsidRPr="00452C80">
        <w:rPr>
          <w:i/>
          <w:iCs/>
          <w:sz w:val="24"/>
          <w:szCs w:val="24"/>
        </w:rPr>
        <w:t xml:space="preserve">Active Learning in Higher Education, </w:t>
      </w:r>
      <w:r w:rsidRPr="00452C80">
        <w:rPr>
          <w:b/>
          <w:bCs/>
          <w:sz w:val="24"/>
          <w:szCs w:val="24"/>
        </w:rPr>
        <w:t>21</w:t>
      </w:r>
      <w:r w:rsidRPr="00452C80">
        <w:rPr>
          <w:sz w:val="24"/>
          <w:szCs w:val="24"/>
        </w:rPr>
        <w:t>(3</w:t>
      </w:r>
      <w:r w:rsidRPr="00452C80">
        <w:rPr>
          <w:i/>
          <w:iCs/>
          <w:sz w:val="24"/>
          <w:szCs w:val="24"/>
        </w:rPr>
        <w:t>)</w:t>
      </w:r>
      <w:r w:rsidRPr="00452C80">
        <w:rPr>
          <w:sz w:val="24"/>
          <w:szCs w:val="24"/>
        </w:rPr>
        <w:t xml:space="preserve">: pp. 1-13. </w:t>
      </w:r>
      <w:hyperlink r:id="rId472" w:history="1">
        <w:r w:rsidRPr="00FC5D26">
          <w:rPr>
            <w:rStyle w:val="Hyperlink"/>
            <w:color w:val="0070C0"/>
            <w:sz w:val="24"/>
            <w:szCs w:val="24"/>
          </w:rPr>
          <w:t>https://doi.org/10.1177/1469787418762462</w:t>
        </w:r>
      </w:hyperlink>
    </w:p>
    <w:p w14:paraId="0D23CEF4" w14:textId="28069ADD" w:rsidR="00640A2D" w:rsidRPr="00452C80" w:rsidRDefault="00640A2D" w:rsidP="00481CEB">
      <w:pPr>
        <w:spacing w:line="360" w:lineRule="auto"/>
        <w:ind w:left="833" w:hanging="720"/>
        <w:rPr>
          <w:sz w:val="24"/>
          <w:szCs w:val="24"/>
        </w:rPr>
      </w:pPr>
      <w:r w:rsidRPr="00452C80">
        <w:rPr>
          <w:sz w:val="24"/>
          <w:szCs w:val="24"/>
        </w:rPr>
        <w:t>Watts, J.</w:t>
      </w:r>
      <w:r w:rsidR="001F1DD5">
        <w:rPr>
          <w:sz w:val="24"/>
          <w:szCs w:val="24"/>
        </w:rPr>
        <w:t>,</w:t>
      </w:r>
      <w:r w:rsidRPr="00452C80">
        <w:rPr>
          <w:sz w:val="24"/>
          <w:szCs w:val="24"/>
        </w:rPr>
        <w:t xml:space="preserve"> and Roberston, N. (2011) Burnout in University Teaching Staff: A systematic literature review. </w:t>
      </w:r>
      <w:r w:rsidRPr="00452C80">
        <w:rPr>
          <w:i/>
          <w:iCs/>
          <w:sz w:val="24"/>
          <w:szCs w:val="24"/>
        </w:rPr>
        <w:t>Educational Research</w:t>
      </w:r>
      <w:r w:rsidRPr="00452C80">
        <w:rPr>
          <w:sz w:val="24"/>
          <w:szCs w:val="24"/>
        </w:rPr>
        <w:t xml:space="preserve">. </w:t>
      </w:r>
      <w:r w:rsidRPr="00452C80">
        <w:rPr>
          <w:b/>
          <w:bCs/>
          <w:sz w:val="24"/>
          <w:szCs w:val="24"/>
        </w:rPr>
        <w:t>53</w:t>
      </w:r>
      <w:r w:rsidRPr="00452C80">
        <w:rPr>
          <w:sz w:val="24"/>
          <w:szCs w:val="24"/>
        </w:rPr>
        <w:t>(1): pp 33–50.</w:t>
      </w:r>
      <w:r w:rsidRPr="00452C80">
        <w:rPr>
          <w:rFonts w:ascii="Open Sans" w:eastAsia="Times New Roman" w:hAnsi="Open Sans" w:cs="Open Sans"/>
          <w:sz w:val="20"/>
          <w:szCs w:val="20"/>
          <w:lang w:eastAsia="en-GB"/>
        </w:rPr>
        <w:t xml:space="preserve"> </w:t>
      </w:r>
      <w:hyperlink r:id="rId473" w:history="1">
        <w:r w:rsidRPr="00FC5D26">
          <w:rPr>
            <w:rStyle w:val="Hyperlink"/>
            <w:color w:val="0070C0"/>
            <w:sz w:val="24"/>
            <w:szCs w:val="24"/>
          </w:rPr>
          <w:t>https://doi.org/10.1080/00131881.2011.552235</w:t>
        </w:r>
      </w:hyperlink>
    </w:p>
    <w:p w14:paraId="31C7177F" w14:textId="77777777" w:rsidR="00640A2D" w:rsidRPr="00452C80" w:rsidRDefault="00640A2D" w:rsidP="00481CEB">
      <w:pPr>
        <w:spacing w:line="360" w:lineRule="auto"/>
        <w:ind w:left="833" w:hanging="720"/>
        <w:rPr>
          <w:sz w:val="24"/>
          <w:szCs w:val="24"/>
        </w:rPr>
      </w:pPr>
      <w:r w:rsidRPr="00452C80">
        <w:rPr>
          <w:sz w:val="24"/>
          <w:szCs w:val="24"/>
        </w:rPr>
        <w:t xml:space="preserve">Webster-Wright, A. (2013) The eye of the storm: A mindful enquiry into reflective practice in higher education. </w:t>
      </w:r>
      <w:r w:rsidRPr="00452C80">
        <w:rPr>
          <w:i/>
          <w:iCs/>
          <w:sz w:val="24"/>
          <w:szCs w:val="24"/>
        </w:rPr>
        <w:t>Reflective Practice</w:t>
      </w:r>
      <w:r w:rsidRPr="00452C80">
        <w:rPr>
          <w:sz w:val="24"/>
          <w:szCs w:val="24"/>
        </w:rPr>
        <w:t xml:space="preserve">, </w:t>
      </w:r>
      <w:r w:rsidRPr="00452C80">
        <w:rPr>
          <w:b/>
          <w:bCs/>
          <w:sz w:val="24"/>
          <w:szCs w:val="24"/>
        </w:rPr>
        <w:t>14</w:t>
      </w:r>
      <w:r w:rsidRPr="00452C80">
        <w:rPr>
          <w:sz w:val="24"/>
          <w:szCs w:val="24"/>
        </w:rPr>
        <w:t>(4): pp. 556-567.</w:t>
      </w:r>
      <w:r w:rsidRPr="00452C80">
        <w:rPr>
          <w:rFonts w:ascii="Open Sans" w:eastAsia="Times New Roman" w:hAnsi="Open Sans" w:cs="Open Sans"/>
          <w:sz w:val="20"/>
          <w:szCs w:val="20"/>
          <w:lang w:eastAsia="en-GB"/>
        </w:rPr>
        <w:t xml:space="preserve"> </w:t>
      </w:r>
      <w:hyperlink r:id="rId474" w:history="1">
        <w:r w:rsidRPr="00FC5D26">
          <w:rPr>
            <w:rStyle w:val="Hyperlink"/>
            <w:color w:val="0070C0"/>
            <w:sz w:val="24"/>
            <w:szCs w:val="24"/>
          </w:rPr>
          <w:t>https://doi.org/10.1080/14623943.2013.810618</w:t>
        </w:r>
      </w:hyperlink>
    </w:p>
    <w:p w14:paraId="3DDD2719" w14:textId="77777777" w:rsidR="00640A2D" w:rsidRPr="00452C80" w:rsidRDefault="00640A2D" w:rsidP="00481CEB">
      <w:pPr>
        <w:spacing w:line="360" w:lineRule="auto"/>
        <w:ind w:left="833" w:hanging="720"/>
        <w:rPr>
          <w:sz w:val="24"/>
          <w:szCs w:val="24"/>
          <w:u w:val="single"/>
        </w:rPr>
      </w:pPr>
      <w:r w:rsidRPr="00452C80">
        <w:rPr>
          <w:sz w:val="24"/>
          <w:szCs w:val="24"/>
        </w:rPr>
        <w:t xml:space="preserve">Welch, P. (2020) Mass Higher Education in England- A Success Story? </w:t>
      </w:r>
      <w:r w:rsidRPr="00452C80">
        <w:rPr>
          <w:i/>
          <w:iCs/>
          <w:sz w:val="24"/>
          <w:szCs w:val="24"/>
        </w:rPr>
        <w:t>Post digital Science and Education</w:t>
      </w:r>
      <w:r w:rsidRPr="00452C80">
        <w:rPr>
          <w:sz w:val="24"/>
          <w:szCs w:val="24"/>
        </w:rPr>
        <w:t xml:space="preserve">, 3: pp.48-64. </w:t>
      </w:r>
      <w:hyperlink r:id="rId475" w:history="1">
        <w:r w:rsidRPr="00FC5D26">
          <w:rPr>
            <w:rStyle w:val="Hyperlink"/>
            <w:color w:val="0070C0"/>
            <w:sz w:val="24"/>
            <w:szCs w:val="24"/>
          </w:rPr>
          <w:t>https://doi.org/10.1007/S42438-020-00111-w</w:t>
        </w:r>
      </w:hyperlink>
    </w:p>
    <w:p w14:paraId="6831BA41" w14:textId="77777777" w:rsidR="00640A2D" w:rsidRPr="00452C80" w:rsidRDefault="00640A2D" w:rsidP="00481CEB">
      <w:pPr>
        <w:spacing w:line="360" w:lineRule="auto"/>
        <w:ind w:left="833" w:hanging="720"/>
        <w:rPr>
          <w:bCs/>
          <w:sz w:val="24"/>
          <w:szCs w:val="24"/>
        </w:rPr>
      </w:pPr>
      <w:r w:rsidRPr="00452C80">
        <w:rPr>
          <w:sz w:val="24"/>
          <w:szCs w:val="24"/>
        </w:rPr>
        <w:t xml:space="preserve">Wellington, J. (2015) </w:t>
      </w:r>
      <w:r w:rsidRPr="00452C80">
        <w:rPr>
          <w:i/>
          <w:iCs/>
          <w:sz w:val="24"/>
          <w:szCs w:val="24"/>
        </w:rPr>
        <w:t>Educational Research: Contemporary Issues and Practical Approaches</w:t>
      </w:r>
      <w:r w:rsidRPr="00452C80">
        <w:rPr>
          <w:sz w:val="24"/>
          <w:szCs w:val="24"/>
        </w:rPr>
        <w:t>. London: Bloomsbury Publishing.</w:t>
      </w:r>
      <w:r w:rsidRPr="00452C80">
        <w:rPr>
          <w:bCs/>
          <w:sz w:val="24"/>
          <w:szCs w:val="24"/>
        </w:rPr>
        <w:t xml:space="preserve"> </w:t>
      </w:r>
    </w:p>
    <w:p w14:paraId="56C33717" w14:textId="1A2BF8A1" w:rsidR="00640A2D" w:rsidRPr="00181E73" w:rsidRDefault="00640A2D" w:rsidP="00481CEB">
      <w:pPr>
        <w:spacing w:line="360" w:lineRule="auto"/>
        <w:ind w:left="833" w:hanging="720"/>
        <w:rPr>
          <w:color w:val="0070C0"/>
          <w:sz w:val="24"/>
          <w:szCs w:val="24"/>
        </w:rPr>
      </w:pPr>
      <w:r w:rsidRPr="00452C80">
        <w:rPr>
          <w:sz w:val="24"/>
          <w:szCs w:val="24"/>
        </w:rPr>
        <w:t>West, M. (2021) Compassionate leadership. Sustaining wisdom, humanity and presence in health and social care. UK. 2021.</w:t>
      </w:r>
      <w:r w:rsidR="00181E73">
        <w:rPr>
          <w:sz w:val="24"/>
          <w:szCs w:val="24"/>
        </w:rPr>
        <w:t xml:space="preserve"> Available at: </w:t>
      </w:r>
      <w:r w:rsidRPr="00452C80">
        <w:rPr>
          <w:sz w:val="24"/>
          <w:szCs w:val="24"/>
        </w:rPr>
        <w:t xml:space="preserve"> </w:t>
      </w:r>
      <w:hyperlink r:id="rId476" w:history="1">
        <w:r w:rsidRPr="00FC5D26">
          <w:rPr>
            <w:rStyle w:val="Hyperlink"/>
            <w:color w:val="0070C0"/>
            <w:sz w:val="24"/>
            <w:szCs w:val="24"/>
          </w:rPr>
          <w:t>https://swirlingleafpress.com/compassionate-leadership</w:t>
        </w:r>
      </w:hyperlink>
      <w:r w:rsidR="00181E73">
        <w:t xml:space="preserve">  </w:t>
      </w:r>
      <w:r w:rsidR="00B25851">
        <w:rPr>
          <w:sz w:val="24"/>
          <w:szCs w:val="24"/>
        </w:rPr>
        <w:t>[Accessed 2</w:t>
      </w:r>
      <w:r w:rsidR="00B25851" w:rsidRPr="00B25851">
        <w:rPr>
          <w:sz w:val="24"/>
          <w:szCs w:val="24"/>
          <w:vertAlign w:val="superscript"/>
        </w:rPr>
        <w:t>nd</w:t>
      </w:r>
      <w:r w:rsidR="00B25851">
        <w:rPr>
          <w:sz w:val="24"/>
          <w:szCs w:val="24"/>
        </w:rPr>
        <w:t xml:space="preserve"> July 2022]</w:t>
      </w:r>
    </w:p>
    <w:p w14:paraId="1A254147" w14:textId="5161BD6A" w:rsidR="00640A2D" w:rsidRPr="00452C80" w:rsidRDefault="00640A2D" w:rsidP="00481CEB">
      <w:pPr>
        <w:spacing w:line="360" w:lineRule="auto"/>
        <w:ind w:left="833" w:hanging="720"/>
        <w:rPr>
          <w:sz w:val="24"/>
          <w:szCs w:val="24"/>
        </w:rPr>
      </w:pPr>
      <w:r w:rsidRPr="00452C80">
        <w:rPr>
          <w:sz w:val="24"/>
          <w:szCs w:val="24"/>
        </w:rPr>
        <w:lastRenderedPageBreak/>
        <w:t xml:space="preserve">West, M., Bailey, S., and Williams, E. (2020) The courage of compassion supporting nurses and midwives to deliver high quality care. </w:t>
      </w:r>
      <w:r w:rsidRPr="00452C80">
        <w:rPr>
          <w:i/>
          <w:iCs/>
          <w:sz w:val="24"/>
          <w:szCs w:val="24"/>
        </w:rPr>
        <w:t>The King’s Fund.</w:t>
      </w:r>
      <w:r w:rsidRPr="00452C80">
        <w:rPr>
          <w:sz w:val="24"/>
          <w:szCs w:val="24"/>
        </w:rPr>
        <w:t xml:space="preserve"> </w:t>
      </w:r>
      <w:r w:rsidR="00B25851">
        <w:rPr>
          <w:sz w:val="24"/>
          <w:szCs w:val="24"/>
        </w:rPr>
        <w:t xml:space="preserve">Available at: </w:t>
      </w:r>
      <w:hyperlink r:id="rId477" w:history="1">
        <w:r w:rsidR="00B25851" w:rsidRPr="00A22652">
          <w:rPr>
            <w:rStyle w:val="Hyperlink"/>
            <w:sz w:val="24"/>
            <w:szCs w:val="24"/>
          </w:rPr>
          <w:t>https://www.kingsfund.org.uk/insight-and-analysis/reports/courage-compassion-supporting-nurses-midwives</w:t>
        </w:r>
      </w:hyperlink>
      <w:r w:rsidRPr="00FC5D26">
        <w:rPr>
          <w:color w:val="0070C0"/>
          <w:sz w:val="24"/>
          <w:szCs w:val="24"/>
        </w:rPr>
        <w:t xml:space="preserve"> </w:t>
      </w:r>
      <w:r w:rsidR="00B25851" w:rsidRPr="00593C21">
        <w:rPr>
          <w:sz w:val="24"/>
          <w:szCs w:val="24"/>
        </w:rPr>
        <w:t>[Accessed 11</w:t>
      </w:r>
      <w:r w:rsidR="00B25851" w:rsidRPr="00593C21">
        <w:rPr>
          <w:sz w:val="24"/>
          <w:szCs w:val="24"/>
          <w:vertAlign w:val="superscript"/>
        </w:rPr>
        <w:t>th</w:t>
      </w:r>
      <w:r w:rsidR="00593C21" w:rsidRPr="00593C21">
        <w:rPr>
          <w:sz w:val="24"/>
          <w:szCs w:val="24"/>
        </w:rPr>
        <w:t xml:space="preserve"> March 2022]</w:t>
      </w:r>
    </w:p>
    <w:p w14:paraId="2246050E" w14:textId="12493C09" w:rsidR="00640A2D" w:rsidRPr="00593C21" w:rsidRDefault="00640A2D" w:rsidP="00481CEB">
      <w:pPr>
        <w:spacing w:line="360" w:lineRule="auto"/>
        <w:ind w:left="833" w:hanging="720"/>
        <w:rPr>
          <w:sz w:val="24"/>
          <w:szCs w:val="24"/>
        </w:rPr>
      </w:pPr>
      <w:r w:rsidRPr="00452C80">
        <w:rPr>
          <w:sz w:val="24"/>
          <w:szCs w:val="24"/>
        </w:rPr>
        <w:t>Westen, D. (1999) “The Scientific Status of Unconscious Processes”, Paper presented on 13</w:t>
      </w:r>
      <w:r w:rsidRPr="00452C80">
        <w:rPr>
          <w:sz w:val="24"/>
          <w:szCs w:val="24"/>
          <w:vertAlign w:val="superscript"/>
        </w:rPr>
        <w:t>th</w:t>
      </w:r>
      <w:r w:rsidRPr="00452C80">
        <w:rPr>
          <w:sz w:val="24"/>
          <w:szCs w:val="24"/>
        </w:rPr>
        <w:t xml:space="preserve"> June 1999 at the Annual meeting of the Rapaport-Klein Study Group. </w:t>
      </w:r>
      <w:r w:rsidR="00593C21">
        <w:rPr>
          <w:sz w:val="24"/>
          <w:szCs w:val="24"/>
        </w:rPr>
        <w:t xml:space="preserve">Available at: </w:t>
      </w:r>
      <w:hyperlink r:id="rId478" w:history="1">
        <w:r w:rsidR="00593C21" w:rsidRPr="00A22652">
          <w:rPr>
            <w:rStyle w:val="Hyperlink"/>
            <w:sz w:val="24"/>
            <w:szCs w:val="24"/>
          </w:rPr>
          <w:t>https://www.psychomedia.it/rapaport-klein/westen99.htm</w:t>
        </w:r>
      </w:hyperlink>
      <w:r w:rsidR="00593C21">
        <w:t xml:space="preserve">  </w:t>
      </w:r>
      <w:r w:rsidR="00593C21">
        <w:rPr>
          <w:sz w:val="24"/>
          <w:szCs w:val="24"/>
        </w:rPr>
        <w:t xml:space="preserve">[Accessed </w:t>
      </w:r>
      <w:r w:rsidR="000224B9">
        <w:rPr>
          <w:sz w:val="24"/>
          <w:szCs w:val="24"/>
        </w:rPr>
        <w:t>1</w:t>
      </w:r>
      <w:r w:rsidR="000224B9" w:rsidRPr="000224B9">
        <w:rPr>
          <w:sz w:val="24"/>
          <w:szCs w:val="24"/>
          <w:vertAlign w:val="superscript"/>
        </w:rPr>
        <w:t>st</w:t>
      </w:r>
      <w:r w:rsidR="000224B9">
        <w:rPr>
          <w:sz w:val="24"/>
          <w:szCs w:val="24"/>
        </w:rPr>
        <w:t xml:space="preserve"> July 2023]</w:t>
      </w:r>
    </w:p>
    <w:p w14:paraId="1C061672" w14:textId="425C29FF" w:rsidR="00640A2D" w:rsidRPr="00452C80" w:rsidRDefault="00640A2D" w:rsidP="00481CEB">
      <w:pPr>
        <w:spacing w:line="360" w:lineRule="auto"/>
        <w:ind w:left="833" w:hanging="720"/>
        <w:rPr>
          <w:sz w:val="24"/>
          <w:szCs w:val="24"/>
        </w:rPr>
      </w:pPr>
      <w:r w:rsidRPr="00452C80">
        <w:rPr>
          <w:sz w:val="24"/>
          <w:szCs w:val="24"/>
        </w:rPr>
        <w:t>Whyte, E., Payne, H.</w:t>
      </w:r>
      <w:r w:rsidR="00EC15DF">
        <w:rPr>
          <w:sz w:val="24"/>
          <w:szCs w:val="24"/>
        </w:rPr>
        <w:t>,</w:t>
      </w:r>
      <w:r w:rsidRPr="00452C80">
        <w:rPr>
          <w:sz w:val="24"/>
          <w:szCs w:val="24"/>
        </w:rPr>
        <w:t xml:space="preserve"> and Hajilou, B. (2024) Staff Confidence in Supporting Student Mental Health: Outcomes from a Survey. </w:t>
      </w:r>
      <w:r w:rsidRPr="00452C80">
        <w:rPr>
          <w:i/>
          <w:iCs/>
          <w:sz w:val="24"/>
          <w:szCs w:val="24"/>
        </w:rPr>
        <w:t>Education Sciences</w:t>
      </w:r>
      <w:r w:rsidRPr="00452C80">
        <w:rPr>
          <w:sz w:val="24"/>
          <w:szCs w:val="24"/>
        </w:rPr>
        <w:t xml:space="preserve">, </w:t>
      </w:r>
      <w:r w:rsidRPr="00452C80">
        <w:rPr>
          <w:b/>
          <w:bCs/>
          <w:sz w:val="24"/>
          <w:szCs w:val="24"/>
        </w:rPr>
        <w:t>14</w:t>
      </w:r>
      <w:r w:rsidRPr="00452C80">
        <w:rPr>
          <w:sz w:val="24"/>
          <w:szCs w:val="24"/>
        </w:rPr>
        <w:t xml:space="preserve">(8); pp.1-11. Article 869. </w:t>
      </w:r>
      <w:hyperlink r:id="rId479" w:history="1">
        <w:r w:rsidRPr="00FC5D26">
          <w:rPr>
            <w:rStyle w:val="Hyperlink"/>
            <w:color w:val="0070C0"/>
            <w:sz w:val="24"/>
            <w:szCs w:val="24"/>
          </w:rPr>
          <w:t>https://doi.org/10.3390/educsci14080869</w:t>
        </w:r>
      </w:hyperlink>
    </w:p>
    <w:p w14:paraId="3097D0A2" w14:textId="77777777" w:rsidR="00640A2D" w:rsidRPr="00452C80" w:rsidRDefault="00640A2D" w:rsidP="00481CEB">
      <w:pPr>
        <w:spacing w:line="360" w:lineRule="auto"/>
        <w:ind w:left="833" w:hanging="720"/>
        <w:rPr>
          <w:sz w:val="24"/>
          <w:szCs w:val="24"/>
        </w:rPr>
      </w:pPr>
      <w:r w:rsidRPr="00452C80">
        <w:rPr>
          <w:sz w:val="24"/>
          <w:szCs w:val="24"/>
        </w:rPr>
        <w:t xml:space="preserve">Wibrowski, C. R., Matthews, W. K., and Kitsantas, A. (2017) The role of a skills learning support program on first-generation college students' self-regulation, motivation, and academic achievement: A longitudinal study. </w:t>
      </w:r>
      <w:r w:rsidRPr="00452C80">
        <w:rPr>
          <w:i/>
          <w:iCs/>
          <w:sz w:val="24"/>
          <w:szCs w:val="24"/>
        </w:rPr>
        <w:t>Journal of College Student Retention: Research, Theory and</w:t>
      </w:r>
      <w:r w:rsidRPr="00452C80">
        <w:rPr>
          <w:sz w:val="24"/>
          <w:szCs w:val="24"/>
        </w:rPr>
        <w:t xml:space="preserve"> </w:t>
      </w:r>
      <w:r w:rsidRPr="00452C80">
        <w:rPr>
          <w:i/>
          <w:iCs/>
          <w:sz w:val="24"/>
          <w:szCs w:val="24"/>
        </w:rPr>
        <w:t>Practice</w:t>
      </w:r>
      <w:r w:rsidRPr="00452C80">
        <w:rPr>
          <w:sz w:val="24"/>
          <w:szCs w:val="24"/>
        </w:rPr>
        <w:t xml:space="preserve">, </w:t>
      </w:r>
      <w:r w:rsidRPr="00452C80">
        <w:rPr>
          <w:b/>
          <w:bCs/>
          <w:sz w:val="24"/>
          <w:szCs w:val="24"/>
        </w:rPr>
        <w:t>19</w:t>
      </w:r>
      <w:r w:rsidRPr="00452C80">
        <w:rPr>
          <w:sz w:val="24"/>
          <w:szCs w:val="24"/>
        </w:rPr>
        <w:t xml:space="preserve">(3): pp. 317– 332. </w:t>
      </w:r>
      <w:hyperlink r:id="rId480" w:history="1">
        <w:r w:rsidRPr="00FC5D26">
          <w:rPr>
            <w:rStyle w:val="Hyperlink"/>
            <w:color w:val="0070C0"/>
            <w:sz w:val="24"/>
            <w:szCs w:val="24"/>
          </w:rPr>
          <w:t>https://doi.org/10.1177/1521025116629152</w:t>
        </w:r>
      </w:hyperlink>
    </w:p>
    <w:p w14:paraId="4B2B99B0" w14:textId="562B1731" w:rsidR="00640A2D" w:rsidRPr="000224B9" w:rsidRDefault="00640A2D" w:rsidP="00481CEB">
      <w:pPr>
        <w:spacing w:line="360" w:lineRule="auto"/>
        <w:ind w:left="833" w:hanging="720"/>
        <w:rPr>
          <w:sz w:val="24"/>
          <w:szCs w:val="24"/>
        </w:rPr>
      </w:pPr>
      <w:r w:rsidRPr="00452C80">
        <w:rPr>
          <w:rFonts w:ascii="Calibri" w:eastAsia="Aptos" w:hAnsi="Calibri" w:cs="Calibri"/>
          <w:kern w:val="2"/>
          <w:sz w:val="24"/>
          <w:szCs w:val="24"/>
          <w14:ligatures w14:val="standardContextual"/>
        </w:rPr>
        <w:t>Wideman, J.</w:t>
      </w:r>
      <w:r w:rsidR="001F1DD5">
        <w:rPr>
          <w:rFonts w:ascii="Calibri" w:eastAsia="Aptos" w:hAnsi="Calibri" w:cs="Calibri"/>
          <w:kern w:val="2"/>
          <w:sz w:val="24"/>
          <w:szCs w:val="24"/>
          <w14:ligatures w14:val="standardContextual"/>
        </w:rPr>
        <w:t xml:space="preserve"> </w:t>
      </w:r>
      <w:r w:rsidRPr="00452C80">
        <w:rPr>
          <w:rFonts w:ascii="Calibri" w:eastAsia="Aptos" w:hAnsi="Calibri" w:cs="Calibri"/>
          <w:kern w:val="2"/>
          <w:sz w:val="24"/>
          <w:szCs w:val="24"/>
          <w14:ligatures w14:val="standardContextual"/>
        </w:rPr>
        <w:t xml:space="preserve">E. (2020) A Conversation with Professor John Edgar Wideman. (Moderator Dr Leila Kamali). </w:t>
      </w:r>
      <w:r w:rsidRPr="00452C80">
        <w:rPr>
          <w:rFonts w:ascii="Calibri" w:eastAsia="Aptos" w:hAnsi="Calibri" w:cs="Calibri"/>
          <w:i/>
          <w:iCs/>
          <w:kern w:val="2"/>
          <w:sz w:val="24"/>
          <w:szCs w:val="24"/>
          <w14:ligatures w14:val="standardContextual"/>
        </w:rPr>
        <w:t>Rhodes Trust</w:t>
      </w:r>
      <w:r w:rsidRPr="00452C80">
        <w:rPr>
          <w:rFonts w:ascii="Calibri" w:eastAsia="Aptos" w:hAnsi="Calibri" w:cs="Calibri"/>
          <w:kern w:val="2"/>
          <w:sz w:val="24"/>
          <w:szCs w:val="24"/>
          <w14:ligatures w14:val="standardContextual"/>
        </w:rPr>
        <w:t>. Available at</w:t>
      </w:r>
      <w:r w:rsidR="001F3967">
        <w:rPr>
          <w:rFonts w:ascii="Calibri" w:eastAsia="Aptos" w:hAnsi="Calibri" w:cs="Calibri"/>
          <w:kern w:val="2"/>
          <w:sz w:val="24"/>
          <w:szCs w:val="24"/>
          <w14:ligatures w14:val="standardContextual"/>
        </w:rPr>
        <w:t>:</w:t>
      </w:r>
      <w:r w:rsidRPr="00452C80">
        <w:rPr>
          <w:rFonts w:ascii="Calibri" w:eastAsia="Aptos" w:hAnsi="Calibri" w:cs="Calibri"/>
          <w:kern w:val="2"/>
          <w:sz w:val="24"/>
          <w:szCs w:val="24"/>
          <w14:ligatures w14:val="standardContextual"/>
        </w:rPr>
        <w:t xml:space="preserve"> </w:t>
      </w:r>
      <w:hyperlink r:id="rId481" w:history="1">
        <w:r w:rsidR="00E35828" w:rsidRPr="00C01B7A">
          <w:rPr>
            <w:rStyle w:val="Hyperlink"/>
            <w:sz w:val="24"/>
            <w:szCs w:val="24"/>
          </w:rPr>
          <w:t>https://www.youtube.com/watch?v=aEmv2HnpJwE</w:t>
        </w:r>
      </w:hyperlink>
      <w:r w:rsidR="000224B9">
        <w:t xml:space="preserve">  </w:t>
      </w:r>
      <w:r w:rsidR="000224B9">
        <w:rPr>
          <w:sz w:val="24"/>
          <w:szCs w:val="24"/>
        </w:rPr>
        <w:t>[Accessed 29</w:t>
      </w:r>
      <w:r w:rsidR="000224B9" w:rsidRPr="000224B9">
        <w:rPr>
          <w:sz w:val="24"/>
          <w:szCs w:val="24"/>
          <w:vertAlign w:val="superscript"/>
        </w:rPr>
        <w:t>th</w:t>
      </w:r>
      <w:r w:rsidR="000224B9">
        <w:rPr>
          <w:sz w:val="24"/>
          <w:szCs w:val="24"/>
        </w:rPr>
        <w:t xml:space="preserve"> October 2</w:t>
      </w:r>
      <w:r w:rsidR="00AE3B2B">
        <w:rPr>
          <w:sz w:val="24"/>
          <w:szCs w:val="24"/>
        </w:rPr>
        <w:t>020]</w:t>
      </w:r>
    </w:p>
    <w:p w14:paraId="62B3CFAD" w14:textId="77777777" w:rsidR="00640A2D" w:rsidRPr="00452C80" w:rsidRDefault="00640A2D" w:rsidP="00481CEB">
      <w:pPr>
        <w:spacing w:line="360" w:lineRule="auto"/>
        <w:ind w:left="833" w:hanging="720"/>
        <w:rPr>
          <w:bCs/>
          <w:sz w:val="24"/>
          <w:szCs w:val="24"/>
        </w:rPr>
      </w:pPr>
      <w:r w:rsidRPr="00452C80">
        <w:rPr>
          <w:bCs/>
          <w:sz w:val="24"/>
          <w:szCs w:val="24"/>
        </w:rPr>
        <w:t xml:space="preserve">Wilkerson, I. (2020) </w:t>
      </w:r>
      <w:r w:rsidRPr="00452C80">
        <w:rPr>
          <w:bCs/>
          <w:i/>
          <w:iCs/>
          <w:sz w:val="24"/>
          <w:szCs w:val="24"/>
        </w:rPr>
        <w:t>Caste: The Lies that Divide Us</w:t>
      </w:r>
      <w:r w:rsidRPr="00452C80">
        <w:rPr>
          <w:bCs/>
          <w:sz w:val="24"/>
          <w:szCs w:val="24"/>
        </w:rPr>
        <w:t>. London/New York: Penguin Random House Group.</w:t>
      </w:r>
    </w:p>
    <w:p w14:paraId="2732F86A" w14:textId="26B43BC1" w:rsidR="00640A2D" w:rsidRPr="00452C80" w:rsidRDefault="00640A2D" w:rsidP="00481CEB">
      <w:pPr>
        <w:spacing w:line="360" w:lineRule="auto"/>
        <w:ind w:left="833" w:hanging="720"/>
        <w:rPr>
          <w:sz w:val="24"/>
          <w:szCs w:val="24"/>
        </w:rPr>
      </w:pPr>
      <w:r w:rsidRPr="00452C80">
        <w:rPr>
          <w:bCs/>
          <w:sz w:val="24"/>
          <w:szCs w:val="24"/>
        </w:rPr>
        <w:t xml:space="preserve">Wiking, M. (2016) </w:t>
      </w:r>
      <w:r w:rsidRPr="00452C80">
        <w:rPr>
          <w:bCs/>
          <w:i/>
          <w:iCs/>
          <w:sz w:val="24"/>
          <w:szCs w:val="24"/>
        </w:rPr>
        <w:t>The Little Book of Hygge: The Danish Way to Live Well.</w:t>
      </w:r>
      <w:r w:rsidRPr="00452C80">
        <w:rPr>
          <w:bCs/>
          <w:sz w:val="24"/>
          <w:szCs w:val="24"/>
        </w:rPr>
        <w:t xml:space="preserve"> (1st ed</w:t>
      </w:r>
      <w:r w:rsidR="002D3611">
        <w:rPr>
          <w:bCs/>
          <w:sz w:val="24"/>
          <w:szCs w:val="24"/>
        </w:rPr>
        <w:t>ition</w:t>
      </w:r>
      <w:r w:rsidRPr="00452C80">
        <w:rPr>
          <w:bCs/>
          <w:sz w:val="24"/>
          <w:szCs w:val="24"/>
        </w:rPr>
        <w:t>)</w:t>
      </w:r>
      <w:r w:rsidR="002D3611">
        <w:rPr>
          <w:bCs/>
          <w:sz w:val="24"/>
          <w:szCs w:val="24"/>
        </w:rPr>
        <w:t xml:space="preserve">. </w:t>
      </w:r>
      <w:r w:rsidRPr="00452C80">
        <w:rPr>
          <w:bCs/>
          <w:sz w:val="24"/>
          <w:szCs w:val="24"/>
        </w:rPr>
        <w:t>London: Penguin Life.</w:t>
      </w:r>
    </w:p>
    <w:p w14:paraId="6970C8CE" w14:textId="1E14755D" w:rsidR="00640A2D" w:rsidRPr="00452C80" w:rsidRDefault="00640A2D" w:rsidP="00481CEB">
      <w:pPr>
        <w:spacing w:line="360" w:lineRule="auto"/>
        <w:ind w:left="833" w:hanging="720"/>
        <w:rPr>
          <w:bCs/>
          <w:sz w:val="24"/>
          <w:szCs w:val="24"/>
        </w:rPr>
      </w:pPr>
      <w:r w:rsidRPr="00452C80">
        <w:rPr>
          <w:bCs/>
          <w:sz w:val="24"/>
          <w:szCs w:val="24"/>
        </w:rPr>
        <w:t xml:space="preserve">Willig, C. (2008) </w:t>
      </w:r>
      <w:r w:rsidRPr="00452C80">
        <w:rPr>
          <w:bCs/>
          <w:i/>
          <w:iCs/>
          <w:sz w:val="24"/>
          <w:szCs w:val="24"/>
        </w:rPr>
        <w:t>Introducing Qualitative Research in Psychology</w:t>
      </w:r>
      <w:r w:rsidRPr="00452C80">
        <w:rPr>
          <w:bCs/>
          <w:sz w:val="24"/>
          <w:szCs w:val="24"/>
        </w:rPr>
        <w:t xml:space="preserve"> (</w:t>
      </w:r>
      <w:r w:rsidR="007220EC">
        <w:rPr>
          <w:bCs/>
          <w:sz w:val="24"/>
          <w:szCs w:val="24"/>
        </w:rPr>
        <w:t>2nd</w:t>
      </w:r>
      <w:r w:rsidRPr="00452C80">
        <w:rPr>
          <w:bCs/>
          <w:sz w:val="24"/>
          <w:szCs w:val="24"/>
        </w:rPr>
        <w:t xml:space="preserve"> edition). Berkshire: Open University Press.</w:t>
      </w:r>
    </w:p>
    <w:p w14:paraId="26D47FEC" w14:textId="15304308" w:rsidR="00640A2D" w:rsidRPr="00452C80" w:rsidRDefault="00640A2D" w:rsidP="00481CEB">
      <w:pPr>
        <w:spacing w:line="360" w:lineRule="auto"/>
        <w:ind w:left="833" w:hanging="720"/>
        <w:rPr>
          <w:bCs/>
          <w:sz w:val="24"/>
          <w:szCs w:val="24"/>
        </w:rPr>
      </w:pPr>
      <w:r w:rsidRPr="00452C80">
        <w:rPr>
          <w:bCs/>
          <w:sz w:val="24"/>
          <w:szCs w:val="24"/>
        </w:rPr>
        <w:t>Willis, J., and Baines, E. (2018) The perceived benefits and difficulties in introducing and maintaining supervision groups in a SEMH special school. </w:t>
      </w:r>
      <w:r w:rsidRPr="00452C80">
        <w:rPr>
          <w:bCs/>
          <w:i/>
          <w:iCs/>
          <w:sz w:val="24"/>
          <w:szCs w:val="24"/>
        </w:rPr>
        <w:t>Educational Review</w:t>
      </w:r>
      <w:r w:rsidRPr="00452C80">
        <w:rPr>
          <w:bCs/>
          <w:sz w:val="24"/>
          <w:szCs w:val="24"/>
        </w:rPr>
        <w:t>, </w:t>
      </w:r>
      <w:r w:rsidRPr="00452C80">
        <w:rPr>
          <w:b/>
          <w:sz w:val="24"/>
          <w:szCs w:val="24"/>
        </w:rPr>
        <w:t>70</w:t>
      </w:r>
      <w:r w:rsidRPr="00452C80">
        <w:rPr>
          <w:bCs/>
          <w:sz w:val="24"/>
          <w:szCs w:val="24"/>
        </w:rPr>
        <w:t>(3): pp. 259-279. </w:t>
      </w:r>
      <w:r w:rsidRPr="00FC5D26">
        <w:rPr>
          <w:bCs/>
          <w:color w:val="0070C0"/>
          <w:sz w:val="24"/>
          <w:szCs w:val="24"/>
        </w:rPr>
        <w:t xml:space="preserve"> </w:t>
      </w:r>
      <w:hyperlink r:id="rId482" w:history="1">
        <w:r w:rsidRPr="00FC5D26">
          <w:rPr>
            <w:rStyle w:val="Hyperlink"/>
            <w:bCs/>
            <w:color w:val="0070C0"/>
            <w:sz w:val="24"/>
            <w:szCs w:val="24"/>
          </w:rPr>
          <w:t>https://doi.org/10.1080/00131911.2017.1311303</w:t>
        </w:r>
      </w:hyperlink>
    </w:p>
    <w:p w14:paraId="17CB098D" w14:textId="07FDD139" w:rsidR="00640A2D" w:rsidRPr="00452C80" w:rsidRDefault="00640A2D" w:rsidP="00481CEB">
      <w:pPr>
        <w:spacing w:line="360" w:lineRule="auto"/>
        <w:ind w:left="833" w:hanging="720"/>
        <w:rPr>
          <w:sz w:val="24"/>
          <w:szCs w:val="24"/>
        </w:rPr>
      </w:pPr>
      <w:r w:rsidRPr="00452C80">
        <w:rPr>
          <w:sz w:val="24"/>
          <w:szCs w:val="24"/>
        </w:rPr>
        <w:lastRenderedPageBreak/>
        <w:t>Winnicott, D.</w:t>
      </w:r>
      <w:r w:rsidR="001F1DD5">
        <w:rPr>
          <w:sz w:val="24"/>
          <w:szCs w:val="24"/>
        </w:rPr>
        <w:t xml:space="preserve"> </w:t>
      </w:r>
      <w:r w:rsidRPr="00452C80">
        <w:rPr>
          <w:sz w:val="24"/>
          <w:szCs w:val="24"/>
        </w:rPr>
        <w:t xml:space="preserve">W. (1951) </w:t>
      </w:r>
      <w:r w:rsidRPr="00452C80">
        <w:rPr>
          <w:i/>
          <w:iCs/>
          <w:sz w:val="24"/>
          <w:szCs w:val="24"/>
        </w:rPr>
        <w:t>Transitional Objects and Transitional Phenomena in Collected Papers: Through Paediatrics to Psychoanalysis.</w:t>
      </w:r>
      <w:r w:rsidRPr="00452C80">
        <w:rPr>
          <w:sz w:val="24"/>
          <w:szCs w:val="24"/>
        </w:rPr>
        <w:t xml:space="preserve"> New York: Basic Books.</w:t>
      </w:r>
    </w:p>
    <w:p w14:paraId="633A2B88" w14:textId="77777777" w:rsidR="00640A2D" w:rsidRPr="00452C80" w:rsidRDefault="00640A2D" w:rsidP="00481CEB">
      <w:pPr>
        <w:spacing w:line="360" w:lineRule="auto"/>
        <w:ind w:left="833" w:hanging="720"/>
        <w:rPr>
          <w:sz w:val="24"/>
          <w:szCs w:val="24"/>
        </w:rPr>
      </w:pPr>
      <w:r w:rsidRPr="00452C80">
        <w:rPr>
          <w:sz w:val="24"/>
          <w:szCs w:val="24"/>
        </w:rPr>
        <w:t xml:space="preserve">Winnicott, D. W. (1953) Transitional Objects and Transitional Phenomena—A Study of the First Not-Me Possession. </w:t>
      </w:r>
      <w:r w:rsidRPr="00452C80">
        <w:rPr>
          <w:i/>
          <w:iCs/>
          <w:sz w:val="24"/>
          <w:szCs w:val="24"/>
        </w:rPr>
        <w:t>International Journal of Psychoanalysis</w:t>
      </w:r>
      <w:r w:rsidRPr="00452C80">
        <w:rPr>
          <w:sz w:val="24"/>
          <w:szCs w:val="24"/>
        </w:rPr>
        <w:t>, 34: pp. 89-97</w:t>
      </w:r>
      <w:r w:rsidRPr="00452C80">
        <w:t xml:space="preserve"> </w:t>
      </w:r>
      <w:hyperlink r:id="rId483" w:history="1">
        <w:r w:rsidRPr="00481CEB">
          <w:rPr>
            <w:rStyle w:val="Hyperlink"/>
            <w:color w:val="0070C0"/>
            <w:sz w:val="24"/>
            <w:szCs w:val="24"/>
          </w:rPr>
          <w:t>https://doi.org/10.1093/med:psych/9780190271367.003.0034</w:t>
        </w:r>
      </w:hyperlink>
    </w:p>
    <w:p w14:paraId="49A4DAEB" w14:textId="77777777" w:rsidR="00640A2D" w:rsidRPr="00452C80" w:rsidRDefault="00640A2D" w:rsidP="00481CEB">
      <w:pPr>
        <w:spacing w:line="360" w:lineRule="auto"/>
        <w:ind w:left="833" w:hanging="720"/>
        <w:rPr>
          <w:bCs/>
          <w:sz w:val="24"/>
          <w:szCs w:val="24"/>
        </w:rPr>
      </w:pPr>
      <w:r w:rsidRPr="00452C80">
        <w:rPr>
          <w:bCs/>
          <w:sz w:val="24"/>
          <w:szCs w:val="24"/>
        </w:rPr>
        <w:t xml:space="preserve">Winnicott, D. W. (1956/1984) Primary maternal preoccupation. In: </w:t>
      </w:r>
      <w:r w:rsidRPr="00452C80">
        <w:rPr>
          <w:bCs/>
          <w:i/>
          <w:iCs/>
          <w:sz w:val="24"/>
          <w:szCs w:val="24"/>
        </w:rPr>
        <w:t>Through Paediatrics to Psychoanalysis: Collected papers</w:t>
      </w:r>
      <w:r w:rsidRPr="00452C80">
        <w:rPr>
          <w:bCs/>
          <w:sz w:val="24"/>
          <w:szCs w:val="24"/>
        </w:rPr>
        <w:t>. London: Karnac Books.</w:t>
      </w:r>
    </w:p>
    <w:p w14:paraId="546F5365" w14:textId="2F5033E0" w:rsidR="00640A2D" w:rsidRPr="00452C80" w:rsidRDefault="00640A2D" w:rsidP="00481CEB">
      <w:pPr>
        <w:spacing w:line="360" w:lineRule="auto"/>
        <w:ind w:left="833" w:hanging="720"/>
        <w:rPr>
          <w:bCs/>
          <w:sz w:val="24"/>
          <w:szCs w:val="24"/>
        </w:rPr>
      </w:pPr>
      <w:r w:rsidRPr="00452C80">
        <w:rPr>
          <w:bCs/>
          <w:sz w:val="24"/>
          <w:szCs w:val="24"/>
        </w:rPr>
        <w:t>Winnicott, D.</w:t>
      </w:r>
      <w:r w:rsidR="001F1DD5">
        <w:rPr>
          <w:bCs/>
          <w:sz w:val="24"/>
          <w:szCs w:val="24"/>
        </w:rPr>
        <w:t xml:space="preserve"> </w:t>
      </w:r>
      <w:r w:rsidRPr="00452C80">
        <w:rPr>
          <w:bCs/>
          <w:sz w:val="24"/>
          <w:szCs w:val="24"/>
        </w:rPr>
        <w:t xml:space="preserve">W. (1958/1992) </w:t>
      </w:r>
      <w:r w:rsidRPr="00452C80">
        <w:rPr>
          <w:bCs/>
          <w:i/>
          <w:iCs/>
          <w:sz w:val="24"/>
          <w:szCs w:val="24"/>
        </w:rPr>
        <w:t>Through Paediatrics to Psychoanalysis: Collected Papers.</w:t>
      </w:r>
      <w:r w:rsidRPr="00452C80">
        <w:rPr>
          <w:bCs/>
          <w:sz w:val="24"/>
          <w:szCs w:val="24"/>
        </w:rPr>
        <w:t xml:space="preserve"> Abingdon, UK: Routledge.</w:t>
      </w:r>
    </w:p>
    <w:p w14:paraId="4DDF245B" w14:textId="32E2ECBF" w:rsidR="00640A2D" w:rsidRPr="00452C80" w:rsidRDefault="00640A2D" w:rsidP="00481CEB">
      <w:pPr>
        <w:spacing w:line="360" w:lineRule="auto"/>
        <w:ind w:left="833" w:hanging="720"/>
        <w:rPr>
          <w:sz w:val="24"/>
          <w:szCs w:val="24"/>
        </w:rPr>
      </w:pPr>
      <w:r w:rsidRPr="00452C80">
        <w:rPr>
          <w:sz w:val="24"/>
          <w:szCs w:val="24"/>
        </w:rPr>
        <w:t>Winnicott, D.</w:t>
      </w:r>
      <w:r w:rsidR="001F1DD5">
        <w:rPr>
          <w:sz w:val="24"/>
          <w:szCs w:val="24"/>
        </w:rPr>
        <w:t xml:space="preserve"> </w:t>
      </w:r>
      <w:r w:rsidRPr="00452C80">
        <w:rPr>
          <w:sz w:val="24"/>
          <w:szCs w:val="24"/>
        </w:rPr>
        <w:t xml:space="preserve">W. (1960) The theory of the parent-infant relationship. </w:t>
      </w:r>
      <w:r w:rsidRPr="00452C80">
        <w:rPr>
          <w:i/>
          <w:iCs/>
          <w:sz w:val="24"/>
          <w:szCs w:val="24"/>
        </w:rPr>
        <w:t>International Journal of Psychoanalysis</w:t>
      </w:r>
      <w:r w:rsidRPr="00452C80">
        <w:rPr>
          <w:sz w:val="24"/>
          <w:szCs w:val="24"/>
        </w:rPr>
        <w:t>, 41: pp.585-595.</w:t>
      </w:r>
      <w:r w:rsidRPr="00452C80">
        <w:rPr>
          <w:rFonts w:ascii="Segoe UI" w:eastAsia="Times New Roman" w:hAnsi="Segoe UI" w:cs="Segoe UI"/>
          <w:sz w:val="24"/>
          <w:szCs w:val="24"/>
          <w:lang w:eastAsia="en-GB"/>
        </w:rPr>
        <w:t xml:space="preserve"> </w:t>
      </w:r>
      <w:r w:rsidRPr="00452C80">
        <w:rPr>
          <w:sz w:val="24"/>
          <w:szCs w:val="24"/>
        </w:rPr>
        <w:t>PMID: 13785877.</w:t>
      </w:r>
      <w:r w:rsidRPr="00452C80">
        <w:t xml:space="preserve"> </w:t>
      </w:r>
      <w:hyperlink r:id="rId484" w:history="1">
        <w:r w:rsidRPr="00481CEB">
          <w:rPr>
            <w:rStyle w:val="Hyperlink"/>
            <w:color w:val="0070C0"/>
            <w:sz w:val="24"/>
            <w:szCs w:val="24"/>
          </w:rPr>
          <w:t>https://pubmed.ncbi.nlm.nih.gov/13785877/</w:t>
        </w:r>
      </w:hyperlink>
    </w:p>
    <w:p w14:paraId="71D5DD10" w14:textId="3BF07C8C" w:rsidR="00A178D2" w:rsidRPr="00A178D2" w:rsidRDefault="00055410" w:rsidP="00A178D2">
      <w:pPr>
        <w:spacing w:line="360" w:lineRule="auto"/>
        <w:ind w:left="833" w:hanging="720"/>
        <w:rPr>
          <w:sz w:val="24"/>
          <w:szCs w:val="24"/>
        </w:rPr>
      </w:pPr>
      <w:r>
        <w:rPr>
          <w:sz w:val="24"/>
          <w:szCs w:val="24"/>
        </w:rPr>
        <w:t>Winnicott, D. W. (1963) The Development of the Cap</w:t>
      </w:r>
      <w:r w:rsidR="00483D47">
        <w:rPr>
          <w:sz w:val="24"/>
          <w:szCs w:val="24"/>
        </w:rPr>
        <w:t>a</w:t>
      </w:r>
      <w:r>
        <w:rPr>
          <w:sz w:val="24"/>
          <w:szCs w:val="24"/>
        </w:rPr>
        <w:t>c</w:t>
      </w:r>
      <w:r w:rsidR="00483D47">
        <w:rPr>
          <w:sz w:val="24"/>
          <w:szCs w:val="24"/>
        </w:rPr>
        <w:t>ity for Concern</w:t>
      </w:r>
      <w:r w:rsidR="00EF2CC6">
        <w:rPr>
          <w:sz w:val="24"/>
          <w:szCs w:val="24"/>
        </w:rPr>
        <w:t>. First presented to The Topeka Psychoanalytic Society</w:t>
      </w:r>
      <w:r w:rsidR="00C61F7B">
        <w:rPr>
          <w:sz w:val="24"/>
          <w:szCs w:val="24"/>
        </w:rPr>
        <w:t>, 12</w:t>
      </w:r>
      <w:r w:rsidR="00C61F7B" w:rsidRPr="00C61F7B">
        <w:rPr>
          <w:sz w:val="24"/>
          <w:szCs w:val="24"/>
          <w:vertAlign w:val="superscript"/>
        </w:rPr>
        <w:t>th</w:t>
      </w:r>
      <w:r w:rsidR="00C61F7B">
        <w:rPr>
          <w:sz w:val="24"/>
          <w:szCs w:val="24"/>
        </w:rPr>
        <w:t xml:space="preserve"> October1962</w:t>
      </w:r>
      <w:r w:rsidR="008A6F9B">
        <w:rPr>
          <w:sz w:val="24"/>
          <w:szCs w:val="24"/>
        </w:rPr>
        <w:t xml:space="preserve">, and first published in the </w:t>
      </w:r>
      <w:r w:rsidR="008A6F9B" w:rsidRPr="00C14224">
        <w:rPr>
          <w:i/>
          <w:iCs/>
          <w:sz w:val="24"/>
          <w:szCs w:val="24"/>
        </w:rPr>
        <w:t>Bulletin</w:t>
      </w:r>
      <w:r w:rsidR="00343BC5" w:rsidRPr="00C14224">
        <w:rPr>
          <w:i/>
          <w:iCs/>
          <w:sz w:val="24"/>
          <w:szCs w:val="24"/>
        </w:rPr>
        <w:t xml:space="preserve"> of the Menninger Clinic</w:t>
      </w:r>
      <w:r w:rsidR="00343BC5">
        <w:rPr>
          <w:sz w:val="24"/>
          <w:szCs w:val="24"/>
        </w:rPr>
        <w:t>, 27: pp.167-176</w:t>
      </w:r>
      <w:r w:rsidR="00C14224">
        <w:rPr>
          <w:sz w:val="24"/>
          <w:szCs w:val="24"/>
        </w:rPr>
        <w:t>. In</w:t>
      </w:r>
      <w:r w:rsidR="00A178D2" w:rsidRPr="00A178D2">
        <w:rPr>
          <w:sz w:val="24"/>
          <w:szCs w:val="24"/>
        </w:rPr>
        <w:t xml:space="preserve"> D. W. </w:t>
      </w:r>
      <w:r w:rsidR="00B7668F">
        <w:rPr>
          <w:sz w:val="24"/>
          <w:szCs w:val="24"/>
        </w:rPr>
        <w:t xml:space="preserve">Winnicott </w:t>
      </w:r>
      <w:r w:rsidR="00A178D2" w:rsidRPr="00A178D2">
        <w:rPr>
          <w:sz w:val="24"/>
          <w:szCs w:val="24"/>
        </w:rPr>
        <w:t>(1965/1990)</w:t>
      </w:r>
      <w:r w:rsidR="00B7668F">
        <w:rPr>
          <w:sz w:val="24"/>
          <w:szCs w:val="24"/>
        </w:rPr>
        <w:t xml:space="preserve">, </w:t>
      </w:r>
      <w:r w:rsidR="00A178D2" w:rsidRPr="00A178D2">
        <w:rPr>
          <w:i/>
          <w:sz w:val="24"/>
          <w:szCs w:val="24"/>
        </w:rPr>
        <w:t>The Maturational Processes and the Facilitating Environment: Studies in the theory of emotional development</w:t>
      </w:r>
      <w:r w:rsidR="00A178D2" w:rsidRPr="00A178D2">
        <w:rPr>
          <w:sz w:val="24"/>
          <w:szCs w:val="24"/>
        </w:rPr>
        <w:t xml:space="preserve">. London: </w:t>
      </w:r>
      <w:bookmarkStart w:id="102" w:name="_Hlk219767851"/>
      <w:r w:rsidR="00F65327">
        <w:rPr>
          <w:sz w:val="24"/>
          <w:szCs w:val="24"/>
        </w:rPr>
        <w:t>The Institute of Psychoanalysis</w:t>
      </w:r>
      <w:bookmarkEnd w:id="102"/>
      <w:r w:rsidR="00F65327">
        <w:rPr>
          <w:sz w:val="24"/>
          <w:szCs w:val="24"/>
        </w:rPr>
        <w:t xml:space="preserve">, </w:t>
      </w:r>
      <w:r w:rsidR="00A178D2" w:rsidRPr="00A178D2">
        <w:rPr>
          <w:sz w:val="24"/>
          <w:szCs w:val="24"/>
        </w:rPr>
        <w:t>Karnac</w:t>
      </w:r>
      <w:r w:rsidR="006E220B">
        <w:rPr>
          <w:sz w:val="24"/>
          <w:szCs w:val="24"/>
        </w:rPr>
        <w:t xml:space="preserve">. </w:t>
      </w:r>
    </w:p>
    <w:p w14:paraId="048288A9" w14:textId="400A2E19" w:rsidR="00640A2D" w:rsidRPr="00452C80" w:rsidRDefault="00BF775B" w:rsidP="00703078">
      <w:pPr>
        <w:spacing w:line="360" w:lineRule="auto"/>
        <w:ind w:left="720" w:hanging="720"/>
        <w:rPr>
          <w:sz w:val="24"/>
          <w:szCs w:val="24"/>
        </w:rPr>
      </w:pPr>
      <w:r>
        <w:rPr>
          <w:sz w:val="24"/>
          <w:szCs w:val="24"/>
        </w:rPr>
        <w:t xml:space="preserve">  </w:t>
      </w:r>
      <w:r w:rsidR="00640A2D" w:rsidRPr="00452C80">
        <w:rPr>
          <w:sz w:val="24"/>
          <w:szCs w:val="24"/>
        </w:rPr>
        <w:t>Winnicott</w:t>
      </w:r>
      <w:r>
        <w:rPr>
          <w:sz w:val="24"/>
          <w:szCs w:val="24"/>
        </w:rPr>
        <w:t>,</w:t>
      </w:r>
      <w:r w:rsidR="00640A2D" w:rsidRPr="00452C80">
        <w:rPr>
          <w:sz w:val="24"/>
          <w:szCs w:val="24"/>
        </w:rPr>
        <w:t xml:space="preserve"> D. W. (1965) </w:t>
      </w:r>
      <w:r w:rsidR="00640A2D" w:rsidRPr="00452C80">
        <w:rPr>
          <w:i/>
          <w:sz w:val="24"/>
          <w:szCs w:val="24"/>
        </w:rPr>
        <w:t>The Maturational Processes and the Facilitating Environment: Studies in the theory of emotional development</w:t>
      </w:r>
      <w:r w:rsidR="00640A2D" w:rsidRPr="00452C80">
        <w:rPr>
          <w:sz w:val="24"/>
          <w:szCs w:val="24"/>
        </w:rPr>
        <w:t>. London:</w:t>
      </w:r>
      <w:r w:rsidR="006E220B" w:rsidRPr="006E220B">
        <w:rPr>
          <w:sz w:val="24"/>
          <w:szCs w:val="24"/>
        </w:rPr>
        <w:t xml:space="preserve"> The Institute</w:t>
      </w:r>
      <w:r w:rsidR="003B7D14">
        <w:rPr>
          <w:sz w:val="24"/>
          <w:szCs w:val="24"/>
        </w:rPr>
        <w:t xml:space="preserve"> of </w:t>
      </w:r>
      <w:r w:rsidR="006E220B" w:rsidRPr="006E220B">
        <w:rPr>
          <w:sz w:val="24"/>
          <w:szCs w:val="24"/>
        </w:rPr>
        <w:t>Psychoanalysis</w:t>
      </w:r>
      <w:r w:rsidR="006E220B">
        <w:rPr>
          <w:sz w:val="24"/>
          <w:szCs w:val="24"/>
        </w:rPr>
        <w:t>,</w:t>
      </w:r>
      <w:r w:rsidR="00640A2D" w:rsidRPr="00452C80">
        <w:rPr>
          <w:sz w:val="24"/>
          <w:szCs w:val="24"/>
        </w:rPr>
        <w:t xml:space="preserve"> Karnac</w:t>
      </w:r>
      <w:r w:rsidR="00760F03">
        <w:rPr>
          <w:sz w:val="24"/>
          <w:szCs w:val="24"/>
        </w:rPr>
        <w:t xml:space="preserve"> Books.</w:t>
      </w:r>
      <w:r w:rsidR="00640A2D" w:rsidRPr="00452C80">
        <w:rPr>
          <w:sz w:val="24"/>
          <w:szCs w:val="24"/>
        </w:rPr>
        <w:t xml:space="preserve"> </w:t>
      </w:r>
    </w:p>
    <w:p w14:paraId="1EC16774" w14:textId="77777777" w:rsidR="00640A2D" w:rsidRPr="00452C80" w:rsidRDefault="00640A2D" w:rsidP="00481CEB">
      <w:pPr>
        <w:spacing w:line="360" w:lineRule="auto"/>
        <w:ind w:left="833" w:hanging="720"/>
        <w:rPr>
          <w:bCs/>
          <w:sz w:val="24"/>
          <w:szCs w:val="24"/>
        </w:rPr>
      </w:pPr>
      <w:r w:rsidRPr="00452C80">
        <w:rPr>
          <w:bCs/>
          <w:sz w:val="24"/>
          <w:szCs w:val="24"/>
        </w:rPr>
        <w:t xml:space="preserve">Winnicott, D. W. (1971) </w:t>
      </w:r>
      <w:r w:rsidRPr="00452C80">
        <w:rPr>
          <w:bCs/>
          <w:i/>
          <w:iCs/>
          <w:sz w:val="24"/>
          <w:szCs w:val="24"/>
        </w:rPr>
        <w:t>Playing and Reality</w:t>
      </w:r>
      <w:r w:rsidRPr="00452C80">
        <w:rPr>
          <w:bCs/>
          <w:sz w:val="24"/>
          <w:szCs w:val="24"/>
        </w:rPr>
        <w:t>. London: Penguin.</w:t>
      </w:r>
    </w:p>
    <w:p w14:paraId="38B549CA" w14:textId="77777777" w:rsidR="00640A2D" w:rsidRPr="00452C80"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 xml:space="preserve">Winnicott, D. W. (1988) Human Nature. Levittown, PA: Brunner/Mazel. </w:t>
      </w:r>
    </w:p>
    <w:p w14:paraId="1DDC9A09" w14:textId="77777777" w:rsidR="00640A2D" w:rsidRPr="00452C80"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Winnicott, D. W. (1989) Psychoanalytic Explorations. Cambridge, MA: Harvard University press.</w:t>
      </w:r>
    </w:p>
    <w:p w14:paraId="330E01F8" w14:textId="77777777" w:rsidR="00640A2D" w:rsidRPr="00452C80" w:rsidRDefault="00640A2D" w:rsidP="00481CEB">
      <w:pPr>
        <w:spacing w:line="360" w:lineRule="auto"/>
        <w:ind w:left="833" w:hanging="720"/>
        <w:rPr>
          <w:rFonts w:ascii="Calibri" w:eastAsia="Aptos" w:hAnsi="Calibri" w:cs="Calibri"/>
          <w:bCs/>
          <w:kern w:val="2"/>
          <w:sz w:val="24"/>
          <w:szCs w:val="24"/>
          <w14:ligatures w14:val="standardContextual"/>
        </w:rPr>
      </w:pPr>
      <w:r w:rsidRPr="00452C80">
        <w:rPr>
          <w:rFonts w:ascii="Calibri" w:eastAsia="Aptos" w:hAnsi="Calibri" w:cs="Calibri"/>
          <w:bCs/>
          <w:kern w:val="2"/>
          <w:sz w:val="24"/>
          <w:szCs w:val="24"/>
          <w14:ligatures w14:val="standardContextual"/>
        </w:rPr>
        <w:t xml:space="preserve">Winnicott, D. W. (1992) </w:t>
      </w:r>
      <w:r w:rsidRPr="00452C80">
        <w:rPr>
          <w:rFonts w:ascii="Calibri" w:eastAsia="Aptos" w:hAnsi="Calibri" w:cs="Calibri"/>
          <w:bCs/>
          <w:i/>
          <w:iCs/>
          <w:kern w:val="2"/>
          <w:sz w:val="24"/>
          <w:szCs w:val="24"/>
          <w14:ligatures w14:val="standardContextual"/>
        </w:rPr>
        <w:t>Babies and Their Mothers</w:t>
      </w:r>
      <w:r w:rsidRPr="00452C80">
        <w:rPr>
          <w:rFonts w:ascii="Calibri" w:eastAsia="Aptos" w:hAnsi="Calibri" w:cs="Calibri"/>
          <w:bCs/>
          <w:kern w:val="2"/>
          <w:sz w:val="24"/>
          <w:szCs w:val="24"/>
          <w14:ligatures w14:val="standardContextual"/>
        </w:rPr>
        <w:t>. London: Free Association.</w:t>
      </w:r>
    </w:p>
    <w:p w14:paraId="3B6E5180" w14:textId="77777777" w:rsidR="00640A2D" w:rsidRDefault="00640A2D" w:rsidP="00481CEB">
      <w:pPr>
        <w:spacing w:line="360" w:lineRule="auto"/>
        <w:ind w:left="833" w:hanging="720"/>
        <w:rPr>
          <w:rFonts w:ascii="Calibri" w:eastAsia="Aptos" w:hAnsi="Calibri" w:cs="Calibri"/>
          <w:kern w:val="2"/>
          <w:sz w:val="24"/>
          <w:szCs w:val="24"/>
          <w14:ligatures w14:val="standardContextual"/>
        </w:rPr>
      </w:pPr>
      <w:r w:rsidRPr="00452C80">
        <w:rPr>
          <w:rFonts w:ascii="Calibri" w:eastAsia="Aptos" w:hAnsi="Calibri" w:cs="Calibri"/>
          <w:kern w:val="2"/>
          <w:sz w:val="24"/>
          <w:szCs w:val="24"/>
          <w14:ligatures w14:val="standardContextual"/>
        </w:rPr>
        <w:t>Winnicott, D. W. (2002) </w:t>
      </w:r>
      <w:r w:rsidRPr="00452C80">
        <w:rPr>
          <w:rFonts w:ascii="Calibri" w:eastAsia="Aptos" w:hAnsi="Calibri" w:cs="Calibri"/>
          <w:i/>
          <w:iCs/>
          <w:kern w:val="2"/>
          <w:sz w:val="24"/>
          <w:szCs w:val="24"/>
          <w14:ligatures w14:val="standardContextual"/>
        </w:rPr>
        <w:t>Winnicott on the Child.</w:t>
      </w:r>
      <w:r w:rsidRPr="00452C80">
        <w:rPr>
          <w:rFonts w:ascii="Calibri" w:eastAsia="Aptos" w:hAnsi="Calibri" w:cs="Calibri"/>
          <w:kern w:val="2"/>
          <w:sz w:val="24"/>
          <w:szCs w:val="24"/>
          <w14:ligatures w14:val="standardContextual"/>
        </w:rPr>
        <w:t> Cambridge, MA: Perseus Publishing.</w:t>
      </w:r>
    </w:p>
    <w:p w14:paraId="5FC51C1C" w14:textId="6EF86BFA" w:rsidR="007F72FA" w:rsidRPr="00E320DC" w:rsidRDefault="00E320DC" w:rsidP="00E320DC">
      <w:pPr>
        <w:spacing w:line="360" w:lineRule="auto"/>
        <w:ind w:left="720" w:hanging="720"/>
        <w:rPr>
          <w:rFonts w:ascii="Calibri" w:eastAsia="Aptos" w:hAnsi="Calibri" w:cs="Calibri"/>
          <w:bCs/>
          <w:kern w:val="2"/>
          <w:sz w:val="24"/>
          <w:szCs w:val="24"/>
          <w14:ligatures w14:val="standardContextual"/>
        </w:rPr>
      </w:pPr>
      <w:r>
        <w:rPr>
          <w:rFonts w:ascii="Calibri" w:eastAsia="Aptos" w:hAnsi="Calibri" w:cs="Calibri"/>
          <w:bCs/>
          <w:kern w:val="2"/>
          <w:sz w:val="24"/>
          <w:szCs w:val="24"/>
          <w14:ligatures w14:val="standardContextual"/>
        </w:rPr>
        <w:lastRenderedPageBreak/>
        <w:t xml:space="preserve">  </w:t>
      </w:r>
      <w:r w:rsidR="00E35828" w:rsidRPr="00E35828">
        <w:rPr>
          <w:rFonts w:ascii="Calibri" w:eastAsia="Aptos" w:hAnsi="Calibri" w:cs="Calibri"/>
          <w:bCs/>
          <w:kern w:val="2"/>
          <w:sz w:val="24"/>
          <w:szCs w:val="24"/>
          <w14:ligatures w14:val="standardContextual"/>
        </w:rPr>
        <w:t>Winnicott, D. W. (2016) 'Transitional Objects and Transitional Phenomena: A Study of the First Not-Me Possession1'. In: Lesley Caldwell, and Helen Taylor Robinson (eds.), </w:t>
      </w:r>
      <w:r w:rsidR="00E35828" w:rsidRPr="00E35828">
        <w:rPr>
          <w:rFonts w:ascii="Calibri" w:eastAsia="Aptos" w:hAnsi="Calibri" w:cs="Calibri"/>
          <w:bCs/>
          <w:i/>
          <w:iCs/>
          <w:kern w:val="2"/>
          <w:sz w:val="24"/>
          <w:szCs w:val="24"/>
          <w14:ligatures w14:val="standardContextual"/>
        </w:rPr>
        <w:t>The Collected Works of D. W. Winnicott: Volume 4, 1952-1955</w:t>
      </w:r>
      <w:r w:rsidR="00E35828" w:rsidRPr="00E35828">
        <w:rPr>
          <w:rFonts w:ascii="Calibri" w:eastAsia="Aptos" w:hAnsi="Calibri" w:cs="Calibri"/>
          <w:bCs/>
          <w:kern w:val="2"/>
          <w:sz w:val="24"/>
          <w:szCs w:val="24"/>
          <w14:ligatures w14:val="standardContextual"/>
        </w:rPr>
        <w:t> (New York, 2016; online edition, Oxford Academic).</w:t>
      </w:r>
      <w:r w:rsidR="00E35828">
        <w:rPr>
          <w:rFonts w:ascii="Calibri" w:eastAsia="Aptos" w:hAnsi="Calibri" w:cs="Calibri"/>
          <w:bCs/>
          <w:kern w:val="2"/>
          <w:sz w:val="24"/>
          <w:szCs w:val="24"/>
          <w14:ligatures w14:val="standardContextual"/>
        </w:rPr>
        <w:t xml:space="preserve"> Available at:</w:t>
      </w:r>
      <w:r w:rsidR="007856E2">
        <w:rPr>
          <w:rFonts w:ascii="Calibri" w:eastAsia="Aptos" w:hAnsi="Calibri" w:cs="Calibri"/>
          <w:kern w:val="2"/>
          <w:sz w:val="24"/>
          <w:szCs w:val="24"/>
          <w14:ligatures w14:val="standardContextual"/>
        </w:rPr>
        <w:t xml:space="preserve"> </w:t>
      </w:r>
      <w:hyperlink r:id="rId485" w:history="1">
        <w:r w:rsidR="007856E2" w:rsidRPr="00C01B7A">
          <w:rPr>
            <w:rStyle w:val="Hyperlink"/>
            <w:rFonts w:ascii="Calibri" w:eastAsia="Aptos" w:hAnsi="Calibri" w:cs="Calibri"/>
            <w:bCs/>
            <w:kern w:val="2"/>
            <w:sz w:val="24"/>
            <w:szCs w:val="24"/>
            <w14:ligatures w14:val="standardContextual"/>
          </w:rPr>
          <w:t>https://doi.org/10.1093/med:psych/9780190271367.003.0034</w:t>
        </w:r>
      </w:hyperlink>
      <w:r>
        <w:rPr>
          <w:rFonts w:ascii="Calibri" w:eastAsia="Aptos" w:hAnsi="Calibri" w:cs="Calibri"/>
          <w:bCs/>
          <w:kern w:val="2"/>
          <w:sz w:val="24"/>
          <w:szCs w:val="24"/>
          <w14:ligatures w14:val="standardContextual"/>
        </w:rPr>
        <w:t xml:space="preserve">  </w:t>
      </w:r>
      <w:r w:rsidR="00A6710F">
        <w:rPr>
          <w:rFonts w:ascii="Calibri" w:eastAsia="Aptos" w:hAnsi="Calibri" w:cs="Calibri"/>
          <w:bCs/>
          <w:kern w:val="2"/>
          <w:sz w:val="24"/>
          <w:szCs w:val="24"/>
          <w14:ligatures w14:val="standardContextual"/>
        </w:rPr>
        <w:t>[Accessed 16</w:t>
      </w:r>
      <w:r w:rsidR="00A6710F" w:rsidRPr="00A6710F">
        <w:rPr>
          <w:rFonts w:ascii="Calibri" w:eastAsia="Aptos" w:hAnsi="Calibri" w:cs="Calibri"/>
          <w:bCs/>
          <w:kern w:val="2"/>
          <w:sz w:val="24"/>
          <w:szCs w:val="24"/>
          <w:vertAlign w:val="superscript"/>
          <w14:ligatures w14:val="standardContextual"/>
        </w:rPr>
        <w:t>th</w:t>
      </w:r>
      <w:r w:rsidR="00A6710F">
        <w:rPr>
          <w:rFonts w:ascii="Calibri" w:eastAsia="Aptos" w:hAnsi="Calibri" w:cs="Calibri"/>
          <w:bCs/>
          <w:kern w:val="2"/>
          <w:sz w:val="24"/>
          <w:szCs w:val="24"/>
          <w14:ligatures w14:val="standardContextual"/>
        </w:rPr>
        <w:t xml:space="preserve"> March 2022]</w:t>
      </w:r>
    </w:p>
    <w:p w14:paraId="3DB6E60D" w14:textId="77777777" w:rsidR="00640A2D" w:rsidRPr="00452C80" w:rsidRDefault="00640A2D" w:rsidP="00481CEB">
      <w:pPr>
        <w:spacing w:line="360" w:lineRule="auto"/>
        <w:ind w:left="833" w:hanging="720"/>
        <w:rPr>
          <w:sz w:val="24"/>
          <w:szCs w:val="24"/>
        </w:rPr>
      </w:pPr>
      <w:r w:rsidRPr="00452C80">
        <w:rPr>
          <w:sz w:val="24"/>
          <w:szCs w:val="24"/>
        </w:rPr>
        <w:t xml:space="preserve">Women’s Professional Network (2021) </w:t>
      </w:r>
      <w:r w:rsidRPr="00452C80">
        <w:rPr>
          <w:i/>
          <w:iCs/>
          <w:sz w:val="24"/>
          <w:szCs w:val="24"/>
        </w:rPr>
        <w:t>Life Academic Conversation between Professor Cathy Shrank and Amaka C. Offiah</w:t>
      </w:r>
      <w:r w:rsidRPr="00452C80">
        <w:rPr>
          <w:sz w:val="24"/>
          <w:szCs w:val="24"/>
        </w:rPr>
        <w:t>. The University of Sheffield, 5th May 2021.</w:t>
      </w:r>
    </w:p>
    <w:p w14:paraId="36644CCF" w14:textId="77777777" w:rsidR="00640A2D" w:rsidRPr="00452C80" w:rsidRDefault="00640A2D" w:rsidP="00481CEB">
      <w:pPr>
        <w:spacing w:line="360" w:lineRule="auto"/>
        <w:ind w:left="833" w:hanging="720"/>
        <w:rPr>
          <w:bCs/>
          <w:sz w:val="24"/>
          <w:szCs w:val="24"/>
        </w:rPr>
      </w:pPr>
      <w:r w:rsidRPr="00452C80">
        <w:rPr>
          <w:sz w:val="24"/>
          <w:szCs w:val="24"/>
        </w:rPr>
        <w:t xml:space="preserve">Wool, G. (1989) Relational aspects of learning: The learning alliance. </w:t>
      </w:r>
      <w:r w:rsidRPr="00452C80">
        <w:rPr>
          <w:bCs/>
          <w:sz w:val="24"/>
          <w:szCs w:val="24"/>
        </w:rPr>
        <w:t xml:space="preserve">In K. Field, B. Cohler and G. Wool (Eds.) </w:t>
      </w:r>
      <w:r w:rsidRPr="00452C80">
        <w:rPr>
          <w:bCs/>
          <w:i/>
          <w:iCs/>
          <w:sz w:val="24"/>
          <w:szCs w:val="24"/>
        </w:rPr>
        <w:t>Learning and Education: Psychoanalytic perspectives.</w:t>
      </w:r>
      <w:r w:rsidRPr="00452C80">
        <w:rPr>
          <w:bCs/>
          <w:sz w:val="24"/>
          <w:szCs w:val="24"/>
        </w:rPr>
        <w:t xml:space="preserve"> Madison, CT: International Universities Press.</w:t>
      </w:r>
    </w:p>
    <w:p w14:paraId="40E35F8A" w14:textId="728C3356" w:rsidR="00640A2D" w:rsidRPr="000E7ECF" w:rsidRDefault="00640A2D" w:rsidP="000E7ECF">
      <w:pPr>
        <w:spacing w:line="360" w:lineRule="auto"/>
        <w:ind w:left="833" w:hanging="720"/>
      </w:pPr>
      <w:r w:rsidRPr="00452C80">
        <w:rPr>
          <w:sz w:val="24"/>
          <w:szCs w:val="24"/>
        </w:rPr>
        <w:t xml:space="preserve">World Economic Forum (2019) </w:t>
      </w:r>
      <w:r w:rsidRPr="00452C80">
        <w:rPr>
          <w:i/>
          <w:iCs/>
          <w:sz w:val="24"/>
          <w:szCs w:val="24"/>
        </w:rPr>
        <w:t>Towards a Reskilling Revolution: Industry-led action for the future of work</w:t>
      </w:r>
      <w:r w:rsidRPr="00452C80">
        <w:rPr>
          <w:sz w:val="24"/>
          <w:szCs w:val="24"/>
        </w:rPr>
        <w:t xml:space="preserve">. Available at: </w:t>
      </w:r>
      <w:hyperlink r:id="rId486" w:history="1">
        <w:r w:rsidRPr="00481CEB">
          <w:rPr>
            <w:rStyle w:val="Hyperlink"/>
            <w:color w:val="0070C0"/>
            <w:sz w:val="24"/>
            <w:szCs w:val="24"/>
          </w:rPr>
          <w:t>http://www3.weforum.org/docs/WEFFOWReskillingRevolution.pdf</w:t>
        </w:r>
      </w:hyperlink>
      <w:r w:rsidR="006A1E94">
        <w:t xml:space="preserve">  </w:t>
      </w:r>
      <w:r w:rsidR="006A1E94">
        <w:rPr>
          <w:sz w:val="24"/>
          <w:szCs w:val="24"/>
        </w:rPr>
        <w:t>[Accessed 19</w:t>
      </w:r>
      <w:r w:rsidR="006A1E94" w:rsidRPr="006A1E94">
        <w:rPr>
          <w:sz w:val="24"/>
          <w:szCs w:val="24"/>
          <w:vertAlign w:val="superscript"/>
        </w:rPr>
        <w:t>th</w:t>
      </w:r>
      <w:r w:rsidR="006A1E94">
        <w:rPr>
          <w:sz w:val="24"/>
          <w:szCs w:val="24"/>
        </w:rPr>
        <w:t xml:space="preserve"> April 20</w:t>
      </w:r>
      <w:r w:rsidR="00B7407A">
        <w:rPr>
          <w:sz w:val="24"/>
          <w:szCs w:val="24"/>
        </w:rPr>
        <w:t>22]</w:t>
      </w:r>
    </w:p>
    <w:p w14:paraId="6DD50FC4" w14:textId="47F87FEC" w:rsidR="00640A2D" w:rsidRPr="00452C80" w:rsidRDefault="00640A2D" w:rsidP="00481CEB">
      <w:pPr>
        <w:spacing w:line="360" w:lineRule="auto"/>
        <w:ind w:left="833" w:hanging="720"/>
        <w:rPr>
          <w:bCs/>
          <w:sz w:val="24"/>
          <w:szCs w:val="24"/>
        </w:rPr>
      </w:pPr>
      <w:r w:rsidRPr="00452C80">
        <w:rPr>
          <w:bCs/>
          <w:sz w:val="24"/>
          <w:szCs w:val="24"/>
        </w:rPr>
        <w:t xml:space="preserve">World Health Organisation (WHO) (2022) </w:t>
      </w:r>
      <w:r w:rsidRPr="00452C80">
        <w:rPr>
          <w:bCs/>
          <w:i/>
          <w:iCs/>
          <w:sz w:val="24"/>
          <w:szCs w:val="24"/>
        </w:rPr>
        <w:t>Mental Health: Strengthening Our Response.</w:t>
      </w:r>
      <w:r w:rsidRPr="00452C80">
        <w:rPr>
          <w:bCs/>
          <w:sz w:val="24"/>
          <w:szCs w:val="24"/>
        </w:rPr>
        <w:t xml:space="preserve"> </w:t>
      </w:r>
      <w:r w:rsidR="00B7407A">
        <w:rPr>
          <w:bCs/>
          <w:sz w:val="24"/>
          <w:szCs w:val="24"/>
        </w:rPr>
        <w:t xml:space="preserve">Available at: </w:t>
      </w:r>
      <w:hyperlink r:id="rId487" w:history="1">
        <w:r w:rsidR="00B7407A" w:rsidRPr="00A22652">
          <w:rPr>
            <w:rStyle w:val="Hyperlink"/>
            <w:bCs/>
            <w:sz w:val="24"/>
            <w:szCs w:val="24"/>
          </w:rPr>
          <w:t>https://www.who.int/newsroom/fact-sheets/detail/mental-healthstrengthening-our-response</w:t>
        </w:r>
      </w:hyperlink>
      <w:r w:rsidRPr="00481CEB">
        <w:rPr>
          <w:bCs/>
          <w:color w:val="0070C0"/>
          <w:sz w:val="24"/>
          <w:szCs w:val="24"/>
        </w:rPr>
        <w:t xml:space="preserve"> </w:t>
      </w:r>
      <w:r w:rsidR="000E7ECF">
        <w:rPr>
          <w:bCs/>
          <w:color w:val="0070C0"/>
          <w:sz w:val="24"/>
          <w:szCs w:val="24"/>
        </w:rPr>
        <w:t xml:space="preserve">  </w:t>
      </w:r>
      <w:r w:rsidR="00B7407A" w:rsidRPr="00B67C10">
        <w:rPr>
          <w:bCs/>
          <w:sz w:val="24"/>
          <w:szCs w:val="24"/>
        </w:rPr>
        <w:t>[Accessed 2</w:t>
      </w:r>
      <w:r w:rsidR="00B7407A" w:rsidRPr="00B67C10">
        <w:rPr>
          <w:bCs/>
          <w:sz w:val="24"/>
          <w:szCs w:val="24"/>
          <w:vertAlign w:val="superscript"/>
        </w:rPr>
        <w:t>nd</w:t>
      </w:r>
      <w:r w:rsidR="00B7407A" w:rsidRPr="00B67C10">
        <w:rPr>
          <w:bCs/>
          <w:sz w:val="24"/>
          <w:szCs w:val="24"/>
        </w:rPr>
        <w:t xml:space="preserve"> </w:t>
      </w:r>
      <w:r w:rsidR="00B67C10" w:rsidRPr="00B67C10">
        <w:rPr>
          <w:bCs/>
          <w:sz w:val="24"/>
          <w:szCs w:val="24"/>
        </w:rPr>
        <w:t>April 2023]</w:t>
      </w:r>
    </w:p>
    <w:p w14:paraId="21CABBDB" w14:textId="74825CB1" w:rsidR="00640A2D" w:rsidRPr="00B67C10" w:rsidRDefault="00640A2D" w:rsidP="00481CEB">
      <w:pPr>
        <w:spacing w:line="360" w:lineRule="auto"/>
        <w:ind w:left="833" w:hanging="720"/>
        <w:rPr>
          <w:bCs/>
          <w:sz w:val="24"/>
          <w:szCs w:val="24"/>
        </w:rPr>
      </w:pPr>
      <w:r w:rsidRPr="00452C80">
        <w:rPr>
          <w:bCs/>
          <w:sz w:val="24"/>
          <w:szCs w:val="24"/>
        </w:rPr>
        <w:t xml:space="preserve">Wray, S., and Kinman, G. (2021) </w:t>
      </w:r>
      <w:r w:rsidRPr="00452C80">
        <w:rPr>
          <w:bCs/>
          <w:i/>
          <w:iCs/>
          <w:sz w:val="24"/>
          <w:szCs w:val="24"/>
        </w:rPr>
        <w:t>Supporting Staff Wellbeing in Higher Education</w:t>
      </w:r>
      <w:r w:rsidRPr="00452C80">
        <w:rPr>
          <w:bCs/>
          <w:sz w:val="24"/>
          <w:szCs w:val="24"/>
        </w:rPr>
        <w:t>. Education Support.</w:t>
      </w:r>
      <w:r w:rsidR="00B67C10">
        <w:rPr>
          <w:bCs/>
          <w:sz w:val="24"/>
          <w:szCs w:val="24"/>
        </w:rPr>
        <w:t xml:space="preserve"> Available at: </w:t>
      </w:r>
      <w:r w:rsidRPr="00452C80">
        <w:rPr>
          <w:bCs/>
          <w:sz w:val="24"/>
          <w:szCs w:val="24"/>
        </w:rPr>
        <w:t xml:space="preserve"> </w:t>
      </w:r>
      <w:hyperlink r:id="rId488" w:history="1">
        <w:r w:rsidRPr="00481CEB">
          <w:rPr>
            <w:rStyle w:val="Hyperlink"/>
            <w:bCs/>
            <w:color w:val="0070C0"/>
            <w:sz w:val="24"/>
            <w:szCs w:val="24"/>
          </w:rPr>
          <w:t>https://www.educationsupport.org.uk/media/x4jdvxpl/es-supporting-staff-wellbeing-in-he-report.pdf</w:t>
        </w:r>
      </w:hyperlink>
      <w:r w:rsidR="00B67C10">
        <w:t xml:space="preserve">  </w:t>
      </w:r>
      <w:r w:rsidR="00B67C10">
        <w:rPr>
          <w:sz w:val="24"/>
          <w:szCs w:val="24"/>
        </w:rPr>
        <w:t>[Accessed 5</w:t>
      </w:r>
      <w:r w:rsidR="00B67C10" w:rsidRPr="00B67C10">
        <w:rPr>
          <w:sz w:val="24"/>
          <w:szCs w:val="24"/>
          <w:vertAlign w:val="superscript"/>
        </w:rPr>
        <w:t>th</w:t>
      </w:r>
      <w:r w:rsidR="00B67C10">
        <w:rPr>
          <w:sz w:val="24"/>
          <w:szCs w:val="24"/>
        </w:rPr>
        <w:t xml:space="preserve"> </w:t>
      </w:r>
      <w:r w:rsidR="001B01EE">
        <w:rPr>
          <w:sz w:val="24"/>
          <w:szCs w:val="24"/>
        </w:rPr>
        <w:t>April 2022]</w:t>
      </w:r>
    </w:p>
    <w:p w14:paraId="79957887" w14:textId="77777777" w:rsidR="00640A2D" w:rsidRPr="00452C80" w:rsidRDefault="00640A2D" w:rsidP="00481CEB">
      <w:pPr>
        <w:spacing w:line="360" w:lineRule="auto"/>
        <w:ind w:left="833" w:hanging="720"/>
        <w:rPr>
          <w:bCs/>
          <w:sz w:val="24"/>
          <w:szCs w:val="24"/>
        </w:rPr>
      </w:pPr>
      <w:r w:rsidRPr="00452C80">
        <w:rPr>
          <w:bCs/>
          <w:sz w:val="24"/>
          <w:szCs w:val="24"/>
        </w:rPr>
        <w:t xml:space="preserve">Wyatt, T., and Oswalt, S. B. (2013) Comparing mental health issues among undergraduate and graduate students. </w:t>
      </w:r>
      <w:r w:rsidRPr="00452C80">
        <w:rPr>
          <w:bCs/>
          <w:i/>
          <w:iCs/>
          <w:sz w:val="24"/>
          <w:szCs w:val="24"/>
        </w:rPr>
        <w:t>American Journal of Health Education</w:t>
      </w:r>
      <w:r w:rsidRPr="00452C80">
        <w:rPr>
          <w:bCs/>
          <w:sz w:val="24"/>
          <w:szCs w:val="24"/>
        </w:rPr>
        <w:t xml:space="preserve">, </w:t>
      </w:r>
      <w:r w:rsidRPr="00452C80">
        <w:rPr>
          <w:b/>
          <w:sz w:val="24"/>
          <w:szCs w:val="24"/>
        </w:rPr>
        <w:t>44</w:t>
      </w:r>
      <w:r w:rsidRPr="00452C80">
        <w:rPr>
          <w:bCs/>
          <w:sz w:val="24"/>
          <w:szCs w:val="24"/>
        </w:rPr>
        <w:t xml:space="preserve">(2): pp. 96-107. </w:t>
      </w:r>
      <w:hyperlink r:id="rId489" w:history="1">
        <w:r w:rsidRPr="00481CEB">
          <w:rPr>
            <w:rStyle w:val="Hyperlink"/>
            <w:bCs/>
            <w:color w:val="0070C0"/>
            <w:sz w:val="24"/>
            <w:szCs w:val="24"/>
          </w:rPr>
          <w:t>https://doi.org/10.1080/19325037.2013.764248</w:t>
        </w:r>
      </w:hyperlink>
    </w:p>
    <w:p w14:paraId="763DC72E" w14:textId="2ECC230A" w:rsidR="00640A2D" w:rsidRPr="00452C80" w:rsidRDefault="00640A2D" w:rsidP="00481CEB">
      <w:pPr>
        <w:spacing w:line="360" w:lineRule="auto"/>
        <w:ind w:left="833" w:hanging="720"/>
        <w:rPr>
          <w:bCs/>
          <w:sz w:val="24"/>
          <w:szCs w:val="24"/>
        </w:rPr>
      </w:pPr>
      <w:r w:rsidRPr="00452C80">
        <w:rPr>
          <w:bCs/>
          <w:sz w:val="24"/>
          <w:szCs w:val="24"/>
        </w:rPr>
        <w:t>Yalom, I.</w:t>
      </w:r>
      <w:r w:rsidR="001F1DD5">
        <w:rPr>
          <w:bCs/>
          <w:sz w:val="24"/>
          <w:szCs w:val="24"/>
        </w:rPr>
        <w:t xml:space="preserve"> </w:t>
      </w:r>
      <w:r w:rsidRPr="00452C80">
        <w:rPr>
          <w:bCs/>
          <w:sz w:val="24"/>
          <w:szCs w:val="24"/>
        </w:rPr>
        <w:t xml:space="preserve">D. (1989) </w:t>
      </w:r>
      <w:r w:rsidRPr="00452C80">
        <w:rPr>
          <w:bCs/>
          <w:i/>
          <w:iCs/>
          <w:sz w:val="24"/>
          <w:szCs w:val="24"/>
        </w:rPr>
        <w:t>Love’s Executioner and Other Tales of Psychotherapy</w:t>
      </w:r>
      <w:r w:rsidRPr="00452C80">
        <w:rPr>
          <w:bCs/>
          <w:sz w:val="24"/>
          <w:szCs w:val="24"/>
        </w:rPr>
        <w:t>. USA: Basic Books Inc.</w:t>
      </w:r>
    </w:p>
    <w:p w14:paraId="4E1313C2" w14:textId="2192C4AA" w:rsidR="00640A2D" w:rsidRPr="00452C80" w:rsidRDefault="00640A2D" w:rsidP="00481CEB">
      <w:pPr>
        <w:spacing w:line="360" w:lineRule="auto"/>
        <w:ind w:left="833" w:hanging="720"/>
        <w:rPr>
          <w:bCs/>
          <w:sz w:val="24"/>
          <w:szCs w:val="24"/>
        </w:rPr>
      </w:pPr>
      <w:r w:rsidRPr="00452C80">
        <w:rPr>
          <w:bCs/>
          <w:sz w:val="24"/>
          <w:szCs w:val="24"/>
        </w:rPr>
        <w:t>Yin, H., Huang, S., and Lee, J.</w:t>
      </w:r>
      <w:r w:rsidR="001F1DD5">
        <w:rPr>
          <w:bCs/>
          <w:sz w:val="24"/>
          <w:szCs w:val="24"/>
        </w:rPr>
        <w:t xml:space="preserve"> </w:t>
      </w:r>
      <w:r w:rsidRPr="00452C80">
        <w:rPr>
          <w:bCs/>
          <w:sz w:val="24"/>
          <w:szCs w:val="24"/>
        </w:rPr>
        <w:t>C.</w:t>
      </w:r>
      <w:r w:rsidR="001F1DD5">
        <w:rPr>
          <w:bCs/>
          <w:sz w:val="24"/>
          <w:szCs w:val="24"/>
        </w:rPr>
        <w:t xml:space="preserve"> </w:t>
      </w:r>
      <w:r w:rsidRPr="00452C80">
        <w:rPr>
          <w:bCs/>
          <w:sz w:val="24"/>
          <w:szCs w:val="24"/>
        </w:rPr>
        <w:t xml:space="preserve">K. (2017) Choose your strategy wisely: Examining the relationships between emotional labour in teaching and teacher efficacy in Hong </w:t>
      </w:r>
      <w:r w:rsidRPr="00452C80">
        <w:rPr>
          <w:bCs/>
          <w:sz w:val="24"/>
          <w:szCs w:val="24"/>
        </w:rPr>
        <w:lastRenderedPageBreak/>
        <w:t xml:space="preserve">Kong primary schools. </w:t>
      </w:r>
      <w:r w:rsidRPr="00452C80">
        <w:rPr>
          <w:bCs/>
          <w:i/>
          <w:iCs/>
          <w:sz w:val="24"/>
          <w:szCs w:val="24"/>
        </w:rPr>
        <w:t>Teaching and Teacher Education</w:t>
      </w:r>
      <w:r w:rsidRPr="00452C80">
        <w:rPr>
          <w:bCs/>
          <w:sz w:val="24"/>
          <w:szCs w:val="24"/>
        </w:rPr>
        <w:t>, 66: pp.127-136.</w:t>
      </w:r>
      <w:r w:rsidRPr="00452C80">
        <w:t xml:space="preserve"> </w:t>
      </w:r>
      <w:hyperlink r:id="rId490" w:tgtFrame="_blank" w:history="1">
        <w:r w:rsidRPr="00E66316">
          <w:rPr>
            <w:rStyle w:val="Hyperlink"/>
            <w:bCs/>
            <w:color w:val="0070C0"/>
            <w:sz w:val="24"/>
            <w:szCs w:val="24"/>
          </w:rPr>
          <w:t>https://doi.org/10.1016/j.tate.2017.04.006</w:t>
        </w:r>
      </w:hyperlink>
    </w:p>
    <w:p w14:paraId="267A0B05" w14:textId="06FC0157" w:rsidR="007F72FA" w:rsidRPr="007F72FA" w:rsidRDefault="007F72FA" w:rsidP="007F72FA">
      <w:pPr>
        <w:spacing w:line="360" w:lineRule="auto"/>
        <w:ind w:left="833" w:hanging="720"/>
        <w:rPr>
          <w:bCs/>
          <w:sz w:val="24"/>
          <w:szCs w:val="24"/>
        </w:rPr>
      </w:pPr>
      <w:r w:rsidRPr="007F72FA">
        <w:rPr>
          <w:bCs/>
          <w:sz w:val="24"/>
          <w:szCs w:val="24"/>
        </w:rPr>
        <w:t xml:space="preserve">Yin, R. K. (2009) </w:t>
      </w:r>
      <w:r w:rsidRPr="007F72FA">
        <w:rPr>
          <w:bCs/>
          <w:i/>
          <w:iCs/>
          <w:sz w:val="24"/>
          <w:szCs w:val="24"/>
        </w:rPr>
        <w:t xml:space="preserve">Case Study Research: Design and methods </w:t>
      </w:r>
      <w:r w:rsidRPr="007F72FA">
        <w:rPr>
          <w:bCs/>
          <w:sz w:val="24"/>
          <w:szCs w:val="24"/>
        </w:rPr>
        <w:t>(4th edition). Thousand Oaks, CA: Sage.</w:t>
      </w:r>
    </w:p>
    <w:p w14:paraId="4CE9D6D6" w14:textId="5AA27BF3" w:rsidR="00640A2D" w:rsidRPr="00452C80" w:rsidRDefault="00640A2D" w:rsidP="00481CEB">
      <w:pPr>
        <w:spacing w:line="360" w:lineRule="auto"/>
        <w:ind w:left="833" w:hanging="720"/>
        <w:rPr>
          <w:sz w:val="24"/>
          <w:szCs w:val="24"/>
        </w:rPr>
      </w:pPr>
      <w:r w:rsidRPr="00452C80">
        <w:rPr>
          <w:sz w:val="24"/>
          <w:szCs w:val="24"/>
        </w:rPr>
        <w:t xml:space="preserve">Youell, B. (2006) </w:t>
      </w:r>
      <w:r w:rsidRPr="00452C80">
        <w:rPr>
          <w:i/>
          <w:iCs/>
          <w:sz w:val="24"/>
          <w:szCs w:val="24"/>
        </w:rPr>
        <w:t>Traumapedagogik in der Schule</w:t>
      </w:r>
      <w:r w:rsidRPr="00452C80">
        <w:rPr>
          <w:sz w:val="24"/>
          <w:szCs w:val="24"/>
        </w:rPr>
        <w:t xml:space="preserve"> [Trauma pedagogy in the school]. </w:t>
      </w:r>
      <w:r w:rsidRPr="00452C80">
        <w:rPr>
          <w:sz w:val="24"/>
          <w:szCs w:val="24"/>
        </w:rPr>
        <w:tab/>
        <w:t xml:space="preserve">Germany: Psychosozial Verlag. </w:t>
      </w:r>
    </w:p>
    <w:p w14:paraId="41E3B605" w14:textId="168F81C1" w:rsidR="00640A2D" w:rsidRPr="00452C80" w:rsidRDefault="00640A2D" w:rsidP="00481CEB">
      <w:pPr>
        <w:spacing w:line="360" w:lineRule="auto"/>
        <w:ind w:left="833" w:hanging="720"/>
        <w:rPr>
          <w:sz w:val="24"/>
          <w:szCs w:val="24"/>
        </w:rPr>
      </w:pPr>
      <w:r w:rsidRPr="00452C80">
        <w:rPr>
          <w:sz w:val="24"/>
          <w:szCs w:val="24"/>
        </w:rPr>
        <w:t>Young, R.</w:t>
      </w:r>
      <w:r w:rsidR="001F1DD5">
        <w:rPr>
          <w:sz w:val="24"/>
          <w:szCs w:val="24"/>
        </w:rPr>
        <w:t xml:space="preserve"> </w:t>
      </w:r>
      <w:r w:rsidRPr="00452C80">
        <w:rPr>
          <w:sz w:val="24"/>
          <w:szCs w:val="24"/>
        </w:rPr>
        <w:t xml:space="preserve">M. (1994) </w:t>
      </w:r>
      <w:r w:rsidRPr="00452C80">
        <w:rPr>
          <w:i/>
          <w:iCs/>
          <w:sz w:val="24"/>
          <w:szCs w:val="24"/>
        </w:rPr>
        <w:t>Mental Space</w:t>
      </w:r>
      <w:r w:rsidRPr="00452C80">
        <w:rPr>
          <w:sz w:val="24"/>
          <w:szCs w:val="24"/>
        </w:rPr>
        <w:t>. London: Process Press Ltd.</w:t>
      </w:r>
    </w:p>
    <w:p w14:paraId="57CAB555" w14:textId="1A719458" w:rsidR="00640A2D" w:rsidRPr="00452C80" w:rsidRDefault="00640A2D" w:rsidP="00481CEB">
      <w:pPr>
        <w:spacing w:line="360" w:lineRule="auto"/>
        <w:ind w:left="833" w:hanging="720"/>
        <w:rPr>
          <w:sz w:val="24"/>
          <w:szCs w:val="24"/>
        </w:rPr>
      </w:pPr>
      <w:r w:rsidRPr="00452C80">
        <w:rPr>
          <w:sz w:val="24"/>
          <w:szCs w:val="24"/>
        </w:rPr>
        <w:t>Zeichner, K.</w:t>
      </w:r>
      <w:r w:rsidR="001F1DD5">
        <w:rPr>
          <w:sz w:val="24"/>
          <w:szCs w:val="24"/>
        </w:rPr>
        <w:t xml:space="preserve"> </w:t>
      </w:r>
      <w:r w:rsidRPr="00452C80">
        <w:rPr>
          <w:sz w:val="24"/>
          <w:szCs w:val="24"/>
        </w:rPr>
        <w:t>M. (1981) Reflective teaching and field-based experience in teacher education. </w:t>
      </w:r>
      <w:r w:rsidRPr="00452C80">
        <w:rPr>
          <w:i/>
          <w:iCs/>
          <w:sz w:val="24"/>
          <w:szCs w:val="24"/>
        </w:rPr>
        <w:t>Interchange</w:t>
      </w:r>
      <w:r w:rsidRPr="00452C80">
        <w:rPr>
          <w:sz w:val="24"/>
          <w:szCs w:val="24"/>
        </w:rPr>
        <w:t> </w:t>
      </w:r>
      <w:r w:rsidRPr="00452C80">
        <w:rPr>
          <w:b/>
          <w:bCs/>
          <w:sz w:val="24"/>
          <w:szCs w:val="24"/>
        </w:rPr>
        <w:t>12</w:t>
      </w:r>
      <w:r w:rsidRPr="00452C80">
        <w:rPr>
          <w:sz w:val="24"/>
          <w:szCs w:val="24"/>
        </w:rPr>
        <w:t xml:space="preserve">: pp.1–22 (1981). </w:t>
      </w:r>
      <w:hyperlink r:id="rId491" w:history="1">
        <w:r w:rsidRPr="00481CEB">
          <w:rPr>
            <w:rStyle w:val="Hyperlink"/>
            <w:color w:val="0070C0"/>
            <w:sz w:val="24"/>
            <w:szCs w:val="24"/>
          </w:rPr>
          <w:t>https://doi.org/10.1007/BF01807805</w:t>
        </w:r>
      </w:hyperlink>
    </w:p>
    <w:p w14:paraId="169B5DB7" w14:textId="77777777" w:rsidR="00640A2D" w:rsidRPr="00452C80" w:rsidRDefault="00640A2D" w:rsidP="00481CEB">
      <w:pPr>
        <w:spacing w:line="360" w:lineRule="auto"/>
        <w:ind w:left="833" w:hanging="720"/>
        <w:rPr>
          <w:sz w:val="24"/>
          <w:szCs w:val="24"/>
          <w:u w:val="single"/>
        </w:rPr>
      </w:pPr>
      <w:r w:rsidRPr="00452C80">
        <w:rPr>
          <w:sz w:val="24"/>
          <w:szCs w:val="24"/>
        </w:rPr>
        <w:t xml:space="preserve">Zeichner, K. M. (1983) Alternative paradigms of teacher education. </w:t>
      </w:r>
      <w:r w:rsidRPr="00452C80">
        <w:rPr>
          <w:i/>
          <w:iCs/>
          <w:sz w:val="24"/>
          <w:szCs w:val="24"/>
        </w:rPr>
        <w:t>Journal of Teacher Education</w:t>
      </w:r>
      <w:r w:rsidRPr="00452C80">
        <w:rPr>
          <w:sz w:val="24"/>
          <w:szCs w:val="24"/>
        </w:rPr>
        <w:t xml:space="preserve">, </w:t>
      </w:r>
      <w:r w:rsidRPr="00452C80">
        <w:rPr>
          <w:b/>
          <w:bCs/>
          <w:sz w:val="24"/>
          <w:szCs w:val="24"/>
        </w:rPr>
        <w:t>34</w:t>
      </w:r>
      <w:r w:rsidRPr="00452C80">
        <w:rPr>
          <w:sz w:val="24"/>
          <w:szCs w:val="24"/>
        </w:rPr>
        <w:t xml:space="preserve">(3): pp. 3-9. </w:t>
      </w:r>
      <w:hyperlink r:id="rId492" w:history="1">
        <w:r w:rsidRPr="00481CEB">
          <w:rPr>
            <w:rStyle w:val="Hyperlink"/>
            <w:color w:val="0070C0"/>
            <w:sz w:val="24"/>
            <w:szCs w:val="24"/>
          </w:rPr>
          <w:t>https://doi.org/10.1177/002248718303400302</w:t>
        </w:r>
      </w:hyperlink>
    </w:p>
    <w:p w14:paraId="6166F52B" w14:textId="206FE674" w:rsidR="00640A2D" w:rsidRPr="00C74A2A" w:rsidRDefault="00640A2D" w:rsidP="00481CEB">
      <w:pPr>
        <w:spacing w:line="360" w:lineRule="auto"/>
        <w:ind w:left="833" w:hanging="720"/>
        <w:rPr>
          <w:color w:val="00B0F0"/>
          <w:sz w:val="24"/>
          <w:szCs w:val="24"/>
        </w:rPr>
      </w:pPr>
      <w:r w:rsidRPr="00452C80">
        <w:rPr>
          <w:sz w:val="24"/>
          <w:szCs w:val="24"/>
        </w:rPr>
        <w:t>Zeichner, K.</w:t>
      </w:r>
      <w:r w:rsidR="007F72FA">
        <w:rPr>
          <w:sz w:val="24"/>
          <w:szCs w:val="24"/>
        </w:rPr>
        <w:t xml:space="preserve"> </w:t>
      </w:r>
      <w:r w:rsidRPr="00452C80">
        <w:rPr>
          <w:sz w:val="24"/>
          <w:szCs w:val="24"/>
        </w:rPr>
        <w:t xml:space="preserve">M., and Liston, D. (1987) Teaching student teachers to reflect. </w:t>
      </w:r>
      <w:r w:rsidRPr="00452C80">
        <w:rPr>
          <w:i/>
          <w:iCs/>
          <w:sz w:val="24"/>
          <w:szCs w:val="24"/>
        </w:rPr>
        <w:t>Harvard Educational Review</w:t>
      </w:r>
      <w:r w:rsidRPr="00452C80">
        <w:rPr>
          <w:sz w:val="24"/>
          <w:szCs w:val="24"/>
        </w:rPr>
        <w:t xml:space="preserve">, </w:t>
      </w:r>
      <w:r w:rsidRPr="00452C80">
        <w:rPr>
          <w:b/>
          <w:bCs/>
          <w:sz w:val="24"/>
          <w:szCs w:val="24"/>
        </w:rPr>
        <w:t>56</w:t>
      </w:r>
      <w:r w:rsidRPr="00452C80">
        <w:rPr>
          <w:sz w:val="24"/>
          <w:szCs w:val="24"/>
        </w:rPr>
        <w:t>(1): 23</w:t>
      </w:r>
      <w:r w:rsidR="00EC2115">
        <w:rPr>
          <w:sz w:val="24"/>
          <w:szCs w:val="24"/>
        </w:rPr>
        <w:t>-</w:t>
      </w:r>
      <w:r w:rsidRPr="00452C80">
        <w:rPr>
          <w:sz w:val="24"/>
          <w:szCs w:val="24"/>
        </w:rPr>
        <w:t xml:space="preserve">48. </w:t>
      </w:r>
      <w:hyperlink r:id="rId493" w:history="1">
        <w:r w:rsidRPr="000B579C">
          <w:rPr>
            <w:rStyle w:val="Hyperlink"/>
            <w:sz w:val="24"/>
            <w:szCs w:val="24"/>
          </w:rPr>
          <w:t>https://www.colorado.edu/education/sites/default/files/attached-files/Zeichner&amp;Liston_Teaching_Student_Teachers_to_Reflect.pdf</w:t>
        </w:r>
      </w:hyperlink>
    </w:p>
    <w:p w14:paraId="45D85B98" w14:textId="064E2542" w:rsidR="00640A2D" w:rsidRPr="00A83ABB" w:rsidRDefault="00640A2D" w:rsidP="00481CEB">
      <w:pPr>
        <w:spacing w:line="360" w:lineRule="auto"/>
        <w:ind w:left="833" w:hanging="720"/>
        <w:rPr>
          <w:sz w:val="24"/>
          <w:szCs w:val="24"/>
        </w:rPr>
      </w:pPr>
      <w:r w:rsidRPr="00A83ABB">
        <w:rPr>
          <w:sz w:val="24"/>
          <w:szCs w:val="24"/>
        </w:rPr>
        <w:t>Zeichner, K.</w:t>
      </w:r>
      <w:r w:rsidR="007F72FA">
        <w:rPr>
          <w:sz w:val="24"/>
          <w:szCs w:val="24"/>
        </w:rPr>
        <w:t xml:space="preserve"> </w:t>
      </w:r>
      <w:r w:rsidRPr="00A83ABB">
        <w:rPr>
          <w:sz w:val="24"/>
          <w:szCs w:val="24"/>
        </w:rPr>
        <w:t xml:space="preserve">M., and Liston, D. (1996) </w:t>
      </w:r>
      <w:r w:rsidRPr="00A83ABB">
        <w:rPr>
          <w:i/>
          <w:iCs/>
          <w:sz w:val="24"/>
          <w:szCs w:val="24"/>
        </w:rPr>
        <w:t xml:space="preserve">Reflective Teaching: An introduction. </w:t>
      </w:r>
      <w:r w:rsidRPr="00A83ABB">
        <w:rPr>
          <w:sz w:val="24"/>
          <w:szCs w:val="24"/>
        </w:rPr>
        <w:t>(</w:t>
      </w:r>
      <w:r w:rsidRPr="00A83ABB">
        <w:rPr>
          <w:i/>
          <w:iCs/>
          <w:sz w:val="24"/>
          <w:szCs w:val="24"/>
        </w:rPr>
        <w:t>Reflective Teaching and the Social Conditions of Schooling Series</w:t>
      </w:r>
      <w:r w:rsidRPr="00A83ABB">
        <w:rPr>
          <w:sz w:val="24"/>
          <w:szCs w:val="24"/>
        </w:rPr>
        <w:t>)</w:t>
      </w:r>
      <w:r w:rsidRPr="00A83ABB">
        <w:rPr>
          <w:i/>
          <w:iCs/>
          <w:sz w:val="24"/>
          <w:szCs w:val="24"/>
        </w:rPr>
        <w:t>.</w:t>
      </w:r>
      <w:r w:rsidRPr="00A83ABB">
        <w:rPr>
          <w:sz w:val="24"/>
          <w:szCs w:val="24"/>
        </w:rPr>
        <w:t xml:space="preserve"> London: Routledge/Taylor and Francis Group.</w:t>
      </w:r>
    </w:p>
    <w:p w14:paraId="183EC26B" w14:textId="5CAC4678" w:rsidR="00640A2D" w:rsidRPr="00A83ABB" w:rsidRDefault="00640A2D" w:rsidP="00481CEB">
      <w:pPr>
        <w:spacing w:line="360" w:lineRule="auto"/>
        <w:ind w:left="833" w:hanging="720"/>
        <w:rPr>
          <w:bCs/>
          <w:sz w:val="24"/>
          <w:szCs w:val="24"/>
        </w:rPr>
      </w:pPr>
      <w:r w:rsidRPr="00A83ABB">
        <w:rPr>
          <w:bCs/>
          <w:sz w:val="24"/>
          <w:szCs w:val="24"/>
        </w:rPr>
        <w:t xml:space="preserve">Zimmermann, D. (2016) </w:t>
      </w:r>
      <w:r w:rsidRPr="00A83ABB">
        <w:rPr>
          <w:bCs/>
          <w:i/>
          <w:iCs/>
          <w:sz w:val="24"/>
          <w:szCs w:val="24"/>
        </w:rPr>
        <w:t>Traumapedagogik in der Schule</w:t>
      </w:r>
      <w:r w:rsidRPr="00A83ABB">
        <w:rPr>
          <w:bCs/>
          <w:sz w:val="24"/>
          <w:szCs w:val="24"/>
        </w:rPr>
        <w:t xml:space="preserve"> [Trauma pedagogy in the </w:t>
      </w:r>
      <w:r w:rsidR="00292CC4" w:rsidRPr="00A83ABB">
        <w:rPr>
          <w:bCs/>
          <w:sz w:val="24"/>
          <w:szCs w:val="24"/>
        </w:rPr>
        <w:t>school</w:t>
      </w:r>
      <w:r w:rsidRPr="00A83ABB">
        <w:rPr>
          <w:bCs/>
          <w:sz w:val="24"/>
          <w:szCs w:val="24"/>
        </w:rPr>
        <w:t>]. Germany: Psychosozial Verlag.</w:t>
      </w:r>
    </w:p>
    <w:p w14:paraId="3AB54170" w14:textId="1254B589" w:rsidR="00640A2D" w:rsidRPr="00A83ABB" w:rsidRDefault="00640A2D" w:rsidP="00481CEB">
      <w:pPr>
        <w:spacing w:line="360" w:lineRule="auto"/>
        <w:ind w:left="833" w:hanging="720"/>
        <w:rPr>
          <w:bCs/>
          <w:sz w:val="24"/>
          <w:szCs w:val="24"/>
        </w:rPr>
      </w:pPr>
      <w:r w:rsidRPr="00A83ABB">
        <w:rPr>
          <w:bCs/>
          <w:sz w:val="24"/>
          <w:szCs w:val="24"/>
        </w:rPr>
        <w:t xml:space="preserve">Zott, C., Amit, R., and Massa, L. (2011) The business model: recent developments and future research. </w:t>
      </w:r>
      <w:r w:rsidRPr="00A83ABB">
        <w:rPr>
          <w:bCs/>
          <w:i/>
          <w:iCs/>
          <w:sz w:val="24"/>
          <w:szCs w:val="24"/>
        </w:rPr>
        <w:t>Journal of Management</w:t>
      </w:r>
      <w:r w:rsidRPr="00A83ABB">
        <w:rPr>
          <w:bCs/>
          <w:sz w:val="24"/>
          <w:szCs w:val="24"/>
        </w:rPr>
        <w:t xml:space="preserve">, </w:t>
      </w:r>
      <w:r w:rsidRPr="00A83ABB">
        <w:rPr>
          <w:b/>
          <w:sz w:val="24"/>
          <w:szCs w:val="24"/>
        </w:rPr>
        <w:t>37</w:t>
      </w:r>
      <w:r w:rsidRPr="00A83ABB">
        <w:rPr>
          <w:bCs/>
          <w:sz w:val="24"/>
          <w:szCs w:val="24"/>
        </w:rPr>
        <w:t xml:space="preserve">(4): pp.1019-1042. </w:t>
      </w:r>
      <w:hyperlink r:id="rId494" w:history="1">
        <w:r w:rsidRPr="00481CEB">
          <w:rPr>
            <w:rStyle w:val="Hyperlink"/>
            <w:bCs/>
            <w:color w:val="0070C0"/>
            <w:sz w:val="24"/>
            <w:szCs w:val="24"/>
          </w:rPr>
          <w:t>https://doi.org/10.1177/0149206311406265</w:t>
        </w:r>
      </w:hyperlink>
    </w:p>
    <w:p w14:paraId="569C32DD" w14:textId="77777777" w:rsidR="00640A2D" w:rsidRPr="00A83ABB" w:rsidRDefault="00640A2D" w:rsidP="00481CEB">
      <w:pPr>
        <w:spacing w:line="360" w:lineRule="auto"/>
        <w:ind w:left="833" w:hanging="720"/>
        <w:rPr>
          <w:bCs/>
          <w:sz w:val="24"/>
          <w:szCs w:val="24"/>
        </w:rPr>
      </w:pPr>
      <w:r w:rsidRPr="00A83ABB">
        <w:rPr>
          <w:bCs/>
          <w:sz w:val="24"/>
          <w:szCs w:val="24"/>
        </w:rPr>
        <w:t xml:space="preserve">Zuckerkandl, V. (1973) </w:t>
      </w:r>
      <w:r w:rsidRPr="00A83ABB">
        <w:rPr>
          <w:bCs/>
          <w:i/>
          <w:iCs/>
          <w:sz w:val="24"/>
          <w:szCs w:val="24"/>
        </w:rPr>
        <w:t>Music for Life:</w:t>
      </w:r>
      <w:r w:rsidRPr="00A83ABB">
        <w:rPr>
          <w:rFonts w:ascii="Helvetica" w:eastAsia="Times New Roman" w:hAnsi="Helvetica" w:cs="Helvetica"/>
          <w:kern w:val="36"/>
          <w:sz w:val="30"/>
          <w:szCs w:val="30"/>
          <w:bdr w:val="none" w:sz="0" w:space="0" w:color="auto" w:frame="1"/>
          <w:lang w:eastAsia="en-GB"/>
        </w:rPr>
        <w:t xml:space="preserve"> </w:t>
      </w:r>
      <w:r w:rsidRPr="00A83ABB">
        <w:rPr>
          <w:bCs/>
          <w:i/>
          <w:iCs/>
          <w:sz w:val="24"/>
          <w:szCs w:val="24"/>
        </w:rPr>
        <w:t xml:space="preserve">Man, the musician. Sound and symbol: Volume Two. </w:t>
      </w:r>
      <w:r w:rsidRPr="00A83ABB">
        <w:rPr>
          <w:bCs/>
          <w:sz w:val="24"/>
          <w:szCs w:val="24"/>
        </w:rPr>
        <w:t>(Norbert Guterman, trans). Princeton: Princeton University Press.</w:t>
      </w:r>
    </w:p>
    <w:p w14:paraId="1444D7FF" w14:textId="118C7724" w:rsidR="00586F03" w:rsidRPr="00151CAF" w:rsidRDefault="00640A2D" w:rsidP="00151CAF">
      <w:pPr>
        <w:spacing w:line="360" w:lineRule="auto"/>
        <w:ind w:left="833" w:hanging="720"/>
        <w:rPr>
          <w:bCs/>
          <w:sz w:val="24"/>
          <w:szCs w:val="24"/>
        </w:rPr>
      </w:pPr>
      <w:r w:rsidRPr="00A83ABB">
        <w:rPr>
          <w:bCs/>
          <w:sz w:val="24"/>
          <w:szCs w:val="24"/>
        </w:rPr>
        <w:lastRenderedPageBreak/>
        <w:t>Zurulo, A. (2012) Training teachers: psychoanalytical issues in the teacher-student relationship. In Alan Bainbridge and Lyndon West (eds)</w:t>
      </w:r>
      <w:r w:rsidRPr="00A83ABB">
        <w:rPr>
          <w:bCs/>
          <w:i/>
          <w:iCs/>
          <w:sz w:val="24"/>
          <w:szCs w:val="24"/>
        </w:rPr>
        <w:t xml:space="preserve"> Psychoanalysis in Education: Minding a gap</w:t>
      </w:r>
      <w:r w:rsidRPr="00A83ABB">
        <w:rPr>
          <w:bCs/>
          <w:sz w:val="24"/>
          <w:szCs w:val="24"/>
        </w:rPr>
        <w:t>. London: Karnak books Ltd</w:t>
      </w:r>
      <w:r w:rsidR="007A0C21">
        <w:rPr>
          <w:bCs/>
          <w:sz w:val="24"/>
          <w:szCs w:val="24"/>
        </w:rPr>
        <w:t>.</w:t>
      </w:r>
    </w:p>
    <w:p w14:paraId="32530CDA" w14:textId="77777777" w:rsidR="00586F03" w:rsidRDefault="00586F03" w:rsidP="0070651F">
      <w:pPr>
        <w:rPr>
          <w:rFonts w:ascii="Calibri" w:hAnsi="Calibri" w:cs="Calibri"/>
          <w:sz w:val="72"/>
          <w:szCs w:val="72"/>
        </w:rPr>
      </w:pPr>
    </w:p>
    <w:p w14:paraId="03C4C3AD" w14:textId="77777777" w:rsidR="00586F03" w:rsidRDefault="00586F03" w:rsidP="0070651F">
      <w:pPr>
        <w:rPr>
          <w:rFonts w:ascii="Calibri" w:hAnsi="Calibri" w:cs="Calibri"/>
          <w:sz w:val="72"/>
          <w:szCs w:val="72"/>
        </w:rPr>
      </w:pPr>
    </w:p>
    <w:p w14:paraId="6CE1FF77" w14:textId="77777777" w:rsidR="00586F03" w:rsidRDefault="00586F03" w:rsidP="0070651F">
      <w:pPr>
        <w:rPr>
          <w:rFonts w:ascii="Calibri" w:hAnsi="Calibri" w:cs="Calibri"/>
          <w:sz w:val="72"/>
          <w:szCs w:val="72"/>
        </w:rPr>
      </w:pPr>
    </w:p>
    <w:p w14:paraId="69EF28F1" w14:textId="77777777" w:rsidR="002F1CA2" w:rsidRDefault="002F1CA2" w:rsidP="00EC2115">
      <w:pPr>
        <w:rPr>
          <w:rFonts w:ascii="Calibri" w:hAnsi="Calibri" w:cs="Calibri"/>
          <w:sz w:val="72"/>
          <w:szCs w:val="72"/>
        </w:rPr>
      </w:pPr>
    </w:p>
    <w:p w14:paraId="564E0BF5" w14:textId="77777777" w:rsidR="002F1CA2" w:rsidRDefault="002F1CA2" w:rsidP="00586F03">
      <w:pPr>
        <w:ind w:left="1440" w:firstLine="720"/>
        <w:rPr>
          <w:rFonts w:ascii="Calibri" w:hAnsi="Calibri" w:cs="Calibri"/>
          <w:sz w:val="72"/>
          <w:szCs w:val="72"/>
        </w:rPr>
      </w:pPr>
    </w:p>
    <w:p w14:paraId="65B7217D" w14:textId="77777777" w:rsidR="00F26E3B" w:rsidRDefault="00F26E3B" w:rsidP="00586F03">
      <w:pPr>
        <w:ind w:left="1440" w:firstLine="720"/>
        <w:rPr>
          <w:rFonts w:ascii="Calibri" w:hAnsi="Calibri" w:cs="Calibri"/>
          <w:sz w:val="72"/>
          <w:szCs w:val="72"/>
        </w:rPr>
      </w:pPr>
    </w:p>
    <w:p w14:paraId="29D90E75" w14:textId="77777777" w:rsidR="0091031C" w:rsidRDefault="0091031C" w:rsidP="003D46A3">
      <w:pPr>
        <w:ind w:left="2160" w:firstLine="720"/>
        <w:rPr>
          <w:rFonts w:ascii="Calibri" w:hAnsi="Calibri" w:cs="Calibri"/>
          <w:sz w:val="56"/>
          <w:szCs w:val="56"/>
        </w:rPr>
      </w:pPr>
    </w:p>
    <w:p w14:paraId="045A9AAE" w14:textId="77777777" w:rsidR="0091031C" w:rsidRDefault="0091031C" w:rsidP="003D46A3">
      <w:pPr>
        <w:ind w:left="2160" w:firstLine="720"/>
        <w:rPr>
          <w:rFonts w:ascii="Calibri" w:hAnsi="Calibri" w:cs="Calibri"/>
          <w:sz w:val="56"/>
          <w:szCs w:val="56"/>
        </w:rPr>
      </w:pPr>
    </w:p>
    <w:p w14:paraId="6D95D3B2" w14:textId="77777777" w:rsidR="0091031C" w:rsidRDefault="0091031C" w:rsidP="003D46A3">
      <w:pPr>
        <w:ind w:left="2160" w:firstLine="720"/>
        <w:rPr>
          <w:rFonts w:ascii="Calibri" w:hAnsi="Calibri" w:cs="Calibri"/>
          <w:sz w:val="56"/>
          <w:szCs w:val="56"/>
        </w:rPr>
      </w:pPr>
    </w:p>
    <w:p w14:paraId="6CE5E74B" w14:textId="77777777" w:rsidR="0091031C" w:rsidRDefault="0091031C" w:rsidP="003D46A3">
      <w:pPr>
        <w:ind w:left="2160" w:firstLine="720"/>
        <w:rPr>
          <w:rFonts w:ascii="Calibri" w:hAnsi="Calibri" w:cs="Calibri"/>
          <w:sz w:val="56"/>
          <w:szCs w:val="56"/>
        </w:rPr>
      </w:pPr>
    </w:p>
    <w:p w14:paraId="20E23748" w14:textId="77777777" w:rsidR="0091031C" w:rsidRDefault="0091031C" w:rsidP="003D46A3">
      <w:pPr>
        <w:ind w:left="2160" w:firstLine="720"/>
        <w:rPr>
          <w:rFonts w:ascii="Calibri" w:hAnsi="Calibri" w:cs="Calibri"/>
          <w:sz w:val="56"/>
          <w:szCs w:val="56"/>
        </w:rPr>
      </w:pPr>
    </w:p>
    <w:p w14:paraId="50C09EFE" w14:textId="77777777" w:rsidR="0091031C" w:rsidRDefault="0091031C" w:rsidP="003D46A3">
      <w:pPr>
        <w:ind w:left="2160" w:firstLine="720"/>
        <w:rPr>
          <w:rFonts w:ascii="Calibri" w:hAnsi="Calibri" w:cs="Calibri"/>
          <w:sz w:val="56"/>
          <w:szCs w:val="56"/>
        </w:rPr>
      </w:pPr>
    </w:p>
    <w:p w14:paraId="084B246D" w14:textId="77777777" w:rsidR="0091031C" w:rsidRDefault="0091031C" w:rsidP="003D46A3">
      <w:pPr>
        <w:ind w:left="2160" w:firstLine="720"/>
        <w:rPr>
          <w:rFonts w:ascii="Calibri" w:hAnsi="Calibri" w:cs="Calibri"/>
          <w:sz w:val="56"/>
          <w:szCs w:val="56"/>
        </w:rPr>
      </w:pPr>
    </w:p>
    <w:p w14:paraId="1F3FB426" w14:textId="77777777" w:rsidR="0091031C" w:rsidRDefault="0091031C" w:rsidP="003D46A3">
      <w:pPr>
        <w:ind w:left="2160" w:firstLine="720"/>
        <w:rPr>
          <w:rFonts w:ascii="Calibri" w:hAnsi="Calibri" w:cs="Calibri"/>
          <w:sz w:val="56"/>
          <w:szCs w:val="56"/>
        </w:rPr>
      </w:pPr>
    </w:p>
    <w:p w14:paraId="0DC2C63F" w14:textId="77777777" w:rsidR="0091031C" w:rsidRDefault="0091031C" w:rsidP="003D46A3">
      <w:pPr>
        <w:ind w:left="2160" w:firstLine="720"/>
        <w:rPr>
          <w:rFonts w:ascii="Calibri" w:hAnsi="Calibri" w:cs="Calibri"/>
          <w:sz w:val="56"/>
          <w:szCs w:val="56"/>
        </w:rPr>
      </w:pPr>
    </w:p>
    <w:p w14:paraId="117955DD" w14:textId="77777777" w:rsidR="0091031C" w:rsidRDefault="0091031C" w:rsidP="003D46A3">
      <w:pPr>
        <w:ind w:left="2160" w:firstLine="720"/>
        <w:rPr>
          <w:rFonts w:ascii="Calibri" w:hAnsi="Calibri" w:cs="Calibri"/>
          <w:sz w:val="56"/>
          <w:szCs w:val="56"/>
        </w:rPr>
      </w:pPr>
    </w:p>
    <w:p w14:paraId="7F219146" w14:textId="77777777" w:rsidR="0091031C" w:rsidRDefault="0091031C" w:rsidP="003D46A3">
      <w:pPr>
        <w:ind w:left="2160" w:firstLine="720"/>
        <w:rPr>
          <w:rFonts w:ascii="Calibri" w:hAnsi="Calibri" w:cs="Calibri"/>
          <w:sz w:val="56"/>
          <w:szCs w:val="56"/>
        </w:rPr>
      </w:pPr>
    </w:p>
    <w:p w14:paraId="3963C66D" w14:textId="77777777" w:rsidR="0091031C" w:rsidRDefault="0091031C" w:rsidP="003D46A3">
      <w:pPr>
        <w:ind w:left="2160" w:firstLine="720"/>
        <w:rPr>
          <w:rFonts w:ascii="Calibri" w:hAnsi="Calibri" w:cs="Calibri"/>
          <w:sz w:val="56"/>
          <w:szCs w:val="56"/>
        </w:rPr>
      </w:pPr>
    </w:p>
    <w:p w14:paraId="4070A044" w14:textId="45CF3652" w:rsidR="00903F96" w:rsidRPr="00E21B8F" w:rsidRDefault="00586F03" w:rsidP="003D46A3">
      <w:pPr>
        <w:ind w:left="2160" w:firstLine="720"/>
        <w:rPr>
          <w:rFonts w:ascii="Calibri" w:hAnsi="Calibri" w:cs="Calibri"/>
          <w:sz w:val="56"/>
          <w:szCs w:val="56"/>
        </w:rPr>
      </w:pPr>
      <w:r w:rsidRPr="00E21B8F">
        <w:rPr>
          <w:rFonts w:ascii="Calibri" w:hAnsi="Calibri" w:cs="Calibri"/>
          <w:sz w:val="56"/>
          <w:szCs w:val="56"/>
        </w:rPr>
        <w:t>Appendices</w:t>
      </w:r>
    </w:p>
    <w:p w14:paraId="314C0755" w14:textId="77777777" w:rsidR="00254269" w:rsidRDefault="00254269" w:rsidP="00586F03">
      <w:pPr>
        <w:ind w:left="1440" w:firstLine="720"/>
        <w:rPr>
          <w:rFonts w:ascii="Calibri" w:hAnsi="Calibri" w:cs="Calibri"/>
          <w:sz w:val="72"/>
          <w:szCs w:val="72"/>
        </w:rPr>
      </w:pPr>
    </w:p>
    <w:p w14:paraId="4BA90324" w14:textId="77777777" w:rsidR="00254269" w:rsidRDefault="00254269" w:rsidP="00586F03">
      <w:pPr>
        <w:ind w:left="1440" w:firstLine="720"/>
        <w:rPr>
          <w:rFonts w:ascii="Calibri" w:hAnsi="Calibri" w:cs="Calibri"/>
          <w:sz w:val="72"/>
          <w:szCs w:val="72"/>
        </w:rPr>
      </w:pPr>
    </w:p>
    <w:p w14:paraId="11762F7A" w14:textId="77777777" w:rsidR="00254269" w:rsidRDefault="00254269" w:rsidP="00586F03">
      <w:pPr>
        <w:ind w:left="1440" w:firstLine="720"/>
        <w:rPr>
          <w:rFonts w:ascii="Calibri" w:hAnsi="Calibri" w:cs="Calibri"/>
          <w:sz w:val="72"/>
          <w:szCs w:val="72"/>
        </w:rPr>
      </w:pPr>
    </w:p>
    <w:p w14:paraId="33CC5E31" w14:textId="77777777" w:rsidR="00E60418" w:rsidRDefault="00E60418" w:rsidP="00E60418">
      <w:pPr>
        <w:rPr>
          <w:rFonts w:ascii="Calibri" w:hAnsi="Calibri" w:cs="Calibri"/>
          <w:sz w:val="72"/>
          <w:szCs w:val="72"/>
        </w:rPr>
      </w:pPr>
    </w:p>
    <w:p w14:paraId="2C0E5E6A" w14:textId="77777777" w:rsidR="00497C34" w:rsidRDefault="00497C34" w:rsidP="00E60418">
      <w:pPr>
        <w:rPr>
          <w:rFonts w:ascii="Calibri" w:hAnsi="Calibri" w:cs="Calibri"/>
          <w:sz w:val="72"/>
          <w:szCs w:val="72"/>
        </w:rPr>
      </w:pPr>
    </w:p>
    <w:p w14:paraId="148DA5DF" w14:textId="77777777" w:rsidR="00497C34" w:rsidRDefault="00497C34" w:rsidP="00E60418">
      <w:pPr>
        <w:rPr>
          <w:rFonts w:ascii="Calibri" w:hAnsi="Calibri" w:cs="Calibri"/>
          <w:sz w:val="72"/>
          <w:szCs w:val="72"/>
        </w:rPr>
      </w:pPr>
    </w:p>
    <w:p w14:paraId="38295E7F" w14:textId="77777777" w:rsidR="007A0C21" w:rsidRDefault="007A0C21" w:rsidP="00E60418">
      <w:pPr>
        <w:rPr>
          <w:rFonts w:ascii="Calibri" w:hAnsi="Calibri" w:cs="Calibri"/>
          <w:sz w:val="72"/>
          <w:szCs w:val="72"/>
        </w:rPr>
      </w:pPr>
    </w:p>
    <w:p w14:paraId="2F09ADEE" w14:textId="70895BE4" w:rsidR="00254269" w:rsidRPr="00387FB6" w:rsidRDefault="00A02C88" w:rsidP="00E60418">
      <w:pPr>
        <w:rPr>
          <w:rFonts w:ascii="Calibri" w:hAnsi="Calibri" w:cs="Calibri"/>
          <w:sz w:val="28"/>
          <w:szCs w:val="28"/>
        </w:rPr>
      </w:pPr>
      <w:r>
        <w:rPr>
          <w:rFonts w:ascii="Calibri" w:hAnsi="Calibri" w:cs="Calibri"/>
          <w:sz w:val="24"/>
          <w:szCs w:val="24"/>
        </w:rPr>
        <w:lastRenderedPageBreak/>
        <w:tab/>
      </w:r>
      <w:r>
        <w:rPr>
          <w:rFonts w:ascii="Calibri" w:hAnsi="Calibri" w:cs="Calibri"/>
          <w:sz w:val="24"/>
          <w:szCs w:val="24"/>
        </w:rPr>
        <w:tab/>
      </w:r>
      <w:r>
        <w:rPr>
          <w:rFonts w:ascii="Calibri" w:hAnsi="Calibri" w:cs="Calibri"/>
          <w:sz w:val="24"/>
          <w:szCs w:val="24"/>
        </w:rPr>
        <w:tab/>
      </w:r>
      <w:r w:rsidRPr="00387FB6">
        <w:rPr>
          <w:rFonts w:ascii="Calibri" w:hAnsi="Calibri" w:cs="Calibri"/>
          <w:sz w:val="28"/>
          <w:szCs w:val="28"/>
        </w:rPr>
        <w:tab/>
      </w:r>
      <w:bookmarkStart w:id="103" w:name="_Hlk216066640"/>
      <w:r w:rsidRPr="00387FB6">
        <w:rPr>
          <w:rFonts w:ascii="Calibri" w:hAnsi="Calibri" w:cs="Calibri"/>
          <w:b/>
          <w:bCs/>
          <w:sz w:val="28"/>
          <w:szCs w:val="28"/>
        </w:rPr>
        <w:t>List of Appendices</w:t>
      </w:r>
    </w:p>
    <w:p w14:paraId="5B224999" w14:textId="77777777" w:rsidR="00B11780" w:rsidRDefault="00B11780" w:rsidP="00A02C88">
      <w:pPr>
        <w:rPr>
          <w:rFonts w:ascii="Calibri" w:hAnsi="Calibri" w:cs="Calibri"/>
          <w:sz w:val="24"/>
          <w:szCs w:val="24"/>
        </w:rPr>
      </w:pPr>
    </w:p>
    <w:p w14:paraId="6E6E9037" w14:textId="3A9D9EFC" w:rsidR="00786FA5" w:rsidRDefault="00786FA5" w:rsidP="00A02C88">
      <w:pPr>
        <w:rPr>
          <w:rFonts w:ascii="Calibri" w:hAnsi="Calibri" w:cs="Calibri"/>
          <w:sz w:val="24"/>
          <w:szCs w:val="24"/>
        </w:rPr>
      </w:pPr>
      <w:r>
        <w:rPr>
          <w:rFonts w:ascii="Calibri" w:hAnsi="Calibri" w:cs="Calibri"/>
          <w:sz w:val="24"/>
          <w:szCs w:val="24"/>
        </w:rPr>
        <w:t>Appendix A</w:t>
      </w:r>
      <w:r w:rsidR="00CE6C12">
        <w:rPr>
          <w:rFonts w:ascii="Calibri" w:hAnsi="Calibri" w:cs="Calibri"/>
          <w:sz w:val="24"/>
          <w:szCs w:val="24"/>
        </w:rPr>
        <w:t xml:space="preserve">: </w:t>
      </w:r>
      <w:r w:rsidR="00CE6C12" w:rsidRPr="00763E04">
        <w:rPr>
          <w:rFonts w:ascii="Calibri" w:eastAsia="Calibri" w:hAnsi="Calibri" w:cs="Times New Roman"/>
          <w:sz w:val="24"/>
          <w:szCs w:val="24"/>
        </w:rPr>
        <w:t>A periodisation table of reflective practice taxonomies</w:t>
      </w:r>
      <w:r w:rsidR="001D18ED">
        <w:rPr>
          <w:rFonts w:ascii="Calibri" w:eastAsia="Calibri" w:hAnsi="Calibri" w:cs="Times New Roman"/>
          <w:sz w:val="24"/>
          <w:szCs w:val="24"/>
        </w:rPr>
        <w:t xml:space="preserve">                          p</w:t>
      </w:r>
      <w:r w:rsidR="007F30BA">
        <w:rPr>
          <w:rFonts w:ascii="Calibri" w:eastAsia="Calibri" w:hAnsi="Calibri" w:cs="Times New Roman"/>
          <w:sz w:val="24"/>
          <w:szCs w:val="24"/>
        </w:rPr>
        <w:t>age</w:t>
      </w:r>
      <w:r w:rsidR="00336E75">
        <w:rPr>
          <w:rFonts w:ascii="Calibri" w:eastAsia="Calibri" w:hAnsi="Calibri" w:cs="Times New Roman"/>
          <w:sz w:val="24"/>
          <w:szCs w:val="24"/>
        </w:rPr>
        <w:t xml:space="preserve"> </w:t>
      </w:r>
      <w:r w:rsidR="00453674">
        <w:rPr>
          <w:rFonts w:ascii="Calibri" w:eastAsia="Calibri" w:hAnsi="Calibri" w:cs="Times New Roman"/>
          <w:sz w:val="24"/>
          <w:szCs w:val="24"/>
        </w:rPr>
        <w:t>30</w:t>
      </w:r>
      <w:r w:rsidR="004C025C">
        <w:rPr>
          <w:rFonts w:ascii="Calibri" w:eastAsia="Calibri" w:hAnsi="Calibri" w:cs="Times New Roman"/>
          <w:sz w:val="24"/>
          <w:szCs w:val="24"/>
        </w:rPr>
        <w:t>9</w:t>
      </w:r>
    </w:p>
    <w:p w14:paraId="785DAECD" w14:textId="3FFB9309" w:rsidR="00786FA5" w:rsidRDefault="00786FA5" w:rsidP="00A02C88">
      <w:pPr>
        <w:rPr>
          <w:rFonts w:ascii="Calibri" w:hAnsi="Calibri" w:cs="Calibri"/>
          <w:sz w:val="24"/>
          <w:szCs w:val="24"/>
        </w:rPr>
      </w:pPr>
      <w:r>
        <w:rPr>
          <w:rFonts w:ascii="Calibri" w:hAnsi="Calibri" w:cs="Calibri"/>
          <w:sz w:val="24"/>
          <w:szCs w:val="24"/>
        </w:rPr>
        <w:t>Appendix B</w:t>
      </w:r>
      <w:r w:rsidR="00231E33">
        <w:rPr>
          <w:rFonts w:ascii="Calibri" w:hAnsi="Calibri" w:cs="Calibri"/>
          <w:sz w:val="24"/>
          <w:szCs w:val="24"/>
        </w:rPr>
        <w:t xml:space="preserve">: </w:t>
      </w:r>
      <w:r w:rsidR="00231E33">
        <w:rPr>
          <w:sz w:val="24"/>
          <w:szCs w:val="24"/>
        </w:rPr>
        <w:t>Invitation to take part in my research project</w:t>
      </w:r>
      <w:r w:rsidR="00231E33">
        <w:rPr>
          <w:sz w:val="24"/>
          <w:szCs w:val="24"/>
        </w:rPr>
        <w:tab/>
      </w:r>
      <w:r w:rsidR="00231E33">
        <w:rPr>
          <w:sz w:val="24"/>
          <w:szCs w:val="24"/>
        </w:rPr>
        <w:tab/>
      </w:r>
      <w:r w:rsidR="00231E33">
        <w:rPr>
          <w:sz w:val="24"/>
          <w:szCs w:val="24"/>
        </w:rPr>
        <w:tab/>
      </w:r>
      <w:r w:rsidR="00231E33">
        <w:rPr>
          <w:sz w:val="24"/>
          <w:szCs w:val="24"/>
        </w:rPr>
        <w:tab/>
        <w:t>p</w:t>
      </w:r>
      <w:r w:rsidR="007F30BA">
        <w:rPr>
          <w:sz w:val="24"/>
          <w:szCs w:val="24"/>
        </w:rPr>
        <w:t xml:space="preserve">age </w:t>
      </w:r>
      <w:r w:rsidR="00C44C5B">
        <w:rPr>
          <w:sz w:val="24"/>
          <w:szCs w:val="24"/>
        </w:rPr>
        <w:t>3</w:t>
      </w:r>
      <w:r w:rsidR="0009055E">
        <w:rPr>
          <w:sz w:val="24"/>
          <w:szCs w:val="24"/>
        </w:rPr>
        <w:t>1</w:t>
      </w:r>
      <w:r w:rsidR="004C025C">
        <w:rPr>
          <w:sz w:val="24"/>
          <w:szCs w:val="24"/>
        </w:rPr>
        <w:t>6</w:t>
      </w:r>
    </w:p>
    <w:p w14:paraId="340DA2DF" w14:textId="2D88D07C" w:rsidR="00786FA5" w:rsidRDefault="00786FA5" w:rsidP="00A02C88">
      <w:pPr>
        <w:rPr>
          <w:rFonts w:ascii="Calibri" w:hAnsi="Calibri" w:cs="Calibri"/>
          <w:sz w:val="24"/>
          <w:szCs w:val="24"/>
        </w:rPr>
      </w:pPr>
      <w:r>
        <w:rPr>
          <w:rFonts w:ascii="Calibri" w:hAnsi="Calibri" w:cs="Calibri"/>
          <w:sz w:val="24"/>
          <w:szCs w:val="24"/>
        </w:rPr>
        <w:t>Appendix C</w:t>
      </w:r>
      <w:r w:rsidR="00D73218">
        <w:rPr>
          <w:rFonts w:ascii="Calibri" w:hAnsi="Calibri" w:cs="Calibri"/>
          <w:sz w:val="24"/>
          <w:szCs w:val="24"/>
        </w:rPr>
        <w:t xml:space="preserve">: </w:t>
      </w:r>
      <w:r w:rsidR="00D73218" w:rsidRPr="00D73218">
        <w:rPr>
          <w:sz w:val="24"/>
          <w:szCs w:val="24"/>
        </w:rPr>
        <w:t>Indicative Interview Schedule</w:t>
      </w:r>
      <w:r w:rsidR="00334CEA">
        <w:rPr>
          <w:sz w:val="24"/>
          <w:szCs w:val="24"/>
        </w:rPr>
        <w:tab/>
      </w:r>
      <w:r w:rsidR="00334CEA">
        <w:rPr>
          <w:sz w:val="24"/>
          <w:szCs w:val="24"/>
        </w:rPr>
        <w:tab/>
      </w:r>
      <w:r w:rsidR="00334CEA">
        <w:rPr>
          <w:sz w:val="24"/>
          <w:szCs w:val="24"/>
        </w:rPr>
        <w:tab/>
      </w:r>
      <w:r w:rsidR="00334CEA">
        <w:rPr>
          <w:sz w:val="24"/>
          <w:szCs w:val="24"/>
        </w:rPr>
        <w:tab/>
      </w:r>
      <w:r w:rsidR="00334CEA">
        <w:rPr>
          <w:sz w:val="24"/>
          <w:szCs w:val="24"/>
        </w:rPr>
        <w:tab/>
      </w:r>
      <w:r w:rsidR="00334CEA">
        <w:rPr>
          <w:sz w:val="24"/>
          <w:szCs w:val="24"/>
        </w:rPr>
        <w:tab/>
        <w:t>p</w:t>
      </w:r>
      <w:r w:rsidR="007F30BA">
        <w:rPr>
          <w:sz w:val="24"/>
          <w:szCs w:val="24"/>
        </w:rPr>
        <w:t>age</w:t>
      </w:r>
      <w:r w:rsidR="00FE682F">
        <w:rPr>
          <w:sz w:val="24"/>
          <w:szCs w:val="24"/>
        </w:rPr>
        <w:t xml:space="preserve"> </w:t>
      </w:r>
      <w:r w:rsidR="00DA10F3">
        <w:rPr>
          <w:sz w:val="24"/>
          <w:szCs w:val="24"/>
        </w:rPr>
        <w:t>3</w:t>
      </w:r>
      <w:r w:rsidR="0009055E">
        <w:rPr>
          <w:sz w:val="24"/>
          <w:szCs w:val="24"/>
        </w:rPr>
        <w:t>1</w:t>
      </w:r>
      <w:r w:rsidR="004C025C">
        <w:rPr>
          <w:sz w:val="24"/>
          <w:szCs w:val="24"/>
        </w:rPr>
        <w:t>7</w:t>
      </w:r>
    </w:p>
    <w:p w14:paraId="74849CA3" w14:textId="12959461" w:rsidR="00786FA5" w:rsidRDefault="00786FA5" w:rsidP="00A02C88">
      <w:pPr>
        <w:rPr>
          <w:rFonts w:ascii="Calibri" w:hAnsi="Calibri" w:cs="Calibri"/>
          <w:sz w:val="24"/>
          <w:szCs w:val="24"/>
        </w:rPr>
      </w:pPr>
      <w:r>
        <w:rPr>
          <w:rFonts w:ascii="Calibri" w:hAnsi="Calibri" w:cs="Calibri"/>
          <w:sz w:val="24"/>
          <w:szCs w:val="24"/>
        </w:rPr>
        <w:t>Appendix D</w:t>
      </w:r>
      <w:r w:rsidR="00334CEA">
        <w:rPr>
          <w:rFonts w:ascii="Calibri" w:hAnsi="Calibri" w:cs="Calibri"/>
          <w:sz w:val="24"/>
          <w:szCs w:val="24"/>
        </w:rPr>
        <w:t>: Participant Information Sheets</w:t>
      </w:r>
      <w:r w:rsidR="00334CEA">
        <w:rPr>
          <w:rFonts w:ascii="Calibri" w:hAnsi="Calibri" w:cs="Calibri"/>
          <w:sz w:val="24"/>
          <w:szCs w:val="24"/>
        </w:rPr>
        <w:tab/>
      </w:r>
      <w:r w:rsidR="00334CEA">
        <w:rPr>
          <w:rFonts w:ascii="Calibri" w:hAnsi="Calibri" w:cs="Calibri"/>
          <w:sz w:val="24"/>
          <w:szCs w:val="24"/>
        </w:rPr>
        <w:tab/>
      </w:r>
      <w:r w:rsidR="00334CEA">
        <w:rPr>
          <w:rFonts w:ascii="Calibri" w:hAnsi="Calibri" w:cs="Calibri"/>
          <w:sz w:val="24"/>
          <w:szCs w:val="24"/>
        </w:rPr>
        <w:tab/>
      </w:r>
      <w:r w:rsidR="00334CEA">
        <w:rPr>
          <w:rFonts w:ascii="Calibri" w:hAnsi="Calibri" w:cs="Calibri"/>
          <w:sz w:val="24"/>
          <w:szCs w:val="24"/>
        </w:rPr>
        <w:tab/>
      </w:r>
      <w:r w:rsidR="00334CEA">
        <w:rPr>
          <w:rFonts w:ascii="Calibri" w:hAnsi="Calibri" w:cs="Calibri"/>
          <w:sz w:val="24"/>
          <w:szCs w:val="24"/>
        </w:rPr>
        <w:tab/>
      </w:r>
      <w:r w:rsidR="00334CEA">
        <w:rPr>
          <w:rFonts w:ascii="Calibri" w:hAnsi="Calibri" w:cs="Calibri"/>
          <w:sz w:val="24"/>
          <w:szCs w:val="24"/>
        </w:rPr>
        <w:tab/>
        <w:t>p</w:t>
      </w:r>
      <w:r w:rsidR="007F30BA">
        <w:rPr>
          <w:rFonts w:ascii="Calibri" w:hAnsi="Calibri" w:cs="Calibri"/>
          <w:sz w:val="24"/>
          <w:szCs w:val="24"/>
        </w:rPr>
        <w:t>age</w:t>
      </w:r>
      <w:r w:rsidR="00FE682F">
        <w:rPr>
          <w:rFonts w:ascii="Calibri" w:hAnsi="Calibri" w:cs="Calibri"/>
          <w:sz w:val="24"/>
          <w:szCs w:val="24"/>
        </w:rPr>
        <w:t xml:space="preserve"> </w:t>
      </w:r>
      <w:r w:rsidR="00DA10F3">
        <w:rPr>
          <w:rFonts w:ascii="Calibri" w:hAnsi="Calibri" w:cs="Calibri"/>
          <w:sz w:val="24"/>
          <w:szCs w:val="24"/>
        </w:rPr>
        <w:t>3</w:t>
      </w:r>
      <w:r w:rsidR="0009055E">
        <w:rPr>
          <w:rFonts w:ascii="Calibri" w:hAnsi="Calibri" w:cs="Calibri"/>
          <w:sz w:val="24"/>
          <w:szCs w:val="24"/>
        </w:rPr>
        <w:t>1</w:t>
      </w:r>
      <w:r w:rsidR="004C025C">
        <w:rPr>
          <w:rFonts w:ascii="Calibri" w:hAnsi="Calibri" w:cs="Calibri"/>
          <w:sz w:val="24"/>
          <w:szCs w:val="24"/>
        </w:rPr>
        <w:t>9</w:t>
      </w:r>
    </w:p>
    <w:p w14:paraId="56AB3BDB" w14:textId="73CF19F0" w:rsidR="00786FA5" w:rsidRDefault="00786FA5" w:rsidP="00A02C88">
      <w:pPr>
        <w:rPr>
          <w:rFonts w:ascii="Calibri" w:hAnsi="Calibri" w:cs="Calibri"/>
          <w:sz w:val="24"/>
          <w:szCs w:val="24"/>
        </w:rPr>
      </w:pPr>
      <w:r>
        <w:rPr>
          <w:rFonts w:ascii="Calibri" w:hAnsi="Calibri" w:cs="Calibri"/>
          <w:sz w:val="24"/>
          <w:szCs w:val="24"/>
        </w:rPr>
        <w:t>Appendix E</w:t>
      </w:r>
      <w:r w:rsidR="00E321D9">
        <w:rPr>
          <w:rFonts w:ascii="Calibri" w:hAnsi="Calibri" w:cs="Calibri"/>
          <w:sz w:val="24"/>
          <w:szCs w:val="24"/>
        </w:rPr>
        <w:t xml:space="preserve">: </w:t>
      </w:r>
      <w:r w:rsidR="00E321D9" w:rsidRPr="00E321D9">
        <w:rPr>
          <w:rFonts w:ascii="Calibri" w:hAnsi="Calibri" w:cs="Calibri"/>
          <w:bCs/>
          <w:sz w:val="24"/>
          <w:szCs w:val="24"/>
        </w:rPr>
        <w:t>Participant Consent Form</w:t>
      </w:r>
      <w:r w:rsidR="00E321D9">
        <w:rPr>
          <w:rFonts w:ascii="Calibri" w:hAnsi="Calibri" w:cs="Calibri"/>
          <w:bCs/>
          <w:sz w:val="24"/>
          <w:szCs w:val="24"/>
        </w:rPr>
        <w:tab/>
      </w:r>
      <w:r w:rsidR="00E321D9">
        <w:rPr>
          <w:rFonts w:ascii="Calibri" w:hAnsi="Calibri" w:cs="Calibri"/>
          <w:bCs/>
          <w:sz w:val="24"/>
          <w:szCs w:val="24"/>
        </w:rPr>
        <w:tab/>
      </w:r>
      <w:r w:rsidR="00E321D9">
        <w:rPr>
          <w:rFonts w:ascii="Calibri" w:hAnsi="Calibri" w:cs="Calibri"/>
          <w:bCs/>
          <w:sz w:val="24"/>
          <w:szCs w:val="24"/>
        </w:rPr>
        <w:tab/>
      </w:r>
      <w:r w:rsidR="00E321D9">
        <w:rPr>
          <w:rFonts w:ascii="Calibri" w:hAnsi="Calibri" w:cs="Calibri"/>
          <w:bCs/>
          <w:sz w:val="24"/>
          <w:szCs w:val="24"/>
        </w:rPr>
        <w:tab/>
      </w:r>
      <w:r w:rsidR="00E321D9">
        <w:rPr>
          <w:rFonts w:ascii="Calibri" w:hAnsi="Calibri" w:cs="Calibri"/>
          <w:bCs/>
          <w:sz w:val="24"/>
          <w:szCs w:val="24"/>
        </w:rPr>
        <w:tab/>
      </w:r>
      <w:r w:rsidR="00E321D9">
        <w:rPr>
          <w:rFonts w:ascii="Calibri" w:hAnsi="Calibri" w:cs="Calibri"/>
          <w:bCs/>
          <w:sz w:val="24"/>
          <w:szCs w:val="24"/>
        </w:rPr>
        <w:tab/>
        <w:t>p</w:t>
      </w:r>
      <w:r w:rsidR="007F30BA">
        <w:rPr>
          <w:rFonts w:ascii="Calibri" w:hAnsi="Calibri" w:cs="Calibri"/>
          <w:bCs/>
          <w:sz w:val="24"/>
          <w:szCs w:val="24"/>
        </w:rPr>
        <w:t>age</w:t>
      </w:r>
      <w:r w:rsidR="00FE682F">
        <w:rPr>
          <w:rFonts w:ascii="Calibri" w:hAnsi="Calibri" w:cs="Calibri"/>
          <w:bCs/>
          <w:sz w:val="24"/>
          <w:szCs w:val="24"/>
        </w:rPr>
        <w:t xml:space="preserve"> 3</w:t>
      </w:r>
      <w:r w:rsidR="0009055E">
        <w:rPr>
          <w:rFonts w:ascii="Calibri" w:hAnsi="Calibri" w:cs="Calibri"/>
          <w:bCs/>
          <w:sz w:val="24"/>
          <w:szCs w:val="24"/>
        </w:rPr>
        <w:t>2</w:t>
      </w:r>
      <w:r w:rsidR="004C025C">
        <w:rPr>
          <w:rFonts w:ascii="Calibri" w:hAnsi="Calibri" w:cs="Calibri"/>
          <w:bCs/>
          <w:sz w:val="24"/>
          <w:szCs w:val="24"/>
        </w:rPr>
        <w:t>4</w:t>
      </w:r>
    </w:p>
    <w:p w14:paraId="2F774AED" w14:textId="3A1AF006" w:rsidR="00786FA5" w:rsidRDefault="00786FA5" w:rsidP="00A02C88">
      <w:pPr>
        <w:rPr>
          <w:sz w:val="24"/>
          <w:szCs w:val="24"/>
        </w:rPr>
      </w:pPr>
      <w:r>
        <w:rPr>
          <w:rFonts w:ascii="Calibri" w:hAnsi="Calibri" w:cs="Calibri"/>
          <w:sz w:val="24"/>
          <w:szCs w:val="24"/>
        </w:rPr>
        <w:t>Appendix F</w:t>
      </w:r>
      <w:r w:rsidR="00E62D56">
        <w:rPr>
          <w:rFonts w:ascii="Calibri" w:hAnsi="Calibri" w:cs="Calibri"/>
          <w:sz w:val="24"/>
          <w:szCs w:val="24"/>
        </w:rPr>
        <w:t xml:space="preserve">: </w:t>
      </w:r>
      <w:r w:rsidR="00E62D56" w:rsidRPr="00B43199">
        <w:rPr>
          <w:sz w:val="24"/>
          <w:szCs w:val="24"/>
        </w:rPr>
        <w:t>Pre-interview questionnaire</w:t>
      </w:r>
      <w:r w:rsidR="00E62D56">
        <w:rPr>
          <w:sz w:val="24"/>
          <w:szCs w:val="24"/>
        </w:rPr>
        <w:tab/>
      </w:r>
      <w:r w:rsidR="00E62D56">
        <w:rPr>
          <w:sz w:val="24"/>
          <w:szCs w:val="24"/>
        </w:rPr>
        <w:tab/>
      </w:r>
      <w:r w:rsidR="00E62D56">
        <w:rPr>
          <w:sz w:val="24"/>
          <w:szCs w:val="24"/>
        </w:rPr>
        <w:tab/>
      </w:r>
      <w:r w:rsidR="00E62D56">
        <w:rPr>
          <w:sz w:val="24"/>
          <w:szCs w:val="24"/>
        </w:rPr>
        <w:tab/>
      </w:r>
      <w:r w:rsidR="00E62D56">
        <w:rPr>
          <w:sz w:val="24"/>
          <w:szCs w:val="24"/>
        </w:rPr>
        <w:tab/>
      </w:r>
      <w:r w:rsidR="00E62D56">
        <w:rPr>
          <w:sz w:val="24"/>
          <w:szCs w:val="24"/>
        </w:rPr>
        <w:tab/>
        <w:t>p</w:t>
      </w:r>
      <w:r w:rsidR="007F30BA">
        <w:rPr>
          <w:sz w:val="24"/>
          <w:szCs w:val="24"/>
        </w:rPr>
        <w:t xml:space="preserve">age </w:t>
      </w:r>
      <w:r w:rsidR="00FE682F">
        <w:rPr>
          <w:sz w:val="24"/>
          <w:szCs w:val="24"/>
        </w:rPr>
        <w:t>3</w:t>
      </w:r>
      <w:r w:rsidR="00A504EF">
        <w:rPr>
          <w:sz w:val="24"/>
          <w:szCs w:val="24"/>
        </w:rPr>
        <w:t>2</w:t>
      </w:r>
      <w:r w:rsidR="004C025C">
        <w:rPr>
          <w:sz w:val="24"/>
          <w:szCs w:val="24"/>
        </w:rPr>
        <w:t>7</w:t>
      </w:r>
    </w:p>
    <w:p w14:paraId="640EB2C6" w14:textId="0C8979FE" w:rsidR="00AC1193" w:rsidRDefault="00AC1193" w:rsidP="00A02C88">
      <w:pPr>
        <w:rPr>
          <w:rFonts w:ascii="Calibri" w:hAnsi="Calibri" w:cs="Calibri"/>
          <w:sz w:val="24"/>
          <w:szCs w:val="24"/>
        </w:rPr>
      </w:pPr>
      <w:r>
        <w:rPr>
          <w:sz w:val="24"/>
          <w:szCs w:val="24"/>
        </w:rPr>
        <w:t>Appendix G</w:t>
      </w:r>
      <w:r w:rsidR="00EB2573">
        <w:rPr>
          <w:sz w:val="24"/>
          <w:szCs w:val="24"/>
        </w:rPr>
        <w:t>: Ethical approval letter</w:t>
      </w:r>
      <w:r w:rsidR="00EB2573">
        <w:rPr>
          <w:sz w:val="24"/>
          <w:szCs w:val="24"/>
        </w:rPr>
        <w:tab/>
      </w:r>
      <w:r w:rsidR="00EB2573">
        <w:rPr>
          <w:sz w:val="24"/>
          <w:szCs w:val="24"/>
        </w:rPr>
        <w:tab/>
      </w:r>
      <w:r w:rsidR="00EB2573">
        <w:rPr>
          <w:sz w:val="24"/>
          <w:szCs w:val="24"/>
        </w:rPr>
        <w:tab/>
      </w:r>
      <w:r w:rsidR="00EB2573">
        <w:rPr>
          <w:sz w:val="24"/>
          <w:szCs w:val="24"/>
        </w:rPr>
        <w:tab/>
      </w:r>
      <w:r w:rsidR="00EB2573">
        <w:rPr>
          <w:sz w:val="24"/>
          <w:szCs w:val="24"/>
        </w:rPr>
        <w:tab/>
      </w:r>
      <w:r w:rsidR="00EB2573">
        <w:rPr>
          <w:sz w:val="24"/>
          <w:szCs w:val="24"/>
        </w:rPr>
        <w:tab/>
      </w:r>
      <w:r w:rsidR="00EB2573">
        <w:rPr>
          <w:sz w:val="24"/>
          <w:szCs w:val="24"/>
        </w:rPr>
        <w:tab/>
        <w:t>p</w:t>
      </w:r>
      <w:r w:rsidR="007F30BA">
        <w:rPr>
          <w:sz w:val="24"/>
          <w:szCs w:val="24"/>
        </w:rPr>
        <w:t>age</w:t>
      </w:r>
      <w:r w:rsidR="00FE682F">
        <w:rPr>
          <w:sz w:val="24"/>
          <w:szCs w:val="24"/>
        </w:rPr>
        <w:t xml:space="preserve"> 3</w:t>
      </w:r>
      <w:r w:rsidR="00A504EF">
        <w:rPr>
          <w:sz w:val="24"/>
          <w:szCs w:val="24"/>
        </w:rPr>
        <w:t>2</w:t>
      </w:r>
      <w:r w:rsidR="004C025C">
        <w:rPr>
          <w:sz w:val="24"/>
          <w:szCs w:val="24"/>
        </w:rPr>
        <w:t>8</w:t>
      </w:r>
    </w:p>
    <w:p w14:paraId="377BF1D7" w14:textId="714CFE34" w:rsidR="00786FA5" w:rsidRDefault="00786FA5" w:rsidP="00A02C88">
      <w:pPr>
        <w:rPr>
          <w:rFonts w:ascii="Calibri" w:hAnsi="Calibri" w:cs="Calibri"/>
          <w:sz w:val="24"/>
          <w:szCs w:val="24"/>
        </w:rPr>
      </w:pPr>
      <w:r>
        <w:rPr>
          <w:rFonts w:ascii="Calibri" w:hAnsi="Calibri" w:cs="Calibri"/>
          <w:sz w:val="24"/>
          <w:szCs w:val="24"/>
        </w:rPr>
        <w:t xml:space="preserve">Appendix </w:t>
      </w:r>
      <w:r w:rsidR="000C6DBE">
        <w:rPr>
          <w:rFonts w:ascii="Calibri" w:hAnsi="Calibri" w:cs="Calibri"/>
          <w:sz w:val="24"/>
          <w:szCs w:val="24"/>
        </w:rPr>
        <w:t>H</w:t>
      </w:r>
      <w:r w:rsidR="00AD4912">
        <w:rPr>
          <w:rFonts w:ascii="Calibri" w:hAnsi="Calibri" w:cs="Calibri"/>
          <w:sz w:val="24"/>
          <w:szCs w:val="24"/>
        </w:rPr>
        <w:t xml:space="preserve">: </w:t>
      </w:r>
      <w:r w:rsidR="00AD4912">
        <w:rPr>
          <w:sz w:val="24"/>
          <w:szCs w:val="24"/>
        </w:rPr>
        <w:t>Winnicott’s models of holding</w:t>
      </w:r>
      <w:r w:rsidR="00AD4912">
        <w:rPr>
          <w:sz w:val="24"/>
          <w:szCs w:val="24"/>
        </w:rPr>
        <w:tab/>
      </w:r>
      <w:r w:rsidR="00AD4912">
        <w:rPr>
          <w:sz w:val="24"/>
          <w:szCs w:val="24"/>
        </w:rPr>
        <w:tab/>
      </w:r>
      <w:r w:rsidR="00AD4912">
        <w:rPr>
          <w:sz w:val="24"/>
          <w:szCs w:val="24"/>
        </w:rPr>
        <w:tab/>
      </w:r>
      <w:r w:rsidR="00AD4912">
        <w:rPr>
          <w:sz w:val="24"/>
          <w:szCs w:val="24"/>
        </w:rPr>
        <w:tab/>
      </w:r>
      <w:r w:rsidR="00AD4912">
        <w:rPr>
          <w:sz w:val="24"/>
          <w:szCs w:val="24"/>
        </w:rPr>
        <w:tab/>
      </w:r>
      <w:r w:rsidR="00AD4912">
        <w:rPr>
          <w:sz w:val="24"/>
          <w:szCs w:val="24"/>
        </w:rPr>
        <w:tab/>
        <w:t>p</w:t>
      </w:r>
      <w:r w:rsidR="007F30BA">
        <w:rPr>
          <w:sz w:val="24"/>
          <w:szCs w:val="24"/>
        </w:rPr>
        <w:t>age</w:t>
      </w:r>
      <w:r w:rsidR="00FE682F">
        <w:rPr>
          <w:sz w:val="24"/>
          <w:szCs w:val="24"/>
        </w:rPr>
        <w:t xml:space="preserve"> 3</w:t>
      </w:r>
      <w:r w:rsidR="004C025C">
        <w:rPr>
          <w:sz w:val="24"/>
          <w:szCs w:val="24"/>
        </w:rPr>
        <w:t>30</w:t>
      </w:r>
    </w:p>
    <w:p w14:paraId="67247459" w14:textId="56D0966E" w:rsidR="00786FA5" w:rsidRDefault="00786FA5" w:rsidP="00A02C88">
      <w:pPr>
        <w:rPr>
          <w:rFonts w:ascii="Calibri" w:hAnsi="Calibri" w:cs="Calibri"/>
          <w:sz w:val="24"/>
          <w:szCs w:val="24"/>
        </w:rPr>
      </w:pPr>
      <w:r>
        <w:rPr>
          <w:rFonts w:ascii="Calibri" w:hAnsi="Calibri" w:cs="Calibri"/>
          <w:sz w:val="24"/>
          <w:szCs w:val="24"/>
        </w:rPr>
        <w:t xml:space="preserve">Appendix </w:t>
      </w:r>
      <w:r w:rsidR="000C6DBE">
        <w:rPr>
          <w:rFonts w:ascii="Calibri" w:hAnsi="Calibri" w:cs="Calibri"/>
          <w:sz w:val="24"/>
          <w:szCs w:val="24"/>
        </w:rPr>
        <w:t>I</w:t>
      </w:r>
      <w:r w:rsidR="0003226E">
        <w:rPr>
          <w:rFonts w:ascii="Calibri" w:hAnsi="Calibri" w:cs="Calibri"/>
          <w:sz w:val="24"/>
          <w:szCs w:val="24"/>
        </w:rPr>
        <w:t xml:space="preserve">: </w:t>
      </w:r>
      <w:r w:rsidR="0003226E">
        <w:rPr>
          <w:sz w:val="24"/>
          <w:szCs w:val="24"/>
        </w:rPr>
        <w:t>List of Resources for Participants</w:t>
      </w:r>
      <w:r w:rsidR="0003226E">
        <w:rPr>
          <w:sz w:val="24"/>
          <w:szCs w:val="24"/>
        </w:rPr>
        <w:tab/>
      </w:r>
      <w:r w:rsidR="0003226E">
        <w:rPr>
          <w:sz w:val="24"/>
          <w:szCs w:val="24"/>
        </w:rPr>
        <w:tab/>
      </w:r>
      <w:r w:rsidR="0003226E">
        <w:rPr>
          <w:sz w:val="24"/>
          <w:szCs w:val="24"/>
        </w:rPr>
        <w:tab/>
      </w:r>
      <w:r w:rsidR="0003226E">
        <w:rPr>
          <w:sz w:val="24"/>
          <w:szCs w:val="24"/>
        </w:rPr>
        <w:tab/>
      </w:r>
      <w:r w:rsidR="0003226E">
        <w:rPr>
          <w:sz w:val="24"/>
          <w:szCs w:val="24"/>
        </w:rPr>
        <w:tab/>
        <w:t>p</w:t>
      </w:r>
      <w:r w:rsidR="007F30BA">
        <w:rPr>
          <w:sz w:val="24"/>
          <w:szCs w:val="24"/>
        </w:rPr>
        <w:t>age</w:t>
      </w:r>
      <w:r w:rsidR="008463C2">
        <w:rPr>
          <w:sz w:val="24"/>
          <w:szCs w:val="24"/>
        </w:rPr>
        <w:t xml:space="preserve"> 3</w:t>
      </w:r>
      <w:r w:rsidR="007015C0">
        <w:rPr>
          <w:sz w:val="24"/>
          <w:szCs w:val="24"/>
        </w:rPr>
        <w:t>3</w:t>
      </w:r>
      <w:r w:rsidR="004C025C">
        <w:rPr>
          <w:sz w:val="24"/>
          <w:szCs w:val="24"/>
        </w:rPr>
        <w:t>1</w:t>
      </w:r>
    </w:p>
    <w:p w14:paraId="07349CBC" w14:textId="63BE3C94" w:rsidR="00F85B5D" w:rsidRDefault="00786FA5" w:rsidP="00A02C88">
      <w:pPr>
        <w:rPr>
          <w:rFonts w:ascii="Calibri" w:hAnsi="Calibri" w:cs="Calibri"/>
          <w:sz w:val="24"/>
          <w:szCs w:val="24"/>
        </w:rPr>
      </w:pPr>
      <w:r>
        <w:rPr>
          <w:rFonts w:ascii="Calibri" w:hAnsi="Calibri" w:cs="Calibri"/>
          <w:sz w:val="24"/>
          <w:szCs w:val="24"/>
        </w:rPr>
        <w:t xml:space="preserve">Appendix </w:t>
      </w:r>
      <w:r w:rsidR="000C6DBE">
        <w:rPr>
          <w:rFonts w:ascii="Calibri" w:hAnsi="Calibri" w:cs="Calibri"/>
          <w:sz w:val="24"/>
          <w:szCs w:val="24"/>
        </w:rPr>
        <w:t>J</w:t>
      </w:r>
      <w:r w:rsidR="00412AA8">
        <w:rPr>
          <w:sz w:val="24"/>
          <w:szCs w:val="24"/>
        </w:rPr>
        <w:t xml:space="preserve">: </w:t>
      </w:r>
      <w:r w:rsidR="008C3E20">
        <w:rPr>
          <w:sz w:val="24"/>
          <w:szCs w:val="24"/>
        </w:rPr>
        <w:t xml:space="preserve">Stages of </w:t>
      </w:r>
      <w:r w:rsidR="001F1BF9" w:rsidRPr="00AF69B7">
        <w:rPr>
          <w:rFonts w:ascii="Calibri" w:hAnsi="Calibri" w:cs="Calibri"/>
          <w:sz w:val="24"/>
          <w:szCs w:val="24"/>
        </w:rPr>
        <w:t>Braun and Clarke’s Thematic Analysis</w:t>
      </w:r>
      <w:r w:rsidR="008C3E20">
        <w:rPr>
          <w:rFonts w:ascii="Calibri" w:hAnsi="Calibri" w:cs="Calibri"/>
          <w:sz w:val="24"/>
          <w:szCs w:val="24"/>
        </w:rPr>
        <w:tab/>
      </w:r>
      <w:r w:rsidR="00935993">
        <w:rPr>
          <w:rFonts w:ascii="Calibri" w:hAnsi="Calibri" w:cs="Calibri"/>
          <w:sz w:val="24"/>
          <w:szCs w:val="24"/>
        </w:rPr>
        <w:tab/>
      </w:r>
      <w:r w:rsidR="00935993">
        <w:rPr>
          <w:rFonts w:ascii="Calibri" w:hAnsi="Calibri" w:cs="Calibri"/>
          <w:sz w:val="24"/>
          <w:szCs w:val="24"/>
        </w:rPr>
        <w:tab/>
      </w:r>
      <w:r w:rsidR="00935993">
        <w:rPr>
          <w:rFonts w:ascii="Calibri" w:hAnsi="Calibri" w:cs="Calibri"/>
          <w:sz w:val="24"/>
          <w:szCs w:val="24"/>
        </w:rPr>
        <w:tab/>
        <w:t>p</w:t>
      </w:r>
      <w:r w:rsidR="007F30BA">
        <w:rPr>
          <w:rFonts w:ascii="Calibri" w:hAnsi="Calibri" w:cs="Calibri"/>
          <w:sz w:val="24"/>
          <w:szCs w:val="24"/>
        </w:rPr>
        <w:t>age</w:t>
      </w:r>
      <w:r w:rsidR="00935993">
        <w:rPr>
          <w:rFonts w:ascii="Calibri" w:hAnsi="Calibri" w:cs="Calibri"/>
          <w:sz w:val="24"/>
          <w:szCs w:val="24"/>
        </w:rPr>
        <w:t xml:space="preserve"> 3</w:t>
      </w:r>
      <w:r w:rsidR="00447B03">
        <w:rPr>
          <w:rFonts w:ascii="Calibri" w:hAnsi="Calibri" w:cs="Calibri"/>
          <w:sz w:val="24"/>
          <w:szCs w:val="24"/>
        </w:rPr>
        <w:t>3</w:t>
      </w:r>
      <w:r w:rsidR="004C025C">
        <w:rPr>
          <w:rFonts w:ascii="Calibri" w:hAnsi="Calibri" w:cs="Calibri"/>
          <w:sz w:val="24"/>
          <w:szCs w:val="24"/>
        </w:rPr>
        <w:t>2</w:t>
      </w:r>
    </w:p>
    <w:p w14:paraId="3F736A5D" w14:textId="35C956D8" w:rsidR="00786FA5" w:rsidRDefault="00F85B5D" w:rsidP="00A02C88">
      <w:pPr>
        <w:rPr>
          <w:rFonts w:ascii="Calibri" w:hAnsi="Calibri" w:cs="Calibri"/>
          <w:sz w:val="24"/>
          <w:szCs w:val="24"/>
        </w:rPr>
      </w:pPr>
      <w:r>
        <w:rPr>
          <w:rFonts w:ascii="Calibri" w:hAnsi="Calibri" w:cs="Calibri"/>
          <w:sz w:val="24"/>
          <w:szCs w:val="24"/>
        </w:rPr>
        <w:t>Appendix K: Sample of a transcript</w:t>
      </w:r>
      <w:r w:rsidR="00CF1B14">
        <w:rPr>
          <w:rFonts w:ascii="Calibri" w:hAnsi="Calibri" w:cs="Calibri"/>
          <w:sz w:val="24"/>
          <w:szCs w:val="24"/>
        </w:rPr>
        <w:tab/>
      </w:r>
      <w:r w:rsidR="00CF1B14">
        <w:rPr>
          <w:rFonts w:ascii="Calibri" w:hAnsi="Calibri" w:cs="Calibri"/>
          <w:sz w:val="24"/>
          <w:szCs w:val="24"/>
        </w:rPr>
        <w:tab/>
      </w:r>
      <w:r w:rsidR="00CF1B14">
        <w:rPr>
          <w:rFonts w:ascii="Calibri" w:hAnsi="Calibri" w:cs="Calibri"/>
          <w:sz w:val="24"/>
          <w:szCs w:val="24"/>
        </w:rPr>
        <w:tab/>
      </w:r>
      <w:r w:rsidR="00CF1B14">
        <w:rPr>
          <w:rFonts w:ascii="Calibri" w:hAnsi="Calibri" w:cs="Calibri"/>
          <w:sz w:val="24"/>
          <w:szCs w:val="24"/>
        </w:rPr>
        <w:tab/>
      </w:r>
      <w:r w:rsidR="008C3E20">
        <w:rPr>
          <w:rFonts w:ascii="Calibri" w:hAnsi="Calibri" w:cs="Calibri"/>
          <w:sz w:val="24"/>
          <w:szCs w:val="24"/>
        </w:rPr>
        <w:tab/>
      </w:r>
      <w:r w:rsidR="008C3E20">
        <w:rPr>
          <w:rFonts w:ascii="Calibri" w:hAnsi="Calibri" w:cs="Calibri"/>
          <w:sz w:val="24"/>
          <w:szCs w:val="24"/>
        </w:rPr>
        <w:tab/>
      </w:r>
      <w:r w:rsidR="008C3E20">
        <w:rPr>
          <w:rFonts w:ascii="Calibri" w:hAnsi="Calibri" w:cs="Calibri"/>
          <w:sz w:val="24"/>
          <w:szCs w:val="24"/>
        </w:rPr>
        <w:tab/>
        <w:t>p</w:t>
      </w:r>
      <w:r w:rsidR="007F30BA">
        <w:rPr>
          <w:rFonts w:ascii="Calibri" w:hAnsi="Calibri" w:cs="Calibri"/>
          <w:sz w:val="24"/>
          <w:szCs w:val="24"/>
        </w:rPr>
        <w:t>age</w:t>
      </w:r>
      <w:r w:rsidR="008463C2">
        <w:rPr>
          <w:rFonts w:ascii="Calibri" w:hAnsi="Calibri" w:cs="Calibri"/>
          <w:sz w:val="24"/>
          <w:szCs w:val="24"/>
        </w:rPr>
        <w:t xml:space="preserve"> 3</w:t>
      </w:r>
      <w:r w:rsidR="00FC352B">
        <w:rPr>
          <w:rFonts w:ascii="Calibri" w:hAnsi="Calibri" w:cs="Calibri"/>
          <w:sz w:val="24"/>
          <w:szCs w:val="24"/>
        </w:rPr>
        <w:t>3</w:t>
      </w:r>
      <w:r w:rsidR="004C025C">
        <w:rPr>
          <w:rFonts w:ascii="Calibri" w:hAnsi="Calibri" w:cs="Calibri"/>
          <w:sz w:val="24"/>
          <w:szCs w:val="24"/>
        </w:rPr>
        <w:t>3</w:t>
      </w:r>
    </w:p>
    <w:p w14:paraId="6551B346" w14:textId="3A9F23EA" w:rsidR="00786FA5" w:rsidRDefault="00786FA5" w:rsidP="00A02C88">
      <w:pPr>
        <w:rPr>
          <w:rFonts w:ascii="Calibri" w:hAnsi="Calibri" w:cs="Calibri"/>
          <w:sz w:val="24"/>
          <w:szCs w:val="24"/>
        </w:rPr>
      </w:pPr>
      <w:r>
        <w:rPr>
          <w:rFonts w:ascii="Calibri" w:hAnsi="Calibri" w:cs="Calibri"/>
          <w:sz w:val="24"/>
          <w:szCs w:val="24"/>
        </w:rPr>
        <w:t xml:space="preserve">Appendix </w:t>
      </w:r>
      <w:r w:rsidR="008303CB">
        <w:rPr>
          <w:rFonts w:ascii="Calibri" w:hAnsi="Calibri" w:cs="Calibri"/>
          <w:sz w:val="24"/>
          <w:szCs w:val="24"/>
        </w:rPr>
        <w:t>L</w:t>
      </w:r>
      <w:r w:rsidR="001C4E77">
        <w:rPr>
          <w:rFonts w:ascii="Calibri" w:hAnsi="Calibri" w:cs="Calibri"/>
          <w:sz w:val="24"/>
          <w:szCs w:val="24"/>
        </w:rPr>
        <w:t>:</w:t>
      </w:r>
      <w:r w:rsidR="00546E8E">
        <w:rPr>
          <w:rFonts w:ascii="Calibri" w:hAnsi="Calibri" w:cs="Calibri"/>
          <w:sz w:val="24"/>
          <w:szCs w:val="24"/>
        </w:rPr>
        <w:t xml:space="preserve"> Iterations</w:t>
      </w:r>
      <w:r w:rsidR="000C6DBE">
        <w:rPr>
          <w:rFonts w:ascii="Calibri" w:hAnsi="Calibri" w:cs="Calibri"/>
          <w:sz w:val="24"/>
          <w:szCs w:val="24"/>
        </w:rPr>
        <w:t xml:space="preserve"> </w:t>
      </w:r>
      <w:r w:rsidR="00341F3D">
        <w:rPr>
          <w:rFonts w:ascii="Calibri" w:hAnsi="Calibri" w:cs="Calibri"/>
          <w:sz w:val="24"/>
          <w:szCs w:val="24"/>
        </w:rPr>
        <w:t>of the Coding Process</w:t>
      </w:r>
      <w:r w:rsidR="00C84CA8">
        <w:rPr>
          <w:rFonts w:ascii="Calibri" w:hAnsi="Calibri" w:cs="Calibri"/>
          <w:sz w:val="24"/>
          <w:szCs w:val="24"/>
        </w:rPr>
        <w:tab/>
      </w:r>
      <w:r w:rsidR="00546E8E">
        <w:rPr>
          <w:rFonts w:ascii="Calibri" w:hAnsi="Calibri" w:cs="Calibri"/>
          <w:sz w:val="24"/>
          <w:szCs w:val="24"/>
        </w:rPr>
        <w:tab/>
      </w:r>
      <w:r w:rsidR="00546E8E">
        <w:rPr>
          <w:rFonts w:ascii="Calibri" w:hAnsi="Calibri" w:cs="Calibri"/>
          <w:sz w:val="24"/>
          <w:szCs w:val="24"/>
        </w:rPr>
        <w:tab/>
      </w:r>
      <w:r w:rsidR="00546E8E">
        <w:rPr>
          <w:rFonts w:ascii="Calibri" w:hAnsi="Calibri" w:cs="Calibri"/>
          <w:sz w:val="24"/>
          <w:szCs w:val="24"/>
        </w:rPr>
        <w:tab/>
      </w:r>
      <w:r w:rsidR="00546E8E">
        <w:rPr>
          <w:rFonts w:ascii="Calibri" w:hAnsi="Calibri" w:cs="Calibri"/>
          <w:sz w:val="24"/>
          <w:szCs w:val="24"/>
        </w:rPr>
        <w:tab/>
      </w:r>
      <w:r w:rsidR="00F85B5D">
        <w:rPr>
          <w:rFonts w:ascii="Calibri" w:hAnsi="Calibri" w:cs="Calibri"/>
          <w:sz w:val="24"/>
          <w:szCs w:val="24"/>
        </w:rPr>
        <w:tab/>
      </w:r>
      <w:r w:rsidR="00546E8E">
        <w:rPr>
          <w:rFonts w:ascii="Calibri" w:hAnsi="Calibri" w:cs="Calibri"/>
          <w:sz w:val="24"/>
          <w:szCs w:val="24"/>
        </w:rPr>
        <w:t>p</w:t>
      </w:r>
      <w:r w:rsidR="007F30BA">
        <w:rPr>
          <w:rFonts w:ascii="Calibri" w:hAnsi="Calibri" w:cs="Calibri"/>
          <w:sz w:val="24"/>
          <w:szCs w:val="24"/>
        </w:rPr>
        <w:t>age</w:t>
      </w:r>
      <w:r w:rsidR="008463C2">
        <w:rPr>
          <w:rFonts w:ascii="Calibri" w:hAnsi="Calibri" w:cs="Calibri"/>
          <w:sz w:val="24"/>
          <w:szCs w:val="24"/>
        </w:rPr>
        <w:t xml:space="preserve"> 3</w:t>
      </w:r>
      <w:r w:rsidR="00B97956">
        <w:rPr>
          <w:rFonts w:ascii="Calibri" w:hAnsi="Calibri" w:cs="Calibri"/>
          <w:sz w:val="24"/>
          <w:szCs w:val="24"/>
        </w:rPr>
        <w:t>3</w:t>
      </w:r>
      <w:r w:rsidR="004C025C">
        <w:rPr>
          <w:rFonts w:ascii="Calibri" w:hAnsi="Calibri" w:cs="Calibri"/>
          <w:sz w:val="24"/>
          <w:szCs w:val="24"/>
        </w:rPr>
        <w:t>6</w:t>
      </w:r>
    </w:p>
    <w:p w14:paraId="6EF5CC0D" w14:textId="38CD36FF" w:rsidR="00786FA5" w:rsidRPr="009F3CCD" w:rsidRDefault="00DC5EB6" w:rsidP="009F3CCD">
      <w:pPr>
        <w:rPr>
          <w:rFonts w:ascii="TUOS Blake" w:hAnsi="TUOS Blake"/>
          <w:b/>
          <w:sz w:val="28"/>
          <w:szCs w:val="28"/>
        </w:rPr>
      </w:pPr>
      <w:r>
        <w:rPr>
          <w:rFonts w:ascii="Calibri" w:hAnsi="Calibri" w:cs="Calibri"/>
          <w:sz w:val="24"/>
          <w:szCs w:val="24"/>
        </w:rPr>
        <w:t xml:space="preserve">Appendix </w:t>
      </w:r>
      <w:r w:rsidR="00CF1B14">
        <w:rPr>
          <w:rFonts w:ascii="Calibri" w:hAnsi="Calibri" w:cs="Calibri"/>
          <w:sz w:val="24"/>
          <w:szCs w:val="24"/>
        </w:rPr>
        <w:t>M</w:t>
      </w:r>
      <w:r w:rsidR="00494067">
        <w:rPr>
          <w:rFonts w:ascii="Calibri" w:hAnsi="Calibri" w:cs="Calibri"/>
          <w:sz w:val="24"/>
          <w:szCs w:val="24"/>
        </w:rPr>
        <w:t>: Samples of Supervision Trainings</w:t>
      </w:r>
      <w:bookmarkEnd w:id="103"/>
      <w:r w:rsidR="00C5616F">
        <w:rPr>
          <w:rFonts w:ascii="Calibri" w:hAnsi="Calibri" w:cs="Calibri"/>
          <w:sz w:val="24"/>
          <w:szCs w:val="24"/>
        </w:rPr>
        <w:tab/>
      </w:r>
      <w:r w:rsidR="00C5616F">
        <w:rPr>
          <w:rFonts w:ascii="Calibri" w:hAnsi="Calibri" w:cs="Calibri"/>
          <w:sz w:val="24"/>
          <w:szCs w:val="24"/>
        </w:rPr>
        <w:tab/>
      </w:r>
      <w:r w:rsidR="00C5616F">
        <w:rPr>
          <w:rFonts w:ascii="Calibri" w:hAnsi="Calibri" w:cs="Calibri"/>
          <w:sz w:val="24"/>
          <w:szCs w:val="24"/>
        </w:rPr>
        <w:tab/>
      </w:r>
      <w:r w:rsidR="00C5616F">
        <w:rPr>
          <w:rFonts w:ascii="Calibri" w:hAnsi="Calibri" w:cs="Calibri"/>
          <w:sz w:val="24"/>
          <w:szCs w:val="24"/>
        </w:rPr>
        <w:tab/>
      </w:r>
      <w:r w:rsidR="00C5616F">
        <w:rPr>
          <w:rFonts w:ascii="Calibri" w:hAnsi="Calibri" w:cs="Calibri"/>
          <w:sz w:val="24"/>
          <w:szCs w:val="24"/>
        </w:rPr>
        <w:tab/>
        <w:t>p</w:t>
      </w:r>
      <w:r w:rsidR="007F30BA">
        <w:rPr>
          <w:rFonts w:ascii="Calibri" w:hAnsi="Calibri" w:cs="Calibri"/>
          <w:sz w:val="24"/>
          <w:szCs w:val="24"/>
        </w:rPr>
        <w:t>age</w:t>
      </w:r>
      <w:r w:rsidR="008463C2">
        <w:rPr>
          <w:rFonts w:ascii="Calibri" w:hAnsi="Calibri" w:cs="Calibri"/>
          <w:sz w:val="24"/>
          <w:szCs w:val="24"/>
        </w:rPr>
        <w:t xml:space="preserve"> 3</w:t>
      </w:r>
      <w:r w:rsidR="00B97956">
        <w:rPr>
          <w:rFonts w:ascii="Calibri" w:hAnsi="Calibri" w:cs="Calibri"/>
          <w:sz w:val="24"/>
          <w:szCs w:val="24"/>
        </w:rPr>
        <w:t>4</w:t>
      </w:r>
      <w:r w:rsidR="004C025C">
        <w:rPr>
          <w:rFonts w:ascii="Calibri" w:hAnsi="Calibri" w:cs="Calibri"/>
          <w:sz w:val="24"/>
          <w:szCs w:val="24"/>
        </w:rPr>
        <w:t>4</w:t>
      </w:r>
    </w:p>
    <w:p w14:paraId="27DC383C" w14:textId="77777777" w:rsidR="00C876B8" w:rsidRDefault="00C876B8" w:rsidP="00A02C88">
      <w:pPr>
        <w:rPr>
          <w:rFonts w:ascii="Calibri" w:hAnsi="Calibri" w:cs="Calibri"/>
          <w:sz w:val="24"/>
          <w:szCs w:val="24"/>
        </w:rPr>
      </w:pPr>
    </w:p>
    <w:p w14:paraId="57CB8292" w14:textId="77777777" w:rsidR="00C876B8" w:rsidRDefault="00C876B8" w:rsidP="00A02C88">
      <w:pPr>
        <w:rPr>
          <w:rFonts w:ascii="Calibri" w:hAnsi="Calibri" w:cs="Calibri"/>
          <w:sz w:val="24"/>
          <w:szCs w:val="24"/>
        </w:rPr>
      </w:pPr>
    </w:p>
    <w:p w14:paraId="494817A0" w14:textId="77777777" w:rsidR="00C876B8" w:rsidRDefault="00C876B8" w:rsidP="00A02C88">
      <w:pPr>
        <w:rPr>
          <w:rFonts w:ascii="Calibri" w:hAnsi="Calibri" w:cs="Calibri"/>
          <w:sz w:val="24"/>
          <w:szCs w:val="24"/>
        </w:rPr>
      </w:pPr>
    </w:p>
    <w:p w14:paraId="5D340BFA" w14:textId="77777777" w:rsidR="00C876B8" w:rsidRDefault="00C876B8" w:rsidP="00A02C88">
      <w:pPr>
        <w:rPr>
          <w:rFonts w:ascii="Calibri" w:hAnsi="Calibri" w:cs="Calibri"/>
          <w:sz w:val="24"/>
          <w:szCs w:val="24"/>
        </w:rPr>
      </w:pPr>
    </w:p>
    <w:p w14:paraId="42A21F91" w14:textId="77777777" w:rsidR="00C876B8" w:rsidRDefault="00C876B8" w:rsidP="00A02C88">
      <w:pPr>
        <w:rPr>
          <w:rFonts w:ascii="Calibri" w:hAnsi="Calibri" w:cs="Calibri"/>
          <w:sz w:val="24"/>
          <w:szCs w:val="24"/>
        </w:rPr>
      </w:pPr>
    </w:p>
    <w:p w14:paraId="4D125768" w14:textId="77777777" w:rsidR="00703B24" w:rsidRDefault="00703B24" w:rsidP="00A02C88">
      <w:pPr>
        <w:rPr>
          <w:rFonts w:ascii="Calibri" w:hAnsi="Calibri" w:cs="Calibri"/>
          <w:sz w:val="24"/>
          <w:szCs w:val="24"/>
        </w:rPr>
      </w:pPr>
    </w:p>
    <w:p w14:paraId="23664981" w14:textId="77777777" w:rsidR="00703B24" w:rsidRDefault="00703B24" w:rsidP="00A02C88">
      <w:pPr>
        <w:rPr>
          <w:rFonts w:ascii="Calibri" w:hAnsi="Calibri" w:cs="Calibri"/>
          <w:sz w:val="24"/>
          <w:szCs w:val="24"/>
        </w:rPr>
      </w:pPr>
    </w:p>
    <w:p w14:paraId="0131A577" w14:textId="77777777" w:rsidR="00703B24" w:rsidRDefault="00703B24" w:rsidP="00A02C88">
      <w:pPr>
        <w:rPr>
          <w:rFonts w:ascii="Calibri" w:hAnsi="Calibri" w:cs="Calibri"/>
          <w:sz w:val="24"/>
          <w:szCs w:val="24"/>
        </w:rPr>
      </w:pPr>
    </w:p>
    <w:p w14:paraId="2FD05FB4" w14:textId="77777777" w:rsidR="00703B24" w:rsidRDefault="00703B24" w:rsidP="00A02C88">
      <w:pPr>
        <w:rPr>
          <w:rFonts w:ascii="Calibri" w:hAnsi="Calibri" w:cs="Calibri"/>
          <w:sz w:val="24"/>
          <w:szCs w:val="24"/>
        </w:rPr>
      </w:pPr>
    </w:p>
    <w:p w14:paraId="4E84D478" w14:textId="1AD227D3" w:rsidR="00130FC8" w:rsidRDefault="00130FC8" w:rsidP="00A02C88">
      <w:pPr>
        <w:rPr>
          <w:rFonts w:ascii="Calibri" w:hAnsi="Calibri" w:cs="Calibri"/>
          <w:sz w:val="24"/>
          <w:szCs w:val="24"/>
        </w:rPr>
      </w:pPr>
    </w:p>
    <w:p w14:paraId="7364D995" w14:textId="779B3D52" w:rsidR="00130FC8" w:rsidRDefault="00130FC8" w:rsidP="00A02C88">
      <w:pPr>
        <w:rPr>
          <w:rFonts w:ascii="Calibri" w:hAnsi="Calibri" w:cs="Calibri"/>
          <w:sz w:val="24"/>
          <w:szCs w:val="24"/>
        </w:rPr>
      </w:pPr>
      <w:r>
        <w:rPr>
          <w:rFonts w:ascii="Calibri" w:hAnsi="Calibri" w:cs="Calibri"/>
          <w:sz w:val="24"/>
          <w:szCs w:val="24"/>
        </w:rPr>
        <w:br w:type="page"/>
      </w:r>
    </w:p>
    <w:tbl>
      <w:tblPr>
        <w:tblStyle w:val="TableGrid"/>
        <w:tblpPr w:leftFromText="181" w:rightFromText="181" w:vertAnchor="text" w:horzAnchor="margin" w:tblpXSpec="center" w:tblpY="-1439"/>
        <w:tblW w:w="5586" w:type="pct"/>
        <w:tblLayout w:type="fixed"/>
        <w:tblLook w:val="04A0" w:firstRow="1" w:lastRow="0" w:firstColumn="1" w:lastColumn="0" w:noHBand="0" w:noVBand="1"/>
      </w:tblPr>
      <w:tblGrid>
        <w:gridCol w:w="1280"/>
        <w:gridCol w:w="1422"/>
        <w:gridCol w:w="1369"/>
        <w:gridCol w:w="1281"/>
        <w:gridCol w:w="1738"/>
        <w:gridCol w:w="1137"/>
        <w:gridCol w:w="1857"/>
      </w:tblGrid>
      <w:tr w:rsidR="00177A1A" w:rsidRPr="00763E04" w14:paraId="3E9E9850" w14:textId="77777777" w:rsidTr="00981FF5">
        <w:trPr>
          <w:trHeight w:val="1125"/>
        </w:trPr>
        <w:tc>
          <w:tcPr>
            <w:tcW w:w="5000" w:type="pct"/>
            <w:gridSpan w:val="7"/>
            <w:tcBorders>
              <w:top w:val="nil"/>
              <w:left w:val="nil"/>
              <w:bottom w:val="single" w:sz="4" w:space="0" w:color="auto"/>
              <w:right w:val="nil"/>
            </w:tcBorders>
          </w:tcPr>
          <w:p w14:paraId="76644259" w14:textId="77777777" w:rsidR="00355970" w:rsidRDefault="00355970" w:rsidP="00177A1A">
            <w:pPr>
              <w:ind w:left="2880" w:firstLine="720"/>
              <w:rPr>
                <w:rFonts w:ascii="Calibri" w:hAnsi="Calibri" w:cs="Calibri"/>
                <w:b/>
                <w:bCs/>
                <w:sz w:val="24"/>
                <w:szCs w:val="24"/>
              </w:rPr>
            </w:pPr>
          </w:p>
          <w:p w14:paraId="2285F33A" w14:textId="77777777" w:rsidR="002B2F1F" w:rsidRDefault="002B2F1F" w:rsidP="00177A1A">
            <w:pPr>
              <w:ind w:left="2880" w:firstLine="720"/>
              <w:rPr>
                <w:rFonts w:ascii="Calibri" w:hAnsi="Calibri" w:cs="Calibri"/>
                <w:b/>
                <w:bCs/>
                <w:sz w:val="24"/>
                <w:szCs w:val="24"/>
              </w:rPr>
            </w:pPr>
          </w:p>
          <w:p w14:paraId="6BEA44AD" w14:textId="77777777" w:rsidR="002B2F1F" w:rsidRDefault="002B2F1F" w:rsidP="00177A1A">
            <w:pPr>
              <w:ind w:left="2880" w:firstLine="720"/>
              <w:rPr>
                <w:rFonts w:ascii="Calibri" w:hAnsi="Calibri" w:cs="Calibri"/>
                <w:b/>
                <w:bCs/>
                <w:sz w:val="24"/>
                <w:szCs w:val="24"/>
              </w:rPr>
            </w:pPr>
          </w:p>
          <w:p w14:paraId="11EBA31D" w14:textId="07D0AF85" w:rsidR="00177A1A" w:rsidRPr="00703B24" w:rsidRDefault="00355970" w:rsidP="00177A1A">
            <w:pPr>
              <w:ind w:left="2880" w:firstLine="720"/>
              <w:rPr>
                <w:rFonts w:ascii="Calibri" w:hAnsi="Calibri" w:cs="Calibri"/>
                <w:b/>
                <w:bCs/>
                <w:sz w:val="24"/>
                <w:szCs w:val="24"/>
              </w:rPr>
            </w:pPr>
            <w:r>
              <w:rPr>
                <w:rFonts w:ascii="Calibri" w:hAnsi="Calibri" w:cs="Calibri"/>
                <w:b/>
                <w:bCs/>
                <w:sz w:val="24"/>
                <w:szCs w:val="24"/>
              </w:rPr>
              <w:t xml:space="preserve">      </w:t>
            </w:r>
            <w:r w:rsidR="00177A1A" w:rsidRPr="00703B24">
              <w:rPr>
                <w:rFonts w:ascii="Calibri" w:hAnsi="Calibri" w:cs="Calibri"/>
                <w:b/>
                <w:bCs/>
                <w:sz w:val="24"/>
                <w:szCs w:val="24"/>
              </w:rPr>
              <w:t>Appendix A</w:t>
            </w:r>
          </w:p>
          <w:p w14:paraId="17DD50CD" w14:textId="31EF3839" w:rsidR="00177A1A" w:rsidRPr="00703B24" w:rsidRDefault="00177A1A" w:rsidP="00177A1A">
            <w:pPr>
              <w:rPr>
                <w:rFonts w:ascii="Calibri" w:hAnsi="Calibri" w:cs="Calibri"/>
                <w:i/>
                <w:iCs/>
                <w:sz w:val="24"/>
                <w:szCs w:val="24"/>
              </w:rPr>
            </w:pPr>
            <w:r w:rsidRPr="00703B24">
              <w:rPr>
                <w:rFonts w:ascii="Calibri" w:hAnsi="Calibri" w:cs="Calibri"/>
                <w:i/>
                <w:iCs/>
                <w:sz w:val="24"/>
                <w:szCs w:val="24"/>
              </w:rPr>
              <w:t xml:space="preserve">             </w:t>
            </w:r>
            <w:r w:rsidR="00355970">
              <w:rPr>
                <w:rFonts w:ascii="Calibri" w:hAnsi="Calibri" w:cs="Calibri"/>
                <w:i/>
                <w:iCs/>
                <w:sz w:val="24"/>
                <w:szCs w:val="24"/>
              </w:rPr>
              <w:t xml:space="preserve">           </w:t>
            </w:r>
            <w:r w:rsidRPr="00703B24">
              <w:rPr>
                <w:rFonts w:ascii="Calibri" w:hAnsi="Calibri" w:cs="Calibri"/>
                <w:i/>
                <w:iCs/>
                <w:sz w:val="24"/>
                <w:szCs w:val="24"/>
              </w:rPr>
              <w:t xml:space="preserve"> </w:t>
            </w:r>
            <w:r w:rsidR="00355970">
              <w:rPr>
                <w:rFonts w:ascii="Calibri" w:hAnsi="Calibri" w:cs="Calibri"/>
                <w:i/>
                <w:iCs/>
                <w:sz w:val="24"/>
                <w:szCs w:val="24"/>
              </w:rPr>
              <w:t xml:space="preserve">    </w:t>
            </w:r>
            <w:r w:rsidRPr="00703B24">
              <w:rPr>
                <w:rFonts w:ascii="Calibri" w:hAnsi="Calibri" w:cs="Calibri"/>
                <w:i/>
                <w:iCs/>
                <w:sz w:val="24"/>
                <w:szCs w:val="24"/>
              </w:rPr>
              <w:t>Table 20: A periodisation table of reflective practice taxonomies</w:t>
            </w:r>
          </w:p>
          <w:p w14:paraId="1CBAA026" w14:textId="77777777" w:rsidR="00177A1A" w:rsidRPr="00BC1B15" w:rsidRDefault="00177A1A" w:rsidP="00B232E6">
            <w:pPr>
              <w:rPr>
                <w:rFonts w:ascii="Calibri" w:eastAsia="Calibri" w:hAnsi="Calibri" w:cs="Times New Roman"/>
                <w:b/>
                <w:bCs/>
                <w:sz w:val="24"/>
                <w:szCs w:val="24"/>
              </w:rPr>
            </w:pPr>
          </w:p>
        </w:tc>
      </w:tr>
      <w:tr w:rsidR="00981FF5" w:rsidRPr="00763E04" w14:paraId="3133BA59" w14:textId="77777777" w:rsidTr="000B67D1">
        <w:trPr>
          <w:trHeight w:val="807"/>
        </w:trPr>
        <w:tc>
          <w:tcPr>
            <w:tcW w:w="634" w:type="pct"/>
            <w:tcBorders>
              <w:top w:val="single" w:sz="4" w:space="0" w:color="auto"/>
            </w:tcBorders>
          </w:tcPr>
          <w:p w14:paraId="08F98CDB" w14:textId="77777777" w:rsidR="00B232E6" w:rsidRPr="00BC1B15" w:rsidRDefault="00B232E6" w:rsidP="00B232E6">
            <w:pPr>
              <w:rPr>
                <w:rFonts w:ascii="Calibri" w:eastAsia="Calibri" w:hAnsi="Calibri" w:cs="Times New Roman"/>
                <w:b/>
                <w:bCs/>
                <w:sz w:val="24"/>
                <w:szCs w:val="24"/>
              </w:rPr>
            </w:pPr>
          </w:p>
          <w:p w14:paraId="689D5BB6"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Taxonomy</w:t>
            </w:r>
          </w:p>
        </w:tc>
        <w:tc>
          <w:tcPr>
            <w:tcW w:w="705" w:type="pct"/>
            <w:tcBorders>
              <w:top w:val="single" w:sz="4" w:space="0" w:color="auto"/>
            </w:tcBorders>
          </w:tcPr>
          <w:p w14:paraId="77D4511F"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Nature of reflective practice</w:t>
            </w:r>
          </w:p>
        </w:tc>
        <w:tc>
          <w:tcPr>
            <w:tcW w:w="679" w:type="pct"/>
            <w:tcBorders>
              <w:top w:val="single" w:sz="4" w:space="0" w:color="auto"/>
            </w:tcBorders>
          </w:tcPr>
          <w:p w14:paraId="273903B4"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Alone and/or collaborative</w:t>
            </w:r>
          </w:p>
        </w:tc>
        <w:tc>
          <w:tcPr>
            <w:tcW w:w="635" w:type="pct"/>
            <w:tcBorders>
              <w:top w:val="single" w:sz="4" w:space="0" w:color="auto"/>
            </w:tcBorders>
          </w:tcPr>
          <w:p w14:paraId="514FEA87"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Includes emotions</w:t>
            </w:r>
          </w:p>
        </w:tc>
        <w:tc>
          <w:tcPr>
            <w:tcW w:w="862" w:type="pct"/>
            <w:tcBorders>
              <w:top w:val="single" w:sz="4" w:space="0" w:color="auto"/>
            </w:tcBorders>
          </w:tcPr>
          <w:p w14:paraId="01E52A98"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Learner centred/Teacher centred</w:t>
            </w:r>
          </w:p>
        </w:tc>
        <w:tc>
          <w:tcPr>
            <w:tcW w:w="564" w:type="pct"/>
            <w:tcBorders>
              <w:top w:val="single" w:sz="4" w:space="0" w:color="auto"/>
            </w:tcBorders>
          </w:tcPr>
          <w:p w14:paraId="4F9FABC3"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 xml:space="preserve">Applicable to </w:t>
            </w:r>
          </w:p>
        </w:tc>
        <w:tc>
          <w:tcPr>
            <w:tcW w:w="922" w:type="pct"/>
            <w:tcBorders>
              <w:top w:val="single" w:sz="4" w:space="0" w:color="auto"/>
            </w:tcBorders>
          </w:tcPr>
          <w:p w14:paraId="3B8D2791" w14:textId="77777777" w:rsidR="00B232E6" w:rsidRPr="00BC1B15" w:rsidRDefault="00B232E6" w:rsidP="00B232E6">
            <w:pPr>
              <w:rPr>
                <w:rFonts w:ascii="Calibri" w:eastAsia="Calibri" w:hAnsi="Calibri" w:cs="Times New Roman"/>
                <w:b/>
                <w:bCs/>
                <w:sz w:val="24"/>
                <w:szCs w:val="24"/>
              </w:rPr>
            </w:pPr>
            <w:r w:rsidRPr="00BC1B15">
              <w:rPr>
                <w:rFonts w:ascii="Calibri" w:eastAsia="Calibri" w:hAnsi="Calibri" w:cs="Times New Roman"/>
                <w:b/>
                <w:bCs/>
                <w:sz w:val="24"/>
                <w:szCs w:val="24"/>
              </w:rPr>
              <w:t>Claims</w:t>
            </w:r>
          </w:p>
        </w:tc>
      </w:tr>
      <w:tr w:rsidR="00981FF5" w:rsidRPr="00C2084B" w14:paraId="2B30268E" w14:textId="77777777" w:rsidTr="000B67D1">
        <w:trPr>
          <w:trHeight w:val="402"/>
        </w:trPr>
        <w:tc>
          <w:tcPr>
            <w:tcW w:w="634" w:type="pct"/>
          </w:tcPr>
          <w:p w14:paraId="540BA648" w14:textId="77777777" w:rsidR="004147C2"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Dewey</w:t>
            </w:r>
          </w:p>
          <w:p w14:paraId="2880A58D" w14:textId="10DB9C66"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(1910/1933)</w:t>
            </w:r>
          </w:p>
        </w:tc>
        <w:tc>
          <w:tcPr>
            <w:tcW w:w="705" w:type="pct"/>
          </w:tcPr>
          <w:p w14:paraId="6A5BD50E"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Reflective teaching</w:t>
            </w:r>
          </w:p>
          <w:p w14:paraId="60097B3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Six-part process: Experience; spontaneous interpretation of experience; naming the problem; generating explanations for the problem; turning explanations into hypotheses; experimenting with the hypotheses</w:t>
            </w:r>
          </w:p>
        </w:tc>
        <w:tc>
          <w:tcPr>
            <w:tcW w:w="679" w:type="pct"/>
          </w:tcPr>
          <w:p w14:paraId="66C7B90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to weave meaning among threads of experience collaboratively</w:t>
            </w:r>
          </w:p>
        </w:tc>
        <w:tc>
          <w:tcPr>
            <w:tcW w:w="635" w:type="pct"/>
          </w:tcPr>
          <w:p w14:paraId="171129A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At the naming of the problem stage- the first emotional reaction becomes an object of thought</w:t>
            </w:r>
          </w:p>
        </w:tc>
        <w:tc>
          <w:tcPr>
            <w:tcW w:w="862" w:type="pct"/>
          </w:tcPr>
          <w:p w14:paraId="0878317B" w14:textId="5C786C7B"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Student</w:t>
            </w:r>
            <w:r w:rsidR="00461F74">
              <w:rPr>
                <w:rFonts w:ascii="Calibri" w:eastAsia="Calibri" w:hAnsi="Calibri" w:cs="Times New Roman"/>
                <w:sz w:val="18"/>
                <w:szCs w:val="18"/>
              </w:rPr>
              <w:t>-</w:t>
            </w:r>
            <w:r w:rsidRPr="00C2084B">
              <w:rPr>
                <w:rFonts w:ascii="Calibri" w:eastAsia="Calibri" w:hAnsi="Calibri" w:cs="Times New Roman"/>
                <w:sz w:val="18"/>
                <w:szCs w:val="18"/>
              </w:rPr>
              <w:t>centred and in service to the teaching work, and includes teacher development</w:t>
            </w:r>
          </w:p>
        </w:tc>
        <w:tc>
          <w:tcPr>
            <w:tcW w:w="564" w:type="pct"/>
          </w:tcPr>
          <w:p w14:paraId="060F038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Teaching</w:t>
            </w:r>
          </w:p>
          <w:p w14:paraId="0907A66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Solution-focussed work</w:t>
            </w:r>
          </w:p>
        </w:tc>
        <w:tc>
          <w:tcPr>
            <w:tcW w:w="922" w:type="pct"/>
          </w:tcPr>
          <w:p w14:paraId="05871B5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Social reform.</w:t>
            </w:r>
          </w:p>
        </w:tc>
      </w:tr>
      <w:tr w:rsidR="00981FF5" w:rsidRPr="00C2084B" w14:paraId="7153ECF9" w14:textId="77777777" w:rsidTr="000B67D1">
        <w:trPr>
          <w:trHeight w:val="402"/>
        </w:trPr>
        <w:tc>
          <w:tcPr>
            <w:tcW w:w="634" w:type="pct"/>
          </w:tcPr>
          <w:p w14:paraId="7143E28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Piaget (1938)</w:t>
            </w:r>
          </w:p>
          <w:p w14:paraId="54569083" w14:textId="77777777" w:rsidR="00B232E6" w:rsidRPr="00C2084B" w:rsidRDefault="00B232E6" w:rsidP="00B232E6">
            <w:pPr>
              <w:rPr>
                <w:rFonts w:ascii="Calibri" w:eastAsia="Calibri" w:hAnsi="Calibri" w:cs="Times New Roman"/>
                <w:sz w:val="18"/>
                <w:szCs w:val="18"/>
              </w:rPr>
            </w:pPr>
          </w:p>
        </w:tc>
        <w:tc>
          <w:tcPr>
            <w:tcW w:w="705" w:type="pct"/>
          </w:tcPr>
          <w:p w14:paraId="17F2DD6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Reflective practice</w:t>
            </w:r>
          </w:p>
          <w:p w14:paraId="5B24ED9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Active meaning making and the process of learning through cognitive and social construction</w:t>
            </w:r>
          </w:p>
        </w:tc>
        <w:tc>
          <w:tcPr>
            <w:tcW w:w="679" w:type="pct"/>
          </w:tcPr>
          <w:p w14:paraId="32BBC20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Not specified</w:t>
            </w:r>
          </w:p>
        </w:tc>
        <w:tc>
          <w:tcPr>
            <w:tcW w:w="635" w:type="pct"/>
          </w:tcPr>
          <w:p w14:paraId="680E556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Emotions not mentioned</w:t>
            </w:r>
          </w:p>
        </w:tc>
        <w:tc>
          <w:tcPr>
            <w:tcW w:w="862" w:type="pct"/>
          </w:tcPr>
          <w:p w14:paraId="08EF8E1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teaching work</w:t>
            </w:r>
          </w:p>
        </w:tc>
        <w:tc>
          <w:tcPr>
            <w:tcW w:w="564" w:type="pct"/>
          </w:tcPr>
          <w:p w14:paraId="6929CB6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Teaching and social sciences</w:t>
            </w:r>
          </w:p>
        </w:tc>
        <w:tc>
          <w:tcPr>
            <w:tcW w:w="922" w:type="pct"/>
          </w:tcPr>
          <w:p w14:paraId="036C6B1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Construction of meaning.</w:t>
            </w:r>
          </w:p>
        </w:tc>
      </w:tr>
      <w:tr w:rsidR="00981FF5" w:rsidRPr="00C2084B" w14:paraId="7E9D3E61" w14:textId="77777777" w:rsidTr="000B67D1">
        <w:trPr>
          <w:trHeight w:val="402"/>
        </w:trPr>
        <w:tc>
          <w:tcPr>
            <w:tcW w:w="634" w:type="pct"/>
          </w:tcPr>
          <w:p w14:paraId="3BB6F41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Heidegger (1954/1977)</w:t>
            </w:r>
          </w:p>
        </w:tc>
        <w:tc>
          <w:tcPr>
            <w:tcW w:w="705" w:type="pct"/>
          </w:tcPr>
          <w:p w14:paraId="74BEAB8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Everyday action rooted in the ability to act pre-reflectively in situations. </w:t>
            </w:r>
            <w:r w:rsidRPr="00C2084B">
              <w:rPr>
                <w:rFonts w:ascii="Calibri" w:eastAsia="Calibri" w:hAnsi="Calibri" w:cs="Times New Roman"/>
                <w:i/>
                <w:iCs/>
                <w:sz w:val="18"/>
                <w:szCs w:val="18"/>
              </w:rPr>
              <w:t>Zuhandenheit</w:t>
            </w:r>
            <w:r w:rsidRPr="00C2084B">
              <w:rPr>
                <w:rFonts w:ascii="Calibri" w:eastAsia="Calibri" w:hAnsi="Calibri" w:cs="Times New Roman"/>
                <w:sz w:val="18"/>
                <w:szCs w:val="18"/>
              </w:rPr>
              <w:t>-availableness, based on our doing actions rather than thinking</w:t>
            </w:r>
          </w:p>
        </w:tc>
        <w:tc>
          <w:tcPr>
            <w:tcW w:w="679" w:type="pct"/>
          </w:tcPr>
          <w:p w14:paraId="51C8764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w:t>
            </w:r>
          </w:p>
        </w:tc>
        <w:tc>
          <w:tcPr>
            <w:tcW w:w="635" w:type="pct"/>
          </w:tcPr>
          <w:p w14:paraId="126F2A7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Emotions not mentioned</w:t>
            </w:r>
          </w:p>
        </w:tc>
        <w:tc>
          <w:tcPr>
            <w:tcW w:w="862" w:type="pct"/>
          </w:tcPr>
          <w:p w14:paraId="4DBBC29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teaching work and practitioner development</w:t>
            </w:r>
          </w:p>
        </w:tc>
        <w:tc>
          <w:tcPr>
            <w:tcW w:w="564" w:type="pct"/>
          </w:tcPr>
          <w:p w14:paraId="3724BB4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Teaching</w:t>
            </w:r>
          </w:p>
        </w:tc>
        <w:tc>
          <w:tcPr>
            <w:tcW w:w="922" w:type="pct"/>
          </w:tcPr>
          <w:p w14:paraId="1732456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Action based.</w:t>
            </w:r>
          </w:p>
        </w:tc>
      </w:tr>
      <w:tr w:rsidR="00981FF5" w:rsidRPr="00C2084B" w14:paraId="099B3E5D" w14:textId="77777777" w:rsidTr="000B67D1">
        <w:trPr>
          <w:trHeight w:val="402"/>
        </w:trPr>
        <w:tc>
          <w:tcPr>
            <w:tcW w:w="634" w:type="pct"/>
          </w:tcPr>
          <w:p w14:paraId="716F17C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Borton (1970)</w:t>
            </w:r>
          </w:p>
        </w:tc>
        <w:tc>
          <w:tcPr>
            <w:tcW w:w="705" w:type="pct"/>
          </w:tcPr>
          <w:p w14:paraId="4DEF458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6F4AC346" w14:textId="2A991AC2" w:rsidR="00B232E6" w:rsidRPr="00C2084B" w:rsidRDefault="00461F74" w:rsidP="00B232E6">
            <w:pPr>
              <w:rPr>
                <w:rFonts w:ascii="Calibri" w:eastAsia="Calibri" w:hAnsi="Calibri" w:cs="Times New Roman"/>
                <w:sz w:val="18"/>
                <w:szCs w:val="18"/>
              </w:rPr>
            </w:pPr>
            <w:r>
              <w:rPr>
                <w:rFonts w:ascii="Calibri" w:eastAsia="Calibri" w:hAnsi="Calibri" w:cs="Times New Roman"/>
                <w:sz w:val="18"/>
                <w:szCs w:val="18"/>
              </w:rPr>
              <w:t>“</w:t>
            </w:r>
            <w:r w:rsidR="00B232E6" w:rsidRPr="00C2084B">
              <w:rPr>
                <w:rFonts w:ascii="Calibri" w:eastAsia="Calibri" w:hAnsi="Calibri" w:cs="Times New Roman"/>
                <w:sz w:val="18"/>
                <w:szCs w:val="18"/>
              </w:rPr>
              <w:t>What? So what? Now what?</w:t>
            </w:r>
            <w:r>
              <w:rPr>
                <w:rFonts w:ascii="Calibri" w:eastAsia="Calibri" w:hAnsi="Calibri" w:cs="Times New Roman"/>
                <w:sz w:val="18"/>
                <w:szCs w:val="18"/>
              </w:rPr>
              <w:t>”</w:t>
            </w:r>
          </w:p>
          <w:p w14:paraId="22324AF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Descriptive then action- transactional</w:t>
            </w:r>
          </w:p>
        </w:tc>
        <w:tc>
          <w:tcPr>
            <w:tcW w:w="679" w:type="pct"/>
          </w:tcPr>
          <w:p w14:paraId="7E72CD5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w:t>
            </w:r>
          </w:p>
        </w:tc>
        <w:tc>
          <w:tcPr>
            <w:tcW w:w="635" w:type="pct"/>
          </w:tcPr>
          <w:p w14:paraId="153CFDEB" w14:textId="14C3601B"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Emotions possible during the </w:t>
            </w:r>
            <w:r w:rsidR="004B05A1">
              <w:rPr>
                <w:rFonts w:ascii="Calibri" w:eastAsia="Calibri" w:hAnsi="Calibri" w:cs="Times New Roman"/>
                <w:sz w:val="18"/>
                <w:szCs w:val="18"/>
              </w:rPr>
              <w:t>“</w:t>
            </w:r>
            <w:r w:rsidRPr="00C2084B">
              <w:rPr>
                <w:rFonts w:ascii="Calibri" w:eastAsia="Calibri" w:hAnsi="Calibri" w:cs="Times New Roman"/>
                <w:sz w:val="18"/>
                <w:szCs w:val="18"/>
              </w:rPr>
              <w:t>so what</w:t>
            </w:r>
            <w:r w:rsidR="004B05A1">
              <w:rPr>
                <w:rFonts w:ascii="Calibri" w:eastAsia="Calibri" w:hAnsi="Calibri" w:cs="Times New Roman"/>
                <w:sz w:val="18"/>
                <w:szCs w:val="18"/>
              </w:rPr>
              <w:t>”</w:t>
            </w:r>
            <w:r w:rsidRPr="00C2084B">
              <w:rPr>
                <w:rFonts w:ascii="Calibri" w:eastAsia="Calibri" w:hAnsi="Calibri" w:cs="Times New Roman"/>
                <w:sz w:val="18"/>
                <w:szCs w:val="18"/>
              </w:rPr>
              <w:t xml:space="preserve"> stage</w:t>
            </w:r>
          </w:p>
        </w:tc>
        <w:tc>
          <w:tcPr>
            <w:tcW w:w="862" w:type="pct"/>
          </w:tcPr>
          <w:p w14:paraId="5FE5DC8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work and the student and personal development</w:t>
            </w:r>
          </w:p>
        </w:tc>
        <w:tc>
          <w:tcPr>
            <w:tcW w:w="564" w:type="pct"/>
          </w:tcPr>
          <w:p w14:paraId="104A6E8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Healthcare</w:t>
            </w:r>
          </w:p>
        </w:tc>
        <w:tc>
          <w:tcPr>
            <w:tcW w:w="922" w:type="pct"/>
          </w:tcPr>
          <w:p w14:paraId="127E129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Improves practice.</w:t>
            </w:r>
          </w:p>
        </w:tc>
      </w:tr>
      <w:tr w:rsidR="00981FF5" w:rsidRPr="00C2084B" w14:paraId="138BE64E" w14:textId="77777777" w:rsidTr="000B67D1">
        <w:trPr>
          <w:trHeight w:val="56"/>
        </w:trPr>
        <w:tc>
          <w:tcPr>
            <w:tcW w:w="634" w:type="pct"/>
          </w:tcPr>
          <w:p w14:paraId="23B428AA" w14:textId="5E2F5676"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Habermas (1974) based on post-Marxist theories, reproduction processes, cultural reproduction, </w:t>
            </w:r>
            <w:r w:rsidRPr="00C2084B">
              <w:rPr>
                <w:rFonts w:ascii="Calibri" w:eastAsia="Calibri" w:hAnsi="Calibri" w:cs="Times New Roman"/>
                <w:sz w:val="18"/>
                <w:szCs w:val="18"/>
              </w:rPr>
              <w:lastRenderedPageBreak/>
              <w:t>social integration</w:t>
            </w:r>
            <w:r w:rsidR="00206E5E">
              <w:rPr>
                <w:rFonts w:ascii="Calibri" w:eastAsia="Calibri" w:hAnsi="Calibri" w:cs="Times New Roman"/>
                <w:sz w:val="18"/>
                <w:szCs w:val="18"/>
              </w:rPr>
              <w:t xml:space="preserve"> and </w:t>
            </w:r>
            <w:r w:rsidRPr="00C2084B">
              <w:rPr>
                <w:rFonts w:ascii="Calibri" w:eastAsia="Calibri" w:hAnsi="Calibri" w:cs="Times New Roman"/>
                <w:sz w:val="18"/>
                <w:szCs w:val="18"/>
              </w:rPr>
              <w:t xml:space="preserve"> socialisation</w:t>
            </w:r>
          </w:p>
          <w:p w14:paraId="5188C20C" w14:textId="77777777" w:rsidR="00B232E6" w:rsidRPr="00C2084B" w:rsidRDefault="00B232E6" w:rsidP="00B232E6">
            <w:pPr>
              <w:rPr>
                <w:rFonts w:ascii="Calibri" w:eastAsia="Calibri" w:hAnsi="Calibri" w:cs="Times New Roman"/>
                <w:sz w:val="18"/>
                <w:szCs w:val="18"/>
              </w:rPr>
            </w:pPr>
          </w:p>
        </w:tc>
        <w:tc>
          <w:tcPr>
            <w:tcW w:w="705" w:type="pct"/>
          </w:tcPr>
          <w:p w14:paraId="06891A5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Critical and emancipatory reflection</w:t>
            </w:r>
          </w:p>
          <w:p w14:paraId="54C4E049" w14:textId="77777777" w:rsidR="00B232E6" w:rsidRPr="00C2084B" w:rsidRDefault="00B232E6" w:rsidP="00B232E6">
            <w:pPr>
              <w:rPr>
                <w:rFonts w:ascii="Calibri" w:eastAsia="Calibri" w:hAnsi="Calibri" w:cs="Times New Roman"/>
                <w:sz w:val="18"/>
                <w:szCs w:val="18"/>
              </w:rPr>
            </w:pPr>
          </w:p>
        </w:tc>
        <w:tc>
          <w:tcPr>
            <w:tcW w:w="679" w:type="pct"/>
          </w:tcPr>
          <w:p w14:paraId="1FDD387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Predominantly collaborative</w:t>
            </w:r>
          </w:p>
          <w:p w14:paraId="04CB44C9" w14:textId="77777777" w:rsidR="00B232E6" w:rsidRPr="00C2084B" w:rsidRDefault="00B232E6" w:rsidP="00B232E6">
            <w:pPr>
              <w:rPr>
                <w:rFonts w:ascii="Calibri" w:eastAsia="Calibri" w:hAnsi="Calibri" w:cs="Times New Roman"/>
                <w:sz w:val="18"/>
                <w:szCs w:val="18"/>
              </w:rPr>
            </w:pPr>
          </w:p>
          <w:p w14:paraId="051A7E8F" w14:textId="77777777" w:rsidR="00B232E6" w:rsidRPr="00C2084B" w:rsidRDefault="00B232E6" w:rsidP="00B232E6">
            <w:pPr>
              <w:rPr>
                <w:rFonts w:ascii="Calibri" w:eastAsia="Calibri" w:hAnsi="Calibri" w:cs="Times New Roman"/>
                <w:sz w:val="18"/>
                <w:szCs w:val="18"/>
              </w:rPr>
            </w:pPr>
          </w:p>
          <w:p w14:paraId="6475D584" w14:textId="77777777" w:rsidR="00B232E6" w:rsidRPr="00C2084B" w:rsidRDefault="00B232E6" w:rsidP="00B232E6">
            <w:pPr>
              <w:rPr>
                <w:rFonts w:ascii="Calibri" w:eastAsia="Calibri" w:hAnsi="Calibri" w:cs="Times New Roman"/>
                <w:sz w:val="18"/>
                <w:szCs w:val="18"/>
              </w:rPr>
            </w:pPr>
          </w:p>
          <w:p w14:paraId="178D112E" w14:textId="77777777" w:rsidR="00B232E6" w:rsidRPr="00C2084B" w:rsidRDefault="00B232E6" w:rsidP="00B232E6">
            <w:pPr>
              <w:rPr>
                <w:rFonts w:ascii="Calibri" w:eastAsia="Calibri" w:hAnsi="Calibri" w:cs="Times New Roman"/>
                <w:sz w:val="18"/>
                <w:szCs w:val="18"/>
              </w:rPr>
            </w:pPr>
          </w:p>
          <w:p w14:paraId="19D8DE97" w14:textId="77777777" w:rsidR="00B232E6" w:rsidRPr="00C2084B" w:rsidRDefault="00B232E6" w:rsidP="00B232E6">
            <w:pPr>
              <w:rPr>
                <w:rFonts w:ascii="Calibri" w:eastAsia="Calibri" w:hAnsi="Calibri" w:cs="Times New Roman"/>
                <w:sz w:val="18"/>
                <w:szCs w:val="18"/>
              </w:rPr>
            </w:pPr>
          </w:p>
          <w:p w14:paraId="2FE00845" w14:textId="77777777" w:rsidR="00B232E6" w:rsidRPr="00C2084B" w:rsidRDefault="00B232E6" w:rsidP="00B232E6">
            <w:pPr>
              <w:rPr>
                <w:rFonts w:ascii="Calibri" w:eastAsia="Calibri" w:hAnsi="Calibri" w:cs="Times New Roman"/>
                <w:sz w:val="18"/>
                <w:szCs w:val="18"/>
              </w:rPr>
            </w:pPr>
          </w:p>
          <w:p w14:paraId="40AA087F" w14:textId="77777777" w:rsidR="00B232E6" w:rsidRPr="00C2084B" w:rsidRDefault="00B232E6" w:rsidP="00B232E6">
            <w:pPr>
              <w:rPr>
                <w:rFonts w:ascii="Calibri" w:eastAsia="Calibri" w:hAnsi="Calibri" w:cs="Times New Roman"/>
                <w:sz w:val="18"/>
                <w:szCs w:val="18"/>
              </w:rPr>
            </w:pPr>
          </w:p>
          <w:p w14:paraId="5614CA46" w14:textId="77777777" w:rsidR="00B232E6" w:rsidRPr="00C2084B" w:rsidRDefault="00B232E6" w:rsidP="00B232E6">
            <w:pPr>
              <w:rPr>
                <w:rFonts w:ascii="Calibri" w:eastAsia="Calibri" w:hAnsi="Calibri" w:cs="Times New Roman"/>
                <w:sz w:val="18"/>
                <w:szCs w:val="18"/>
              </w:rPr>
            </w:pPr>
          </w:p>
          <w:p w14:paraId="76A0CCF9" w14:textId="77777777" w:rsidR="00B232E6" w:rsidRPr="00C2084B" w:rsidRDefault="00B232E6" w:rsidP="00B232E6">
            <w:pPr>
              <w:rPr>
                <w:rFonts w:ascii="Calibri" w:eastAsia="Calibri" w:hAnsi="Calibri" w:cs="Times New Roman"/>
                <w:sz w:val="18"/>
                <w:szCs w:val="18"/>
              </w:rPr>
            </w:pPr>
          </w:p>
          <w:p w14:paraId="11E45BBB" w14:textId="77777777" w:rsidR="00B232E6" w:rsidRPr="00C2084B" w:rsidRDefault="00B232E6" w:rsidP="00B232E6">
            <w:pPr>
              <w:rPr>
                <w:rFonts w:ascii="Calibri" w:eastAsia="Calibri" w:hAnsi="Calibri" w:cs="Times New Roman"/>
                <w:sz w:val="18"/>
                <w:szCs w:val="18"/>
              </w:rPr>
            </w:pPr>
          </w:p>
          <w:p w14:paraId="009FBE60" w14:textId="77777777" w:rsidR="00B232E6" w:rsidRPr="00C2084B" w:rsidRDefault="00B232E6" w:rsidP="00B232E6">
            <w:pPr>
              <w:rPr>
                <w:rFonts w:ascii="Calibri" w:eastAsia="Calibri" w:hAnsi="Calibri" w:cs="Times New Roman"/>
                <w:sz w:val="18"/>
                <w:szCs w:val="18"/>
              </w:rPr>
            </w:pPr>
          </w:p>
        </w:tc>
        <w:tc>
          <w:tcPr>
            <w:tcW w:w="635" w:type="pct"/>
          </w:tcPr>
          <w:p w14:paraId="0B57072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Feelings not mentioned</w:t>
            </w:r>
          </w:p>
          <w:p w14:paraId="24B9FEF8" w14:textId="77777777" w:rsidR="00B232E6" w:rsidRPr="00C2084B" w:rsidRDefault="00B232E6" w:rsidP="00B232E6">
            <w:pPr>
              <w:rPr>
                <w:rFonts w:ascii="Calibri" w:eastAsia="Calibri" w:hAnsi="Calibri" w:cs="Times New Roman"/>
                <w:sz w:val="18"/>
                <w:szCs w:val="18"/>
              </w:rPr>
            </w:pPr>
          </w:p>
          <w:p w14:paraId="0E773DFC" w14:textId="77777777" w:rsidR="00B232E6" w:rsidRPr="00C2084B" w:rsidRDefault="00B232E6" w:rsidP="00B232E6">
            <w:pPr>
              <w:rPr>
                <w:rFonts w:ascii="Calibri" w:eastAsia="Calibri" w:hAnsi="Calibri" w:cs="Times New Roman"/>
                <w:sz w:val="18"/>
                <w:szCs w:val="18"/>
              </w:rPr>
            </w:pPr>
          </w:p>
          <w:p w14:paraId="0F91AC20" w14:textId="77777777" w:rsidR="00B232E6" w:rsidRPr="00C2084B" w:rsidRDefault="00B232E6" w:rsidP="00B232E6">
            <w:pPr>
              <w:rPr>
                <w:rFonts w:ascii="Calibri" w:eastAsia="Calibri" w:hAnsi="Calibri" w:cs="Times New Roman"/>
                <w:sz w:val="18"/>
                <w:szCs w:val="18"/>
              </w:rPr>
            </w:pPr>
          </w:p>
          <w:p w14:paraId="628512F7" w14:textId="77777777" w:rsidR="00B232E6" w:rsidRPr="00C2084B" w:rsidRDefault="00B232E6" w:rsidP="00B232E6">
            <w:pPr>
              <w:rPr>
                <w:rFonts w:ascii="Calibri" w:eastAsia="Calibri" w:hAnsi="Calibri" w:cs="Times New Roman"/>
                <w:sz w:val="18"/>
                <w:szCs w:val="18"/>
              </w:rPr>
            </w:pPr>
          </w:p>
          <w:p w14:paraId="26356CEE" w14:textId="77777777" w:rsidR="00B232E6" w:rsidRPr="00C2084B" w:rsidRDefault="00B232E6" w:rsidP="00B232E6">
            <w:pPr>
              <w:rPr>
                <w:rFonts w:ascii="Calibri" w:eastAsia="Calibri" w:hAnsi="Calibri" w:cs="Times New Roman"/>
                <w:sz w:val="18"/>
                <w:szCs w:val="18"/>
              </w:rPr>
            </w:pPr>
          </w:p>
          <w:p w14:paraId="6AA0A480" w14:textId="77777777" w:rsidR="00B232E6" w:rsidRPr="00C2084B" w:rsidRDefault="00B232E6" w:rsidP="00B232E6">
            <w:pPr>
              <w:rPr>
                <w:rFonts w:ascii="Calibri" w:eastAsia="Calibri" w:hAnsi="Calibri" w:cs="Times New Roman"/>
                <w:sz w:val="18"/>
                <w:szCs w:val="18"/>
              </w:rPr>
            </w:pPr>
          </w:p>
          <w:p w14:paraId="2FD3ABA0" w14:textId="77777777" w:rsidR="00B232E6" w:rsidRPr="00C2084B" w:rsidRDefault="00B232E6" w:rsidP="00B232E6">
            <w:pPr>
              <w:rPr>
                <w:rFonts w:ascii="Calibri" w:eastAsia="Calibri" w:hAnsi="Calibri" w:cs="Times New Roman"/>
                <w:sz w:val="18"/>
                <w:szCs w:val="18"/>
              </w:rPr>
            </w:pPr>
          </w:p>
          <w:p w14:paraId="666BECE5" w14:textId="77777777" w:rsidR="00B232E6" w:rsidRPr="00C2084B" w:rsidRDefault="00B232E6" w:rsidP="00B232E6">
            <w:pPr>
              <w:rPr>
                <w:rFonts w:ascii="Calibri" w:eastAsia="Calibri" w:hAnsi="Calibri" w:cs="Times New Roman"/>
                <w:sz w:val="18"/>
                <w:szCs w:val="18"/>
              </w:rPr>
            </w:pPr>
          </w:p>
          <w:p w14:paraId="556BE9E0" w14:textId="77777777" w:rsidR="00B232E6" w:rsidRPr="00C2084B" w:rsidRDefault="00B232E6" w:rsidP="00B232E6">
            <w:pPr>
              <w:rPr>
                <w:rFonts w:ascii="Calibri" w:eastAsia="Calibri" w:hAnsi="Calibri" w:cs="Times New Roman"/>
                <w:sz w:val="18"/>
                <w:szCs w:val="18"/>
              </w:rPr>
            </w:pPr>
          </w:p>
          <w:p w14:paraId="27F82AAA" w14:textId="77777777" w:rsidR="00B232E6" w:rsidRPr="00C2084B" w:rsidRDefault="00B232E6" w:rsidP="00B232E6">
            <w:pPr>
              <w:rPr>
                <w:rFonts w:ascii="Calibri" w:eastAsia="Calibri" w:hAnsi="Calibri" w:cs="Times New Roman"/>
                <w:sz w:val="18"/>
                <w:szCs w:val="18"/>
              </w:rPr>
            </w:pPr>
          </w:p>
          <w:p w14:paraId="768991FF" w14:textId="77777777" w:rsidR="00B232E6" w:rsidRPr="00C2084B" w:rsidRDefault="00B232E6" w:rsidP="00B232E6">
            <w:pPr>
              <w:rPr>
                <w:rFonts w:ascii="Calibri" w:eastAsia="Calibri" w:hAnsi="Calibri" w:cs="Times New Roman"/>
                <w:sz w:val="18"/>
                <w:szCs w:val="18"/>
              </w:rPr>
            </w:pPr>
          </w:p>
          <w:p w14:paraId="16B2E677" w14:textId="77777777" w:rsidR="00B232E6" w:rsidRPr="00C2084B" w:rsidRDefault="00B232E6" w:rsidP="00B232E6">
            <w:pPr>
              <w:rPr>
                <w:rFonts w:ascii="Calibri" w:eastAsia="Calibri" w:hAnsi="Calibri" w:cs="Times New Roman"/>
                <w:sz w:val="18"/>
                <w:szCs w:val="18"/>
              </w:rPr>
            </w:pPr>
          </w:p>
        </w:tc>
        <w:tc>
          <w:tcPr>
            <w:tcW w:w="862" w:type="pct"/>
          </w:tcPr>
          <w:p w14:paraId="68401C6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In service of the work</w:t>
            </w:r>
          </w:p>
          <w:p w14:paraId="7E8E6598" w14:textId="77777777" w:rsidR="00B232E6" w:rsidRPr="00C2084B" w:rsidRDefault="00B232E6" w:rsidP="00B232E6">
            <w:pPr>
              <w:rPr>
                <w:rFonts w:ascii="Calibri" w:eastAsia="Calibri" w:hAnsi="Calibri" w:cs="Times New Roman"/>
                <w:sz w:val="18"/>
                <w:szCs w:val="18"/>
              </w:rPr>
            </w:pPr>
          </w:p>
          <w:p w14:paraId="37DC71AE" w14:textId="77777777" w:rsidR="00B232E6" w:rsidRPr="00C2084B" w:rsidRDefault="00B232E6" w:rsidP="00B232E6">
            <w:pPr>
              <w:rPr>
                <w:rFonts w:ascii="Calibri" w:eastAsia="Calibri" w:hAnsi="Calibri" w:cs="Times New Roman"/>
                <w:sz w:val="18"/>
                <w:szCs w:val="18"/>
              </w:rPr>
            </w:pPr>
          </w:p>
          <w:p w14:paraId="1F01E49F" w14:textId="77777777" w:rsidR="00B232E6" w:rsidRPr="00C2084B" w:rsidRDefault="00B232E6" w:rsidP="00B232E6">
            <w:pPr>
              <w:rPr>
                <w:rFonts w:ascii="Calibri" w:eastAsia="Calibri" w:hAnsi="Calibri" w:cs="Times New Roman"/>
                <w:sz w:val="18"/>
                <w:szCs w:val="18"/>
              </w:rPr>
            </w:pPr>
          </w:p>
          <w:p w14:paraId="26AC7B62" w14:textId="77777777" w:rsidR="00B232E6" w:rsidRPr="00C2084B" w:rsidRDefault="00B232E6" w:rsidP="00B232E6">
            <w:pPr>
              <w:rPr>
                <w:rFonts w:ascii="Calibri" w:eastAsia="Calibri" w:hAnsi="Calibri" w:cs="Times New Roman"/>
                <w:sz w:val="18"/>
                <w:szCs w:val="18"/>
              </w:rPr>
            </w:pPr>
          </w:p>
          <w:p w14:paraId="42062D5A" w14:textId="77777777" w:rsidR="00B232E6" w:rsidRPr="00C2084B" w:rsidRDefault="00B232E6" w:rsidP="00B232E6">
            <w:pPr>
              <w:rPr>
                <w:rFonts w:ascii="Calibri" w:eastAsia="Calibri" w:hAnsi="Calibri" w:cs="Times New Roman"/>
                <w:sz w:val="18"/>
                <w:szCs w:val="18"/>
              </w:rPr>
            </w:pPr>
          </w:p>
          <w:p w14:paraId="0206ABDE" w14:textId="77777777" w:rsidR="00B232E6" w:rsidRPr="00C2084B" w:rsidRDefault="00B232E6" w:rsidP="00B232E6">
            <w:pPr>
              <w:rPr>
                <w:rFonts w:ascii="Calibri" w:eastAsia="Calibri" w:hAnsi="Calibri" w:cs="Times New Roman"/>
                <w:sz w:val="18"/>
                <w:szCs w:val="18"/>
              </w:rPr>
            </w:pPr>
          </w:p>
          <w:p w14:paraId="54FC12C7" w14:textId="77777777" w:rsidR="00B232E6" w:rsidRPr="00C2084B" w:rsidRDefault="00B232E6" w:rsidP="00B232E6">
            <w:pPr>
              <w:rPr>
                <w:rFonts w:ascii="Calibri" w:eastAsia="Calibri" w:hAnsi="Calibri" w:cs="Times New Roman"/>
                <w:sz w:val="18"/>
                <w:szCs w:val="18"/>
              </w:rPr>
            </w:pPr>
          </w:p>
          <w:p w14:paraId="65693FCC" w14:textId="77777777" w:rsidR="00B232E6" w:rsidRPr="00C2084B" w:rsidRDefault="00B232E6" w:rsidP="00B232E6">
            <w:pPr>
              <w:rPr>
                <w:rFonts w:ascii="Calibri" w:eastAsia="Calibri" w:hAnsi="Calibri" w:cs="Times New Roman"/>
                <w:sz w:val="18"/>
                <w:szCs w:val="18"/>
              </w:rPr>
            </w:pPr>
          </w:p>
          <w:p w14:paraId="11C16E59" w14:textId="77777777" w:rsidR="00B232E6" w:rsidRPr="00C2084B" w:rsidRDefault="00B232E6" w:rsidP="00B232E6">
            <w:pPr>
              <w:rPr>
                <w:rFonts w:ascii="Calibri" w:eastAsia="Calibri" w:hAnsi="Calibri" w:cs="Times New Roman"/>
                <w:sz w:val="18"/>
                <w:szCs w:val="18"/>
              </w:rPr>
            </w:pPr>
          </w:p>
          <w:p w14:paraId="44B2FBC3" w14:textId="77777777" w:rsidR="00B232E6" w:rsidRPr="00C2084B" w:rsidRDefault="00B232E6" w:rsidP="00B232E6">
            <w:pPr>
              <w:rPr>
                <w:rFonts w:ascii="Calibri" w:eastAsia="Calibri" w:hAnsi="Calibri" w:cs="Times New Roman"/>
                <w:sz w:val="18"/>
                <w:szCs w:val="18"/>
              </w:rPr>
            </w:pPr>
          </w:p>
          <w:p w14:paraId="217140DB" w14:textId="77777777" w:rsidR="00B232E6" w:rsidRPr="00C2084B" w:rsidRDefault="00B232E6" w:rsidP="00B232E6">
            <w:pPr>
              <w:rPr>
                <w:rFonts w:ascii="Calibri" w:eastAsia="Calibri" w:hAnsi="Calibri" w:cs="Times New Roman"/>
                <w:sz w:val="18"/>
                <w:szCs w:val="18"/>
              </w:rPr>
            </w:pPr>
          </w:p>
          <w:p w14:paraId="10D1E34F" w14:textId="77777777" w:rsidR="00B232E6" w:rsidRPr="00C2084B" w:rsidRDefault="00B232E6" w:rsidP="00B232E6">
            <w:pPr>
              <w:rPr>
                <w:rFonts w:ascii="Calibri" w:eastAsia="Calibri" w:hAnsi="Calibri" w:cs="Times New Roman"/>
                <w:sz w:val="18"/>
                <w:szCs w:val="18"/>
              </w:rPr>
            </w:pPr>
          </w:p>
        </w:tc>
        <w:tc>
          <w:tcPr>
            <w:tcW w:w="564" w:type="pct"/>
          </w:tcPr>
          <w:p w14:paraId="5F0A07B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Applicable to teaching, social sciences and childcare</w:t>
            </w:r>
          </w:p>
          <w:p w14:paraId="1ED601C5" w14:textId="77777777" w:rsidR="00B232E6" w:rsidRPr="00C2084B" w:rsidRDefault="00B232E6" w:rsidP="00B232E6">
            <w:pPr>
              <w:rPr>
                <w:rFonts w:ascii="Calibri" w:eastAsia="Calibri" w:hAnsi="Calibri" w:cs="Times New Roman"/>
                <w:sz w:val="18"/>
                <w:szCs w:val="18"/>
              </w:rPr>
            </w:pPr>
          </w:p>
          <w:p w14:paraId="130EAEB2" w14:textId="77777777" w:rsidR="00B232E6" w:rsidRPr="00C2084B" w:rsidRDefault="00B232E6" w:rsidP="00B232E6">
            <w:pPr>
              <w:rPr>
                <w:rFonts w:ascii="Calibri" w:eastAsia="Calibri" w:hAnsi="Calibri" w:cs="Times New Roman"/>
                <w:sz w:val="18"/>
                <w:szCs w:val="18"/>
              </w:rPr>
            </w:pPr>
          </w:p>
          <w:p w14:paraId="3550AB1F" w14:textId="77777777" w:rsidR="00B232E6" w:rsidRPr="00C2084B" w:rsidRDefault="00B232E6" w:rsidP="00B232E6">
            <w:pPr>
              <w:rPr>
                <w:rFonts w:ascii="Calibri" w:eastAsia="Calibri" w:hAnsi="Calibri" w:cs="Times New Roman"/>
                <w:sz w:val="18"/>
                <w:szCs w:val="18"/>
              </w:rPr>
            </w:pPr>
          </w:p>
          <w:p w14:paraId="72C19089" w14:textId="77777777" w:rsidR="00B232E6" w:rsidRPr="00C2084B" w:rsidRDefault="00B232E6" w:rsidP="00B232E6">
            <w:pPr>
              <w:rPr>
                <w:rFonts w:ascii="Calibri" w:eastAsia="Calibri" w:hAnsi="Calibri" w:cs="Times New Roman"/>
                <w:sz w:val="18"/>
                <w:szCs w:val="18"/>
              </w:rPr>
            </w:pPr>
          </w:p>
          <w:p w14:paraId="06D2D487" w14:textId="77777777" w:rsidR="00B232E6" w:rsidRPr="00C2084B" w:rsidRDefault="00B232E6" w:rsidP="00B232E6">
            <w:pPr>
              <w:rPr>
                <w:rFonts w:ascii="Calibri" w:eastAsia="Calibri" w:hAnsi="Calibri" w:cs="Times New Roman"/>
                <w:sz w:val="18"/>
                <w:szCs w:val="18"/>
              </w:rPr>
            </w:pPr>
          </w:p>
          <w:p w14:paraId="61300327" w14:textId="77777777" w:rsidR="00B232E6" w:rsidRPr="00C2084B" w:rsidRDefault="00B232E6" w:rsidP="00B232E6">
            <w:pPr>
              <w:rPr>
                <w:rFonts w:ascii="Calibri" w:eastAsia="Calibri" w:hAnsi="Calibri" w:cs="Times New Roman"/>
                <w:sz w:val="18"/>
                <w:szCs w:val="18"/>
              </w:rPr>
            </w:pPr>
          </w:p>
          <w:p w14:paraId="09F5CD48" w14:textId="77777777" w:rsidR="00B232E6" w:rsidRPr="00C2084B" w:rsidRDefault="00B232E6" w:rsidP="00B232E6">
            <w:pPr>
              <w:rPr>
                <w:rFonts w:ascii="Calibri" w:eastAsia="Calibri" w:hAnsi="Calibri" w:cs="Times New Roman"/>
                <w:sz w:val="18"/>
                <w:szCs w:val="18"/>
              </w:rPr>
            </w:pPr>
          </w:p>
          <w:p w14:paraId="35D0FC07" w14:textId="77777777" w:rsidR="00B232E6" w:rsidRPr="00C2084B" w:rsidRDefault="00B232E6" w:rsidP="00B232E6">
            <w:pPr>
              <w:rPr>
                <w:rFonts w:ascii="Calibri" w:eastAsia="Calibri" w:hAnsi="Calibri" w:cs="Times New Roman"/>
                <w:sz w:val="18"/>
                <w:szCs w:val="18"/>
              </w:rPr>
            </w:pPr>
          </w:p>
          <w:p w14:paraId="2D616D37" w14:textId="77777777" w:rsidR="00B232E6" w:rsidRPr="00C2084B" w:rsidRDefault="00B232E6" w:rsidP="00B232E6">
            <w:pPr>
              <w:rPr>
                <w:rFonts w:ascii="Calibri" w:eastAsia="Calibri" w:hAnsi="Calibri" w:cs="Times New Roman"/>
                <w:sz w:val="18"/>
                <w:szCs w:val="18"/>
              </w:rPr>
            </w:pPr>
          </w:p>
        </w:tc>
        <w:tc>
          <w:tcPr>
            <w:tcW w:w="922" w:type="pct"/>
          </w:tcPr>
          <w:p w14:paraId="0DA79433" w14:textId="65AEE6B0"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Applicable to personality, childrearing, educational goals, social memberships, social reform and social evolution</w:t>
            </w:r>
            <w:r w:rsidR="00206E5E">
              <w:rPr>
                <w:rFonts w:ascii="Calibri" w:eastAsia="Calibri" w:hAnsi="Calibri" w:cs="Times New Roman"/>
                <w:sz w:val="18"/>
                <w:szCs w:val="18"/>
              </w:rPr>
              <w:t xml:space="preserve"> and </w:t>
            </w:r>
            <w:r w:rsidRPr="00C2084B">
              <w:rPr>
                <w:rFonts w:ascii="Calibri" w:eastAsia="Calibri" w:hAnsi="Calibri" w:cs="Times New Roman"/>
                <w:sz w:val="18"/>
                <w:szCs w:val="18"/>
              </w:rPr>
              <w:t>democracy.</w:t>
            </w:r>
          </w:p>
          <w:p w14:paraId="70ED2B5C" w14:textId="77777777" w:rsidR="00B232E6" w:rsidRPr="00C2084B" w:rsidRDefault="00B232E6" w:rsidP="00B232E6">
            <w:pPr>
              <w:rPr>
                <w:rFonts w:ascii="Calibri" w:eastAsia="Calibri" w:hAnsi="Calibri" w:cs="Times New Roman"/>
                <w:sz w:val="18"/>
                <w:szCs w:val="18"/>
              </w:rPr>
            </w:pPr>
          </w:p>
          <w:p w14:paraId="55A56986" w14:textId="77777777" w:rsidR="00B232E6" w:rsidRPr="00C2084B" w:rsidRDefault="00B232E6" w:rsidP="00B232E6">
            <w:pPr>
              <w:rPr>
                <w:rFonts w:ascii="Calibri" w:eastAsia="Calibri" w:hAnsi="Calibri" w:cs="Times New Roman"/>
                <w:sz w:val="18"/>
                <w:szCs w:val="18"/>
              </w:rPr>
            </w:pPr>
          </w:p>
          <w:p w14:paraId="45CE1252" w14:textId="77777777" w:rsidR="00B232E6" w:rsidRPr="00C2084B" w:rsidRDefault="00B232E6" w:rsidP="00B232E6">
            <w:pPr>
              <w:rPr>
                <w:rFonts w:ascii="Calibri" w:eastAsia="Calibri" w:hAnsi="Calibri" w:cs="Times New Roman"/>
                <w:sz w:val="18"/>
                <w:szCs w:val="18"/>
              </w:rPr>
            </w:pPr>
          </w:p>
          <w:p w14:paraId="0DA1A910" w14:textId="77777777" w:rsidR="00B232E6" w:rsidRPr="00C2084B" w:rsidRDefault="00B232E6" w:rsidP="00B232E6">
            <w:pPr>
              <w:rPr>
                <w:rFonts w:ascii="Calibri" w:eastAsia="Calibri" w:hAnsi="Calibri" w:cs="Times New Roman"/>
                <w:sz w:val="18"/>
                <w:szCs w:val="18"/>
              </w:rPr>
            </w:pPr>
          </w:p>
          <w:p w14:paraId="0DDF730D" w14:textId="77777777" w:rsidR="00B232E6" w:rsidRPr="00C2084B" w:rsidRDefault="00B232E6" w:rsidP="00B232E6">
            <w:pPr>
              <w:rPr>
                <w:rFonts w:ascii="Calibri" w:eastAsia="Calibri" w:hAnsi="Calibri" w:cs="Times New Roman"/>
                <w:sz w:val="18"/>
                <w:szCs w:val="18"/>
              </w:rPr>
            </w:pPr>
          </w:p>
          <w:p w14:paraId="5B9BFDC3" w14:textId="77777777" w:rsidR="00B232E6" w:rsidRPr="00C2084B" w:rsidRDefault="00B232E6" w:rsidP="00B232E6">
            <w:pPr>
              <w:rPr>
                <w:rFonts w:ascii="Calibri" w:eastAsia="Calibri" w:hAnsi="Calibri" w:cs="Times New Roman"/>
                <w:sz w:val="18"/>
                <w:szCs w:val="18"/>
              </w:rPr>
            </w:pPr>
          </w:p>
          <w:p w14:paraId="0A63038D" w14:textId="77777777" w:rsidR="00B232E6" w:rsidRPr="00C2084B" w:rsidRDefault="00B232E6" w:rsidP="00B232E6">
            <w:pPr>
              <w:rPr>
                <w:rFonts w:ascii="Calibri" w:eastAsia="Calibri" w:hAnsi="Calibri" w:cs="Times New Roman"/>
                <w:sz w:val="18"/>
                <w:szCs w:val="18"/>
              </w:rPr>
            </w:pPr>
          </w:p>
        </w:tc>
      </w:tr>
      <w:tr w:rsidR="00981FF5" w:rsidRPr="00C2084B" w14:paraId="64412524" w14:textId="77777777" w:rsidTr="000B67D1">
        <w:trPr>
          <w:trHeight w:val="402"/>
        </w:trPr>
        <w:tc>
          <w:tcPr>
            <w:tcW w:w="634" w:type="pct"/>
          </w:tcPr>
          <w:p w14:paraId="790F0D02" w14:textId="514A0B52" w:rsidR="00B232E6" w:rsidRPr="00C2084B" w:rsidRDefault="005F6C11" w:rsidP="00B232E6">
            <w:pPr>
              <w:rPr>
                <w:rFonts w:ascii="Calibri" w:eastAsia="Calibri" w:hAnsi="Calibri" w:cs="Times New Roman"/>
                <w:sz w:val="18"/>
                <w:szCs w:val="18"/>
              </w:rPr>
            </w:pPr>
            <w:r w:rsidRPr="005F6C11">
              <w:rPr>
                <w:rFonts w:ascii="Calibri" w:eastAsia="Calibri" w:hAnsi="Calibri" w:cs="Times New Roman"/>
                <w:sz w:val="18"/>
                <w:szCs w:val="18"/>
              </w:rPr>
              <w:lastRenderedPageBreak/>
              <w:t xml:space="preserve">Schön </w:t>
            </w:r>
            <w:r w:rsidR="00B232E6" w:rsidRPr="00C2084B">
              <w:rPr>
                <w:rFonts w:ascii="Calibri" w:eastAsia="Calibri" w:hAnsi="Calibri" w:cs="Times New Roman"/>
                <w:sz w:val="18"/>
                <w:szCs w:val="18"/>
              </w:rPr>
              <w:t xml:space="preserve"> (1983/87)</w:t>
            </w:r>
          </w:p>
        </w:tc>
        <w:tc>
          <w:tcPr>
            <w:tcW w:w="705" w:type="pct"/>
          </w:tcPr>
          <w:p w14:paraId="5172FB4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Professional artistry and reflective action.</w:t>
            </w:r>
          </w:p>
          <w:p w14:paraId="431F1F9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Knowing in action, reflection in action and reflection on action</w:t>
            </w:r>
          </w:p>
        </w:tc>
        <w:tc>
          <w:tcPr>
            <w:tcW w:w="679" w:type="pct"/>
          </w:tcPr>
          <w:p w14:paraId="1C0B0E2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 applied</w:t>
            </w:r>
          </w:p>
        </w:tc>
        <w:tc>
          <w:tcPr>
            <w:tcW w:w="635" w:type="pct"/>
          </w:tcPr>
          <w:p w14:paraId="6F2A365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not an integral part of the process</w:t>
            </w:r>
          </w:p>
        </w:tc>
        <w:tc>
          <w:tcPr>
            <w:tcW w:w="862" w:type="pct"/>
          </w:tcPr>
          <w:p w14:paraId="4173C1C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work</w:t>
            </w:r>
          </w:p>
        </w:tc>
        <w:tc>
          <w:tcPr>
            <w:tcW w:w="564" w:type="pct"/>
          </w:tcPr>
          <w:p w14:paraId="10DEF52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Applicable to learning and teaching practices</w:t>
            </w:r>
          </w:p>
        </w:tc>
        <w:tc>
          <w:tcPr>
            <w:tcW w:w="922" w:type="pct"/>
          </w:tcPr>
          <w:p w14:paraId="546F693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To mediate challenges and reform practices</w:t>
            </w:r>
          </w:p>
          <w:p w14:paraId="5123C4C9" w14:textId="77777777" w:rsidR="00B232E6" w:rsidRPr="00C2084B" w:rsidRDefault="00B232E6" w:rsidP="00B232E6">
            <w:pPr>
              <w:rPr>
                <w:rFonts w:ascii="Calibri" w:eastAsia="Calibri" w:hAnsi="Calibri" w:cs="Times New Roman"/>
                <w:sz w:val="18"/>
                <w:szCs w:val="18"/>
              </w:rPr>
            </w:pPr>
          </w:p>
        </w:tc>
      </w:tr>
      <w:tr w:rsidR="00981FF5" w:rsidRPr="00C2084B" w14:paraId="79EAB56F" w14:textId="77777777" w:rsidTr="000B67D1">
        <w:trPr>
          <w:trHeight w:val="402"/>
        </w:trPr>
        <w:tc>
          <w:tcPr>
            <w:tcW w:w="634" w:type="pct"/>
          </w:tcPr>
          <w:p w14:paraId="323AB2E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Mezirow (1981/95)</w:t>
            </w:r>
          </w:p>
          <w:p w14:paraId="10EE96E0" w14:textId="77777777" w:rsidR="00B232E6" w:rsidRPr="00C2084B" w:rsidRDefault="00B232E6" w:rsidP="00B232E6">
            <w:pPr>
              <w:rPr>
                <w:rFonts w:ascii="Calibri" w:eastAsia="Calibri" w:hAnsi="Calibri" w:cs="Times New Roman"/>
                <w:sz w:val="18"/>
                <w:szCs w:val="18"/>
              </w:rPr>
            </w:pPr>
          </w:p>
        </w:tc>
        <w:tc>
          <w:tcPr>
            <w:tcW w:w="705" w:type="pct"/>
          </w:tcPr>
          <w:p w14:paraId="2C1EB703" w14:textId="6ABF2166"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Critical reflection; content, process and transformative learning.</w:t>
            </w:r>
            <w:r w:rsidR="004D1527">
              <w:rPr>
                <w:rFonts w:ascii="Calibri" w:eastAsia="Calibri" w:hAnsi="Calibri" w:cs="Times New Roman"/>
                <w:sz w:val="18"/>
                <w:szCs w:val="18"/>
              </w:rPr>
              <w:t xml:space="preserve"> </w:t>
            </w:r>
            <w:r w:rsidRPr="00C2084B">
              <w:rPr>
                <w:rFonts w:ascii="Calibri" w:eastAsia="Calibri" w:hAnsi="Calibri" w:cs="Times New Roman"/>
                <w:sz w:val="18"/>
                <w:szCs w:val="18"/>
              </w:rPr>
              <w:t>10 phase model. One</w:t>
            </w:r>
            <w:r w:rsidR="004D1527">
              <w:rPr>
                <w:rFonts w:ascii="Calibri" w:eastAsia="Calibri" w:hAnsi="Calibri" w:cs="Times New Roman"/>
                <w:sz w:val="18"/>
                <w:szCs w:val="18"/>
              </w:rPr>
              <w:t>:</w:t>
            </w:r>
            <w:r w:rsidRPr="00C2084B">
              <w:rPr>
                <w:rFonts w:ascii="Calibri" w:eastAsia="Calibri" w:hAnsi="Calibri" w:cs="Times New Roman"/>
                <w:sz w:val="18"/>
                <w:szCs w:val="18"/>
              </w:rPr>
              <w:t xml:space="preserve"> a disorienting dilemma</w:t>
            </w:r>
            <w:r w:rsidR="004D1527">
              <w:rPr>
                <w:rFonts w:ascii="Calibri" w:eastAsia="Calibri" w:hAnsi="Calibri" w:cs="Times New Roman"/>
                <w:sz w:val="18"/>
                <w:szCs w:val="18"/>
              </w:rPr>
              <w:t>;</w:t>
            </w:r>
            <w:r w:rsidRPr="00C2084B">
              <w:rPr>
                <w:rFonts w:ascii="Calibri" w:eastAsia="Calibri" w:hAnsi="Calibri" w:cs="Times New Roman"/>
                <w:sz w:val="18"/>
                <w:szCs w:val="18"/>
              </w:rPr>
              <w:t xml:space="preserve"> two self-</w:t>
            </w:r>
            <w:r w:rsidR="004D1527">
              <w:rPr>
                <w:rFonts w:ascii="Calibri" w:eastAsia="Calibri" w:hAnsi="Calibri" w:cs="Times New Roman"/>
                <w:sz w:val="18"/>
                <w:szCs w:val="18"/>
              </w:rPr>
              <w:t>:</w:t>
            </w:r>
            <w:r w:rsidRPr="00C2084B">
              <w:rPr>
                <w:rFonts w:ascii="Calibri" w:eastAsia="Calibri" w:hAnsi="Calibri" w:cs="Times New Roman"/>
                <w:sz w:val="18"/>
                <w:szCs w:val="18"/>
              </w:rPr>
              <w:t>examination</w:t>
            </w:r>
            <w:r w:rsidR="002A68BF">
              <w:rPr>
                <w:rFonts w:ascii="Calibri" w:eastAsia="Calibri" w:hAnsi="Calibri" w:cs="Times New Roman"/>
                <w:sz w:val="18"/>
                <w:szCs w:val="18"/>
              </w:rPr>
              <w:t xml:space="preserve">; </w:t>
            </w:r>
            <w:r w:rsidRPr="00C2084B">
              <w:rPr>
                <w:rFonts w:ascii="Calibri" w:eastAsia="Calibri" w:hAnsi="Calibri" w:cs="Times New Roman"/>
                <w:sz w:val="18"/>
                <w:szCs w:val="18"/>
              </w:rPr>
              <w:t>three</w:t>
            </w:r>
            <w:r w:rsidR="002A68BF">
              <w:rPr>
                <w:rFonts w:ascii="Calibri" w:eastAsia="Calibri" w:hAnsi="Calibri" w:cs="Times New Roman"/>
                <w:sz w:val="18"/>
                <w:szCs w:val="18"/>
              </w:rPr>
              <w:t xml:space="preserve">: </w:t>
            </w:r>
            <w:r w:rsidRPr="00C2084B">
              <w:rPr>
                <w:rFonts w:ascii="Calibri" w:eastAsia="Calibri" w:hAnsi="Calibri" w:cs="Times New Roman"/>
                <w:sz w:val="18"/>
                <w:szCs w:val="18"/>
              </w:rPr>
              <w:t>critical assessment</w:t>
            </w:r>
            <w:r w:rsidR="002A68BF">
              <w:rPr>
                <w:rFonts w:ascii="Calibri" w:eastAsia="Calibri" w:hAnsi="Calibri" w:cs="Times New Roman"/>
                <w:sz w:val="18"/>
                <w:szCs w:val="18"/>
              </w:rPr>
              <w:t>;</w:t>
            </w:r>
            <w:r w:rsidRPr="00C2084B">
              <w:rPr>
                <w:rFonts w:ascii="Calibri" w:eastAsia="Calibri" w:hAnsi="Calibri" w:cs="Times New Roman"/>
                <w:sz w:val="18"/>
                <w:szCs w:val="18"/>
              </w:rPr>
              <w:t xml:space="preserve"> four</w:t>
            </w:r>
            <w:r w:rsidR="002A68BF">
              <w:rPr>
                <w:rFonts w:ascii="Calibri" w:eastAsia="Calibri" w:hAnsi="Calibri" w:cs="Times New Roman"/>
                <w:sz w:val="18"/>
                <w:szCs w:val="18"/>
              </w:rPr>
              <w:t>:</w:t>
            </w:r>
            <w:r w:rsidRPr="00C2084B">
              <w:rPr>
                <w:rFonts w:ascii="Calibri" w:eastAsia="Calibri" w:hAnsi="Calibri" w:cs="Times New Roman"/>
                <w:sz w:val="18"/>
                <w:szCs w:val="18"/>
              </w:rPr>
              <w:t xml:space="preserve"> recognition</w:t>
            </w:r>
            <w:r w:rsidR="002A68BF">
              <w:rPr>
                <w:rFonts w:ascii="Calibri" w:eastAsia="Calibri" w:hAnsi="Calibri" w:cs="Times New Roman"/>
                <w:sz w:val="18"/>
                <w:szCs w:val="18"/>
              </w:rPr>
              <w:t>;</w:t>
            </w:r>
            <w:r w:rsidRPr="00C2084B">
              <w:rPr>
                <w:rFonts w:ascii="Calibri" w:eastAsia="Calibri" w:hAnsi="Calibri" w:cs="Times New Roman"/>
                <w:sz w:val="18"/>
                <w:szCs w:val="18"/>
              </w:rPr>
              <w:t xml:space="preserve"> five</w:t>
            </w:r>
            <w:r w:rsidR="002A68BF">
              <w:rPr>
                <w:rFonts w:ascii="Calibri" w:eastAsia="Calibri" w:hAnsi="Calibri" w:cs="Times New Roman"/>
                <w:sz w:val="18"/>
                <w:szCs w:val="18"/>
              </w:rPr>
              <w:t>:</w:t>
            </w:r>
            <w:r w:rsidRPr="00C2084B">
              <w:rPr>
                <w:rFonts w:ascii="Calibri" w:eastAsia="Calibri" w:hAnsi="Calibri" w:cs="Times New Roman"/>
                <w:sz w:val="18"/>
                <w:szCs w:val="18"/>
              </w:rPr>
              <w:t xml:space="preserve"> narration</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six</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planning a course of action</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seven</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w:t>
            </w:r>
            <w:r w:rsidR="00884281" w:rsidRPr="00C2084B">
              <w:rPr>
                <w:rFonts w:ascii="Calibri" w:eastAsia="Calibri" w:hAnsi="Calibri" w:cs="Times New Roman"/>
                <w:sz w:val="18"/>
                <w:szCs w:val="18"/>
              </w:rPr>
              <w:t>acquisitions</w:t>
            </w:r>
            <w:r w:rsidRPr="00C2084B">
              <w:rPr>
                <w:rFonts w:ascii="Calibri" w:eastAsia="Calibri" w:hAnsi="Calibri" w:cs="Times New Roman"/>
                <w:sz w:val="18"/>
                <w:szCs w:val="18"/>
              </w:rPr>
              <w:t xml:space="preserve"> of knowledge</w:t>
            </w:r>
            <w:r w:rsidR="00C01BAB">
              <w:rPr>
                <w:rFonts w:ascii="Calibri" w:eastAsia="Calibri" w:hAnsi="Calibri" w:cs="Times New Roman"/>
                <w:sz w:val="18"/>
                <w:szCs w:val="18"/>
              </w:rPr>
              <w:t xml:space="preserve">; </w:t>
            </w:r>
            <w:r w:rsidRPr="00C2084B">
              <w:rPr>
                <w:rFonts w:ascii="Calibri" w:eastAsia="Calibri" w:hAnsi="Calibri" w:cs="Times New Roman"/>
                <w:sz w:val="18"/>
                <w:szCs w:val="18"/>
              </w:rPr>
              <w:t>eight</w:t>
            </w:r>
            <w:r w:rsidR="00C01BAB">
              <w:rPr>
                <w:rFonts w:ascii="Calibri" w:eastAsia="Calibri" w:hAnsi="Calibri" w:cs="Times New Roman"/>
                <w:sz w:val="18"/>
                <w:szCs w:val="18"/>
              </w:rPr>
              <w:t>: a</w:t>
            </w:r>
            <w:r w:rsidRPr="00C2084B">
              <w:rPr>
                <w:rFonts w:ascii="Calibri" w:eastAsia="Calibri" w:hAnsi="Calibri" w:cs="Times New Roman"/>
                <w:sz w:val="18"/>
                <w:szCs w:val="18"/>
              </w:rPr>
              <w:t xml:space="preserve"> provisional trying out of roles</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nine</w:t>
            </w:r>
            <w:r w:rsidR="00C01BAB">
              <w:rPr>
                <w:rFonts w:ascii="Calibri" w:eastAsia="Calibri" w:hAnsi="Calibri" w:cs="Times New Roman"/>
                <w:sz w:val="18"/>
                <w:szCs w:val="18"/>
              </w:rPr>
              <w:t>:</w:t>
            </w:r>
            <w:r w:rsidRPr="00C2084B">
              <w:rPr>
                <w:rFonts w:ascii="Calibri" w:eastAsia="Calibri" w:hAnsi="Calibri" w:cs="Times New Roman"/>
                <w:sz w:val="18"/>
                <w:szCs w:val="18"/>
              </w:rPr>
              <w:t xml:space="preserve"> building of competence and self-confidence</w:t>
            </w:r>
            <w:r w:rsidR="00831487">
              <w:rPr>
                <w:rFonts w:ascii="Calibri" w:eastAsia="Calibri" w:hAnsi="Calibri" w:cs="Times New Roman"/>
                <w:sz w:val="18"/>
                <w:szCs w:val="18"/>
              </w:rPr>
              <w:t>;</w:t>
            </w:r>
            <w:r w:rsidRPr="00C2084B">
              <w:rPr>
                <w:rFonts w:ascii="Calibri" w:eastAsia="Calibri" w:hAnsi="Calibri" w:cs="Times New Roman"/>
                <w:sz w:val="18"/>
                <w:szCs w:val="18"/>
              </w:rPr>
              <w:t xml:space="preserve"> </w:t>
            </w:r>
            <w:r w:rsidR="00831487">
              <w:rPr>
                <w:rFonts w:ascii="Calibri" w:eastAsia="Calibri" w:hAnsi="Calibri" w:cs="Times New Roman"/>
                <w:sz w:val="18"/>
                <w:szCs w:val="18"/>
              </w:rPr>
              <w:t>ten:</w:t>
            </w:r>
            <w:r w:rsidRPr="00C2084B">
              <w:rPr>
                <w:rFonts w:ascii="Calibri" w:eastAsia="Calibri" w:hAnsi="Calibri" w:cs="Times New Roman"/>
                <w:sz w:val="18"/>
                <w:szCs w:val="18"/>
              </w:rPr>
              <w:t xml:space="preserve"> integration</w:t>
            </w:r>
          </w:p>
        </w:tc>
        <w:tc>
          <w:tcPr>
            <w:tcW w:w="679" w:type="pct"/>
          </w:tcPr>
          <w:p w14:paraId="315FCB4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4307215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Self-examination although feelings are not specifically considered</w:t>
            </w:r>
          </w:p>
        </w:tc>
        <w:tc>
          <w:tcPr>
            <w:tcW w:w="862" w:type="pct"/>
          </w:tcPr>
          <w:p w14:paraId="0395D9D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work and the service user</w:t>
            </w:r>
          </w:p>
        </w:tc>
        <w:tc>
          <w:tcPr>
            <w:tcW w:w="564" w:type="pct"/>
          </w:tcPr>
          <w:p w14:paraId="26D22C60" w14:textId="407CE461"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Developed for the education field and utilised in allied profession</w:t>
            </w:r>
            <w:r w:rsidR="000B67D1">
              <w:rPr>
                <w:rFonts w:ascii="Calibri" w:eastAsia="Calibri" w:hAnsi="Calibri" w:cs="Times New Roman"/>
                <w:sz w:val="18"/>
                <w:szCs w:val="18"/>
              </w:rPr>
              <w:t>s</w:t>
            </w:r>
          </w:p>
        </w:tc>
        <w:tc>
          <w:tcPr>
            <w:tcW w:w="922" w:type="pct"/>
          </w:tcPr>
          <w:p w14:paraId="67FD259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Critically assess the content, process, and/or premises of personal interpretations to give meaning to an experience.</w:t>
            </w:r>
          </w:p>
          <w:p w14:paraId="7598972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The process of recognising, questioning, analysing and making deliberate changes to assumptions resulting in personal and professional realities being transformed.</w:t>
            </w:r>
          </w:p>
        </w:tc>
      </w:tr>
      <w:tr w:rsidR="00981FF5" w:rsidRPr="00C2084B" w14:paraId="41584D4E" w14:textId="77777777" w:rsidTr="000B67D1">
        <w:trPr>
          <w:trHeight w:val="402"/>
        </w:trPr>
        <w:tc>
          <w:tcPr>
            <w:tcW w:w="634" w:type="pct"/>
          </w:tcPr>
          <w:p w14:paraId="3C3F6B9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Boud, Keogh and Walker (1985) </w:t>
            </w:r>
          </w:p>
        </w:tc>
        <w:tc>
          <w:tcPr>
            <w:tcW w:w="705" w:type="pct"/>
          </w:tcPr>
          <w:p w14:paraId="681075D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 Experiences, Reflective Process and Outcomes</w:t>
            </w:r>
          </w:p>
        </w:tc>
        <w:tc>
          <w:tcPr>
            <w:tcW w:w="679" w:type="pct"/>
          </w:tcPr>
          <w:p w14:paraId="5A84E8EE"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w:t>
            </w:r>
          </w:p>
        </w:tc>
        <w:tc>
          <w:tcPr>
            <w:tcW w:w="635" w:type="pct"/>
          </w:tcPr>
          <w:p w14:paraId="37E8E50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at stage 1(behaviour, ideas, and feelings) and stage 2 (attending to feelings). Attending implies self-directive processing</w:t>
            </w:r>
          </w:p>
        </w:tc>
        <w:tc>
          <w:tcPr>
            <w:tcW w:w="862" w:type="pct"/>
          </w:tcPr>
          <w:p w14:paraId="7CA70CF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work and the service user</w:t>
            </w:r>
          </w:p>
        </w:tc>
        <w:tc>
          <w:tcPr>
            <w:tcW w:w="564" w:type="pct"/>
          </w:tcPr>
          <w:p w14:paraId="2FA94E4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Developed primarily for the education field</w:t>
            </w:r>
          </w:p>
        </w:tc>
        <w:tc>
          <w:tcPr>
            <w:tcW w:w="922" w:type="pct"/>
          </w:tcPr>
          <w:p w14:paraId="0D2BC41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Change in behaviour and new perspectives.</w:t>
            </w:r>
          </w:p>
          <w:p w14:paraId="630E943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Retrospective and in situ, a recapturing of experience, thinking about it, and evaluating it.</w:t>
            </w:r>
          </w:p>
        </w:tc>
      </w:tr>
      <w:tr w:rsidR="00981FF5" w:rsidRPr="00C2084B" w14:paraId="30FE2D36" w14:textId="77777777" w:rsidTr="000B67D1">
        <w:trPr>
          <w:trHeight w:val="402"/>
        </w:trPr>
        <w:tc>
          <w:tcPr>
            <w:tcW w:w="634" w:type="pct"/>
          </w:tcPr>
          <w:p w14:paraId="739A8EF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Gibbs (1988)</w:t>
            </w:r>
          </w:p>
          <w:p w14:paraId="0B6A72B8" w14:textId="77777777" w:rsidR="00B232E6" w:rsidRPr="00C2084B" w:rsidRDefault="00B232E6" w:rsidP="00B232E6">
            <w:pPr>
              <w:rPr>
                <w:rFonts w:ascii="Calibri" w:eastAsia="Calibri" w:hAnsi="Calibri" w:cs="Times New Roman"/>
                <w:sz w:val="18"/>
                <w:szCs w:val="18"/>
              </w:rPr>
            </w:pPr>
          </w:p>
        </w:tc>
        <w:tc>
          <w:tcPr>
            <w:tcW w:w="705" w:type="pct"/>
          </w:tcPr>
          <w:p w14:paraId="0DBFB51E"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0E940330" w14:textId="7478E983"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framework for examining </w:t>
            </w:r>
            <w:r w:rsidRPr="00C2084B">
              <w:rPr>
                <w:rFonts w:ascii="Calibri" w:eastAsia="Calibri" w:hAnsi="Calibri" w:cs="Times New Roman"/>
                <w:sz w:val="18"/>
                <w:szCs w:val="18"/>
              </w:rPr>
              <w:lastRenderedPageBreak/>
              <w:t>experiences that lends itself to repeated exercises. Six-stage model-description, feelings and thoughts, evaluation, analysis, conclusion</w:t>
            </w:r>
            <w:r w:rsidR="00831487">
              <w:rPr>
                <w:rFonts w:ascii="Calibri" w:eastAsia="Calibri" w:hAnsi="Calibri" w:cs="Times New Roman"/>
                <w:sz w:val="18"/>
                <w:szCs w:val="18"/>
              </w:rPr>
              <w:t xml:space="preserve"> and </w:t>
            </w:r>
            <w:r w:rsidRPr="00C2084B">
              <w:rPr>
                <w:rFonts w:ascii="Calibri" w:eastAsia="Calibri" w:hAnsi="Calibri" w:cs="Times New Roman"/>
                <w:sz w:val="18"/>
                <w:szCs w:val="18"/>
              </w:rPr>
              <w:t xml:space="preserve"> action plan</w:t>
            </w:r>
          </w:p>
        </w:tc>
        <w:tc>
          <w:tcPr>
            <w:tcW w:w="679" w:type="pct"/>
          </w:tcPr>
          <w:p w14:paraId="5F4B004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Works best when applied to groupwork</w:t>
            </w:r>
          </w:p>
        </w:tc>
        <w:tc>
          <w:tcPr>
            <w:tcW w:w="635" w:type="pct"/>
          </w:tcPr>
          <w:p w14:paraId="5B55CA2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Feelings involved at </w:t>
            </w:r>
            <w:r w:rsidRPr="00C2084B">
              <w:rPr>
                <w:rFonts w:ascii="Calibri" w:eastAsia="Calibri" w:hAnsi="Calibri" w:cs="Times New Roman"/>
                <w:sz w:val="18"/>
                <w:szCs w:val="18"/>
              </w:rPr>
              <w:lastRenderedPageBreak/>
              <w:t>stage two (six-part process)</w:t>
            </w:r>
          </w:p>
        </w:tc>
        <w:tc>
          <w:tcPr>
            <w:tcW w:w="862" w:type="pct"/>
          </w:tcPr>
          <w:p w14:paraId="053A174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In service of the work</w:t>
            </w:r>
          </w:p>
        </w:tc>
        <w:tc>
          <w:tcPr>
            <w:tcW w:w="564" w:type="pct"/>
          </w:tcPr>
          <w:p w14:paraId="209B22E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Healthcare, education and social </w:t>
            </w:r>
            <w:r w:rsidRPr="00C2084B">
              <w:rPr>
                <w:rFonts w:ascii="Calibri" w:eastAsia="Calibri" w:hAnsi="Calibri" w:cs="Times New Roman"/>
                <w:sz w:val="18"/>
                <w:szCs w:val="18"/>
              </w:rPr>
              <w:lastRenderedPageBreak/>
              <w:t>science and allied professions such as dentistry and nursing</w:t>
            </w:r>
          </w:p>
        </w:tc>
        <w:tc>
          <w:tcPr>
            <w:tcW w:w="922" w:type="pct"/>
          </w:tcPr>
          <w:p w14:paraId="7A97EA2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Transform actions and improve practice.</w:t>
            </w:r>
          </w:p>
        </w:tc>
      </w:tr>
      <w:tr w:rsidR="00981FF5" w:rsidRPr="00C2084B" w14:paraId="6CC2ABDF" w14:textId="77777777" w:rsidTr="000B67D1">
        <w:trPr>
          <w:trHeight w:val="402"/>
        </w:trPr>
        <w:tc>
          <w:tcPr>
            <w:tcW w:w="634" w:type="pct"/>
          </w:tcPr>
          <w:p w14:paraId="22194B0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Fish, Twinn and Purr (1991)</w:t>
            </w:r>
          </w:p>
          <w:p w14:paraId="3F613B24" w14:textId="77777777" w:rsidR="00B232E6" w:rsidRPr="00C2084B" w:rsidRDefault="00B232E6" w:rsidP="00B232E6">
            <w:pPr>
              <w:rPr>
                <w:rFonts w:ascii="Calibri" w:eastAsia="Calibri" w:hAnsi="Calibri" w:cs="Times New Roman"/>
                <w:sz w:val="18"/>
                <w:szCs w:val="18"/>
              </w:rPr>
            </w:pPr>
          </w:p>
        </w:tc>
        <w:tc>
          <w:tcPr>
            <w:tcW w:w="705" w:type="pct"/>
          </w:tcPr>
          <w:p w14:paraId="37A8998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Factual, giving a description of what happens in telling its story, the retrospective strand, sub- stratum strand to explore assumptions beliefs and value judgements arising from the previous two stages</w:t>
            </w:r>
          </w:p>
        </w:tc>
        <w:tc>
          <w:tcPr>
            <w:tcW w:w="679" w:type="pct"/>
          </w:tcPr>
          <w:p w14:paraId="5A15E62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152BE69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Includes personal experience but does not define explicitly the use of feelings</w:t>
            </w:r>
          </w:p>
        </w:tc>
        <w:tc>
          <w:tcPr>
            <w:tcW w:w="862" w:type="pct"/>
          </w:tcPr>
          <w:p w14:paraId="50395EE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practitioner, the work and the student/client</w:t>
            </w:r>
          </w:p>
        </w:tc>
        <w:tc>
          <w:tcPr>
            <w:tcW w:w="564" w:type="pct"/>
          </w:tcPr>
          <w:p w14:paraId="43FACB6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Teaching and professional practice</w:t>
            </w:r>
          </w:p>
        </w:tc>
        <w:tc>
          <w:tcPr>
            <w:tcW w:w="922" w:type="pct"/>
          </w:tcPr>
          <w:p w14:paraId="07597E6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 deepening of the process from the external towards the internal and back towards the external</w:t>
            </w:r>
          </w:p>
          <w:p w14:paraId="0F528B9C" w14:textId="5A14D865"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culminating in experiences</w:t>
            </w:r>
            <w:r w:rsidR="00DE5302">
              <w:rPr>
                <w:rFonts w:ascii="Calibri" w:eastAsia="Calibri" w:hAnsi="Calibri" w:cs="Times New Roman"/>
                <w:sz w:val="18"/>
                <w:szCs w:val="18"/>
              </w:rPr>
              <w:t>,</w:t>
            </w:r>
            <w:r w:rsidRPr="00C2084B">
              <w:rPr>
                <w:rFonts w:ascii="Calibri" w:eastAsia="Calibri" w:hAnsi="Calibri" w:cs="Times New Roman"/>
                <w:sz w:val="18"/>
                <w:szCs w:val="18"/>
              </w:rPr>
              <w:t xml:space="preserve"> views</w:t>
            </w:r>
            <w:r w:rsidR="00DE5302">
              <w:rPr>
                <w:rFonts w:ascii="Calibri" w:eastAsia="Calibri" w:hAnsi="Calibri" w:cs="Times New Roman"/>
                <w:sz w:val="18"/>
                <w:szCs w:val="18"/>
              </w:rPr>
              <w:t xml:space="preserve">, </w:t>
            </w:r>
            <w:r w:rsidRPr="00C2084B">
              <w:rPr>
                <w:rFonts w:ascii="Calibri" w:eastAsia="Calibri" w:hAnsi="Calibri" w:cs="Times New Roman"/>
                <w:sz w:val="18"/>
                <w:szCs w:val="18"/>
              </w:rPr>
              <w:t>reflections</w:t>
            </w:r>
            <w:r w:rsidR="00DE5302">
              <w:rPr>
                <w:rFonts w:ascii="Calibri" w:eastAsia="Calibri" w:hAnsi="Calibri" w:cs="Times New Roman"/>
                <w:sz w:val="18"/>
                <w:szCs w:val="18"/>
              </w:rPr>
              <w:t>,</w:t>
            </w:r>
            <w:r w:rsidRPr="00C2084B">
              <w:rPr>
                <w:rFonts w:ascii="Calibri" w:eastAsia="Calibri" w:hAnsi="Calibri" w:cs="Times New Roman"/>
                <w:sz w:val="18"/>
                <w:szCs w:val="18"/>
              </w:rPr>
              <w:t xml:space="preserve"> theoris</w:t>
            </w:r>
            <w:r w:rsidR="00245CB5">
              <w:rPr>
                <w:rFonts w:ascii="Calibri" w:eastAsia="Calibri" w:hAnsi="Calibri" w:cs="Times New Roman"/>
                <w:sz w:val="18"/>
                <w:szCs w:val="18"/>
              </w:rPr>
              <w:t>ing</w:t>
            </w:r>
            <w:r w:rsidRPr="00C2084B">
              <w:rPr>
                <w:rFonts w:ascii="Calibri" w:eastAsia="Calibri" w:hAnsi="Calibri" w:cs="Times New Roman"/>
                <w:sz w:val="18"/>
                <w:szCs w:val="18"/>
              </w:rPr>
              <w:t xml:space="preserve"> things and actions of other professionals being taken into consideration and that of formal theory.</w:t>
            </w:r>
          </w:p>
        </w:tc>
      </w:tr>
      <w:tr w:rsidR="00981FF5" w:rsidRPr="00C2084B" w14:paraId="5B5A8346" w14:textId="77777777" w:rsidTr="000B67D1">
        <w:trPr>
          <w:trHeight w:val="402"/>
        </w:trPr>
        <w:tc>
          <w:tcPr>
            <w:tcW w:w="634" w:type="pct"/>
          </w:tcPr>
          <w:p w14:paraId="03487FCE"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Atkins and Murphy (1991)</w:t>
            </w:r>
          </w:p>
          <w:p w14:paraId="0F5BA3A2" w14:textId="77777777" w:rsidR="00B232E6" w:rsidRPr="00C2084B" w:rsidRDefault="00B232E6" w:rsidP="00B232E6">
            <w:pPr>
              <w:rPr>
                <w:rFonts w:ascii="Calibri" w:eastAsia="Calibri" w:hAnsi="Calibri" w:cs="Times New Roman"/>
                <w:sz w:val="18"/>
                <w:szCs w:val="18"/>
              </w:rPr>
            </w:pPr>
          </w:p>
        </w:tc>
        <w:tc>
          <w:tcPr>
            <w:tcW w:w="705" w:type="pct"/>
          </w:tcPr>
          <w:p w14:paraId="4778717E" w14:textId="4B053B8B" w:rsidR="00B232E6" w:rsidRPr="00C2084B" w:rsidRDefault="006D271B" w:rsidP="00B232E6">
            <w:pPr>
              <w:rPr>
                <w:rFonts w:ascii="Calibri" w:eastAsia="Calibri" w:hAnsi="Calibri" w:cs="Times New Roman"/>
                <w:sz w:val="18"/>
                <w:szCs w:val="18"/>
              </w:rPr>
            </w:pPr>
            <w:r>
              <w:rPr>
                <w:rFonts w:ascii="Calibri" w:eastAsia="Calibri" w:hAnsi="Calibri" w:cs="Times New Roman"/>
                <w:sz w:val="18"/>
                <w:szCs w:val="18"/>
              </w:rPr>
              <w:t xml:space="preserve">One: </w:t>
            </w:r>
            <w:r w:rsidR="00B232E6" w:rsidRPr="00C2084B">
              <w:rPr>
                <w:rFonts w:ascii="Calibri" w:eastAsia="Calibri" w:hAnsi="Calibri" w:cs="Times New Roman"/>
                <w:sz w:val="18"/>
                <w:szCs w:val="18"/>
              </w:rPr>
              <w:t>Self-awareness of uncomfortable feelings and thoughts</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two</w:t>
            </w:r>
            <w:r>
              <w:rPr>
                <w:rFonts w:ascii="Calibri" w:eastAsia="Calibri" w:hAnsi="Calibri" w:cs="Times New Roman"/>
                <w:sz w:val="18"/>
                <w:szCs w:val="18"/>
              </w:rPr>
              <w:t xml:space="preserve">: </w:t>
            </w:r>
            <w:r w:rsidR="00B232E6" w:rsidRPr="00C2084B">
              <w:rPr>
                <w:rFonts w:ascii="Calibri" w:eastAsia="Calibri" w:hAnsi="Calibri" w:cs="Times New Roman"/>
                <w:sz w:val="18"/>
                <w:szCs w:val="18"/>
              </w:rPr>
              <w:t>the ability to describe</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three</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the ability to critically analyse events or experiences using logical thinking</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fo</w:t>
            </w:r>
            <w:r>
              <w:rPr>
                <w:rFonts w:ascii="Calibri" w:eastAsia="Calibri" w:hAnsi="Calibri" w:cs="Times New Roman"/>
                <w:sz w:val="18"/>
                <w:szCs w:val="18"/>
              </w:rPr>
              <w:t>u</w:t>
            </w:r>
            <w:r w:rsidR="00B232E6" w:rsidRPr="00C2084B">
              <w:rPr>
                <w:rFonts w:ascii="Calibri" w:eastAsia="Calibri" w:hAnsi="Calibri" w:cs="Times New Roman"/>
                <w:sz w:val="18"/>
                <w:szCs w:val="18"/>
              </w:rPr>
              <w:t>r</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the ability to evaluate learning, events or experiences</w:t>
            </w:r>
            <w:r w:rsidR="00C53071">
              <w:rPr>
                <w:rFonts w:ascii="Calibri" w:eastAsia="Calibri" w:hAnsi="Calibri" w:cs="Times New Roman"/>
                <w:sz w:val="18"/>
                <w:szCs w:val="18"/>
              </w:rPr>
              <w:t xml:space="preserve">; </w:t>
            </w:r>
            <w:r w:rsidR="00B232E6" w:rsidRPr="00C2084B">
              <w:rPr>
                <w:rFonts w:ascii="Calibri" w:eastAsia="Calibri" w:hAnsi="Calibri" w:cs="Times New Roman"/>
                <w:sz w:val="18"/>
                <w:szCs w:val="18"/>
              </w:rPr>
              <w:t>five</w:t>
            </w:r>
            <w:r w:rsidR="00C53071">
              <w:rPr>
                <w:rFonts w:ascii="Calibri" w:eastAsia="Calibri" w:hAnsi="Calibri" w:cs="Times New Roman"/>
                <w:sz w:val="18"/>
                <w:szCs w:val="18"/>
              </w:rPr>
              <w:t>: t</w:t>
            </w:r>
            <w:r w:rsidR="00B232E6" w:rsidRPr="00C2084B">
              <w:rPr>
                <w:rFonts w:ascii="Calibri" w:eastAsia="Calibri" w:hAnsi="Calibri" w:cs="Times New Roman"/>
                <w:sz w:val="18"/>
                <w:szCs w:val="18"/>
              </w:rPr>
              <w:t>o identify any learning that has occurred</w:t>
            </w:r>
          </w:p>
        </w:tc>
        <w:tc>
          <w:tcPr>
            <w:tcW w:w="679" w:type="pct"/>
          </w:tcPr>
          <w:p w14:paraId="72A6CE9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0450F65D" w14:textId="7A1EA19C"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Emotions involved in initial stage of “awareness” and</w:t>
            </w:r>
            <w:r w:rsidR="00C53071">
              <w:rPr>
                <w:rFonts w:ascii="Calibri" w:eastAsia="Calibri" w:hAnsi="Calibri" w:cs="Times New Roman"/>
                <w:sz w:val="18"/>
                <w:szCs w:val="18"/>
              </w:rPr>
              <w:t>,</w:t>
            </w:r>
            <w:r w:rsidRPr="00C2084B">
              <w:rPr>
                <w:rFonts w:ascii="Calibri" w:eastAsia="Calibri" w:hAnsi="Calibri" w:cs="Times New Roman"/>
                <w:sz w:val="18"/>
                <w:szCs w:val="18"/>
              </w:rPr>
              <w:t xml:space="preserve"> with a focus on difficult things that have occurred</w:t>
            </w:r>
            <w:r w:rsidR="007E2C0C">
              <w:rPr>
                <w:rFonts w:ascii="Calibri" w:eastAsia="Calibri" w:hAnsi="Calibri" w:cs="Times New Roman"/>
                <w:sz w:val="18"/>
                <w:szCs w:val="18"/>
              </w:rPr>
              <w:t>,</w:t>
            </w:r>
            <w:r w:rsidRPr="00C2084B">
              <w:rPr>
                <w:rFonts w:ascii="Calibri" w:eastAsia="Calibri" w:hAnsi="Calibri" w:cs="Times New Roman"/>
                <w:sz w:val="18"/>
                <w:szCs w:val="18"/>
              </w:rPr>
              <w:t xml:space="preserve"> feelings can be evoked</w:t>
            </w:r>
          </w:p>
        </w:tc>
        <w:tc>
          <w:tcPr>
            <w:tcW w:w="862" w:type="pct"/>
          </w:tcPr>
          <w:p w14:paraId="3108108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improvements to practice and work delivery for the patient, and professional development of the practitioner</w:t>
            </w:r>
          </w:p>
        </w:tc>
        <w:tc>
          <w:tcPr>
            <w:tcW w:w="564" w:type="pct"/>
          </w:tcPr>
          <w:p w14:paraId="1D6F9EA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Nursing practitioners and allied professionals</w:t>
            </w:r>
          </w:p>
        </w:tc>
        <w:tc>
          <w:tcPr>
            <w:tcW w:w="922" w:type="pct"/>
          </w:tcPr>
          <w:p w14:paraId="5E25632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To challenge assumptions and patterns of behaviour that lead to self-improvement which can improve practice.</w:t>
            </w:r>
          </w:p>
        </w:tc>
      </w:tr>
      <w:tr w:rsidR="00981FF5" w:rsidRPr="00C2084B" w14:paraId="17E17F00" w14:textId="77777777" w:rsidTr="000B67D1">
        <w:trPr>
          <w:trHeight w:val="402"/>
        </w:trPr>
        <w:tc>
          <w:tcPr>
            <w:tcW w:w="634" w:type="pct"/>
          </w:tcPr>
          <w:p w14:paraId="3A6AEAA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Kolb (1984)</w:t>
            </w:r>
          </w:p>
          <w:p w14:paraId="32B9A4F2" w14:textId="77777777" w:rsidR="00B232E6" w:rsidRPr="00C2084B" w:rsidRDefault="00B232E6" w:rsidP="00B232E6">
            <w:pPr>
              <w:rPr>
                <w:rFonts w:ascii="Calibri" w:eastAsia="Calibri" w:hAnsi="Calibri" w:cs="Times New Roman"/>
                <w:sz w:val="18"/>
                <w:szCs w:val="18"/>
              </w:rPr>
            </w:pPr>
          </w:p>
          <w:p w14:paraId="16F9B74D" w14:textId="77777777" w:rsidR="00B232E6" w:rsidRPr="00C2084B" w:rsidRDefault="00B232E6" w:rsidP="00B232E6">
            <w:pPr>
              <w:rPr>
                <w:rFonts w:ascii="Calibri" w:eastAsia="Calibri" w:hAnsi="Calibri" w:cs="Times New Roman"/>
                <w:sz w:val="18"/>
                <w:szCs w:val="18"/>
              </w:rPr>
            </w:pPr>
          </w:p>
          <w:p w14:paraId="04F9C138" w14:textId="77777777" w:rsidR="00B232E6" w:rsidRPr="00C2084B" w:rsidRDefault="00B232E6" w:rsidP="00B232E6">
            <w:pPr>
              <w:rPr>
                <w:rFonts w:ascii="Calibri" w:eastAsia="Calibri" w:hAnsi="Calibri" w:cs="Times New Roman"/>
                <w:sz w:val="18"/>
                <w:szCs w:val="18"/>
              </w:rPr>
            </w:pPr>
          </w:p>
          <w:p w14:paraId="7C763651" w14:textId="77777777" w:rsidR="00B232E6" w:rsidRPr="00C2084B" w:rsidRDefault="00B232E6" w:rsidP="00B232E6">
            <w:pPr>
              <w:rPr>
                <w:rFonts w:ascii="Calibri" w:eastAsia="Calibri" w:hAnsi="Calibri" w:cs="Times New Roman"/>
                <w:sz w:val="18"/>
                <w:szCs w:val="18"/>
              </w:rPr>
            </w:pPr>
          </w:p>
          <w:p w14:paraId="5E0EAB5F" w14:textId="77777777" w:rsidR="00B232E6" w:rsidRPr="00C2084B" w:rsidRDefault="00B232E6" w:rsidP="00B232E6">
            <w:pPr>
              <w:rPr>
                <w:rFonts w:ascii="Calibri" w:eastAsia="Calibri" w:hAnsi="Calibri" w:cs="Times New Roman"/>
                <w:sz w:val="18"/>
                <w:szCs w:val="18"/>
              </w:rPr>
            </w:pPr>
          </w:p>
          <w:p w14:paraId="73D155B8" w14:textId="77777777" w:rsidR="00B232E6" w:rsidRPr="00C2084B" w:rsidRDefault="00B232E6" w:rsidP="00B232E6">
            <w:pPr>
              <w:rPr>
                <w:rFonts w:ascii="Calibri" w:eastAsia="Calibri" w:hAnsi="Calibri" w:cs="Times New Roman"/>
                <w:sz w:val="18"/>
                <w:szCs w:val="18"/>
              </w:rPr>
            </w:pPr>
          </w:p>
          <w:p w14:paraId="40D25780" w14:textId="77777777" w:rsidR="00B232E6" w:rsidRPr="00C2084B" w:rsidRDefault="00B232E6" w:rsidP="00B232E6">
            <w:pPr>
              <w:rPr>
                <w:rFonts w:ascii="Calibri" w:eastAsia="Calibri" w:hAnsi="Calibri" w:cs="Times New Roman"/>
                <w:sz w:val="18"/>
                <w:szCs w:val="18"/>
              </w:rPr>
            </w:pPr>
          </w:p>
          <w:p w14:paraId="60739374" w14:textId="77777777" w:rsidR="00B232E6" w:rsidRPr="00C2084B" w:rsidRDefault="00B232E6" w:rsidP="00B232E6">
            <w:pPr>
              <w:rPr>
                <w:rFonts w:ascii="Calibri" w:eastAsia="Calibri" w:hAnsi="Calibri" w:cs="Times New Roman"/>
                <w:sz w:val="18"/>
                <w:szCs w:val="18"/>
              </w:rPr>
            </w:pPr>
          </w:p>
          <w:p w14:paraId="4CECADB2" w14:textId="77777777" w:rsidR="00B232E6" w:rsidRPr="00C2084B" w:rsidRDefault="00B232E6" w:rsidP="00B232E6">
            <w:pPr>
              <w:rPr>
                <w:rFonts w:ascii="Calibri" w:eastAsia="Calibri" w:hAnsi="Calibri" w:cs="Times New Roman"/>
                <w:sz w:val="18"/>
                <w:szCs w:val="18"/>
              </w:rPr>
            </w:pPr>
          </w:p>
          <w:p w14:paraId="2ED0565D" w14:textId="77777777" w:rsidR="00B232E6" w:rsidRPr="00C2084B" w:rsidRDefault="00B232E6" w:rsidP="00B232E6">
            <w:pPr>
              <w:rPr>
                <w:rFonts w:ascii="Calibri" w:eastAsia="Calibri" w:hAnsi="Calibri" w:cs="Times New Roman"/>
                <w:sz w:val="18"/>
                <w:szCs w:val="18"/>
              </w:rPr>
            </w:pPr>
          </w:p>
        </w:tc>
        <w:tc>
          <w:tcPr>
            <w:tcW w:w="705" w:type="pct"/>
          </w:tcPr>
          <w:p w14:paraId="098DF95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26A24F8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concrete experience, reflective observation, abstract conceptualisation and active experimentation</w:t>
            </w:r>
          </w:p>
          <w:p w14:paraId="3BD0A862" w14:textId="77777777" w:rsidR="00B232E6" w:rsidRPr="00C2084B" w:rsidRDefault="00B232E6" w:rsidP="00B232E6">
            <w:pPr>
              <w:rPr>
                <w:rFonts w:ascii="Calibri" w:eastAsia="Calibri" w:hAnsi="Calibri" w:cs="Times New Roman"/>
                <w:sz w:val="18"/>
                <w:szCs w:val="18"/>
              </w:rPr>
            </w:pPr>
          </w:p>
          <w:p w14:paraId="4ED88AF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Reflecting and evaluating practice</w:t>
            </w:r>
          </w:p>
        </w:tc>
        <w:tc>
          <w:tcPr>
            <w:tcW w:w="679" w:type="pct"/>
          </w:tcPr>
          <w:p w14:paraId="645938D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4DE6990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Includes emotions but does not focus on them</w:t>
            </w:r>
          </w:p>
        </w:tc>
        <w:tc>
          <w:tcPr>
            <w:tcW w:w="862" w:type="pct"/>
          </w:tcPr>
          <w:p w14:paraId="2288695F" w14:textId="16E94B66"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improvements to practice, work delivery</w:t>
            </w:r>
            <w:r w:rsidR="007E2C0C">
              <w:rPr>
                <w:rFonts w:ascii="Calibri" w:eastAsia="Calibri" w:hAnsi="Calibri" w:cs="Times New Roman"/>
                <w:sz w:val="18"/>
                <w:szCs w:val="18"/>
              </w:rPr>
              <w:t>,</w:t>
            </w:r>
            <w:r w:rsidRPr="00C2084B">
              <w:rPr>
                <w:rFonts w:ascii="Calibri" w:eastAsia="Calibri" w:hAnsi="Calibri" w:cs="Times New Roman"/>
                <w:sz w:val="18"/>
                <w:szCs w:val="18"/>
              </w:rPr>
              <w:t xml:space="preserve"> student experience and personal development of the practitioner</w:t>
            </w:r>
          </w:p>
        </w:tc>
        <w:tc>
          <w:tcPr>
            <w:tcW w:w="564" w:type="pct"/>
          </w:tcPr>
          <w:p w14:paraId="663F293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Health professions in education</w:t>
            </w:r>
          </w:p>
        </w:tc>
        <w:tc>
          <w:tcPr>
            <w:tcW w:w="922" w:type="pct"/>
          </w:tcPr>
          <w:p w14:paraId="201D1CA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Action and doing leading to understanding.</w:t>
            </w:r>
          </w:p>
        </w:tc>
      </w:tr>
      <w:tr w:rsidR="00981FF5" w:rsidRPr="00C2084B" w14:paraId="1C7C138B" w14:textId="77777777" w:rsidTr="000B67D1">
        <w:trPr>
          <w:trHeight w:val="402"/>
        </w:trPr>
        <w:tc>
          <w:tcPr>
            <w:tcW w:w="634" w:type="pct"/>
          </w:tcPr>
          <w:p w14:paraId="40D1E34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Brookfield (1995)</w:t>
            </w:r>
          </w:p>
          <w:p w14:paraId="4F0961E0" w14:textId="77777777" w:rsidR="00B232E6" w:rsidRPr="00C2084B" w:rsidRDefault="00B232E6" w:rsidP="00B232E6">
            <w:pPr>
              <w:rPr>
                <w:rFonts w:ascii="Calibri" w:eastAsia="Calibri" w:hAnsi="Calibri" w:cs="Times New Roman"/>
                <w:sz w:val="18"/>
                <w:szCs w:val="18"/>
              </w:rPr>
            </w:pPr>
          </w:p>
        </w:tc>
        <w:tc>
          <w:tcPr>
            <w:tcW w:w="705" w:type="pct"/>
          </w:tcPr>
          <w:p w14:paraId="35FCBFF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Multiple perspectives, not cyclical. Critical reflection</w:t>
            </w:r>
          </w:p>
          <w:p w14:paraId="3C5D4EA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Four lenses; circle formed after completing four lenses-self, students, peers, scholarship</w:t>
            </w:r>
          </w:p>
        </w:tc>
        <w:tc>
          <w:tcPr>
            <w:tcW w:w="679" w:type="pct"/>
          </w:tcPr>
          <w:p w14:paraId="629F5A6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165BCCF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but more summative as a process</w:t>
            </w:r>
          </w:p>
        </w:tc>
        <w:tc>
          <w:tcPr>
            <w:tcW w:w="862" w:type="pct"/>
          </w:tcPr>
          <w:p w14:paraId="5AD2749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Predominately in service of the work and student experience although includes personal development of the teacher</w:t>
            </w:r>
          </w:p>
        </w:tc>
        <w:tc>
          <w:tcPr>
            <w:tcW w:w="564" w:type="pct"/>
          </w:tcPr>
          <w:p w14:paraId="56CEED4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Predominantly teaching, although applied to nursing and allied professions and teaching</w:t>
            </w:r>
          </w:p>
        </w:tc>
        <w:tc>
          <w:tcPr>
            <w:tcW w:w="922" w:type="pct"/>
          </w:tcPr>
          <w:p w14:paraId="5B71169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The analysis of critical incidents in the classroom and the changing of the teacher’s behaviour.</w:t>
            </w:r>
          </w:p>
        </w:tc>
      </w:tr>
      <w:tr w:rsidR="00981FF5" w:rsidRPr="00C2084B" w14:paraId="7C50C04E" w14:textId="77777777" w:rsidTr="000B67D1">
        <w:trPr>
          <w:trHeight w:val="402"/>
        </w:trPr>
        <w:tc>
          <w:tcPr>
            <w:tcW w:w="634" w:type="pct"/>
          </w:tcPr>
          <w:p w14:paraId="5F0684E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Johns (1995)</w:t>
            </w:r>
          </w:p>
          <w:p w14:paraId="1826523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 (reflexivity questions)</w:t>
            </w:r>
          </w:p>
          <w:p w14:paraId="112DB558" w14:textId="77777777" w:rsidR="00B232E6" w:rsidRPr="00C2084B" w:rsidRDefault="00B232E6" w:rsidP="00B232E6">
            <w:pPr>
              <w:rPr>
                <w:rFonts w:ascii="Calibri" w:eastAsia="Calibri" w:hAnsi="Calibri" w:cs="Times New Roman"/>
                <w:sz w:val="18"/>
                <w:szCs w:val="18"/>
              </w:rPr>
            </w:pPr>
          </w:p>
        </w:tc>
        <w:tc>
          <w:tcPr>
            <w:tcW w:w="705" w:type="pct"/>
          </w:tcPr>
          <w:p w14:paraId="2192B9E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 Cyclical and process driven</w:t>
            </w:r>
          </w:p>
          <w:p w14:paraId="14F1961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the aesthetic, personal, ethical, empirical and reflexivity dimensions are an integral part of the model</w:t>
            </w:r>
          </w:p>
        </w:tc>
        <w:tc>
          <w:tcPr>
            <w:tcW w:w="679" w:type="pct"/>
          </w:tcPr>
          <w:p w14:paraId="1318211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collaboratively</w:t>
            </w:r>
          </w:p>
        </w:tc>
        <w:tc>
          <w:tcPr>
            <w:tcW w:w="635" w:type="pct"/>
          </w:tcPr>
          <w:p w14:paraId="1FBB1BD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in the personal part of the process (second question)</w:t>
            </w:r>
          </w:p>
        </w:tc>
        <w:tc>
          <w:tcPr>
            <w:tcW w:w="862" w:type="pct"/>
          </w:tcPr>
          <w:p w14:paraId="6827094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the work and the patient/practitioner but predominately the patient</w:t>
            </w:r>
          </w:p>
        </w:tc>
        <w:tc>
          <w:tcPr>
            <w:tcW w:w="564" w:type="pct"/>
          </w:tcPr>
          <w:p w14:paraId="3C9CA9C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Developed originally for the nursing sector.</w:t>
            </w:r>
          </w:p>
        </w:tc>
        <w:tc>
          <w:tcPr>
            <w:tcW w:w="922" w:type="pct"/>
          </w:tcPr>
          <w:p w14:paraId="612A638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Analyse complex situations </w:t>
            </w:r>
          </w:p>
          <w:p w14:paraId="323A08C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action based</w:t>
            </w:r>
          </w:p>
          <w:p w14:paraId="776F1A4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improving the service delivery.                       </w:t>
            </w:r>
          </w:p>
        </w:tc>
      </w:tr>
      <w:tr w:rsidR="00981FF5" w:rsidRPr="00C2084B" w14:paraId="541FABB8" w14:textId="77777777" w:rsidTr="000B67D1">
        <w:trPr>
          <w:trHeight w:val="402"/>
        </w:trPr>
        <w:tc>
          <w:tcPr>
            <w:tcW w:w="634" w:type="pct"/>
          </w:tcPr>
          <w:p w14:paraId="40EE635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Zeichner and Liston (1996) </w:t>
            </w:r>
          </w:p>
        </w:tc>
        <w:tc>
          <w:tcPr>
            <w:tcW w:w="705" w:type="pct"/>
          </w:tcPr>
          <w:p w14:paraId="146646A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Critical reflection</w:t>
            </w:r>
          </w:p>
          <w:p w14:paraId="32B0DE5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technical criteria, educational criteria, ethical criteria, and critical reflections</w:t>
            </w:r>
          </w:p>
        </w:tc>
        <w:tc>
          <w:tcPr>
            <w:tcW w:w="679" w:type="pct"/>
          </w:tcPr>
          <w:p w14:paraId="464E848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4D3DF49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not part of the process</w:t>
            </w:r>
          </w:p>
        </w:tc>
        <w:tc>
          <w:tcPr>
            <w:tcW w:w="862" w:type="pct"/>
          </w:tcPr>
          <w:p w14:paraId="5CDE549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In service of improvements to the work and the student experience</w:t>
            </w:r>
          </w:p>
        </w:tc>
        <w:tc>
          <w:tcPr>
            <w:tcW w:w="564" w:type="pct"/>
          </w:tcPr>
          <w:p w14:paraId="58604D7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w:t>
            </w:r>
          </w:p>
        </w:tc>
        <w:tc>
          <w:tcPr>
            <w:tcW w:w="922" w:type="pct"/>
          </w:tcPr>
          <w:p w14:paraId="0187DC6B" w14:textId="27A087B2"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The development of skills, practical decision-making, moral development, and challenging interop</w:t>
            </w:r>
            <w:r w:rsidR="000D420E">
              <w:rPr>
                <w:rFonts w:ascii="Calibri" w:eastAsia="Calibri" w:hAnsi="Calibri" w:cs="Times New Roman"/>
                <w:sz w:val="18"/>
                <w:szCs w:val="18"/>
              </w:rPr>
              <w:t>erational</w:t>
            </w:r>
            <w:r w:rsidRPr="00C2084B">
              <w:rPr>
                <w:rFonts w:ascii="Calibri" w:eastAsia="Calibri" w:hAnsi="Calibri" w:cs="Times New Roman"/>
                <w:sz w:val="18"/>
                <w:szCs w:val="18"/>
              </w:rPr>
              <w:t xml:space="preserve"> translation. The improvement of ethical and critical matters.</w:t>
            </w:r>
          </w:p>
        </w:tc>
      </w:tr>
      <w:tr w:rsidR="00981FF5" w:rsidRPr="00C2084B" w14:paraId="17E930A7" w14:textId="77777777" w:rsidTr="000B67D1">
        <w:trPr>
          <w:trHeight w:val="402"/>
        </w:trPr>
        <w:tc>
          <w:tcPr>
            <w:tcW w:w="634" w:type="pct"/>
          </w:tcPr>
          <w:p w14:paraId="5E0B8A2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Koch and Harrington (1998)</w:t>
            </w:r>
          </w:p>
        </w:tc>
        <w:tc>
          <w:tcPr>
            <w:tcW w:w="705" w:type="pct"/>
          </w:tcPr>
          <w:p w14:paraId="7BC1184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Ethnographic reflexivity. Key stages: </w:t>
            </w:r>
            <w:r w:rsidRPr="00C2084B">
              <w:rPr>
                <w:rFonts w:ascii="Roboto" w:hAnsi="Roboto"/>
                <w:color w:val="0A0A0A"/>
                <w:sz w:val="18"/>
                <w:szCs w:val="18"/>
                <w:shd w:val="clear" w:color="auto" w:fill="FFFFFF"/>
              </w:rPr>
              <w:t xml:space="preserve"> </w:t>
            </w:r>
            <w:r w:rsidRPr="00C2084B">
              <w:rPr>
                <w:rStyle w:val="Strong"/>
                <w:rFonts w:cstheme="minorHAnsi"/>
                <w:b w:val="0"/>
                <w:bCs w:val="0"/>
                <w:color w:val="0A0A0A"/>
                <w:sz w:val="18"/>
                <w:szCs w:val="18"/>
                <w:shd w:val="clear" w:color="auto" w:fill="FFFFFF"/>
              </w:rPr>
              <w:t>Ongoing self-appraisal,</w:t>
            </w:r>
            <w:r w:rsidRPr="00C2084B">
              <w:rPr>
                <w:rFonts w:cstheme="minorHAnsi"/>
                <w:b/>
                <w:bCs/>
                <w:color w:val="0A0A0A"/>
                <w:sz w:val="18"/>
                <w:szCs w:val="18"/>
                <w:shd w:val="clear" w:color="auto" w:fill="FFFFFF"/>
              </w:rPr>
              <w:t xml:space="preserve"> </w:t>
            </w:r>
            <w:r w:rsidRPr="00C2084B">
              <w:rPr>
                <w:rFonts w:cstheme="minorHAnsi"/>
                <w:color w:val="0A0A0A"/>
                <w:sz w:val="18"/>
                <w:szCs w:val="18"/>
                <w:shd w:val="clear" w:color="auto" w:fill="FFFFFF"/>
              </w:rPr>
              <w:t>a</w:t>
            </w:r>
            <w:r w:rsidRPr="00C2084B">
              <w:rPr>
                <w:rStyle w:val="Strong"/>
                <w:rFonts w:cstheme="minorHAnsi"/>
                <w:b w:val="0"/>
                <w:bCs w:val="0"/>
                <w:color w:val="0A0A0A"/>
                <w:sz w:val="18"/>
                <w:szCs w:val="18"/>
                <w:shd w:val="clear" w:color="auto" w:fill="FFFFFF"/>
              </w:rPr>
              <w:t xml:space="preserve">cknowledging positionality, </w:t>
            </w:r>
            <w:r w:rsidRPr="00C2084B">
              <w:rPr>
                <w:rFonts w:cstheme="minorHAnsi"/>
                <w:color w:val="0A0A0A"/>
                <w:sz w:val="18"/>
                <w:szCs w:val="18"/>
                <w:shd w:val="clear" w:color="auto" w:fill="FFFFFF"/>
              </w:rPr>
              <w:t xml:space="preserve">and </w:t>
            </w:r>
            <w:r w:rsidRPr="00C2084B">
              <w:rPr>
                <w:rFonts w:cstheme="minorHAnsi"/>
                <w:color w:val="0A0A0A"/>
                <w:kern w:val="0"/>
                <w:sz w:val="18"/>
                <w:szCs w:val="18"/>
                <w:shd w:val="clear" w:color="auto" w:fill="FFFFFF"/>
                <w14:ligatures w14:val="none"/>
              </w:rPr>
              <w:t>rejecting</w:t>
            </w:r>
            <w:r w:rsidRPr="00C2084B">
              <w:rPr>
                <w:rFonts w:cstheme="minorHAnsi"/>
                <w:color w:val="0A0A0A"/>
                <w:sz w:val="18"/>
                <w:szCs w:val="18"/>
                <w:shd w:val="clear" w:color="auto" w:fill="FFFFFF"/>
              </w:rPr>
              <w:t xml:space="preserve"> naïve rule-based formulae (i.e. quantitative methods)</w:t>
            </w:r>
          </w:p>
          <w:p w14:paraId="39CDF2AD" w14:textId="77777777" w:rsidR="00B232E6" w:rsidRPr="00C2084B" w:rsidRDefault="00B232E6" w:rsidP="00B232E6">
            <w:pPr>
              <w:rPr>
                <w:rFonts w:ascii="Calibri" w:eastAsia="Calibri" w:hAnsi="Calibri" w:cs="Times New Roman"/>
                <w:sz w:val="18"/>
                <w:szCs w:val="18"/>
              </w:rPr>
            </w:pPr>
          </w:p>
        </w:tc>
        <w:tc>
          <w:tcPr>
            <w:tcW w:w="679" w:type="pct"/>
          </w:tcPr>
          <w:p w14:paraId="2CE3B36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collaborative</w:t>
            </w:r>
          </w:p>
        </w:tc>
        <w:tc>
          <w:tcPr>
            <w:tcW w:w="635" w:type="pct"/>
          </w:tcPr>
          <w:p w14:paraId="36659CF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The process encourages continuous self-critique and transparency throughout the research process. The researcher’s positionality is to be acknowledged and accounted for. Feelings not specifically mentioned although self-critique is likely to evoke feelings.</w:t>
            </w:r>
          </w:p>
        </w:tc>
        <w:tc>
          <w:tcPr>
            <w:tcW w:w="862" w:type="pct"/>
          </w:tcPr>
          <w:p w14:paraId="73431B1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Service improvements and self-examination of the practitioner in service of the practitioner’s work</w:t>
            </w:r>
          </w:p>
        </w:tc>
        <w:tc>
          <w:tcPr>
            <w:tcW w:w="564" w:type="pct"/>
          </w:tcPr>
          <w:p w14:paraId="7074765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Nursing and allied professions</w:t>
            </w:r>
          </w:p>
        </w:tc>
        <w:tc>
          <w:tcPr>
            <w:tcW w:w="922" w:type="pct"/>
          </w:tcPr>
          <w:p w14:paraId="3EECA7A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Reflexivity of the researcher enhances the study's auditability and transparency and thus helps to mitigate the effect of unconscious bias. Establishes rigour in qualitative research.</w:t>
            </w:r>
          </w:p>
        </w:tc>
      </w:tr>
      <w:tr w:rsidR="00981FF5" w:rsidRPr="00C2084B" w14:paraId="0603094C" w14:textId="77777777" w:rsidTr="000B67D1">
        <w:trPr>
          <w:trHeight w:val="402"/>
        </w:trPr>
        <w:tc>
          <w:tcPr>
            <w:tcW w:w="634" w:type="pct"/>
          </w:tcPr>
          <w:p w14:paraId="67FC2ED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Eby (2000) </w:t>
            </w:r>
          </w:p>
        </w:tc>
        <w:tc>
          <w:tcPr>
            <w:tcW w:w="705" w:type="pct"/>
          </w:tcPr>
          <w:p w14:paraId="509EB6F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Three components comprising reflective practice and criticality.</w:t>
            </w:r>
          </w:p>
          <w:p w14:paraId="73DE040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Not cyclical but the whole process of </w:t>
            </w:r>
            <w:r w:rsidRPr="00C2084B">
              <w:rPr>
                <w:rFonts w:ascii="Calibri" w:eastAsia="Calibri" w:hAnsi="Calibri" w:cs="Times New Roman"/>
                <w:sz w:val="18"/>
                <w:szCs w:val="18"/>
              </w:rPr>
              <w:lastRenderedPageBreak/>
              <w:t>reflective practice</w:t>
            </w:r>
          </w:p>
          <w:p w14:paraId="274DB31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is rooted in phenomenology-self-awareness, critical thinking, critical theory, and existential phenomenology</w:t>
            </w:r>
          </w:p>
        </w:tc>
        <w:tc>
          <w:tcPr>
            <w:tcW w:w="679" w:type="pct"/>
          </w:tcPr>
          <w:p w14:paraId="6ADC9A3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Alone and in collaboration</w:t>
            </w:r>
          </w:p>
        </w:tc>
        <w:tc>
          <w:tcPr>
            <w:tcW w:w="635" w:type="pct"/>
          </w:tcPr>
          <w:p w14:paraId="2C157C3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Feelings involved in the self-awareness stage-the cognitive ability to think, feel, sense and know through </w:t>
            </w:r>
            <w:r w:rsidRPr="00C2084B">
              <w:rPr>
                <w:rFonts w:ascii="Calibri" w:eastAsia="Calibri" w:hAnsi="Calibri" w:cs="Times New Roman"/>
                <w:sz w:val="18"/>
                <w:szCs w:val="18"/>
              </w:rPr>
              <w:lastRenderedPageBreak/>
              <w:t>intuition and to evaluate the knowledge derived through self-awareness to develop understanding</w:t>
            </w:r>
          </w:p>
        </w:tc>
        <w:tc>
          <w:tcPr>
            <w:tcW w:w="862" w:type="pct"/>
          </w:tcPr>
          <w:p w14:paraId="4F4BE9A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Service improvements and self-examination of the practitioner in service of students work</w:t>
            </w:r>
          </w:p>
        </w:tc>
        <w:tc>
          <w:tcPr>
            <w:tcW w:w="564" w:type="pct"/>
          </w:tcPr>
          <w:p w14:paraId="2E4EAB8B"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Health and social care</w:t>
            </w:r>
          </w:p>
        </w:tc>
        <w:tc>
          <w:tcPr>
            <w:tcW w:w="922" w:type="pct"/>
          </w:tcPr>
          <w:p w14:paraId="1B17B61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Social and practice reform</w:t>
            </w:r>
          </w:p>
          <w:p w14:paraId="77B21601" w14:textId="0A369D11"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Linking theory and practice, increase social awareness, developing of reflective scepticism and of understanding based on self-awareness.</w:t>
            </w:r>
          </w:p>
        </w:tc>
      </w:tr>
      <w:tr w:rsidR="00981FF5" w:rsidRPr="00C2084B" w14:paraId="4946C9DF" w14:textId="77777777" w:rsidTr="000B67D1">
        <w:trPr>
          <w:trHeight w:val="402"/>
        </w:trPr>
        <w:tc>
          <w:tcPr>
            <w:tcW w:w="634" w:type="pct"/>
          </w:tcPr>
          <w:p w14:paraId="3D884F7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Freshwater and Rolfe (2001)</w:t>
            </w:r>
          </w:p>
        </w:tc>
        <w:tc>
          <w:tcPr>
            <w:tcW w:w="705" w:type="pct"/>
          </w:tcPr>
          <w:p w14:paraId="315E9F64"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Critical reflexivity</w:t>
            </w:r>
          </w:p>
        </w:tc>
        <w:tc>
          <w:tcPr>
            <w:tcW w:w="679" w:type="pct"/>
          </w:tcPr>
          <w:p w14:paraId="16159A8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Collaborative</w:t>
            </w:r>
          </w:p>
        </w:tc>
        <w:tc>
          <w:tcPr>
            <w:tcW w:w="635" w:type="pct"/>
          </w:tcPr>
          <w:p w14:paraId="55D595F7" w14:textId="2B55B18B"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in the “</w:t>
            </w:r>
            <w:r w:rsidR="005F34AA">
              <w:rPr>
                <w:rFonts w:ascii="Calibri" w:eastAsia="Calibri" w:hAnsi="Calibri" w:cs="Times New Roman"/>
                <w:sz w:val="18"/>
                <w:szCs w:val="18"/>
              </w:rPr>
              <w:t>w</w:t>
            </w:r>
            <w:r w:rsidRPr="00C2084B">
              <w:rPr>
                <w:rFonts w:ascii="Calibri" w:eastAsia="Calibri" w:hAnsi="Calibri" w:cs="Times New Roman"/>
                <w:sz w:val="18"/>
                <w:szCs w:val="18"/>
              </w:rPr>
              <w:t>hat?” stage</w:t>
            </w:r>
          </w:p>
        </w:tc>
        <w:tc>
          <w:tcPr>
            <w:tcW w:w="862" w:type="pct"/>
          </w:tcPr>
          <w:p w14:paraId="7DE700A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Personal and professional growth</w:t>
            </w:r>
          </w:p>
        </w:tc>
        <w:tc>
          <w:tcPr>
            <w:tcW w:w="564" w:type="pct"/>
          </w:tcPr>
          <w:p w14:paraId="2211751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Health and social care</w:t>
            </w:r>
          </w:p>
        </w:tc>
        <w:tc>
          <w:tcPr>
            <w:tcW w:w="922" w:type="pct"/>
          </w:tcPr>
          <w:p w14:paraId="12C5CC99" w14:textId="656E417D"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Descriptive, knowledge-building, and action-oriented</w:t>
            </w:r>
            <w:r w:rsidR="005F34AA">
              <w:rPr>
                <w:rFonts w:ascii="Calibri" w:eastAsia="Calibri" w:hAnsi="Calibri" w:cs="Times New Roman"/>
                <w:sz w:val="18"/>
                <w:szCs w:val="18"/>
              </w:rPr>
              <w:t xml:space="preserve"> </w:t>
            </w:r>
            <w:r w:rsidR="00903725">
              <w:rPr>
                <w:rFonts w:ascii="Calibri" w:eastAsia="Calibri" w:hAnsi="Calibri" w:cs="Times New Roman"/>
                <w:sz w:val="18"/>
                <w:szCs w:val="18"/>
              </w:rPr>
              <w:t>practice</w:t>
            </w:r>
            <w:r w:rsidRPr="00C2084B">
              <w:rPr>
                <w:rFonts w:ascii="Calibri" w:eastAsia="Calibri" w:hAnsi="Calibri" w:cs="Times New Roman"/>
                <w:sz w:val="18"/>
                <w:szCs w:val="18"/>
              </w:rPr>
              <w:t xml:space="preserve"> for personal and professional development.</w:t>
            </w:r>
          </w:p>
        </w:tc>
      </w:tr>
      <w:tr w:rsidR="00981FF5" w:rsidRPr="00C2084B" w14:paraId="2BA0224C" w14:textId="77777777" w:rsidTr="000B67D1">
        <w:trPr>
          <w:trHeight w:val="402"/>
        </w:trPr>
        <w:tc>
          <w:tcPr>
            <w:tcW w:w="634" w:type="pct"/>
          </w:tcPr>
          <w:p w14:paraId="3BBB440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Rolfe (2001) </w:t>
            </w:r>
          </w:p>
          <w:p w14:paraId="1A2CCBF5" w14:textId="77777777" w:rsidR="00B232E6" w:rsidRPr="00C2084B" w:rsidRDefault="00B232E6" w:rsidP="00B232E6">
            <w:pPr>
              <w:rPr>
                <w:rFonts w:ascii="Calibri" w:eastAsia="Calibri" w:hAnsi="Calibri" w:cs="Times New Roman"/>
                <w:sz w:val="18"/>
                <w:szCs w:val="18"/>
              </w:rPr>
            </w:pPr>
          </w:p>
        </w:tc>
        <w:tc>
          <w:tcPr>
            <w:tcW w:w="705" w:type="pct"/>
          </w:tcPr>
          <w:p w14:paraId="43993791" w14:textId="455CC155"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Cyclical: a lot of reasoning involved. </w:t>
            </w:r>
            <w:r w:rsidR="00903725">
              <w:rPr>
                <w:rFonts w:ascii="Calibri" w:eastAsia="Calibri" w:hAnsi="Calibri" w:cs="Times New Roman"/>
                <w:sz w:val="18"/>
                <w:szCs w:val="18"/>
              </w:rPr>
              <w:t>“</w:t>
            </w:r>
            <w:r w:rsidRPr="00C2084B">
              <w:rPr>
                <w:rFonts w:ascii="Calibri" w:eastAsia="Calibri" w:hAnsi="Calibri" w:cs="Times New Roman"/>
                <w:sz w:val="18"/>
                <w:szCs w:val="18"/>
              </w:rPr>
              <w:t>What? So what? Now what?</w:t>
            </w:r>
            <w:r w:rsidR="00903725">
              <w:rPr>
                <w:rFonts w:ascii="Calibri" w:eastAsia="Calibri" w:hAnsi="Calibri" w:cs="Times New Roman"/>
                <w:sz w:val="18"/>
                <w:szCs w:val="18"/>
              </w:rPr>
              <w:t>”</w:t>
            </w:r>
          </w:p>
        </w:tc>
        <w:tc>
          <w:tcPr>
            <w:tcW w:w="679" w:type="pct"/>
          </w:tcPr>
          <w:p w14:paraId="67F58D0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5230B0E4" w14:textId="213E5ED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Feelings involved in the “what? </w:t>
            </w:r>
            <w:r w:rsidR="005F34AA">
              <w:rPr>
                <w:rFonts w:ascii="Calibri" w:eastAsia="Calibri" w:hAnsi="Calibri" w:cs="Times New Roman"/>
                <w:sz w:val="18"/>
                <w:szCs w:val="18"/>
              </w:rPr>
              <w:t>stage</w:t>
            </w:r>
          </w:p>
        </w:tc>
        <w:tc>
          <w:tcPr>
            <w:tcW w:w="862" w:type="pct"/>
          </w:tcPr>
          <w:p w14:paraId="30FF092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Self-development and the improving of work for the student and their learning</w:t>
            </w:r>
          </w:p>
        </w:tc>
        <w:tc>
          <w:tcPr>
            <w:tcW w:w="564" w:type="pct"/>
          </w:tcPr>
          <w:p w14:paraId="430DD27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 and allied health professions</w:t>
            </w:r>
          </w:p>
        </w:tc>
        <w:tc>
          <w:tcPr>
            <w:tcW w:w="922" w:type="pct"/>
          </w:tcPr>
          <w:p w14:paraId="0450D24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Analyse first then act. Improving future outcomes and the development of learning based on the practitioner’s shifting of their behaviour.</w:t>
            </w:r>
          </w:p>
        </w:tc>
      </w:tr>
      <w:tr w:rsidR="00981FF5" w:rsidRPr="00C2084B" w14:paraId="232C092F" w14:textId="77777777" w:rsidTr="000B67D1">
        <w:trPr>
          <w:trHeight w:val="402"/>
        </w:trPr>
        <w:tc>
          <w:tcPr>
            <w:tcW w:w="634" w:type="pct"/>
          </w:tcPr>
          <w:p w14:paraId="3950870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Burns (2002)</w:t>
            </w:r>
          </w:p>
          <w:p w14:paraId="615964C5" w14:textId="3225580A"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Blending experiential learning with theoretical and technical knowledge to form new knowledge, constructions and behaviours. The goal is to improve efficiency (Level 1), to change thinking (Level 2)</w:t>
            </w:r>
            <w:r w:rsidR="00B0387D">
              <w:rPr>
                <w:rFonts w:ascii="Calibri" w:eastAsia="Calibri" w:hAnsi="Calibri" w:cs="Times New Roman"/>
                <w:sz w:val="18"/>
                <w:szCs w:val="18"/>
              </w:rPr>
              <w:t xml:space="preserve">, </w:t>
            </w:r>
            <w:r w:rsidRPr="00C2084B">
              <w:rPr>
                <w:rFonts w:ascii="Calibri" w:eastAsia="Calibri" w:hAnsi="Calibri" w:cs="Times New Roman"/>
                <w:sz w:val="18"/>
                <w:szCs w:val="18"/>
              </w:rPr>
              <w:t>incorporate ethical and political concerns and challenge the status quo for meaningful change (Level 3)</w:t>
            </w:r>
          </w:p>
        </w:tc>
        <w:tc>
          <w:tcPr>
            <w:tcW w:w="705" w:type="pct"/>
          </w:tcPr>
          <w:p w14:paraId="3D7BC71D" w14:textId="51D33A6A"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50926C71" w14:textId="40FBCFB2"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One,</w:t>
            </w:r>
            <w:r w:rsidR="00B0387D">
              <w:rPr>
                <w:rFonts w:ascii="Calibri" w:eastAsia="Calibri" w:hAnsi="Calibri" w:cs="Times New Roman"/>
                <w:sz w:val="18"/>
                <w:szCs w:val="18"/>
              </w:rPr>
              <w:t xml:space="preserve">: </w:t>
            </w:r>
            <w:r w:rsidRPr="00C2084B">
              <w:rPr>
                <w:rFonts w:ascii="Calibri" w:eastAsia="Calibri" w:hAnsi="Calibri" w:cs="Times New Roman"/>
                <w:sz w:val="18"/>
                <w:szCs w:val="18"/>
              </w:rPr>
              <w:t>questioning and reframing assumptions</w:t>
            </w:r>
            <w:r w:rsidR="00B0387D">
              <w:rPr>
                <w:rFonts w:ascii="Calibri" w:eastAsia="Calibri" w:hAnsi="Calibri" w:cs="Times New Roman"/>
                <w:sz w:val="18"/>
                <w:szCs w:val="18"/>
              </w:rPr>
              <w:t>;</w:t>
            </w:r>
            <w:r w:rsidRPr="00C2084B">
              <w:rPr>
                <w:rFonts w:ascii="Calibri" w:eastAsia="Calibri" w:hAnsi="Calibri" w:cs="Times New Roman"/>
                <w:sz w:val="18"/>
                <w:szCs w:val="18"/>
              </w:rPr>
              <w:t xml:space="preserve"> two</w:t>
            </w:r>
            <w:r w:rsidR="00B0387D">
              <w:rPr>
                <w:rFonts w:ascii="Calibri" w:eastAsia="Calibri" w:hAnsi="Calibri" w:cs="Times New Roman"/>
                <w:sz w:val="18"/>
                <w:szCs w:val="18"/>
              </w:rPr>
              <w:t>:</w:t>
            </w:r>
          </w:p>
          <w:p w14:paraId="1C56FAC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adopting alternative perspectives and three generating new knowledge and actions from experience</w:t>
            </w:r>
          </w:p>
        </w:tc>
        <w:tc>
          <w:tcPr>
            <w:tcW w:w="679" w:type="pct"/>
          </w:tcPr>
          <w:p w14:paraId="4FDF61F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Collaboration</w:t>
            </w:r>
          </w:p>
        </w:tc>
        <w:tc>
          <w:tcPr>
            <w:tcW w:w="635" w:type="pct"/>
          </w:tcPr>
          <w:p w14:paraId="47BDE0A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are an integrated and crucial component of the overall critical reflection process</w:t>
            </w:r>
          </w:p>
        </w:tc>
        <w:tc>
          <w:tcPr>
            <w:tcW w:w="862" w:type="pct"/>
          </w:tcPr>
          <w:p w14:paraId="5A6028AE"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Personal and professional growth.</w:t>
            </w:r>
          </w:p>
        </w:tc>
        <w:tc>
          <w:tcPr>
            <w:tcW w:w="564" w:type="pct"/>
          </w:tcPr>
          <w:p w14:paraId="3605760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Primarily nursing and health care sectors and can be applied to education</w:t>
            </w:r>
          </w:p>
        </w:tc>
        <w:tc>
          <w:tcPr>
            <w:tcW w:w="922" w:type="pct"/>
          </w:tcPr>
          <w:p w14:paraId="0A8DA3B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Learning from “untidiness”,</w:t>
            </w:r>
          </w:p>
          <w:p w14:paraId="76CE6DA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Uncovering knowledge, inform future action,</w:t>
            </w:r>
          </w:p>
          <w:p w14:paraId="6851BF7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and access practical, experiential knowledge not easily captured by quantitative research methods.</w:t>
            </w:r>
          </w:p>
        </w:tc>
      </w:tr>
      <w:tr w:rsidR="00981FF5" w:rsidRPr="00C2084B" w14:paraId="29B74289" w14:textId="77777777" w:rsidTr="000B67D1">
        <w:trPr>
          <w:trHeight w:val="402"/>
        </w:trPr>
        <w:tc>
          <w:tcPr>
            <w:tcW w:w="634" w:type="pct"/>
          </w:tcPr>
          <w:p w14:paraId="6B6923B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Jay and Johnson (2002)</w:t>
            </w:r>
          </w:p>
          <w:p w14:paraId="3B8B326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descriptive, comparative, critical reflection</w:t>
            </w:r>
          </w:p>
          <w:p w14:paraId="6619E2C0" w14:textId="77777777" w:rsidR="00B232E6" w:rsidRPr="00C2084B" w:rsidRDefault="00B232E6" w:rsidP="00B232E6">
            <w:pPr>
              <w:rPr>
                <w:rFonts w:ascii="Calibri" w:eastAsia="Calibri" w:hAnsi="Calibri" w:cs="Times New Roman"/>
                <w:sz w:val="18"/>
                <w:szCs w:val="18"/>
              </w:rPr>
            </w:pPr>
          </w:p>
          <w:p w14:paraId="0A1CBC37" w14:textId="77777777" w:rsidR="00B232E6" w:rsidRPr="00C2084B" w:rsidRDefault="00B232E6" w:rsidP="00B232E6">
            <w:pPr>
              <w:rPr>
                <w:rFonts w:ascii="Calibri" w:eastAsia="Calibri" w:hAnsi="Calibri" w:cs="Times New Roman"/>
                <w:sz w:val="18"/>
                <w:szCs w:val="18"/>
              </w:rPr>
            </w:pPr>
          </w:p>
          <w:p w14:paraId="0B6D4301" w14:textId="77777777" w:rsidR="00B232E6" w:rsidRPr="00C2084B" w:rsidRDefault="00B232E6" w:rsidP="00B232E6">
            <w:pPr>
              <w:rPr>
                <w:rFonts w:ascii="Calibri" w:eastAsia="Calibri" w:hAnsi="Calibri" w:cs="Times New Roman"/>
                <w:sz w:val="18"/>
                <w:szCs w:val="18"/>
              </w:rPr>
            </w:pPr>
          </w:p>
          <w:p w14:paraId="79B0399A" w14:textId="77777777" w:rsidR="00B232E6" w:rsidRPr="00C2084B" w:rsidRDefault="00B232E6" w:rsidP="00B232E6">
            <w:pPr>
              <w:rPr>
                <w:rFonts w:ascii="Calibri" w:eastAsia="Calibri" w:hAnsi="Calibri" w:cs="Times New Roman"/>
                <w:sz w:val="18"/>
                <w:szCs w:val="18"/>
              </w:rPr>
            </w:pPr>
          </w:p>
          <w:p w14:paraId="789ECAA5" w14:textId="77777777" w:rsidR="00B232E6" w:rsidRPr="00C2084B" w:rsidRDefault="00B232E6" w:rsidP="00B232E6">
            <w:pPr>
              <w:rPr>
                <w:rFonts w:ascii="Calibri" w:eastAsia="Calibri" w:hAnsi="Calibri" w:cs="Times New Roman"/>
                <w:sz w:val="18"/>
                <w:szCs w:val="18"/>
              </w:rPr>
            </w:pPr>
          </w:p>
          <w:p w14:paraId="7ED105F6" w14:textId="77777777" w:rsidR="00B232E6" w:rsidRPr="00C2084B" w:rsidRDefault="00B232E6" w:rsidP="00B232E6">
            <w:pPr>
              <w:rPr>
                <w:rFonts w:ascii="Calibri" w:eastAsia="Calibri" w:hAnsi="Calibri" w:cs="Times New Roman"/>
                <w:sz w:val="18"/>
                <w:szCs w:val="18"/>
              </w:rPr>
            </w:pPr>
          </w:p>
        </w:tc>
        <w:tc>
          <w:tcPr>
            <w:tcW w:w="705" w:type="pct"/>
          </w:tcPr>
          <w:p w14:paraId="33DEAF7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Descriptive, comparative, critical. Linear</w:t>
            </w:r>
          </w:p>
        </w:tc>
        <w:tc>
          <w:tcPr>
            <w:tcW w:w="679" w:type="pct"/>
          </w:tcPr>
          <w:p w14:paraId="00FE673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3ACB3E11"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in the first stage of description descriptive</w:t>
            </w:r>
          </w:p>
        </w:tc>
        <w:tc>
          <w:tcPr>
            <w:tcW w:w="862" w:type="pct"/>
          </w:tcPr>
          <w:p w14:paraId="2218E0C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Improving the understanding of the situation in service of the work and contributing to the understanding of the self, practice, and changing perspectives</w:t>
            </w:r>
          </w:p>
        </w:tc>
        <w:tc>
          <w:tcPr>
            <w:tcW w:w="564" w:type="pct"/>
          </w:tcPr>
          <w:p w14:paraId="2F7405F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 and the health fields</w:t>
            </w:r>
          </w:p>
        </w:tc>
        <w:tc>
          <w:tcPr>
            <w:tcW w:w="922" w:type="pct"/>
          </w:tcPr>
          <w:p w14:paraId="111690A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Renewing perspectives, improving what is not working, examining from multiple perspectives including others involved, and including contributions made by research.</w:t>
            </w:r>
          </w:p>
        </w:tc>
      </w:tr>
      <w:tr w:rsidR="00981FF5" w:rsidRPr="00C2084B" w14:paraId="4BB20256" w14:textId="77777777" w:rsidTr="000B67D1">
        <w:trPr>
          <w:trHeight w:val="402"/>
        </w:trPr>
        <w:tc>
          <w:tcPr>
            <w:tcW w:w="634" w:type="pct"/>
          </w:tcPr>
          <w:p w14:paraId="768057A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Pollard (2005)</w:t>
            </w:r>
          </w:p>
          <w:p w14:paraId="34AEE833" w14:textId="77777777" w:rsidR="00B232E6" w:rsidRPr="00C2084B" w:rsidRDefault="00B232E6" w:rsidP="00B232E6">
            <w:pPr>
              <w:rPr>
                <w:rFonts w:ascii="Calibri" w:eastAsia="Calibri" w:hAnsi="Calibri" w:cs="Times New Roman"/>
                <w:sz w:val="18"/>
                <w:szCs w:val="18"/>
              </w:rPr>
            </w:pPr>
          </w:p>
        </w:tc>
        <w:tc>
          <w:tcPr>
            <w:tcW w:w="705" w:type="pct"/>
          </w:tcPr>
          <w:p w14:paraId="350EBA3B" w14:textId="55A04220"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Cyclical- attributes- open-mindedness, </w:t>
            </w:r>
            <w:r w:rsidR="000641CD" w:rsidRPr="00C2084B">
              <w:rPr>
                <w:rFonts w:ascii="Calibri" w:eastAsia="Calibri" w:hAnsi="Calibri" w:cs="Times New Roman"/>
                <w:sz w:val="18"/>
                <w:szCs w:val="18"/>
              </w:rPr>
              <w:t>wholehearted</w:t>
            </w:r>
            <w:r w:rsidR="000641CD">
              <w:rPr>
                <w:rFonts w:ascii="Calibri" w:eastAsia="Calibri" w:hAnsi="Calibri" w:cs="Times New Roman"/>
                <w:sz w:val="18"/>
                <w:szCs w:val="18"/>
              </w:rPr>
              <w:t>-n</w:t>
            </w:r>
            <w:r w:rsidRPr="00C2084B">
              <w:rPr>
                <w:rFonts w:ascii="Calibri" w:eastAsia="Calibri" w:hAnsi="Calibri" w:cs="Times New Roman"/>
                <w:sz w:val="18"/>
                <w:szCs w:val="18"/>
              </w:rPr>
              <w:t>ess and responsibility.</w:t>
            </w:r>
            <w:r w:rsidRPr="00C2084B">
              <w:rPr>
                <w:rFonts w:ascii="Calibri" w:eastAsia="Calibri" w:hAnsi="Calibri" w:cs="Times New Roman"/>
                <w:kern w:val="0"/>
                <w:sz w:val="18"/>
                <w:szCs w:val="18"/>
                <w14:ligatures w14:val="none"/>
              </w:rPr>
              <w:t xml:space="preserve"> </w:t>
            </w:r>
            <w:r w:rsidRPr="00C2084B">
              <w:rPr>
                <w:rFonts w:ascii="Calibri" w:eastAsia="Calibri" w:hAnsi="Calibri" w:cs="Times New Roman"/>
                <w:sz w:val="18"/>
                <w:szCs w:val="18"/>
              </w:rPr>
              <w:t>based on Gibbs reflective cycle of description, feelings, evaluation, analysis, conclusion</w:t>
            </w:r>
            <w:r w:rsidR="000641CD">
              <w:rPr>
                <w:rFonts w:ascii="Calibri" w:eastAsia="Calibri" w:hAnsi="Calibri" w:cs="Times New Roman"/>
                <w:sz w:val="18"/>
                <w:szCs w:val="18"/>
              </w:rPr>
              <w:t xml:space="preserve"> and </w:t>
            </w:r>
            <w:r w:rsidRPr="00C2084B">
              <w:rPr>
                <w:rFonts w:ascii="Calibri" w:eastAsia="Calibri" w:hAnsi="Calibri" w:cs="Times New Roman"/>
                <w:sz w:val="18"/>
                <w:szCs w:val="18"/>
              </w:rPr>
              <w:t xml:space="preserve"> action plan</w:t>
            </w:r>
          </w:p>
        </w:tc>
        <w:tc>
          <w:tcPr>
            <w:tcW w:w="679" w:type="pct"/>
          </w:tcPr>
          <w:p w14:paraId="110B2AC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7474B06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in stage II-what were you thinking and feeling?</w:t>
            </w:r>
          </w:p>
        </w:tc>
        <w:tc>
          <w:tcPr>
            <w:tcW w:w="862" w:type="pct"/>
          </w:tcPr>
          <w:p w14:paraId="3B9FCA9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Improvement of the work for the student</w:t>
            </w:r>
          </w:p>
        </w:tc>
        <w:tc>
          <w:tcPr>
            <w:tcW w:w="564" w:type="pct"/>
          </w:tcPr>
          <w:p w14:paraId="7C2BC9C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 and allied professions</w:t>
            </w:r>
          </w:p>
        </w:tc>
        <w:tc>
          <w:tcPr>
            <w:tcW w:w="922" w:type="pct"/>
          </w:tcPr>
          <w:p w14:paraId="36EA0AED"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Reflection as practice connects teachers to their personal values and aims of education.</w:t>
            </w:r>
          </w:p>
        </w:tc>
      </w:tr>
      <w:tr w:rsidR="00981FF5" w:rsidRPr="00C2084B" w14:paraId="13E77761" w14:textId="77777777" w:rsidTr="000B67D1">
        <w:trPr>
          <w:trHeight w:val="402"/>
        </w:trPr>
        <w:tc>
          <w:tcPr>
            <w:tcW w:w="634" w:type="pct"/>
          </w:tcPr>
          <w:p w14:paraId="071067B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Driscoll (2007) (Based on Borton)</w:t>
            </w:r>
          </w:p>
          <w:p w14:paraId="1B67ECD1" w14:textId="77777777" w:rsidR="00B232E6" w:rsidRPr="00C2084B" w:rsidRDefault="00B232E6" w:rsidP="00B232E6">
            <w:pPr>
              <w:rPr>
                <w:rFonts w:ascii="Calibri" w:eastAsia="Calibri" w:hAnsi="Calibri" w:cs="Times New Roman"/>
                <w:sz w:val="18"/>
                <w:szCs w:val="18"/>
              </w:rPr>
            </w:pPr>
          </w:p>
        </w:tc>
        <w:tc>
          <w:tcPr>
            <w:tcW w:w="705" w:type="pct"/>
          </w:tcPr>
          <w:p w14:paraId="7CF4C1C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54BABD71" w14:textId="29C7582B" w:rsidR="00B232E6" w:rsidRPr="00C2084B" w:rsidRDefault="0027083B" w:rsidP="00B232E6">
            <w:pPr>
              <w:rPr>
                <w:rFonts w:ascii="Calibri" w:eastAsia="Calibri" w:hAnsi="Calibri" w:cs="Times New Roman"/>
                <w:sz w:val="18"/>
                <w:szCs w:val="18"/>
              </w:rPr>
            </w:pPr>
            <w:r>
              <w:rPr>
                <w:rFonts w:ascii="Calibri" w:eastAsia="Calibri" w:hAnsi="Calibri" w:cs="Times New Roman"/>
                <w:sz w:val="18"/>
                <w:szCs w:val="18"/>
              </w:rPr>
              <w:t>“</w:t>
            </w:r>
            <w:r w:rsidR="00B232E6" w:rsidRPr="00C2084B">
              <w:rPr>
                <w:rFonts w:ascii="Calibri" w:eastAsia="Calibri" w:hAnsi="Calibri" w:cs="Times New Roman"/>
                <w:sz w:val="18"/>
                <w:szCs w:val="18"/>
              </w:rPr>
              <w:t>What? So what? Now what?</w:t>
            </w:r>
            <w:r>
              <w:rPr>
                <w:rFonts w:ascii="Calibri" w:eastAsia="Calibri" w:hAnsi="Calibri" w:cs="Times New Roman"/>
                <w:sz w:val="18"/>
                <w:szCs w:val="18"/>
              </w:rPr>
              <w:t>”</w:t>
            </w:r>
            <w:r w:rsidR="00B232E6" w:rsidRPr="00C2084B">
              <w:rPr>
                <w:rFonts w:ascii="Calibri" w:eastAsia="Calibri" w:hAnsi="Calibri" w:cs="Times New Roman"/>
                <w:sz w:val="18"/>
                <w:szCs w:val="18"/>
              </w:rPr>
              <w:t xml:space="preserve"> Having an experience the what-description, purposefully reflecting on it, so what-analysis of the event, discovering learning arising from the reflections, now what-proposed actions, and action in what has been learnt into clinical practice</w:t>
            </w:r>
          </w:p>
        </w:tc>
        <w:tc>
          <w:tcPr>
            <w:tcW w:w="679" w:type="pct"/>
          </w:tcPr>
          <w:p w14:paraId="1B02834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4A72EB7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at the “so what?” stage – how did you feel?</w:t>
            </w:r>
          </w:p>
        </w:tc>
        <w:tc>
          <w:tcPr>
            <w:tcW w:w="862" w:type="pct"/>
          </w:tcPr>
          <w:p w14:paraId="35C1438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Improvement of the work for the practitioner and the service user</w:t>
            </w:r>
          </w:p>
        </w:tc>
        <w:tc>
          <w:tcPr>
            <w:tcW w:w="564" w:type="pct"/>
          </w:tcPr>
          <w:p w14:paraId="5248441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Mainly used in clinical practice in health professions</w:t>
            </w:r>
          </w:p>
        </w:tc>
        <w:tc>
          <w:tcPr>
            <w:tcW w:w="922" w:type="pct"/>
          </w:tcPr>
          <w:p w14:paraId="3969337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Learning from experience and applying it to the work and the reflector.</w:t>
            </w:r>
          </w:p>
        </w:tc>
      </w:tr>
      <w:tr w:rsidR="00981FF5" w:rsidRPr="00C2084B" w14:paraId="2CC5A58C" w14:textId="77777777" w:rsidTr="000B67D1">
        <w:trPr>
          <w:trHeight w:val="402"/>
        </w:trPr>
        <w:tc>
          <w:tcPr>
            <w:tcW w:w="634" w:type="pct"/>
          </w:tcPr>
          <w:p w14:paraId="31DB8B5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Bassot (2013) </w:t>
            </w:r>
          </w:p>
        </w:tc>
        <w:tc>
          <w:tcPr>
            <w:tcW w:w="705" w:type="pct"/>
          </w:tcPr>
          <w:p w14:paraId="4E7D974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Cyclical</w:t>
            </w:r>
          </w:p>
          <w:p w14:paraId="432105E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Based on Gibbs. The integrated reflective cycle-the experience, reflection on action, theory and preparation</w:t>
            </w:r>
          </w:p>
        </w:tc>
        <w:tc>
          <w:tcPr>
            <w:tcW w:w="679" w:type="pct"/>
          </w:tcPr>
          <w:p w14:paraId="64EC9F4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64A816C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in the reflection on action stage</w:t>
            </w:r>
          </w:p>
        </w:tc>
        <w:tc>
          <w:tcPr>
            <w:tcW w:w="862" w:type="pct"/>
          </w:tcPr>
          <w:p w14:paraId="1F7EA6EA" w14:textId="11963AB6"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Compared to Gibbs reflective cycle</w:t>
            </w:r>
            <w:r w:rsidR="00CE5D0F">
              <w:rPr>
                <w:rFonts w:ascii="Calibri" w:eastAsia="Calibri" w:hAnsi="Calibri" w:cs="Times New Roman"/>
                <w:sz w:val="18"/>
                <w:szCs w:val="18"/>
              </w:rPr>
              <w:t>.</w:t>
            </w:r>
            <w:r w:rsidRPr="00C2084B">
              <w:rPr>
                <w:rFonts w:ascii="Calibri" w:eastAsia="Calibri" w:hAnsi="Calibri" w:cs="Times New Roman"/>
                <w:sz w:val="18"/>
                <w:szCs w:val="18"/>
              </w:rPr>
              <w:t xml:space="preserve"> </w:t>
            </w:r>
            <w:r w:rsidR="00CE5D0F">
              <w:rPr>
                <w:rFonts w:ascii="Calibri" w:eastAsia="Calibri" w:hAnsi="Calibri" w:cs="Times New Roman"/>
                <w:sz w:val="18"/>
                <w:szCs w:val="18"/>
              </w:rPr>
              <w:t>T</w:t>
            </w:r>
            <w:r w:rsidRPr="00C2084B">
              <w:rPr>
                <w:rFonts w:ascii="Calibri" w:eastAsia="Calibri" w:hAnsi="Calibri" w:cs="Times New Roman"/>
                <w:sz w:val="18"/>
                <w:szCs w:val="18"/>
              </w:rPr>
              <w:t>he integrated reflective cycle contains fewer steps which may make it simpler to work through. Feelings result in evaluation</w:t>
            </w:r>
          </w:p>
        </w:tc>
        <w:tc>
          <w:tcPr>
            <w:tcW w:w="564" w:type="pct"/>
          </w:tcPr>
          <w:p w14:paraId="58D61195"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 health professions and allied health professions</w:t>
            </w:r>
          </w:p>
        </w:tc>
        <w:tc>
          <w:tcPr>
            <w:tcW w:w="922" w:type="pct"/>
          </w:tcPr>
          <w:p w14:paraId="276D7246"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Allows the teacher to explore feelings, assumptions and their own professional practice.</w:t>
            </w:r>
          </w:p>
        </w:tc>
      </w:tr>
      <w:tr w:rsidR="00981FF5" w:rsidRPr="00C2084B" w14:paraId="38C721B7" w14:textId="77777777" w:rsidTr="000B67D1">
        <w:trPr>
          <w:trHeight w:val="402"/>
        </w:trPr>
        <w:tc>
          <w:tcPr>
            <w:tcW w:w="634" w:type="pct"/>
          </w:tcPr>
          <w:p w14:paraId="356CB59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Jasper (2013) </w:t>
            </w:r>
          </w:p>
        </w:tc>
        <w:tc>
          <w:tcPr>
            <w:tcW w:w="705" w:type="pct"/>
          </w:tcPr>
          <w:p w14:paraId="267F3182"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Cyclical: </w:t>
            </w:r>
            <w:r w:rsidRPr="00C2084B">
              <w:rPr>
                <w:rFonts w:ascii="Calibri" w:eastAsia="Calibri" w:hAnsi="Calibri" w:cs="Times New Roman"/>
                <w:kern w:val="0"/>
                <w:sz w:val="18"/>
                <w:szCs w:val="18"/>
                <w14:ligatures w14:val="none"/>
              </w:rPr>
              <w:t xml:space="preserve"> </w:t>
            </w:r>
            <w:r w:rsidRPr="00C2084B">
              <w:rPr>
                <w:rFonts w:ascii="Calibri" w:eastAsia="Calibri" w:hAnsi="Calibri" w:cs="Times New Roman"/>
                <w:sz w:val="18"/>
                <w:szCs w:val="18"/>
              </w:rPr>
              <w:t>Experience, Reflection, Action</w:t>
            </w:r>
          </w:p>
        </w:tc>
        <w:tc>
          <w:tcPr>
            <w:tcW w:w="679" w:type="pct"/>
          </w:tcPr>
          <w:p w14:paraId="789AFEEC"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Alone and in collaboration</w:t>
            </w:r>
          </w:p>
        </w:tc>
        <w:tc>
          <w:tcPr>
            <w:tcW w:w="635" w:type="pct"/>
          </w:tcPr>
          <w:p w14:paraId="6D329480"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involved as experience level</w:t>
            </w:r>
          </w:p>
        </w:tc>
        <w:tc>
          <w:tcPr>
            <w:tcW w:w="862" w:type="pct"/>
          </w:tcPr>
          <w:p w14:paraId="4877DA93"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Improvement based on processing positive or negative experiences for the service user/student and personal development of the practitioner</w:t>
            </w:r>
          </w:p>
        </w:tc>
        <w:tc>
          <w:tcPr>
            <w:tcW w:w="564" w:type="pct"/>
          </w:tcPr>
          <w:p w14:paraId="39091EC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Education and allied health professions</w:t>
            </w:r>
          </w:p>
        </w:tc>
        <w:tc>
          <w:tcPr>
            <w:tcW w:w="922" w:type="pct"/>
          </w:tcPr>
          <w:p w14:paraId="2DEEAF4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lead to reflection, then action. Another cycle begins.</w:t>
            </w:r>
          </w:p>
        </w:tc>
      </w:tr>
      <w:tr w:rsidR="00981FF5" w:rsidRPr="00C2084B" w14:paraId="4B69C02C" w14:textId="77777777" w:rsidTr="000B67D1">
        <w:trPr>
          <w:trHeight w:val="402"/>
        </w:trPr>
        <w:tc>
          <w:tcPr>
            <w:tcW w:w="634" w:type="pct"/>
          </w:tcPr>
          <w:p w14:paraId="4A654B09"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Nguyen Nhat Quang (2022) </w:t>
            </w:r>
            <w:r w:rsidRPr="00C2084B">
              <w:rPr>
                <w:rFonts w:ascii="Calibri" w:eastAsia="Calibri" w:hAnsi="Calibri" w:cs="Times New Roman"/>
                <w:kern w:val="0"/>
                <w:sz w:val="18"/>
                <w:szCs w:val="18"/>
                <w14:ligatures w14:val="none"/>
              </w:rPr>
              <w:t xml:space="preserve"> </w:t>
            </w:r>
          </w:p>
        </w:tc>
        <w:tc>
          <w:tcPr>
            <w:tcW w:w="705" w:type="pct"/>
          </w:tcPr>
          <w:p w14:paraId="2AFC8524" w14:textId="6F686AC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 process model</w:t>
            </w:r>
            <w:r w:rsidR="00A104FD">
              <w:rPr>
                <w:rFonts w:ascii="Calibri" w:eastAsia="Calibri" w:hAnsi="Calibri" w:cs="Times New Roman"/>
                <w:sz w:val="18"/>
                <w:szCs w:val="18"/>
              </w:rPr>
              <w:t xml:space="preserve"> </w:t>
            </w:r>
            <w:r w:rsidRPr="00C2084B">
              <w:rPr>
                <w:rFonts w:ascii="Calibri" w:eastAsia="Calibri" w:hAnsi="Calibri" w:cs="Times New Roman"/>
                <w:sz w:val="18"/>
                <w:szCs w:val="18"/>
              </w:rPr>
              <w:t>-</w:t>
            </w:r>
            <w:r w:rsidR="00A104FD">
              <w:rPr>
                <w:rFonts w:ascii="Calibri" w:eastAsia="Calibri" w:hAnsi="Calibri" w:cs="Times New Roman"/>
                <w:sz w:val="18"/>
                <w:szCs w:val="18"/>
              </w:rPr>
              <w:t xml:space="preserve"> </w:t>
            </w:r>
            <w:r w:rsidRPr="00C2084B">
              <w:rPr>
                <w:rFonts w:ascii="Calibri" w:eastAsia="Calibri" w:hAnsi="Calibri" w:cs="Times New Roman"/>
                <w:sz w:val="18"/>
                <w:szCs w:val="18"/>
              </w:rPr>
              <w:t>not cyclical</w:t>
            </w:r>
            <w:r w:rsidR="00A104FD">
              <w:rPr>
                <w:rFonts w:ascii="Calibri" w:eastAsia="Calibri" w:hAnsi="Calibri" w:cs="Times New Roman"/>
                <w:sz w:val="18"/>
                <w:szCs w:val="18"/>
              </w:rPr>
              <w:t xml:space="preserve"> -</w:t>
            </w:r>
            <w:r w:rsidRPr="00C2084B">
              <w:rPr>
                <w:rFonts w:ascii="Calibri" w:eastAsia="Calibri" w:hAnsi="Calibri" w:cs="Times New Roman"/>
                <w:sz w:val="18"/>
                <w:szCs w:val="18"/>
              </w:rPr>
              <w:t xml:space="preserve"> which acknowledges the descriptive sits on the surface, and the dialogic, transformative and critical lie </w:t>
            </w:r>
            <w:r w:rsidRPr="00C2084B">
              <w:rPr>
                <w:rFonts w:ascii="Calibri" w:eastAsia="Calibri" w:hAnsi="Calibri" w:cs="Times New Roman"/>
                <w:sz w:val="18"/>
                <w:szCs w:val="18"/>
              </w:rPr>
              <w:lastRenderedPageBreak/>
              <w:t>underneath the tip of the iceberg</w:t>
            </w:r>
          </w:p>
          <w:p w14:paraId="348C8CFF"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Iceberg of reflection (based on Fleck 2012). Dialogic, transformative and critical</w:t>
            </w:r>
          </w:p>
        </w:tc>
        <w:tc>
          <w:tcPr>
            <w:tcW w:w="679" w:type="pct"/>
          </w:tcPr>
          <w:p w14:paraId="0F09E11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lastRenderedPageBreak/>
              <w:t>Alone or in collaboration</w:t>
            </w:r>
          </w:p>
        </w:tc>
        <w:tc>
          <w:tcPr>
            <w:tcW w:w="635" w:type="pct"/>
          </w:tcPr>
          <w:p w14:paraId="090CE9A7"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Feelings not mentioned as part of the process</w:t>
            </w:r>
          </w:p>
        </w:tc>
        <w:tc>
          <w:tcPr>
            <w:tcW w:w="862" w:type="pct"/>
          </w:tcPr>
          <w:p w14:paraId="4F6C6B48"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Resulting in transformations for the person doing the reflecting, the work and the student</w:t>
            </w:r>
          </w:p>
        </w:tc>
        <w:tc>
          <w:tcPr>
            <w:tcW w:w="564" w:type="pct"/>
          </w:tcPr>
          <w:p w14:paraId="0D5C8B2A" w14:textId="77777777"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Applicable to education fields</w:t>
            </w:r>
          </w:p>
        </w:tc>
        <w:tc>
          <w:tcPr>
            <w:tcW w:w="922" w:type="pct"/>
          </w:tcPr>
          <w:p w14:paraId="32539437" w14:textId="2DAAD9BF" w:rsidR="00B232E6" w:rsidRPr="00C2084B" w:rsidRDefault="00B232E6" w:rsidP="00B232E6">
            <w:pPr>
              <w:rPr>
                <w:rFonts w:ascii="Calibri" w:eastAsia="Calibri" w:hAnsi="Calibri" w:cs="Times New Roman"/>
                <w:sz w:val="18"/>
                <w:szCs w:val="18"/>
              </w:rPr>
            </w:pPr>
            <w:r w:rsidRPr="00C2084B">
              <w:rPr>
                <w:rFonts w:ascii="Calibri" w:eastAsia="Calibri" w:hAnsi="Calibri" w:cs="Times New Roman"/>
                <w:sz w:val="18"/>
                <w:szCs w:val="18"/>
              </w:rPr>
              <w:t xml:space="preserve">Not possible for all as depth of reflection is subject to the metacognitive, cognitive and sociocultural background of the reflector. Developed from recognising that the traditional </w:t>
            </w:r>
            <w:r w:rsidRPr="00C2084B">
              <w:rPr>
                <w:rFonts w:ascii="Calibri" w:eastAsia="Calibri" w:hAnsi="Calibri" w:cs="Times New Roman"/>
                <w:sz w:val="18"/>
                <w:szCs w:val="18"/>
              </w:rPr>
              <w:lastRenderedPageBreak/>
              <w:t>outcome-based approach to reflection does not allow high levels of reflection to take place. Identifying the learning opportunities and factors of inhibition, teachers can holistically assess their teaching practices and orien</w:t>
            </w:r>
            <w:r w:rsidR="00D05412">
              <w:rPr>
                <w:rFonts w:ascii="Calibri" w:eastAsia="Calibri" w:hAnsi="Calibri" w:cs="Times New Roman"/>
                <w:sz w:val="18"/>
                <w:szCs w:val="18"/>
              </w:rPr>
              <w:t>tate</w:t>
            </w:r>
            <w:r w:rsidRPr="00C2084B">
              <w:rPr>
                <w:rFonts w:ascii="Calibri" w:eastAsia="Calibri" w:hAnsi="Calibri" w:cs="Times New Roman"/>
                <w:sz w:val="18"/>
                <w:szCs w:val="18"/>
              </w:rPr>
              <w:t xml:space="preserve"> the direction of future lessons. The process is one of dialogue and discussion.</w:t>
            </w:r>
          </w:p>
        </w:tc>
      </w:tr>
    </w:tbl>
    <w:p w14:paraId="3EB83249" w14:textId="77777777" w:rsidR="00981FF5" w:rsidRDefault="00981FF5" w:rsidP="00AF700E">
      <w:pPr>
        <w:ind w:left="720" w:firstLine="720"/>
        <w:rPr>
          <w:b/>
          <w:bCs/>
          <w:sz w:val="24"/>
          <w:szCs w:val="24"/>
        </w:rPr>
      </w:pPr>
    </w:p>
    <w:p w14:paraId="05AB8EEF" w14:textId="77777777" w:rsidR="00981FF5" w:rsidRDefault="00981FF5" w:rsidP="00AF700E">
      <w:pPr>
        <w:ind w:left="720" w:firstLine="720"/>
        <w:rPr>
          <w:b/>
          <w:bCs/>
          <w:sz w:val="24"/>
          <w:szCs w:val="24"/>
        </w:rPr>
      </w:pPr>
    </w:p>
    <w:p w14:paraId="3A520ABE" w14:textId="77777777" w:rsidR="00981FF5" w:rsidRDefault="00981FF5" w:rsidP="00AF700E">
      <w:pPr>
        <w:ind w:left="720" w:firstLine="720"/>
        <w:rPr>
          <w:b/>
          <w:bCs/>
          <w:sz w:val="24"/>
          <w:szCs w:val="24"/>
        </w:rPr>
      </w:pPr>
    </w:p>
    <w:p w14:paraId="6E11697B" w14:textId="77777777" w:rsidR="00981FF5" w:rsidRDefault="00981FF5" w:rsidP="00AF700E">
      <w:pPr>
        <w:ind w:left="720" w:firstLine="720"/>
        <w:rPr>
          <w:b/>
          <w:bCs/>
          <w:sz w:val="24"/>
          <w:szCs w:val="24"/>
        </w:rPr>
      </w:pPr>
    </w:p>
    <w:p w14:paraId="3907EC49" w14:textId="77777777" w:rsidR="00981FF5" w:rsidRDefault="00981FF5" w:rsidP="00AF700E">
      <w:pPr>
        <w:ind w:left="720" w:firstLine="720"/>
        <w:rPr>
          <w:b/>
          <w:bCs/>
          <w:sz w:val="24"/>
          <w:szCs w:val="24"/>
        </w:rPr>
      </w:pPr>
    </w:p>
    <w:p w14:paraId="30BED71E" w14:textId="77777777" w:rsidR="00981FF5" w:rsidRDefault="00981FF5" w:rsidP="00AF700E">
      <w:pPr>
        <w:ind w:left="720" w:firstLine="720"/>
        <w:rPr>
          <w:b/>
          <w:bCs/>
          <w:sz w:val="24"/>
          <w:szCs w:val="24"/>
        </w:rPr>
      </w:pPr>
    </w:p>
    <w:p w14:paraId="3448FEEB" w14:textId="77777777" w:rsidR="00D621C9" w:rsidRDefault="00D621C9" w:rsidP="00AF700E">
      <w:pPr>
        <w:ind w:left="720" w:firstLine="720"/>
        <w:rPr>
          <w:b/>
          <w:bCs/>
          <w:sz w:val="24"/>
          <w:szCs w:val="24"/>
        </w:rPr>
      </w:pPr>
    </w:p>
    <w:p w14:paraId="11483FE5" w14:textId="77777777" w:rsidR="00D621C9" w:rsidRDefault="00D621C9" w:rsidP="00AF700E">
      <w:pPr>
        <w:ind w:left="720" w:firstLine="720"/>
        <w:rPr>
          <w:b/>
          <w:bCs/>
          <w:sz w:val="24"/>
          <w:szCs w:val="24"/>
        </w:rPr>
      </w:pPr>
    </w:p>
    <w:p w14:paraId="60FDC68C" w14:textId="77777777" w:rsidR="00D621C9" w:rsidRDefault="00D621C9" w:rsidP="00AF700E">
      <w:pPr>
        <w:ind w:left="720" w:firstLine="720"/>
        <w:rPr>
          <w:b/>
          <w:bCs/>
          <w:sz w:val="24"/>
          <w:szCs w:val="24"/>
        </w:rPr>
      </w:pPr>
    </w:p>
    <w:p w14:paraId="3B493CD1" w14:textId="77777777" w:rsidR="00D621C9" w:rsidRDefault="00D621C9" w:rsidP="00AF700E">
      <w:pPr>
        <w:ind w:left="720" w:firstLine="720"/>
        <w:rPr>
          <w:b/>
          <w:bCs/>
          <w:sz w:val="24"/>
          <w:szCs w:val="24"/>
        </w:rPr>
      </w:pPr>
    </w:p>
    <w:p w14:paraId="697E0D39" w14:textId="77777777" w:rsidR="00D621C9" w:rsidRDefault="00D621C9" w:rsidP="00AF700E">
      <w:pPr>
        <w:ind w:left="720" w:firstLine="720"/>
        <w:rPr>
          <w:b/>
          <w:bCs/>
          <w:sz w:val="24"/>
          <w:szCs w:val="24"/>
        </w:rPr>
      </w:pPr>
    </w:p>
    <w:p w14:paraId="374D1EA4" w14:textId="77777777" w:rsidR="00D621C9" w:rsidRDefault="00D621C9" w:rsidP="00AF700E">
      <w:pPr>
        <w:ind w:left="720" w:firstLine="720"/>
        <w:rPr>
          <w:b/>
          <w:bCs/>
          <w:sz w:val="24"/>
          <w:szCs w:val="24"/>
        </w:rPr>
      </w:pPr>
    </w:p>
    <w:p w14:paraId="4270A339" w14:textId="77777777" w:rsidR="00D621C9" w:rsidRDefault="00D621C9" w:rsidP="00AF700E">
      <w:pPr>
        <w:ind w:left="720" w:firstLine="720"/>
        <w:rPr>
          <w:b/>
          <w:bCs/>
          <w:sz w:val="24"/>
          <w:szCs w:val="24"/>
        </w:rPr>
      </w:pPr>
    </w:p>
    <w:p w14:paraId="10BC620F" w14:textId="77777777" w:rsidR="00D621C9" w:rsidRDefault="00D621C9" w:rsidP="00AF700E">
      <w:pPr>
        <w:ind w:left="720" w:firstLine="720"/>
        <w:rPr>
          <w:b/>
          <w:bCs/>
          <w:sz w:val="24"/>
          <w:szCs w:val="24"/>
        </w:rPr>
      </w:pPr>
    </w:p>
    <w:p w14:paraId="7CD03D26" w14:textId="77777777" w:rsidR="00D621C9" w:rsidRDefault="00D621C9" w:rsidP="00AF700E">
      <w:pPr>
        <w:ind w:left="720" w:firstLine="720"/>
        <w:rPr>
          <w:b/>
          <w:bCs/>
          <w:sz w:val="24"/>
          <w:szCs w:val="24"/>
        </w:rPr>
      </w:pPr>
    </w:p>
    <w:p w14:paraId="73969275" w14:textId="77777777" w:rsidR="00D621C9" w:rsidRDefault="00D621C9" w:rsidP="00AF700E">
      <w:pPr>
        <w:ind w:left="720" w:firstLine="720"/>
        <w:rPr>
          <w:b/>
          <w:bCs/>
          <w:sz w:val="24"/>
          <w:szCs w:val="24"/>
        </w:rPr>
      </w:pPr>
    </w:p>
    <w:p w14:paraId="4C105922" w14:textId="77777777" w:rsidR="007873A7" w:rsidRDefault="007873A7" w:rsidP="00AF700E">
      <w:pPr>
        <w:ind w:left="720" w:firstLine="720"/>
        <w:rPr>
          <w:b/>
          <w:bCs/>
          <w:sz w:val="24"/>
          <w:szCs w:val="24"/>
        </w:rPr>
      </w:pPr>
    </w:p>
    <w:p w14:paraId="55D3E28A" w14:textId="77777777" w:rsidR="00D621C9" w:rsidRDefault="00D621C9" w:rsidP="00AF700E">
      <w:pPr>
        <w:ind w:left="720" w:firstLine="720"/>
        <w:rPr>
          <w:b/>
          <w:bCs/>
          <w:sz w:val="24"/>
          <w:szCs w:val="24"/>
        </w:rPr>
      </w:pPr>
    </w:p>
    <w:p w14:paraId="5F0B25DA" w14:textId="77777777" w:rsidR="00D621C9" w:rsidRDefault="00D621C9" w:rsidP="00AF700E">
      <w:pPr>
        <w:ind w:left="720" w:firstLine="720"/>
        <w:rPr>
          <w:b/>
          <w:bCs/>
          <w:sz w:val="24"/>
          <w:szCs w:val="24"/>
        </w:rPr>
      </w:pPr>
    </w:p>
    <w:p w14:paraId="176B555F" w14:textId="77777777" w:rsidR="00981FF5" w:rsidRDefault="00981FF5" w:rsidP="00AF700E">
      <w:pPr>
        <w:ind w:left="720" w:firstLine="720"/>
        <w:rPr>
          <w:b/>
          <w:bCs/>
          <w:sz w:val="24"/>
          <w:szCs w:val="24"/>
        </w:rPr>
      </w:pPr>
    </w:p>
    <w:p w14:paraId="012E580F" w14:textId="77777777" w:rsidR="00981FF5" w:rsidRDefault="00981FF5" w:rsidP="00AF700E">
      <w:pPr>
        <w:ind w:left="720" w:firstLine="720"/>
        <w:rPr>
          <w:b/>
          <w:bCs/>
          <w:sz w:val="24"/>
          <w:szCs w:val="24"/>
        </w:rPr>
      </w:pPr>
    </w:p>
    <w:p w14:paraId="34133CB8" w14:textId="0BB6DC4E" w:rsidR="007D1D65" w:rsidRPr="00BF2059" w:rsidRDefault="007D1D65" w:rsidP="00AF700E">
      <w:pPr>
        <w:ind w:left="720" w:firstLine="720"/>
        <w:rPr>
          <w:b/>
          <w:bCs/>
          <w:sz w:val="24"/>
          <w:szCs w:val="24"/>
        </w:rPr>
      </w:pPr>
      <w:r w:rsidRPr="00BF2059">
        <w:rPr>
          <w:b/>
          <w:bCs/>
          <w:sz w:val="24"/>
          <w:szCs w:val="24"/>
        </w:rPr>
        <w:lastRenderedPageBreak/>
        <w:t xml:space="preserve">Appendix B: </w:t>
      </w:r>
      <w:bookmarkStart w:id="104" w:name="_Hlk216028585"/>
      <w:r w:rsidRPr="00BF2059">
        <w:rPr>
          <w:b/>
          <w:bCs/>
          <w:sz w:val="24"/>
          <w:szCs w:val="24"/>
        </w:rPr>
        <w:t xml:space="preserve">Invitation to take part in </w:t>
      </w:r>
      <w:r w:rsidR="00231E33" w:rsidRPr="00BF2059">
        <w:rPr>
          <w:b/>
          <w:bCs/>
          <w:sz w:val="24"/>
          <w:szCs w:val="24"/>
        </w:rPr>
        <w:t xml:space="preserve">my </w:t>
      </w:r>
      <w:r w:rsidRPr="00BF2059">
        <w:rPr>
          <w:b/>
          <w:bCs/>
          <w:sz w:val="24"/>
          <w:szCs w:val="24"/>
        </w:rPr>
        <w:t>research project</w:t>
      </w:r>
      <w:bookmarkEnd w:id="104"/>
    </w:p>
    <w:p w14:paraId="610D3AEE" w14:textId="63634175" w:rsidR="007D1D65" w:rsidRDefault="007D1D65">
      <w:pPr>
        <w:rPr>
          <w:sz w:val="24"/>
          <w:szCs w:val="24"/>
        </w:rPr>
      </w:pPr>
      <w:r>
        <w:rPr>
          <w:sz w:val="24"/>
          <w:szCs w:val="24"/>
        </w:rPr>
        <w:t xml:space="preserve">Research thesis title: </w:t>
      </w:r>
      <w:bookmarkStart w:id="105" w:name="_Hlk150795978"/>
      <w:r w:rsidR="00B02B75" w:rsidRPr="00B02B75">
        <w:rPr>
          <w:rFonts w:cstheme="minorHAnsi"/>
          <w:color w:val="222222"/>
          <w:sz w:val="24"/>
          <w:szCs w:val="24"/>
          <w:shd w:val="clear" w:color="auto" w:fill="FFFFFF"/>
        </w:rPr>
        <w:t>Out of the Shadows: Shining a light on the lived experience journeys of HE teachers during and beyond their teacher training</w:t>
      </w:r>
    </w:p>
    <w:bookmarkEnd w:id="105"/>
    <w:p w14:paraId="539A9F5E" w14:textId="77777777" w:rsidR="007D1D65" w:rsidRDefault="007D1D65">
      <w:pPr>
        <w:rPr>
          <w:sz w:val="24"/>
          <w:szCs w:val="24"/>
        </w:rPr>
      </w:pPr>
      <w:r>
        <w:rPr>
          <w:sz w:val="24"/>
          <w:szCs w:val="24"/>
        </w:rPr>
        <w:t>Ethical approval number: 046474</w:t>
      </w:r>
    </w:p>
    <w:p w14:paraId="6DE0A9FE" w14:textId="6318139D" w:rsidR="007D1D65" w:rsidRDefault="007D1D65">
      <w:pPr>
        <w:rPr>
          <w:sz w:val="24"/>
          <w:szCs w:val="24"/>
        </w:rPr>
      </w:pPr>
      <w:r>
        <w:rPr>
          <w:sz w:val="24"/>
          <w:szCs w:val="24"/>
        </w:rPr>
        <w:t xml:space="preserve">My name is Suzanne Schultz, and I am a fourth year EdD student at the University of Sheffield. I have a background in psychotherapy and for my doctorate I am researching the emotional practices of teaching and learning from the perspective of teachers themselves. My research interests include the lived, emotional experience of teachers, and the process of reflective practice in teaching. I have identified a gap in the literature appertaining to care for teachers’ emotions, and I wish to forge new understanding through and with the perspectives of teachers who </w:t>
      </w:r>
      <w:r w:rsidR="00B11780">
        <w:rPr>
          <w:sz w:val="24"/>
          <w:szCs w:val="24"/>
        </w:rPr>
        <w:t>have completed</w:t>
      </w:r>
      <w:r>
        <w:rPr>
          <w:sz w:val="24"/>
          <w:szCs w:val="24"/>
        </w:rPr>
        <w:t xml:space="preserve"> a postgraduate qualification in teaching, and who are now teaching at a </w:t>
      </w:r>
      <w:r w:rsidR="00D8615E">
        <w:rPr>
          <w:sz w:val="24"/>
          <w:szCs w:val="24"/>
        </w:rPr>
        <w:t>university</w:t>
      </w:r>
      <w:r>
        <w:rPr>
          <w:sz w:val="24"/>
          <w:szCs w:val="24"/>
        </w:rPr>
        <w:t>. Ethical approval has been granted by the University of Sheffield for my impending research.</w:t>
      </w:r>
    </w:p>
    <w:p w14:paraId="5EE67519" w14:textId="77777777" w:rsidR="007D1D65" w:rsidRDefault="007D1D65">
      <w:pPr>
        <w:rPr>
          <w:sz w:val="24"/>
          <w:szCs w:val="24"/>
        </w:rPr>
      </w:pPr>
      <w:r>
        <w:rPr>
          <w:sz w:val="24"/>
          <w:szCs w:val="24"/>
        </w:rPr>
        <w:t>The research process itself will involve participation in two semi structured interviews with a narrative focus. A narrative focus in simple terms means the telling of your story, your experience of teaching and learning to be a teacher.  I anticipate that the first interview will last up to two hours, and it might be helpful for you to consider prior to interview what provides you with emotional support for your teaching praxis and process. Approximately two to four weeks later you will be invited to a second interview, the purpose of which will be to discuss your affect journey and any other reflections you have had around the themes in the interim period since participating in the original interview. The second interview is anticipated to last up to one hour. Both interviews will take place on the online platform Google Meet.</w:t>
      </w:r>
    </w:p>
    <w:p w14:paraId="4A273BCA" w14:textId="77777777" w:rsidR="007D1D65" w:rsidRDefault="007D1D65">
      <w:pPr>
        <w:rPr>
          <w:sz w:val="24"/>
          <w:szCs w:val="24"/>
        </w:rPr>
      </w:pPr>
      <w:r>
        <w:rPr>
          <w:sz w:val="24"/>
          <w:szCs w:val="24"/>
        </w:rPr>
        <w:t xml:space="preserve">Should you decide to take part in this research, I will provide you with a short pre-interview questionnaire, a participant information sheet, a consent form, and an indicative interview schedule which will include the research questions I intend using in my impending research. If you are interested in taking part in this research, please contact me by email at </w:t>
      </w:r>
      <w:hyperlink r:id="rId495" w:history="1">
        <w:r w:rsidRPr="00BB6918">
          <w:rPr>
            <w:rStyle w:val="Hyperlink"/>
          </w:rPr>
          <w:t>sdschultz1@sheffield.ac.uk</w:t>
        </w:r>
      </w:hyperlink>
      <w:r>
        <w:t xml:space="preserve">. </w:t>
      </w:r>
    </w:p>
    <w:p w14:paraId="5E2D89F3" w14:textId="77777777" w:rsidR="007D1D65" w:rsidRPr="00AF0486" w:rsidRDefault="007D1D65" w:rsidP="00AF0486">
      <w:pPr>
        <w:rPr>
          <w:i/>
          <w:iCs/>
          <w:sz w:val="24"/>
          <w:szCs w:val="24"/>
        </w:rPr>
      </w:pPr>
      <w:r>
        <w:rPr>
          <w:sz w:val="24"/>
          <w:szCs w:val="24"/>
        </w:rPr>
        <w:t xml:space="preserve">Thank you for taking the time to consider taking part in my research entitled: </w:t>
      </w:r>
      <w:r w:rsidRPr="00AF0486">
        <w:rPr>
          <w:i/>
          <w:iCs/>
          <w:sz w:val="24"/>
          <w:szCs w:val="24"/>
        </w:rPr>
        <w:t>Out of the Shadows: Shining a light on teachers’ emotions and reflective practice.</w:t>
      </w:r>
    </w:p>
    <w:p w14:paraId="141219C1" w14:textId="77777777" w:rsidR="007D1D65" w:rsidRDefault="007D1D65">
      <w:pPr>
        <w:rPr>
          <w:sz w:val="24"/>
          <w:szCs w:val="24"/>
        </w:rPr>
      </w:pPr>
    </w:p>
    <w:p w14:paraId="1572B8DD" w14:textId="77777777" w:rsidR="007D1D65" w:rsidRDefault="007D1D65">
      <w:pPr>
        <w:rPr>
          <w:sz w:val="24"/>
          <w:szCs w:val="24"/>
        </w:rPr>
      </w:pPr>
      <w:r>
        <w:rPr>
          <w:sz w:val="24"/>
          <w:szCs w:val="24"/>
        </w:rPr>
        <w:t>Suzanne Schultz</w:t>
      </w:r>
    </w:p>
    <w:p w14:paraId="6D2AAF27" w14:textId="77777777" w:rsidR="007D1D65" w:rsidRDefault="007D1D65">
      <w:pPr>
        <w:rPr>
          <w:sz w:val="24"/>
          <w:szCs w:val="24"/>
        </w:rPr>
      </w:pPr>
      <w:r>
        <w:rPr>
          <w:sz w:val="24"/>
          <w:szCs w:val="24"/>
        </w:rPr>
        <w:t>February 2024</w:t>
      </w:r>
    </w:p>
    <w:p w14:paraId="6BD107E2" w14:textId="77777777" w:rsidR="002F1CA2" w:rsidRDefault="002F1CA2">
      <w:pPr>
        <w:rPr>
          <w:sz w:val="24"/>
          <w:szCs w:val="24"/>
          <w:u w:val="single"/>
        </w:rPr>
      </w:pPr>
    </w:p>
    <w:p w14:paraId="209C3B43" w14:textId="77777777" w:rsidR="002F1CA2" w:rsidRDefault="002F1CA2">
      <w:pPr>
        <w:rPr>
          <w:sz w:val="24"/>
          <w:szCs w:val="24"/>
          <w:u w:val="single"/>
        </w:rPr>
      </w:pPr>
    </w:p>
    <w:p w14:paraId="494BC462" w14:textId="77777777" w:rsidR="002F1CA2" w:rsidRDefault="002F1CA2">
      <w:pPr>
        <w:rPr>
          <w:sz w:val="24"/>
          <w:szCs w:val="24"/>
          <w:u w:val="single"/>
        </w:rPr>
      </w:pPr>
    </w:p>
    <w:p w14:paraId="5DDAC1DE" w14:textId="77777777" w:rsidR="00CA1718" w:rsidRPr="00D8282A" w:rsidRDefault="00CA1718">
      <w:pPr>
        <w:rPr>
          <w:sz w:val="24"/>
          <w:szCs w:val="24"/>
          <w:u w:val="single"/>
        </w:rPr>
      </w:pPr>
    </w:p>
    <w:p w14:paraId="1DFAAB21" w14:textId="77777777" w:rsidR="00C876B8" w:rsidRDefault="00C876B8" w:rsidP="00A02C88">
      <w:pPr>
        <w:rPr>
          <w:rFonts w:ascii="Calibri" w:hAnsi="Calibri" w:cs="Calibri"/>
          <w:sz w:val="24"/>
          <w:szCs w:val="24"/>
        </w:rPr>
      </w:pPr>
    </w:p>
    <w:p w14:paraId="683AAC35" w14:textId="1C80532B" w:rsidR="008D059D" w:rsidRPr="00BF2059" w:rsidRDefault="00D73218" w:rsidP="00334CEA">
      <w:pPr>
        <w:ind w:left="1440" w:firstLine="720"/>
        <w:rPr>
          <w:b/>
          <w:bCs/>
          <w:sz w:val="24"/>
          <w:szCs w:val="24"/>
        </w:rPr>
      </w:pPr>
      <w:r w:rsidRPr="00BF2059">
        <w:rPr>
          <w:b/>
          <w:bCs/>
          <w:sz w:val="24"/>
          <w:szCs w:val="24"/>
        </w:rPr>
        <w:lastRenderedPageBreak/>
        <w:t xml:space="preserve">Appendix C: </w:t>
      </w:r>
      <w:bookmarkStart w:id="106" w:name="_Hlk216028934"/>
      <w:r w:rsidRPr="00BF2059">
        <w:rPr>
          <w:b/>
          <w:bCs/>
          <w:sz w:val="24"/>
          <w:szCs w:val="24"/>
        </w:rPr>
        <w:t>Indicative Interview Schedule</w:t>
      </w:r>
      <w:bookmarkEnd w:id="106"/>
    </w:p>
    <w:p w14:paraId="2DED5FD2" w14:textId="200C4535" w:rsidR="008D059D" w:rsidRPr="003567A6" w:rsidRDefault="008D059D">
      <w:pPr>
        <w:rPr>
          <w:b/>
          <w:bCs/>
          <w:sz w:val="24"/>
          <w:szCs w:val="24"/>
          <w:u w:val="single"/>
        </w:rPr>
      </w:pPr>
      <w:r w:rsidRPr="00D73218">
        <w:rPr>
          <w:sz w:val="24"/>
          <w:szCs w:val="24"/>
        </w:rPr>
        <w:t>Out of the Shadows: Shining a light on HE teachers’ experiences of emotions and reflective practice</w:t>
      </w:r>
      <w:r w:rsidRPr="008D059D">
        <w:rPr>
          <w:b/>
          <w:bCs/>
          <w:sz w:val="24"/>
          <w:szCs w:val="24"/>
        </w:rPr>
        <w:t xml:space="preserve"> </w:t>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sidRPr="008D059D">
        <w:rPr>
          <w:b/>
          <w:bCs/>
          <w:sz w:val="24"/>
          <w:szCs w:val="24"/>
        </w:rPr>
        <w:tab/>
      </w:r>
      <w:r>
        <w:rPr>
          <w:sz w:val="24"/>
          <w:szCs w:val="24"/>
        </w:rPr>
        <w:t>Suzanne Schultz</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81CAB8" w14:textId="77777777" w:rsidR="008D059D" w:rsidRPr="007873A7" w:rsidRDefault="008D059D" w:rsidP="00F11289">
      <w:pPr>
        <w:rPr>
          <w:b/>
          <w:bCs/>
          <w:sz w:val="24"/>
          <w:szCs w:val="24"/>
        </w:rPr>
      </w:pPr>
      <w:r w:rsidRPr="007873A7">
        <w:rPr>
          <w:b/>
          <w:bCs/>
          <w:sz w:val="24"/>
          <w:szCs w:val="24"/>
        </w:rPr>
        <w:t>Research questions:</w:t>
      </w:r>
    </w:p>
    <w:p w14:paraId="3C4A96A3" w14:textId="77777777" w:rsidR="008D059D" w:rsidRPr="00F11289" w:rsidRDefault="008D059D" w:rsidP="007873A7">
      <w:pPr>
        <w:ind w:left="720" w:hanging="720"/>
        <w:rPr>
          <w:sz w:val="24"/>
          <w:szCs w:val="24"/>
        </w:rPr>
      </w:pPr>
      <w:r w:rsidRPr="00F11289">
        <w:rPr>
          <w:sz w:val="24"/>
          <w:szCs w:val="24"/>
        </w:rPr>
        <w:t>1.</w:t>
      </w:r>
      <w:r>
        <w:rPr>
          <w:sz w:val="24"/>
          <w:szCs w:val="24"/>
        </w:rPr>
        <w:t xml:space="preserve"> How do teachers in HE manage and process their emotions arising from and in their work?</w:t>
      </w:r>
    </w:p>
    <w:p w14:paraId="1481C1FC" w14:textId="77777777" w:rsidR="008D059D" w:rsidRPr="00F11289" w:rsidRDefault="008D059D" w:rsidP="007873A7">
      <w:pPr>
        <w:ind w:left="720" w:hanging="720"/>
        <w:rPr>
          <w:sz w:val="24"/>
          <w:szCs w:val="24"/>
        </w:rPr>
      </w:pPr>
      <w:r w:rsidRPr="00F11289">
        <w:rPr>
          <w:sz w:val="24"/>
          <w:szCs w:val="24"/>
        </w:rPr>
        <w:t xml:space="preserve">2. How might </w:t>
      </w:r>
      <w:r>
        <w:rPr>
          <w:sz w:val="24"/>
          <w:szCs w:val="24"/>
        </w:rPr>
        <w:t>teachers in HE look after and safeguard their emotions?</w:t>
      </w:r>
    </w:p>
    <w:p w14:paraId="50FBA10F" w14:textId="77777777" w:rsidR="008D059D" w:rsidRDefault="008D059D" w:rsidP="007873A7">
      <w:pPr>
        <w:ind w:left="720" w:hanging="720"/>
        <w:rPr>
          <w:sz w:val="24"/>
          <w:szCs w:val="24"/>
        </w:rPr>
      </w:pPr>
      <w:r w:rsidRPr="00F11289">
        <w:rPr>
          <w:sz w:val="24"/>
          <w:szCs w:val="24"/>
        </w:rPr>
        <w:t xml:space="preserve"> 3. </w:t>
      </w:r>
      <w:r>
        <w:rPr>
          <w:sz w:val="24"/>
          <w:szCs w:val="24"/>
        </w:rPr>
        <w:t xml:space="preserve">How impactful is the process of </w:t>
      </w:r>
      <w:r w:rsidRPr="00F11289">
        <w:rPr>
          <w:sz w:val="24"/>
          <w:szCs w:val="24"/>
        </w:rPr>
        <w:t xml:space="preserve">reflective practice </w:t>
      </w:r>
      <w:r>
        <w:rPr>
          <w:sz w:val="24"/>
          <w:szCs w:val="24"/>
        </w:rPr>
        <w:t>as an emotional safeguarding mechanism/tool?</w:t>
      </w:r>
    </w:p>
    <w:p w14:paraId="605EA559" w14:textId="77777777" w:rsidR="008D059D" w:rsidRPr="00810A58" w:rsidRDefault="008D059D">
      <w:pPr>
        <w:rPr>
          <w:sz w:val="24"/>
          <w:szCs w:val="24"/>
        </w:rPr>
      </w:pPr>
      <w:r w:rsidRPr="00810A58">
        <w:rPr>
          <w:sz w:val="24"/>
          <w:szCs w:val="24"/>
        </w:rPr>
        <w:t>Indicative interview schedule</w:t>
      </w:r>
    </w:p>
    <w:p w14:paraId="29FA2C90" w14:textId="77777777" w:rsidR="008D059D" w:rsidRPr="00810A58" w:rsidRDefault="008D059D">
      <w:pPr>
        <w:rPr>
          <w:sz w:val="24"/>
          <w:szCs w:val="24"/>
        </w:rPr>
      </w:pPr>
      <w:r w:rsidRPr="00810A58">
        <w:rPr>
          <w:sz w:val="24"/>
          <w:szCs w:val="24"/>
        </w:rPr>
        <w:t>Semi structured interview with a narrative focus: Stage I (Anticipated interview duration = up to 2 hours)</w:t>
      </w:r>
    </w:p>
    <w:p w14:paraId="7D8C52FF" w14:textId="77777777" w:rsidR="008D059D" w:rsidRDefault="008D059D" w:rsidP="00DA162D">
      <w:pPr>
        <w:rPr>
          <w:sz w:val="24"/>
          <w:szCs w:val="24"/>
        </w:rPr>
      </w:pPr>
      <w:r>
        <w:rPr>
          <w:sz w:val="24"/>
          <w:szCs w:val="24"/>
        </w:rPr>
        <w:t xml:space="preserve">1. How long have you been teaching? </w:t>
      </w:r>
    </w:p>
    <w:p w14:paraId="0B58F3CE" w14:textId="77777777" w:rsidR="008D059D" w:rsidRDefault="008D059D">
      <w:pPr>
        <w:rPr>
          <w:sz w:val="24"/>
          <w:szCs w:val="24"/>
        </w:rPr>
      </w:pPr>
      <w:r>
        <w:rPr>
          <w:sz w:val="24"/>
          <w:szCs w:val="24"/>
        </w:rPr>
        <w:t xml:space="preserve">2. What was your motivation for becoming a teacher? </w:t>
      </w:r>
    </w:p>
    <w:p w14:paraId="6E8DE05A" w14:textId="77777777" w:rsidR="008D059D" w:rsidRDefault="008D059D">
      <w:pPr>
        <w:rPr>
          <w:sz w:val="24"/>
          <w:szCs w:val="24"/>
        </w:rPr>
      </w:pPr>
      <w:r>
        <w:rPr>
          <w:sz w:val="24"/>
          <w:szCs w:val="24"/>
        </w:rPr>
        <w:t>3. Were any emotions involved in your motivation for becoming a teacher?</w:t>
      </w:r>
    </w:p>
    <w:p w14:paraId="53E4D794" w14:textId="77777777" w:rsidR="008D059D" w:rsidRDefault="008D059D">
      <w:pPr>
        <w:rPr>
          <w:sz w:val="24"/>
          <w:szCs w:val="24"/>
        </w:rPr>
      </w:pPr>
      <w:r>
        <w:rPr>
          <w:sz w:val="24"/>
          <w:szCs w:val="24"/>
        </w:rPr>
        <w:t>4. a) Can you tell me about your experience of the teacher training you attended</w:t>
      </w:r>
    </w:p>
    <w:p w14:paraId="0D2F1E69" w14:textId="77777777" w:rsidR="008D059D" w:rsidRDefault="008D059D" w:rsidP="00F159EE">
      <w:pPr>
        <w:ind w:left="216"/>
        <w:rPr>
          <w:sz w:val="24"/>
          <w:szCs w:val="24"/>
        </w:rPr>
      </w:pPr>
      <w:r>
        <w:rPr>
          <w:sz w:val="24"/>
          <w:szCs w:val="24"/>
        </w:rPr>
        <w:t>b) What did you experience emotionally when you underwent your teacher training?</w:t>
      </w:r>
    </w:p>
    <w:p w14:paraId="63AE6D39" w14:textId="77777777" w:rsidR="008D059D" w:rsidRDefault="008D059D" w:rsidP="00A616F9">
      <w:pPr>
        <w:rPr>
          <w:sz w:val="24"/>
          <w:szCs w:val="24"/>
        </w:rPr>
      </w:pPr>
      <w:r>
        <w:rPr>
          <w:sz w:val="24"/>
          <w:szCs w:val="24"/>
        </w:rPr>
        <w:t>5</w:t>
      </w:r>
      <w:r w:rsidRPr="00FD0DA4">
        <w:rPr>
          <w:sz w:val="24"/>
          <w:szCs w:val="24"/>
        </w:rPr>
        <w:t xml:space="preserve">. </w:t>
      </w:r>
      <w:r>
        <w:rPr>
          <w:sz w:val="24"/>
          <w:szCs w:val="24"/>
        </w:rPr>
        <w:t>a) Was emotional support on offer as a learner in your teacher training programme?</w:t>
      </w:r>
    </w:p>
    <w:p w14:paraId="35A0FDB2" w14:textId="11569374" w:rsidR="008D059D" w:rsidRDefault="008D059D" w:rsidP="005B4743">
      <w:pPr>
        <w:ind w:left="216"/>
        <w:rPr>
          <w:sz w:val="24"/>
          <w:szCs w:val="24"/>
        </w:rPr>
      </w:pPr>
      <w:r>
        <w:rPr>
          <w:sz w:val="24"/>
          <w:szCs w:val="24"/>
        </w:rPr>
        <w:t xml:space="preserve">b) If so, did </w:t>
      </w:r>
      <w:r w:rsidR="00AF700E">
        <w:rPr>
          <w:sz w:val="24"/>
          <w:szCs w:val="24"/>
        </w:rPr>
        <w:t>support</w:t>
      </w:r>
      <w:r>
        <w:rPr>
          <w:sz w:val="24"/>
          <w:szCs w:val="24"/>
        </w:rPr>
        <w:t xml:space="preserve"> mechanisms provide you with sufficient support for your</w:t>
      </w:r>
      <w:r w:rsidR="00F87DC8">
        <w:rPr>
          <w:sz w:val="24"/>
          <w:szCs w:val="24"/>
        </w:rPr>
        <w:t xml:space="preserve"> </w:t>
      </w:r>
      <w:r>
        <w:rPr>
          <w:sz w:val="24"/>
          <w:szCs w:val="24"/>
        </w:rPr>
        <w:t>emotional needs?</w:t>
      </w:r>
    </w:p>
    <w:p w14:paraId="7C317545" w14:textId="77777777" w:rsidR="008D059D" w:rsidRDefault="008D059D" w:rsidP="000C6DC5">
      <w:pPr>
        <w:rPr>
          <w:sz w:val="24"/>
          <w:szCs w:val="24"/>
        </w:rPr>
      </w:pPr>
      <w:r>
        <w:rPr>
          <w:sz w:val="24"/>
          <w:szCs w:val="24"/>
        </w:rPr>
        <w:t>6</w:t>
      </w:r>
      <w:r w:rsidRPr="000C6DC5">
        <w:rPr>
          <w:sz w:val="24"/>
          <w:szCs w:val="24"/>
        </w:rPr>
        <w:t xml:space="preserve">.a) Was reflective practice taught in your teacher training programme? </w:t>
      </w:r>
    </w:p>
    <w:p w14:paraId="106CCF95" w14:textId="77777777" w:rsidR="008D059D" w:rsidRPr="000C6DC5" w:rsidRDefault="008D059D" w:rsidP="000C6DC5">
      <w:pPr>
        <w:rPr>
          <w:sz w:val="24"/>
          <w:szCs w:val="24"/>
        </w:rPr>
      </w:pPr>
      <w:r>
        <w:rPr>
          <w:sz w:val="24"/>
          <w:szCs w:val="24"/>
        </w:rPr>
        <w:t xml:space="preserve">   b) If so, were any of your emotions involved in the process of reflection?</w:t>
      </w:r>
    </w:p>
    <w:p w14:paraId="39642FD1" w14:textId="77777777" w:rsidR="008D059D" w:rsidRPr="00E24B5E" w:rsidRDefault="008D059D" w:rsidP="00DC5290">
      <w:pPr>
        <w:rPr>
          <w:sz w:val="24"/>
          <w:szCs w:val="24"/>
        </w:rPr>
      </w:pPr>
      <w:r>
        <w:rPr>
          <w:sz w:val="24"/>
          <w:szCs w:val="24"/>
        </w:rPr>
        <w:t>7</w:t>
      </w:r>
      <w:r w:rsidRPr="00E24B5E">
        <w:rPr>
          <w:sz w:val="24"/>
          <w:szCs w:val="24"/>
        </w:rPr>
        <w:t>.</w:t>
      </w:r>
      <w:r>
        <w:rPr>
          <w:sz w:val="24"/>
          <w:szCs w:val="24"/>
        </w:rPr>
        <w:t>a)</w:t>
      </w:r>
      <w:r w:rsidRPr="00E24B5E">
        <w:rPr>
          <w:sz w:val="24"/>
          <w:szCs w:val="24"/>
        </w:rPr>
        <w:t xml:space="preserve"> Do you feel there is a need for teacher training </w:t>
      </w:r>
      <w:r>
        <w:rPr>
          <w:sz w:val="24"/>
          <w:szCs w:val="24"/>
        </w:rPr>
        <w:t>to include</w:t>
      </w:r>
      <w:r w:rsidRPr="00E24B5E">
        <w:rPr>
          <w:sz w:val="24"/>
          <w:szCs w:val="24"/>
        </w:rPr>
        <w:t xml:space="preserve"> the emotional</w:t>
      </w:r>
      <w:r>
        <w:rPr>
          <w:sz w:val="24"/>
          <w:szCs w:val="24"/>
        </w:rPr>
        <w:t xml:space="preserve"> </w:t>
      </w:r>
      <w:r w:rsidRPr="00DC5290">
        <w:rPr>
          <w:sz w:val="24"/>
          <w:szCs w:val="24"/>
        </w:rPr>
        <w:t>aspects of</w:t>
      </w:r>
      <w:r w:rsidRPr="00E24B5E">
        <w:rPr>
          <w:sz w:val="24"/>
          <w:szCs w:val="24"/>
        </w:rPr>
        <w:t xml:space="preserve">         </w:t>
      </w:r>
      <w:r>
        <w:rPr>
          <w:sz w:val="24"/>
          <w:szCs w:val="24"/>
        </w:rPr>
        <w:t xml:space="preserve">                                                    </w:t>
      </w:r>
      <w:r w:rsidRPr="00E24B5E">
        <w:rPr>
          <w:sz w:val="24"/>
          <w:szCs w:val="24"/>
        </w:rPr>
        <w:t>teacher training?</w:t>
      </w:r>
    </w:p>
    <w:p w14:paraId="538B309A" w14:textId="77777777" w:rsidR="008D059D" w:rsidRDefault="008D059D">
      <w:pPr>
        <w:rPr>
          <w:sz w:val="24"/>
          <w:szCs w:val="24"/>
        </w:rPr>
      </w:pPr>
      <w:r w:rsidRPr="00E24B5E">
        <w:rPr>
          <w:sz w:val="24"/>
          <w:szCs w:val="24"/>
        </w:rPr>
        <w:t xml:space="preserve"> </w:t>
      </w:r>
      <w:r>
        <w:rPr>
          <w:sz w:val="24"/>
          <w:szCs w:val="24"/>
        </w:rPr>
        <w:t xml:space="preserve">   </w:t>
      </w:r>
      <w:r w:rsidRPr="00E24B5E">
        <w:rPr>
          <w:sz w:val="24"/>
          <w:szCs w:val="24"/>
        </w:rPr>
        <w:t xml:space="preserve">b) </w:t>
      </w:r>
      <w:r>
        <w:rPr>
          <w:sz w:val="24"/>
          <w:szCs w:val="24"/>
        </w:rPr>
        <w:t>If so, what might this include, or look like in your view?</w:t>
      </w:r>
      <w:bookmarkStart w:id="107" w:name="_Hlk130731436"/>
    </w:p>
    <w:bookmarkEnd w:id="107"/>
    <w:p w14:paraId="1DD46F52" w14:textId="77777777" w:rsidR="008D059D" w:rsidRDefault="008D059D" w:rsidP="003567A6">
      <w:pPr>
        <w:rPr>
          <w:sz w:val="24"/>
          <w:szCs w:val="24"/>
        </w:rPr>
      </w:pPr>
      <w:r>
        <w:rPr>
          <w:sz w:val="24"/>
          <w:szCs w:val="24"/>
        </w:rPr>
        <w:t>8. a) Thinking about yourself as a qualified teacher now, to what extent do your emotions, and those of your students, feature in your teaching?</w:t>
      </w:r>
    </w:p>
    <w:p w14:paraId="79BF5B6D" w14:textId="77777777" w:rsidR="008D059D" w:rsidRDefault="008D059D" w:rsidP="009B6A11">
      <w:pPr>
        <w:rPr>
          <w:sz w:val="24"/>
          <w:szCs w:val="24"/>
        </w:rPr>
      </w:pPr>
      <w:r>
        <w:rPr>
          <w:sz w:val="24"/>
          <w:szCs w:val="24"/>
        </w:rPr>
        <w:t xml:space="preserve">   b) What forms of emotional support do you draw upon?</w:t>
      </w:r>
    </w:p>
    <w:p w14:paraId="3D235F1B" w14:textId="77777777" w:rsidR="008D059D" w:rsidRDefault="008D059D" w:rsidP="000C6DC5">
      <w:pPr>
        <w:rPr>
          <w:sz w:val="24"/>
          <w:szCs w:val="24"/>
        </w:rPr>
      </w:pPr>
      <w:r>
        <w:rPr>
          <w:sz w:val="24"/>
          <w:szCs w:val="24"/>
        </w:rPr>
        <w:t xml:space="preserve">   c) Do you engage in reflective practice as a qualified teacher?</w:t>
      </w:r>
    </w:p>
    <w:p w14:paraId="1104680D" w14:textId="77777777" w:rsidR="008D059D" w:rsidRDefault="008D059D">
      <w:pPr>
        <w:rPr>
          <w:sz w:val="24"/>
          <w:szCs w:val="24"/>
        </w:rPr>
      </w:pPr>
      <w:r>
        <w:rPr>
          <w:sz w:val="24"/>
          <w:szCs w:val="24"/>
        </w:rPr>
        <w:t>9. Is there anything I haven’t asked you or that you would like to explore further?</w:t>
      </w:r>
    </w:p>
    <w:p w14:paraId="71187B02" w14:textId="77777777" w:rsidR="008D059D" w:rsidRPr="00810A58" w:rsidRDefault="008D059D">
      <w:pPr>
        <w:rPr>
          <w:sz w:val="24"/>
          <w:szCs w:val="24"/>
        </w:rPr>
      </w:pPr>
      <w:r w:rsidRPr="00810A58">
        <w:rPr>
          <w:sz w:val="24"/>
          <w:szCs w:val="24"/>
        </w:rPr>
        <w:lastRenderedPageBreak/>
        <w:t>Semi structured interview with a narrative focus: Stage II (Anticipated interview duration= up to 1 hour)</w:t>
      </w:r>
    </w:p>
    <w:p w14:paraId="5333F615" w14:textId="77777777" w:rsidR="008D059D" w:rsidRDefault="008D059D">
      <w:pPr>
        <w:rPr>
          <w:sz w:val="24"/>
          <w:szCs w:val="24"/>
        </w:rPr>
      </w:pPr>
      <w:r>
        <w:rPr>
          <w:sz w:val="24"/>
          <w:szCs w:val="24"/>
        </w:rPr>
        <w:t>1. Thinking back to our first interview, what are your reflections on the interview process?</w:t>
      </w:r>
    </w:p>
    <w:p w14:paraId="0B74754C" w14:textId="77777777" w:rsidR="008D059D" w:rsidRDefault="008D059D">
      <w:pPr>
        <w:rPr>
          <w:sz w:val="24"/>
          <w:szCs w:val="24"/>
        </w:rPr>
      </w:pPr>
      <w:r>
        <w:rPr>
          <w:sz w:val="24"/>
          <w:szCs w:val="24"/>
        </w:rPr>
        <w:t>2.a) In what way has taking part in this research process impacted you emotionally?</w:t>
      </w:r>
    </w:p>
    <w:p w14:paraId="0DC4AD25" w14:textId="77777777" w:rsidR="008D059D" w:rsidRPr="00C957BF" w:rsidRDefault="008D059D" w:rsidP="00E24B5E">
      <w:pPr>
        <w:ind w:left="168"/>
        <w:rPr>
          <w:sz w:val="24"/>
          <w:szCs w:val="24"/>
        </w:rPr>
      </w:pPr>
      <w:r>
        <w:rPr>
          <w:sz w:val="24"/>
          <w:szCs w:val="24"/>
        </w:rPr>
        <w:t>b) Do you feel your teaching practice has been affected because of taking part in the first interview?</w:t>
      </w:r>
    </w:p>
    <w:p w14:paraId="4D331153" w14:textId="77777777" w:rsidR="008D059D" w:rsidRDefault="008D059D">
      <w:pPr>
        <w:rPr>
          <w:sz w:val="24"/>
          <w:szCs w:val="24"/>
        </w:rPr>
      </w:pPr>
    </w:p>
    <w:p w14:paraId="3B2C6F6D" w14:textId="77777777" w:rsidR="008D059D" w:rsidRDefault="008D059D">
      <w:pPr>
        <w:rPr>
          <w:sz w:val="24"/>
          <w:szCs w:val="24"/>
        </w:rPr>
      </w:pPr>
    </w:p>
    <w:p w14:paraId="32BB6D02" w14:textId="77777777" w:rsidR="008D059D" w:rsidRDefault="008D059D">
      <w:pPr>
        <w:rPr>
          <w:sz w:val="24"/>
          <w:szCs w:val="24"/>
        </w:rPr>
      </w:pPr>
      <w:r>
        <w:rPr>
          <w:sz w:val="24"/>
          <w:szCs w:val="24"/>
        </w:rPr>
        <w:t xml:space="preserve"> </w:t>
      </w:r>
    </w:p>
    <w:p w14:paraId="5B51B958" w14:textId="77777777" w:rsidR="008D059D" w:rsidRDefault="008D059D">
      <w:pPr>
        <w:rPr>
          <w:sz w:val="24"/>
          <w:szCs w:val="24"/>
        </w:rPr>
      </w:pPr>
    </w:p>
    <w:p w14:paraId="69405A14" w14:textId="77777777" w:rsidR="008D059D" w:rsidRPr="004C067D" w:rsidRDefault="008D059D">
      <w:pPr>
        <w:rPr>
          <w:sz w:val="24"/>
          <w:szCs w:val="24"/>
        </w:rPr>
      </w:pPr>
    </w:p>
    <w:p w14:paraId="11AFAB88" w14:textId="77777777" w:rsidR="008D059D" w:rsidRDefault="008D059D" w:rsidP="00A02C88">
      <w:pPr>
        <w:rPr>
          <w:rFonts w:ascii="Calibri" w:hAnsi="Calibri" w:cs="Calibri"/>
          <w:sz w:val="24"/>
          <w:szCs w:val="24"/>
        </w:rPr>
      </w:pPr>
    </w:p>
    <w:p w14:paraId="401483E2" w14:textId="77777777" w:rsidR="00C876B8" w:rsidRDefault="00C876B8" w:rsidP="00A02C88">
      <w:pPr>
        <w:rPr>
          <w:rFonts w:ascii="Calibri" w:hAnsi="Calibri" w:cs="Calibri"/>
          <w:sz w:val="24"/>
          <w:szCs w:val="24"/>
        </w:rPr>
      </w:pPr>
    </w:p>
    <w:p w14:paraId="3C96EBF8" w14:textId="77777777" w:rsidR="00334CEA" w:rsidRDefault="00334CEA" w:rsidP="00A02C88">
      <w:pPr>
        <w:rPr>
          <w:rFonts w:ascii="Calibri" w:hAnsi="Calibri" w:cs="Calibri"/>
          <w:sz w:val="24"/>
          <w:szCs w:val="24"/>
        </w:rPr>
      </w:pPr>
    </w:p>
    <w:p w14:paraId="38C8DF28" w14:textId="77777777" w:rsidR="00334CEA" w:rsidRDefault="00334CEA" w:rsidP="00A02C88">
      <w:pPr>
        <w:rPr>
          <w:rFonts w:ascii="Calibri" w:hAnsi="Calibri" w:cs="Calibri"/>
          <w:sz w:val="24"/>
          <w:szCs w:val="24"/>
        </w:rPr>
      </w:pPr>
    </w:p>
    <w:p w14:paraId="7F15EBEC" w14:textId="77777777" w:rsidR="00334CEA" w:rsidRDefault="00334CEA" w:rsidP="00A02C88">
      <w:pPr>
        <w:rPr>
          <w:rFonts w:ascii="Calibri" w:hAnsi="Calibri" w:cs="Calibri"/>
          <w:sz w:val="24"/>
          <w:szCs w:val="24"/>
        </w:rPr>
      </w:pPr>
    </w:p>
    <w:p w14:paraId="769E056A" w14:textId="77777777" w:rsidR="00334CEA" w:rsidRDefault="00334CEA" w:rsidP="00A02C88">
      <w:pPr>
        <w:rPr>
          <w:rFonts w:ascii="Calibri" w:hAnsi="Calibri" w:cs="Calibri"/>
          <w:sz w:val="24"/>
          <w:szCs w:val="24"/>
        </w:rPr>
      </w:pPr>
    </w:p>
    <w:p w14:paraId="40D06EA9" w14:textId="77777777" w:rsidR="00334CEA" w:rsidRDefault="00334CEA" w:rsidP="00A02C88">
      <w:pPr>
        <w:rPr>
          <w:rFonts w:ascii="Calibri" w:hAnsi="Calibri" w:cs="Calibri"/>
          <w:sz w:val="24"/>
          <w:szCs w:val="24"/>
        </w:rPr>
      </w:pPr>
    </w:p>
    <w:p w14:paraId="7970271D" w14:textId="77777777" w:rsidR="00334CEA" w:rsidRDefault="00334CEA" w:rsidP="00A02C88">
      <w:pPr>
        <w:rPr>
          <w:rFonts w:ascii="Calibri" w:hAnsi="Calibri" w:cs="Calibri"/>
          <w:sz w:val="24"/>
          <w:szCs w:val="24"/>
        </w:rPr>
      </w:pPr>
    </w:p>
    <w:p w14:paraId="3FA53AC2" w14:textId="77777777" w:rsidR="00334CEA" w:rsidRDefault="00334CEA" w:rsidP="00A02C88">
      <w:pPr>
        <w:rPr>
          <w:rFonts w:ascii="Calibri" w:hAnsi="Calibri" w:cs="Calibri"/>
          <w:sz w:val="24"/>
          <w:szCs w:val="24"/>
        </w:rPr>
      </w:pPr>
    </w:p>
    <w:p w14:paraId="6D6F5504" w14:textId="77777777" w:rsidR="00334CEA" w:rsidRDefault="00334CEA" w:rsidP="00A02C88">
      <w:pPr>
        <w:rPr>
          <w:rFonts w:ascii="Calibri" w:hAnsi="Calibri" w:cs="Calibri"/>
          <w:sz w:val="24"/>
          <w:szCs w:val="24"/>
        </w:rPr>
      </w:pPr>
    </w:p>
    <w:p w14:paraId="7C9E34B5" w14:textId="77777777" w:rsidR="00334CEA" w:rsidRDefault="00334CEA" w:rsidP="00A02C88">
      <w:pPr>
        <w:rPr>
          <w:rFonts w:ascii="Calibri" w:hAnsi="Calibri" w:cs="Calibri"/>
          <w:sz w:val="24"/>
          <w:szCs w:val="24"/>
        </w:rPr>
      </w:pPr>
    </w:p>
    <w:p w14:paraId="083346CE" w14:textId="77777777" w:rsidR="00CA1718" w:rsidRDefault="00CA1718" w:rsidP="00A02C88">
      <w:pPr>
        <w:rPr>
          <w:rFonts w:ascii="Calibri" w:hAnsi="Calibri" w:cs="Calibri"/>
          <w:sz w:val="24"/>
          <w:szCs w:val="24"/>
        </w:rPr>
      </w:pPr>
    </w:p>
    <w:p w14:paraId="74FC2094" w14:textId="77777777" w:rsidR="00CA1718" w:rsidRDefault="00CA1718" w:rsidP="00A02C88">
      <w:pPr>
        <w:rPr>
          <w:rFonts w:ascii="Calibri" w:hAnsi="Calibri" w:cs="Calibri"/>
          <w:sz w:val="24"/>
          <w:szCs w:val="24"/>
        </w:rPr>
      </w:pPr>
    </w:p>
    <w:p w14:paraId="0C288142" w14:textId="77777777" w:rsidR="00CA1718" w:rsidRDefault="00CA1718" w:rsidP="00A02C88">
      <w:pPr>
        <w:rPr>
          <w:rFonts w:ascii="Calibri" w:hAnsi="Calibri" w:cs="Calibri"/>
          <w:sz w:val="24"/>
          <w:szCs w:val="24"/>
        </w:rPr>
      </w:pPr>
    </w:p>
    <w:p w14:paraId="5905BDB9" w14:textId="77777777" w:rsidR="002F1CA2" w:rsidRDefault="002F1CA2" w:rsidP="00A02C88">
      <w:pPr>
        <w:rPr>
          <w:rFonts w:ascii="Calibri" w:hAnsi="Calibri" w:cs="Calibri"/>
          <w:sz w:val="24"/>
          <w:szCs w:val="24"/>
        </w:rPr>
      </w:pPr>
    </w:p>
    <w:p w14:paraId="09F4FE8E" w14:textId="77777777" w:rsidR="001761C3" w:rsidRDefault="001761C3" w:rsidP="00A02C88">
      <w:pPr>
        <w:rPr>
          <w:rFonts w:ascii="Calibri" w:hAnsi="Calibri" w:cs="Calibri"/>
          <w:sz w:val="24"/>
          <w:szCs w:val="24"/>
        </w:rPr>
      </w:pPr>
    </w:p>
    <w:p w14:paraId="64149C37" w14:textId="77777777" w:rsidR="00334CEA" w:rsidRDefault="00334CEA" w:rsidP="00A02C88">
      <w:pPr>
        <w:rPr>
          <w:rFonts w:ascii="Calibri" w:hAnsi="Calibri" w:cs="Calibri"/>
          <w:sz w:val="24"/>
          <w:szCs w:val="24"/>
        </w:rPr>
      </w:pPr>
    </w:p>
    <w:p w14:paraId="786EB2C9" w14:textId="77777777" w:rsidR="00CC3B45" w:rsidRDefault="00CC3B45" w:rsidP="00CC3B45">
      <w:pPr>
        <w:rPr>
          <w:rFonts w:ascii="Calibri" w:hAnsi="Calibri" w:cs="Calibri"/>
          <w:sz w:val="24"/>
          <w:szCs w:val="24"/>
        </w:rPr>
      </w:pPr>
      <w:bookmarkStart w:id="108" w:name="_Hlk116207367"/>
    </w:p>
    <w:p w14:paraId="3DD158C6" w14:textId="3C6B38CC" w:rsidR="00384B08" w:rsidRPr="00BF2059" w:rsidRDefault="00384B08" w:rsidP="005E4D89">
      <w:pPr>
        <w:ind w:left="3600"/>
        <w:rPr>
          <w:b/>
          <w:bCs/>
          <w:sz w:val="24"/>
          <w:szCs w:val="24"/>
        </w:rPr>
      </w:pPr>
      <w:r w:rsidRPr="00BF2059">
        <w:rPr>
          <w:b/>
          <w:bCs/>
          <w:sz w:val="24"/>
          <w:szCs w:val="24"/>
        </w:rPr>
        <w:lastRenderedPageBreak/>
        <w:t>Appendix D</w:t>
      </w:r>
    </w:p>
    <w:p w14:paraId="0823E694" w14:textId="77777777" w:rsidR="00384B08" w:rsidRDefault="00384B08" w:rsidP="00BE5537">
      <w:pPr>
        <w:rPr>
          <w:b/>
          <w:bCs/>
          <w:sz w:val="24"/>
          <w:szCs w:val="24"/>
          <w:u w:val="single"/>
        </w:rPr>
      </w:pPr>
    </w:p>
    <w:p w14:paraId="6DB6D862" w14:textId="23477A19" w:rsidR="00334CEA" w:rsidRPr="00BE5537" w:rsidRDefault="00334CEA" w:rsidP="00BE5537">
      <w:pPr>
        <w:rPr>
          <w:b/>
          <w:bCs/>
          <w:sz w:val="24"/>
          <w:szCs w:val="24"/>
          <w:u w:val="single"/>
        </w:rPr>
      </w:pPr>
      <w:r w:rsidRPr="00BE5537">
        <w:rPr>
          <w:b/>
          <w:bCs/>
          <w:sz w:val="24"/>
          <w:szCs w:val="24"/>
          <w:u w:val="single"/>
        </w:rPr>
        <w:t>Suzanne Schultz Student Number: 200192565</w:t>
      </w:r>
    </w:p>
    <w:p w14:paraId="1A980F15" w14:textId="77777777" w:rsidR="00334CEA" w:rsidRPr="00BE5537" w:rsidRDefault="00334CEA">
      <w:pPr>
        <w:rPr>
          <w:b/>
          <w:bCs/>
          <w:sz w:val="24"/>
          <w:szCs w:val="24"/>
          <w:u w:val="single"/>
        </w:rPr>
      </w:pPr>
      <w:r w:rsidRPr="00BE5537">
        <w:rPr>
          <w:b/>
          <w:bCs/>
          <w:sz w:val="24"/>
          <w:szCs w:val="24"/>
          <w:u w:val="single"/>
        </w:rPr>
        <w:t>Participant Information Sheet</w:t>
      </w:r>
    </w:p>
    <w:bookmarkEnd w:id="108"/>
    <w:p w14:paraId="56874642" w14:textId="77777777" w:rsidR="00334CEA" w:rsidRPr="002B3E90" w:rsidRDefault="00334CEA" w:rsidP="002B3E90">
      <w:pPr>
        <w:rPr>
          <w:b/>
          <w:bCs/>
          <w:sz w:val="24"/>
          <w:szCs w:val="24"/>
          <w:u w:val="single"/>
        </w:rPr>
      </w:pPr>
      <w:r w:rsidRPr="002B3E90">
        <w:rPr>
          <w:b/>
          <w:bCs/>
          <w:sz w:val="24"/>
          <w:szCs w:val="24"/>
          <w:u w:val="single"/>
        </w:rPr>
        <w:t xml:space="preserve">Out of the Shadows: Shining a light on HE teachers’ experiences of emotions and reflective practice </w:t>
      </w:r>
    </w:p>
    <w:p w14:paraId="1E9F4392" w14:textId="77777777" w:rsidR="00334CEA" w:rsidRDefault="00334CEA">
      <w:pPr>
        <w:rPr>
          <w:sz w:val="24"/>
          <w:szCs w:val="24"/>
        </w:rPr>
      </w:pPr>
      <w:r>
        <w:rPr>
          <w:sz w:val="24"/>
          <w:szCs w:val="24"/>
        </w:rPr>
        <w:t xml:space="preserve">You are being invited to take part in two semi structured interviews with a narrative focus related to an EdD research project entitled </w:t>
      </w:r>
      <w:r w:rsidRPr="00730CA5">
        <w:rPr>
          <w:i/>
          <w:iCs/>
          <w:sz w:val="24"/>
          <w:szCs w:val="24"/>
        </w:rPr>
        <w:t>‘</w:t>
      </w:r>
      <w:r>
        <w:rPr>
          <w:i/>
          <w:iCs/>
          <w:sz w:val="24"/>
          <w:szCs w:val="24"/>
        </w:rPr>
        <w:t>Once More with Feeling</w:t>
      </w:r>
      <w:r w:rsidRPr="00730CA5">
        <w:rPr>
          <w:i/>
          <w:iCs/>
          <w:sz w:val="24"/>
          <w:szCs w:val="24"/>
        </w:rPr>
        <w:t>: A</w:t>
      </w:r>
      <w:r>
        <w:rPr>
          <w:i/>
          <w:iCs/>
          <w:sz w:val="24"/>
          <w:szCs w:val="24"/>
        </w:rPr>
        <w:t>n</w:t>
      </w:r>
      <w:r w:rsidRPr="00730CA5">
        <w:rPr>
          <w:i/>
          <w:iCs/>
          <w:sz w:val="24"/>
          <w:szCs w:val="24"/>
        </w:rPr>
        <w:t xml:space="preserve"> exploration of teacher</w:t>
      </w:r>
      <w:r>
        <w:rPr>
          <w:i/>
          <w:iCs/>
          <w:sz w:val="24"/>
          <w:szCs w:val="24"/>
        </w:rPr>
        <w:t>’s emotions in the course of their teacher training, and teaching practice</w:t>
      </w:r>
      <w:r w:rsidRPr="00730CA5">
        <w:rPr>
          <w:i/>
          <w:iCs/>
          <w:sz w:val="24"/>
          <w:szCs w:val="24"/>
        </w:rPr>
        <w:t>’</w:t>
      </w:r>
      <w:r>
        <w:rPr>
          <w:sz w:val="24"/>
          <w:szCs w:val="24"/>
        </w:rPr>
        <w:t xml:space="preserve">. Before you decide whether to participate, it is important for you to understand why the research is being done and what it will involve. Feel free to ask me if there is anything you do not understand, or if you would like more information prior to deciding to take part in the research. I can be contacted by email at </w:t>
      </w:r>
      <w:hyperlink r:id="rId496" w:history="1">
        <w:r w:rsidRPr="00B00577">
          <w:rPr>
            <w:rStyle w:val="Hyperlink"/>
            <w:sz w:val="24"/>
            <w:szCs w:val="24"/>
          </w:rPr>
          <w:t>sdschultz1@sheffield.ac.uk</w:t>
        </w:r>
      </w:hyperlink>
      <w:r>
        <w:rPr>
          <w:sz w:val="24"/>
          <w:szCs w:val="24"/>
        </w:rPr>
        <w:t xml:space="preserve">.  </w:t>
      </w:r>
    </w:p>
    <w:p w14:paraId="5EEFF99A" w14:textId="77777777" w:rsidR="00334CEA" w:rsidRDefault="00334CEA">
      <w:pPr>
        <w:rPr>
          <w:sz w:val="24"/>
          <w:szCs w:val="24"/>
        </w:rPr>
      </w:pPr>
      <w:r>
        <w:rPr>
          <w:sz w:val="24"/>
          <w:szCs w:val="24"/>
        </w:rPr>
        <w:t>The research project contains terms that may be unfamiliar to participants, and I am mindful at the outset as an ethic of care (Noddings, 2002) to include a brief glossary of terms as follows:</w:t>
      </w:r>
    </w:p>
    <w:p w14:paraId="37476050" w14:textId="7A47BF6C" w:rsidR="00334CEA" w:rsidRDefault="00334CEA">
      <w:pPr>
        <w:rPr>
          <w:sz w:val="24"/>
          <w:szCs w:val="24"/>
        </w:rPr>
      </w:pPr>
      <w:r>
        <w:rPr>
          <w:sz w:val="24"/>
          <w:szCs w:val="24"/>
        </w:rPr>
        <w:t>Holding (Winnicott, 1965</w:t>
      </w:r>
      <w:r w:rsidR="00992199">
        <w:rPr>
          <w:sz w:val="24"/>
          <w:szCs w:val="24"/>
        </w:rPr>
        <w:t>, pp.43-44</w:t>
      </w:r>
      <w:r>
        <w:rPr>
          <w:sz w:val="24"/>
          <w:szCs w:val="24"/>
        </w:rPr>
        <w:t>): A supportive process that creates the conditions for growth and development to occur.</w:t>
      </w:r>
    </w:p>
    <w:p w14:paraId="4846AEF5" w14:textId="77777777" w:rsidR="00334CEA" w:rsidRDefault="00334CEA">
      <w:pPr>
        <w:rPr>
          <w:sz w:val="24"/>
          <w:szCs w:val="24"/>
        </w:rPr>
      </w:pPr>
      <w:r>
        <w:rPr>
          <w:sz w:val="24"/>
          <w:szCs w:val="24"/>
        </w:rPr>
        <w:t>Social and Emotional Learning (SEL): An educational method that aims to foster social, emotional, and relational skills.</w:t>
      </w:r>
    </w:p>
    <w:p w14:paraId="5AB2DB4C" w14:textId="77777777" w:rsidR="00334CEA" w:rsidRDefault="00334CEA">
      <w:pPr>
        <w:rPr>
          <w:sz w:val="24"/>
          <w:szCs w:val="24"/>
        </w:rPr>
      </w:pPr>
      <w:r>
        <w:rPr>
          <w:sz w:val="24"/>
          <w:szCs w:val="24"/>
        </w:rPr>
        <w:t>Teacher affect: The attitudes, emotions and values embodied by the teacher.</w:t>
      </w:r>
    </w:p>
    <w:p w14:paraId="353F109F" w14:textId="77777777" w:rsidR="00334CEA" w:rsidRDefault="00334CEA">
      <w:pPr>
        <w:rPr>
          <w:sz w:val="24"/>
          <w:szCs w:val="24"/>
        </w:rPr>
      </w:pPr>
    </w:p>
    <w:p w14:paraId="4F6D652C" w14:textId="77777777" w:rsidR="00334CEA" w:rsidRDefault="00334CEA">
      <w:pPr>
        <w:rPr>
          <w:sz w:val="24"/>
          <w:szCs w:val="24"/>
        </w:rPr>
      </w:pPr>
      <w:r>
        <w:rPr>
          <w:sz w:val="24"/>
          <w:szCs w:val="24"/>
        </w:rPr>
        <w:t>Thank you for taking the time to read this information sheet.</w:t>
      </w:r>
    </w:p>
    <w:p w14:paraId="32CF38C7" w14:textId="77777777" w:rsidR="00334CEA" w:rsidRDefault="00334CEA">
      <w:pPr>
        <w:rPr>
          <w:sz w:val="24"/>
          <w:szCs w:val="24"/>
        </w:rPr>
      </w:pPr>
    </w:p>
    <w:p w14:paraId="52C2046E" w14:textId="77777777" w:rsidR="00334CEA" w:rsidRPr="00837DD6" w:rsidRDefault="00334CEA">
      <w:pPr>
        <w:rPr>
          <w:b/>
          <w:bCs/>
          <w:sz w:val="24"/>
          <w:szCs w:val="24"/>
          <w:u w:val="single"/>
        </w:rPr>
      </w:pPr>
      <w:r w:rsidRPr="00A2043B">
        <w:rPr>
          <w:b/>
          <w:bCs/>
          <w:sz w:val="24"/>
          <w:szCs w:val="24"/>
        </w:rPr>
        <w:t xml:space="preserve">Research Project title: </w:t>
      </w:r>
      <w:r w:rsidRPr="00837DD6">
        <w:rPr>
          <w:b/>
          <w:bCs/>
          <w:sz w:val="24"/>
          <w:szCs w:val="24"/>
        </w:rPr>
        <w:t>Out of the Shadows: Shining a light on HE teachers’ experiences of emotions and reflective practice</w:t>
      </w:r>
      <w:r w:rsidRPr="00837DD6">
        <w:rPr>
          <w:b/>
          <w:bCs/>
          <w:sz w:val="24"/>
          <w:szCs w:val="24"/>
          <w:u w:val="single"/>
        </w:rPr>
        <w:t xml:space="preserve"> </w:t>
      </w:r>
    </w:p>
    <w:p w14:paraId="7830DD81" w14:textId="77777777" w:rsidR="00334CEA" w:rsidRPr="00A2043B" w:rsidRDefault="00334CEA">
      <w:pPr>
        <w:rPr>
          <w:b/>
          <w:bCs/>
          <w:sz w:val="24"/>
          <w:szCs w:val="24"/>
        </w:rPr>
      </w:pPr>
      <w:r w:rsidRPr="00A2043B">
        <w:rPr>
          <w:b/>
          <w:bCs/>
          <w:sz w:val="24"/>
          <w:szCs w:val="24"/>
        </w:rPr>
        <w:t>1. What is the purpose of this research?</w:t>
      </w:r>
    </w:p>
    <w:p w14:paraId="05AE8D23" w14:textId="77777777" w:rsidR="00334CEA" w:rsidRDefault="00334CEA">
      <w:pPr>
        <w:rPr>
          <w:sz w:val="24"/>
          <w:szCs w:val="24"/>
        </w:rPr>
      </w:pPr>
      <w:r>
        <w:rPr>
          <w:sz w:val="24"/>
          <w:szCs w:val="24"/>
        </w:rPr>
        <w:t>I am an EdD student with a background in psychotherapy and am interested in researching how teaching and learning are deeply emotional practices for teachers and students. One of my interests is the concept of “holding” (Winnicott, 1965, p.44) which I understand in a teaching context to mean the provision of an emotionally supportive, enabling and facilitating environment for growth and learning to occur. I identified a gap in the literature appertaining to care for teachers ‘affect and the holding provision in their teacher education and I wish to forge new understanding through and with the perspectives of teachers who have recently completed a postgraduate qualification in teaching.</w:t>
      </w:r>
    </w:p>
    <w:p w14:paraId="14692127" w14:textId="77777777" w:rsidR="00334CEA" w:rsidRDefault="00334CEA">
      <w:pPr>
        <w:rPr>
          <w:sz w:val="24"/>
          <w:szCs w:val="24"/>
        </w:rPr>
      </w:pPr>
      <w:r w:rsidRPr="00A55531">
        <w:rPr>
          <w:sz w:val="24"/>
          <w:szCs w:val="24"/>
        </w:rPr>
        <w:lastRenderedPageBreak/>
        <w:t>The study aims to contribute to pedagogic dialogue and research by gathering knowledge and experiences of teacher</w:t>
      </w:r>
      <w:r>
        <w:rPr>
          <w:sz w:val="24"/>
          <w:szCs w:val="24"/>
        </w:rPr>
        <w:t xml:space="preserve"> experiences of their emotions by </w:t>
      </w:r>
      <w:r w:rsidRPr="00A55531">
        <w:rPr>
          <w:sz w:val="24"/>
          <w:szCs w:val="24"/>
        </w:rPr>
        <w:t>explor</w:t>
      </w:r>
      <w:r>
        <w:rPr>
          <w:sz w:val="24"/>
          <w:szCs w:val="24"/>
        </w:rPr>
        <w:t>ing</w:t>
      </w:r>
      <w:r w:rsidRPr="00A55531">
        <w:rPr>
          <w:sz w:val="24"/>
          <w:szCs w:val="24"/>
        </w:rPr>
        <w:t xml:space="preserve"> how participants engage and interact with their own </w:t>
      </w:r>
      <w:r>
        <w:rPr>
          <w:sz w:val="24"/>
          <w:szCs w:val="24"/>
        </w:rPr>
        <w:t>emotions</w:t>
      </w:r>
      <w:r w:rsidRPr="00A55531">
        <w:rPr>
          <w:sz w:val="24"/>
          <w:szCs w:val="24"/>
        </w:rPr>
        <w:t xml:space="preserve"> and th</w:t>
      </w:r>
      <w:r>
        <w:rPr>
          <w:sz w:val="24"/>
          <w:szCs w:val="24"/>
        </w:rPr>
        <w:t>ose</w:t>
      </w:r>
      <w:r w:rsidRPr="00A55531">
        <w:rPr>
          <w:sz w:val="24"/>
          <w:szCs w:val="24"/>
        </w:rPr>
        <w:t xml:space="preserve"> of their students. </w:t>
      </w:r>
      <w:r>
        <w:rPr>
          <w:sz w:val="24"/>
          <w:szCs w:val="24"/>
        </w:rPr>
        <w:t xml:space="preserve">I will also be exploring whether reflective practice as a process can help teachers with difficult affect experiences in their teaching praxis.  </w:t>
      </w:r>
      <w:r w:rsidRPr="00A55531">
        <w:rPr>
          <w:sz w:val="24"/>
          <w:szCs w:val="24"/>
        </w:rPr>
        <w:t>The aim is to better understand the connections between teachers own emotions as teachers and learners, and the passing forward of that affect knowledge to their teaching praxis</w:t>
      </w:r>
      <w:r>
        <w:rPr>
          <w:sz w:val="24"/>
          <w:szCs w:val="24"/>
        </w:rPr>
        <w:t xml:space="preserve"> with the hope that my findings will contribute to future scholarship in pedagogy, in particular to teacher education and training programmes.</w:t>
      </w:r>
    </w:p>
    <w:p w14:paraId="202999CE" w14:textId="77777777" w:rsidR="00334CEA" w:rsidRDefault="00334CEA">
      <w:pPr>
        <w:rPr>
          <w:sz w:val="24"/>
          <w:szCs w:val="24"/>
        </w:rPr>
      </w:pPr>
      <w:r>
        <w:rPr>
          <w:sz w:val="24"/>
          <w:szCs w:val="24"/>
        </w:rPr>
        <w:t xml:space="preserve">The research study will begin in April 2023 with the aim of completion of the methods and data gathering by December 2023. I will be using the data for research purposes only and for the completion of my EdD research project. Semi structured interviews with a narrative focus will take place on the online platform Google Meet. </w:t>
      </w:r>
    </w:p>
    <w:p w14:paraId="76FE35FF" w14:textId="77777777" w:rsidR="00334CEA" w:rsidRPr="00A2043B" w:rsidRDefault="00334CEA">
      <w:pPr>
        <w:rPr>
          <w:b/>
          <w:bCs/>
          <w:sz w:val="24"/>
          <w:szCs w:val="24"/>
        </w:rPr>
      </w:pPr>
      <w:r w:rsidRPr="00A2043B">
        <w:rPr>
          <w:b/>
          <w:bCs/>
          <w:sz w:val="24"/>
          <w:szCs w:val="24"/>
        </w:rPr>
        <w:t>2. Why you have been chosen?</w:t>
      </w:r>
    </w:p>
    <w:p w14:paraId="116A6064" w14:textId="77777777" w:rsidR="00334CEA" w:rsidRDefault="00334CEA">
      <w:pPr>
        <w:rPr>
          <w:sz w:val="24"/>
          <w:szCs w:val="24"/>
        </w:rPr>
      </w:pPr>
      <w:r>
        <w:rPr>
          <w:sz w:val="24"/>
          <w:szCs w:val="24"/>
        </w:rPr>
        <w:t xml:space="preserve">I wish to garner the lived stories of teachers who have completed a teacher training to participate in semi-structured interviews with a narrative focus, and you are being asked to participate because you are a graduate of a teacher training programme at a university. I will be selecting participants based on a representative mix of gender, academic age (the time in years spent teaching), and subject/s taught by the participant. </w:t>
      </w:r>
    </w:p>
    <w:p w14:paraId="39008D68" w14:textId="77777777" w:rsidR="00334CEA" w:rsidRPr="00A2043B" w:rsidRDefault="00334CEA">
      <w:pPr>
        <w:rPr>
          <w:b/>
          <w:bCs/>
          <w:sz w:val="24"/>
          <w:szCs w:val="24"/>
        </w:rPr>
      </w:pPr>
      <w:r w:rsidRPr="00A2043B">
        <w:rPr>
          <w:b/>
          <w:bCs/>
          <w:sz w:val="24"/>
          <w:szCs w:val="24"/>
        </w:rPr>
        <w:t>3. Do you have to take part?</w:t>
      </w:r>
    </w:p>
    <w:p w14:paraId="653DA7A5" w14:textId="77777777" w:rsidR="00334CEA" w:rsidRDefault="00334CEA">
      <w:pPr>
        <w:rPr>
          <w:sz w:val="24"/>
          <w:szCs w:val="24"/>
        </w:rPr>
      </w:pPr>
      <w:r>
        <w:rPr>
          <w:sz w:val="24"/>
          <w:szCs w:val="24"/>
        </w:rPr>
        <w:t>Taking part in the research is entirely voluntary and if you do not wish to take part, there will be no negative consequences. You may discontinue participation at any time, and you do not have to give a reason for withdrawal. It is worthy of note that there is a point at which it will not be possible for participants’ data to be withdrawn from the research and whilst you can withdraw from any ongoing or future data collection, your data cannot be removed from the study beyond this point. I would anticipate that your data will be included in the research study/thesis write up from September 2023 to July 2024, although the end date may be extended further for another academic year. All data, including audio recordings and transcriptions of the semi-structured interviews with a narrative focus will be anonymized and you are invited to provide me with a pseudonym you wish to be used.</w:t>
      </w:r>
    </w:p>
    <w:p w14:paraId="09554F1E" w14:textId="77777777" w:rsidR="00334CEA" w:rsidRDefault="00334CEA">
      <w:pPr>
        <w:rPr>
          <w:sz w:val="24"/>
          <w:szCs w:val="24"/>
        </w:rPr>
      </w:pPr>
      <w:r>
        <w:rPr>
          <w:sz w:val="24"/>
          <w:szCs w:val="24"/>
        </w:rPr>
        <w:t xml:space="preserve">If you decide to take part in this research, you will be given this participant information sheet to keep and be asked to sign a consent form. I will send out a brief questionnaire asking for your name, email address, preferred time/day for an interview and academic age, gender, and the subject you teach and will contact you to arrange our first interview at a mutually convenient time. The interviews will be conducted via the online platform of Google Meet. As mentioned in the introduction, should you have any questions about the research and your participation in it, please contact me by email to arrange a conversation: </w:t>
      </w:r>
      <w:hyperlink r:id="rId497" w:history="1">
        <w:r w:rsidRPr="00B07357">
          <w:rPr>
            <w:rStyle w:val="Hyperlink"/>
            <w:sz w:val="24"/>
            <w:szCs w:val="24"/>
          </w:rPr>
          <w:t>sdschultz1@sheffield.ac.uk</w:t>
        </w:r>
      </w:hyperlink>
      <w:r>
        <w:rPr>
          <w:sz w:val="24"/>
          <w:szCs w:val="24"/>
        </w:rPr>
        <w:t xml:space="preserve">  A list of indicative interview questions and the research questions I am exploring in my research will be sent to you upon return of the consent form and the brief questionnaire prior to commencement of the interviews. </w:t>
      </w:r>
    </w:p>
    <w:p w14:paraId="28C8F423" w14:textId="77777777" w:rsidR="00334CEA" w:rsidRDefault="00334CEA">
      <w:pPr>
        <w:rPr>
          <w:sz w:val="24"/>
          <w:szCs w:val="24"/>
        </w:rPr>
      </w:pPr>
      <w:r>
        <w:rPr>
          <w:sz w:val="24"/>
          <w:szCs w:val="24"/>
        </w:rPr>
        <w:t>By participating in the research, you are not entering into any formal contract of employment, nor is it intended to create an employment relationship between you and the University of Sheffield. Further guidance from HR on this issue can be found here:</w:t>
      </w:r>
    </w:p>
    <w:p w14:paraId="404AAC12" w14:textId="77777777" w:rsidR="00334CEA" w:rsidRDefault="00334CEA">
      <w:pPr>
        <w:rPr>
          <w:sz w:val="24"/>
          <w:szCs w:val="24"/>
        </w:rPr>
      </w:pPr>
      <w:hyperlink r:id="rId498" w:history="1">
        <w:r w:rsidRPr="00B00577">
          <w:rPr>
            <w:rStyle w:val="Hyperlink"/>
            <w:sz w:val="24"/>
            <w:szCs w:val="24"/>
          </w:rPr>
          <w:t>https://www.sheffield.ac.uk/hr/guidance/contracts/volunteers</w:t>
        </w:r>
      </w:hyperlink>
      <w:r>
        <w:rPr>
          <w:sz w:val="24"/>
          <w:szCs w:val="24"/>
        </w:rPr>
        <w:t xml:space="preserve"> </w:t>
      </w:r>
    </w:p>
    <w:p w14:paraId="0BB801B7" w14:textId="77777777" w:rsidR="00334CEA" w:rsidRDefault="00334CEA">
      <w:pPr>
        <w:rPr>
          <w:sz w:val="24"/>
          <w:szCs w:val="24"/>
        </w:rPr>
      </w:pPr>
      <w:r w:rsidRPr="00A2043B">
        <w:rPr>
          <w:b/>
          <w:bCs/>
          <w:sz w:val="24"/>
          <w:szCs w:val="24"/>
        </w:rPr>
        <w:t>4. What will happen if I take part? What do I have to do</w:t>
      </w:r>
      <w:r>
        <w:rPr>
          <w:sz w:val="24"/>
          <w:szCs w:val="24"/>
        </w:rPr>
        <w:t xml:space="preserve">? </w:t>
      </w:r>
    </w:p>
    <w:p w14:paraId="2D266E6C" w14:textId="77777777" w:rsidR="00334CEA" w:rsidRDefault="00334CEA" w:rsidP="000E194D">
      <w:pPr>
        <w:rPr>
          <w:sz w:val="24"/>
          <w:szCs w:val="24"/>
        </w:rPr>
      </w:pPr>
      <w:r>
        <w:rPr>
          <w:sz w:val="24"/>
          <w:szCs w:val="24"/>
        </w:rPr>
        <w:t>Should you choose to take part in</w:t>
      </w:r>
      <w:r w:rsidRPr="000E194D">
        <w:rPr>
          <w:sz w:val="24"/>
          <w:szCs w:val="24"/>
        </w:rPr>
        <w:t xml:space="preserve"> </w:t>
      </w:r>
      <w:r>
        <w:rPr>
          <w:sz w:val="24"/>
          <w:szCs w:val="24"/>
        </w:rPr>
        <w:t xml:space="preserve">this research you will be invited to participate in </w:t>
      </w:r>
      <w:r w:rsidRPr="000E194D">
        <w:rPr>
          <w:sz w:val="24"/>
          <w:szCs w:val="24"/>
        </w:rPr>
        <w:t>two semi-structured interviews with a narrative focus</w:t>
      </w:r>
      <w:r>
        <w:rPr>
          <w:sz w:val="24"/>
          <w:szCs w:val="24"/>
        </w:rPr>
        <w:t>. I</w:t>
      </w:r>
      <w:r w:rsidRPr="000E194D">
        <w:rPr>
          <w:sz w:val="24"/>
          <w:szCs w:val="24"/>
        </w:rPr>
        <w:t xml:space="preserve">t is anticipated that the first interview will last up to </w:t>
      </w:r>
      <w:r>
        <w:rPr>
          <w:sz w:val="24"/>
          <w:szCs w:val="24"/>
        </w:rPr>
        <w:t>two</w:t>
      </w:r>
      <w:r w:rsidRPr="000E194D">
        <w:rPr>
          <w:sz w:val="24"/>
          <w:szCs w:val="24"/>
        </w:rPr>
        <w:t xml:space="preserve"> hours, </w:t>
      </w:r>
      <w:r>
        <w:rPr>
          <w:sz w:val="24"/>
          <w:szCs w:val="24"/>
        </w:rPr>
        <w:t>during which</w:t>
      </w:r>
      <w:r w:rsidRPr="000E194D">
        <w:rPr>
          <w:sz w:val="24"/>
          <w:szCs w:val="24"/>
        </w:rPr>
        <w:t xml:space="preserve"> </w:t>
      </w:r>
      <w:r>
        <w:rPr>
          <w:sz w:val="24"/>
          <w:szCs w:val="24"/>
        </w:rPr>
        <w:t>you are invited to explore and consider your teaching praxis/process from an emotional perspective. I shall potentially be referring to holding in the context of support mechanisms for your teaching and learning. A</w:t>
      </w:r>
      <w:r w:rsidRPr="000E194D">
        <w:rPr>
          <w:sz w:val="24"/>
          <w:szCs w:val="24"/>
        </w:rPr>
        <w:t xml:space="preserve">pproximately </w:t>
      </w:r>
      <w:r>
        <w:rPr>
          <w:sz w:val="24"/>
          <w:szCs w:val="24"/>
        </w:rPr>
        <w:t>two</w:t>
      </w:r>
      <w:r w:rsidRPr="000E194D">
        <w:rPr>
          <w:sz w:val="24"/>
          <w:szCs w:val="24"/>
        </w:rPr>
        <w:t xml:space="preserve"> to </w:t>
      </w:r>
      <w:r>
        <w:rPr>
          <w:sz w:val="24"/>
          <w:szCs w:val="24"/>
        </w:rPr>
        <w:t>four</w:t>
      </w:r>
      <w:r w:rsidRPr="000E194D">
        <w:rPr>
          <w:sz w:val="24"/>
          <w:szCs w:val="24"/>
        </w:rPr>
        <w:t xml:space="preserve"> weeks later a second interview will be conducted in which you will be invited to process your affect journey since participating in the original interview.</w:t>
      </w:r>
      <w:r>
        <w:rPr>
          <w:sz w:val="24"/>
          <w:szCs w:val="24"/>
        </w:rPr>
        <w:t xml:space="preserve"> Breaks during the interview process can be taken if required.</w:t>
      </w:r>
    </w:p>
    <w:p w14:paraId="3666EDC4" w14:textId="77777777" w:rsidR="00334CEA" w:rsidRDefault="00334CEA" w:rsidP="000E194D">
      <w:pPr>
        <w:rPr>
          <w:sz w:val="24"/>
          <w:szCs w:val="24"/>
        </w:rPr>
      </w:pPr>
      <w:r>
        <w:rPr>
          <w:sz w:val="24"/>
          <w:szCs w:val="24"/>
        </w:rPr>
        <w:t>Interviews will be of a semi structured nature with the purpose of exploring, discussing, and gathering your stories. To that end, open questions will be utilised although there may be the occasional closed question relating to factual information. An indicative interview schedule will be sent to you once the consent form and questionnaire are received by the researcher. As an indicator of the area of questioning in the interviews, I will be exploring your stories regarding your motivation for becoming a teacher, your thoughts on emotions and teaching and support mechanisms relevant to your teacher training and teaching practice.</w:t>
      </w:r>
    </w:p>
    <w:p w14:paraId="25BC4B73" w14:textId="77777777" w:rsidR="00334CEA" w:rsidRDefault="00334CEA">
      <w:pPr>
        <w:rPr>
          <w:sz w:val="24"/>
          <w:szCs w:val="24"/>
        </w:rPr>
      </w:pPr>
      <w:r>
        <w:rPr>
          <w:sz w:val="24"/>
          <w:szCs w:val="24"/>
        </w:rPr>
        <w:t xml:space="preserve">In order to ensure you are comfortable during the interview process, I will exercise an ethic of care (Noddings, 2002) and ask if there are any lifestyle restrictions prior to and during participation. I will signpost you to any support services should you experience distress or discomfort because of taking part in this research. The purpose of the second interview is to ensure that any processing of your lived experience as a teacher or learner is held and honoured. </w:t>
      </w:r>
    </w:p>
    <w:p w14:paraId="43A74D0C" w14:textId="77777777" w:rsidR="00334CEA" w:rsidRPr="00A2043B" w:rsidRDefault="00334CEA">
      <w:pPr>
        <w:rPr>
          <w:b/>
          <w:bCs/>
          <w:sz w:val="24"/>
          <w:szCs w:val="24"/>
        </w:rPr>
      </w:pPr>
      <w:r w:rsidRPr="00A2043B">
        <w:rPr>
          <w:b/>
          <w:bCs/>
          <w:sz w:val="24"/>
          <w:szCs w:val="24"/>
        </w:rPr>
        <w:t>5. Will the semi structured interviews be recorded, and how will the recordings be used?</w:t>
      </w:r>
    </w:p>
    <w:p w14:paraId="0443B023" w14:textId="77777777" w:rsidR="00334CEA" w:rsidRDefault="00334CEA">
      <w:pPr>
        <w:rPr>
          <w:sz w:val="24"/>
          <w:szCs w:val="24"/>
        </w:rPr>
      </w:pPr>
      <w:r>
        <w:rPr>
          <w:sz w:val="24"/>
          <w:szCs w:val="24"/>
        </w:rPr>
        <w:t>The semi structured interviews will be audio recorded. All audio recordings will go through a process of anonymisation, and each participant will have provided a pseudonym. Anonymized findings from the research will be shared in the impending thesis. No other use will be made of original data without your written permission, and no one outside this research project will be allowed access to the original recordings. The recordings will be kept until the data is fully transcribed and analysed. I anticipate that the recordings and transcriptions will be destroyed by July 2024.</w:t>
      </w:r>
    </w:p>
    <w:p w14:paraId="33C8DBF9" w14:textId="77777777" w:rsidR="00334CEA" w:rsidRDefault="00334CEA">
      <w:pPr>
        <w:rPr>
          <w:sz w:val="24"/>
          <w:szCs w:val="24"/>
        </w:rPr>
      </w:pPr>
      <w:r>
        <w:rPr>
          <w:sz w:val="24"/>
          <w:szCs w:val="24"/>
        </w:rPr>
        <w:t>The audio recordings of your interviews conducted during this research will be used only for analysis. No other use will be made of them without your permission, and no one outside of the project will be allowed to access to the original recordings. Once transcribed, you will be sent a written copy of the transcription to verify the content. Further information on the use of audio recordings is available at:</w:t>
      </w:r>
    </w:p>
    <w:bookmarkStart w:id="109" w:name="_Hlk117602978"/>
    <w:p w14:paraId="3BABAE35" w14:textId="77777777" w:rsidR="00334CEA" w:rsidRDefault="00334CEA">
      <w:pPr>
        <w:rPr>
          <w:sz w:val="24"/>
          <w:szCs w:val="24"/>
        </w:rPr>
      </w:pPr>
      <w:r>
        <w:rPr>
          <w:sz w:val="24"/>
          <w:szCs w:val="24"/>
        </w:rPr>
        <w:fldChar w:fldCharType="begin"/>
      </w:r>
      <w:r>
        <w:rPr>
          <w:sz w:val="24"/>
          <w:szCs w:val="24"/>
        </w:rPr>
        <w:instrText xml:space="preserve"> HYPERLINK "https://students.sheffield.ac.uk/research-services/ethics-integrity/policy/forms" </w:instrText>
      </w:r>
      <w:r>
        <w:rPr>
          <w:sz w:val="24"/>
          <w:szCs w:val="24"/>
        </w:rPr>
      </w:r>
      <w:r>
        <w:rPr>
          <w:sz w:val="24"/>
          <w:szCs w:val="24"/>
        </w:rPr>
        <w:fldChar w:fldCharType="separate"/>
      </w:r>
      <w:r w:rsidRPr="003B7725">
        <w:rPr>
          <w:rStyle w:val="Hyperlink"/>
          <w:sz w:val="24"/>
          <w:szCs w:val="24"/>
        </w:rPr>
        <w:t>https://students.sheffield.ac.uk/research-services/ethics-integrity/policy/forms</w:t>
      </w:r>
      <w:r>
        <w:rPr>
          <w:sz w:val="24"/>
          <w:szCs w:val="24"/>
        </w:rPr>
        <w:fldChar w:fldCharType="end"/>
      </w:r>
      <w:r>
        <w:rPr>
          <w:sz w:val="24"/>
          <w:szCs w:val="24"/>
        </w:rPr>
        <w:t xml:space="preserve"> </w:t>
      </w:r>
    </w:p>
    <w:bookmarkEnd w:id="109"/>
    <w:p w14:paraId="4446FD6C" w14:textId="77777777" w:rsidR="00334CEA" w:rsidRPr="00A2043B" w:rsidRDefault="00334CEA">
      <w:pPr>
        <w:rPr>
          <w:b/>
          <w:bCs/>
          <w:sz w:val="24"/>
          <w:szCs w:val="24"/>
        </w:rPr>
      </w:pPr>
      <w:r w:rsidRPr="00A2043B">
        <w:rPr>
          <w:b/>
          <w:bCs/>
          <w:sz w:val="24"/>
          <w:szCs w:val="24"/>
        </w:rPr>
        <w:t>6. What are the possible disadvantages and risks of taking part?</w:t>
      </w:r>
    </w:p>
    <w:p w14:paraId="7274EDBA" w14:textId="77777777" w:rsidR="00334CEA" w:rsidRDefault="00334CEA">
      <w:pPr>
        <w:rPr>
          <w:sz w:val="24"/>
          <w:szCs w:val="24"/>
        </w:rPr>
      </w:pPr>
      <w:r>
        <w:rPr>
          <w:sz w:val="24"/>
          <w:szCs w:val="24"/>
        </w:rPr>
        <w:lastRenderedPageBreak/>
        <w:t>I do not foresee any serious disadvantages or risks of your participation in this research project. The interviews will take up approximately three hours of your time. Given that we might discuss lived experiences that may leave you feeling emotional at times, you will be signposted before interview to the provision of support and counselling services that you can access free of charge. As previously mentioned, the second interview will provide an opportunity to discuss/explore your experiences further, and to ascertain any forms of support and holding that may be useful to you.</w:t>
      </w:r>
    </w:p>
    <w:p w14:paraId="0AD0DC14" w14:textId="77777777" w:rsidR="00334CEA" w:rsidRPr="00A2043B" w:rsidRDefault="00334CEA">
      <w:pPr>
        <w:rPr>
          <w:b/>
          <w:bCs/>
          <w:sz w:val="24"/>
          <w:szCs w:val="24"/>
        </w:rPr>
      </w:pPr>
      <w:r w:rsidRPr="00A2043B">
        <w:rPr>
          <w:b/>
          <w:bCs/>
          <w:sz w:val="24"/>
          <w:szCs w:val="24"/>
        </w:rPr>
        <w:t>7. What are the possible benefits of taking part?</w:t>
      </w:r>
    </w:p>
    <w:p w14:paraId="0997A723" w14:textId="562374FC" w:rsidR="00334CEA" w:rsidRPr="00A2043B" w:rsidRDefault="00334CEA">
      <w:pPr>
        <w:rPr>
          <w:b/>
          <w:bCs/>
          <w:sz w:val="24"/>
          <w:szCs w:val="24"/>
        </w:rPr>
      </w:pPr>
      <w:r>
        <w:rPr>
          <w:sz w:val="24"/>
          <w:szCs w:val="24"/>
        </w:rPr>
        <w:t xml:space="preserve">Whilst there are no immediate benefits for those people participating in this research, it is hoped that this work will contribute to future awareness of teacher affect and advise teacher trainings on affect issues/concerns and/ or contribute to any impending ethic of care </w:t>
      </w:r>
      <w:r w:rsidR="00413860">
        <w:rPr>
          <w:sz w:val="24"/>
          <w:szCs w:val="24"/>
        </w:rPr>
        <w:t xml:space="preserve">(Noddings, 2002) </w:t>
      </w:r>
      <w:r>
        <w:rPr>
          <w:sz w:val="24"/>
          <w:szCs w:val="24"/>
        </w:rPr>
        <w:t xml:space="preserve">provision for teachers. Travel expenses to and from an interview location are not </w:t>
      </w:r>
      <w:r w:rsidRPr="00A2043B">
        <w:rPr>
          <w:sz w:val="24"/>
          <w:szCs w:val="24"/>
        </w:rPr>
        <w:t>remunerated.</w:t>
      </w:r>
    </w:p>
    <w:p w14:paraId="19F3A237" w14:textId="77777777" w:rsidR="00334CEA" w:rsidRPr="00A2043B" w:rsidRDefault="00334CEA">
      <w:pPr>
        <w:rPr>
          <w:b/>
          <w:bCs/>
          <w:sz w:val="24"/>
          <w:szCs w:val="24"/>
        </w:rPr>
      </w:pPr>
      <w:r w:rsidRPr="00A2043B">
        <w:rPr>
          <w:b/>
          <w:bCs/>
          <w:sz w:val="24"/>
          <w:szCs w:val="24"/>
        </w:rPr>
        <w:t>8. Will my taking part in this project be kept confidential?</w:t>
      </w:r>
    </w:p>
    <w:p w14:paraId="32A2C9CF" w14:textId="77777777" w:rsidR="00334CEA" w:rsidRDefault="00334CEA">
      <w:pPr>
        <w:rPr>
          <w:sz w:val="24"/>
          <w:szCs w:val="24"/>
        </w:rPr>
      </w:pPr>
      <w:r>
        <w:rPr>
          <w:sz w:val="24"/>
          <w:szCs w:val="24"/>
        </w:rPr>
        <w:t>All the information collected about you during this research will be kept strictly confidential and will only be accessible to myself and my research supervisors. You will not be able to be identified in any reports of publications. If you agree to sharing the information you provide with other researchers, then your personal details will not be included.</w:t>
      </w:r>
    </w:p>
    <w:p w14:paraId="2A24DC06" w14:textId="77777777" w:rsidR="00334CEA" w:rsidRPr="00A2043B" w:rsidRDefault="00334CEA">
      <w:pPr>
        <w:rPr>
          <w:b/>
          <w:bCs/>
          <w:sz w:val="24"/>
          <w:szCs w:val="24"/>
        </w:rPr>
      </w:pPr>
      <w:r>
        <w:rPr>
          <w:sz w:val="24"/>
          <w:szCs w:val="24"/>
        </w:rPr>
        <w:t>If there is a possibility that a participant may disclose information about criminal activity or risks to public safety, I may be obliged to report to the relevant authorities</w:t>
      </w:r>
      <w:r w:rsidRPr="00A2043B">
        <w:rPr>
          <w:sz w:val="24"/>
          <w:szCs w:val="24"/>
        </w:rPr>
        <w:t>.</w:t>
      </w:r>
    </w:p>
    <w:p w14:paraId="63199324" w14:textId="77777777" w:rsidR="00334CEA" w:rsidRPr="00A2043B" w:rsidRDefault="00334CEA">
      <w:pPr>
        <w:rPr>
          <w:b/>
          <w:bCs/>
          <w:sz w:val="24"/>
          <w:szCs w:val="24"/>
        </w:rPr>
      </w:pPr>
      <w:r w:rsidRPr="00A2043B">
        <w:rPr>
          <w:b/>
          <w:bCs/>
          <w:sz w:val="24"/>
          <w:szCs w:val="24"/>
        </w:rPr>
        <w:t>9. What happens if the research project stops earlier than expected?</w:t>
      </w:r>
    </w:p>
    <w:p w14:paraId="672EB86C" w14:textId="77777777" w:rsidR="00334CEA" w:rsidRDefault="00334CEA">
      <w:pPr>
        <w:rPr>
          <w:sz w:val="24"/>
          <w:szCs w:val="24"/>
        </w:rPr>
      </w:pPr>
      <w:r>
        <w:rPr>
          <w:sz w:val="24"/>
          <w:szCs w:val="24"/>
        </w:rPr>
        <w:t>Although unlikely, if for any reason the research project stops earlier than expected, you will be offered a full and clear explanation as to why.</w:t>
      </w:r>
    </w:p>
    <w:p w14:paraId="0665FA1A" w14:textId="77777777" w:rsidR="00334CEA" w:rsidRPr="00A2043B" w:rsidRDefault="00334CEA">
      <w:pPr>
        <w:rPr>
          <w:b/>
          <w:bCs/>
          <w:sz w:val="24"/>
          <w:szCs w:val="24"/>
        </w:rPr>
      </w:pPr>
      <w:r w:rsidRPr="00A2043B">
        <w:rPr>
          <w:b/>
          <w:bCs/>
          <w:sz w:val="24"/>
          <w:szCs w:val="24"/>
        </w:rPr>
        <w:t>10. What if something goes wrong?</w:t>
      </w:r>
    </w:p>
    <w:p w14:paraId="11387C62" w14:textId="77777777" w:rsidR="00334CEA" w:rsidRDefault="00334CEA">
      <w:pPr>
        <w:rPr>
          <w:sz w:val="24"/>
          <w:szCs w:val="24"/>
        </w:rPr>
      </w:pPr>
      <w:r>
        <w:rPr>
          <w:sz w:val="24"/>
          <w:szCs w:val="24"/>
        </w:rPr>
        <w:t>If you feel something has gone wrong or would like to raise an issue or complaint, you are advised to contact the principal investigator (PI) of this research project, Dr Tim Herrick. Dr Herrick is also the designated safeguarding officer for this research. You can find his contact details at the end of this document.</w:t>
      </w:r>
    </w:p>
    <w:p w14:paraId="3F087346" w14:textId="77777777" w:rsidR="00334CEA" w:rsidRDefault="00334CEA">
      <w:pPr>
        <w:rPr>
          <w:sz w:val="24"/>
          <w:szCs w:val="24"/>
        </w:rPr>
      </w:pPr>
      <w:r>
        <w:rPr>
          <w:sz w:val="24"/>
          <w:szCs w:val="24"/>
        </w:rPr>
        <w:t>If you feel that your complaint has not been dealt with appropriately, you can contact the head of Department at the School of Education at the University of Sheffield, Professor Rebecca Lawthom, who will escalate the complaint through the appropriate channels:</w:t>
      </w:r>
    </w:p>
    <w:p w14:paraId="423B1CB2" w14:textId="77777777" w:rsidR="00334CEA" w:rsidRDefault="00334CEA">
      <w:pPr>
        <w:rPr>
          <w:sz w:val="24"/>
          <w:szCs w:val="24"/>
        </w:rPr>
      </w:pPr>
      <w:r>
        <w:rPr>
          <w:sz w:val="24"/>
          <w:szCs w:val="24"/>
        </w:rPr>
        <w:t>Professor Rebecca Lawthom (Head of School), The School of Education, Edgar Allen House, The University of Sheffield, 241 Glossop Rd, Sheffield S10 2GW</w:t>
      </w:r>
    </w:p>
    <w:p w14:paraId="70C8B174" w14:textId="77777777" w:rsidR="00334CEA" w:rsidRDefault="00334CEA">
      <w:pPr>
        <w:rPr>
          <w:sz w:val="24"/>
          <w:szCs w:val="24"/>
        </w:rPr>
      </w:pPr>
      <w:r>
        <w:rPr>
          <w:sz w:val="24"/>
          <w:szCs w:val="24"/>
        </w:rPr>
        <w:t xml:space="preserve">email: </w:t>
      </w:r>
      <w:hyperlink r:id="rId499" w:history="1">
        <w:r w:rsidRPr="00B00577">
          <w:rPr>
            <w:rStyle w:val="Hyperlink"/>
            <w:sz w:val="24"/>
            <w:szCs w:val="24"/>
          </w:rPr>
          <w:t>r.lawthom@sheffield.ac.uk</w:t>
        </w:r>
      </w:hyperlink>
      <w:r>
        <w:rPr>
          <w:sz w:val="24"/>
          <w:szCs w:val="24"/>
        </w:rPr>
        <w:t xml:space="preserve">  </w:t>
      </w:r>
    </w:p>
    <w:p w14:paraId="5E4C9258" w14:textId="77777777" w:rsidR="00334CEA" w:rsidRDefault="00334CEA">
      <w:pPr>
        <w:rPr>
          <w:sz w:val="24"/>
          <w:szCs w:val="24"/>
        </w:rPr>
      </w:pPr>
      <w:r>
        <w:rPr>
          <w:sz w:val="24"/>
          <w:szCs w:val="24"/>
        </w:rPr>
        <w:t>If your complaint relates to how your personal data has been handled, information about how to raise a complaint can be found in the University’s privacy notice:</w:t>
      </w:r>
    </w:p>
    <w:p w14:paraId="3A9726B1" w14:textId="77777777" w:rsidR="00334CEA" w:rsidRDefault="00334CEA">
      <w:pPr>
        <w:rPr>
          <w:sz w:val="24"/>
          <w:szCs w:val="24"/>
        </w:rPr>
      </w:pPr>
      <w:hyperlink r:id="rId500" w:history="1">
        <w:r w:rsidRPr="00B00577">
          <w:rPr>
            <w:rStyle w:val="Hyperlink"/>
            <w:sz w:val="24"/>
            <w:szCs w:val="24"/>
          </w:rPr>
          <w:t>https://www.sheffield.ac.uk/govern/data-protection/privacy/general</w:t>
        </w:r>
      </w:hyperlink>
      <w:r>
        <w:rPr>
          <w:sz w:val="24"/>
          <w:szCs w:val="24"/>
        </w:rPr>
        <w:t xml:space="preserve"> </w:t>
      </w:r>
    </w:p>
    <w:p w14:paraId="53B41D48" w14:textId="77777777" w:rsidR="00334CEA" w:rsidRPr="00A2043B" w:rsidRDefault="00334CEA">
      <w:pPr>
        <w:rPr>
          <w:b/>
          <w:bCs/>
          <w:sz w:val="24"/>
          <w:szCs w:val="24"/>
        </w:rPr>
      </w:pPr>
      <w:r w:rsidRPr="00A2043B">
        <w:rPr>
          <w:b/>
          <w:bCs/>
          <w:sz w:val="24"/>
          <w:szCs w:val="24"/>
        </w:rPr>
        <w:lastRenderedPageBreak/>
        <w:t>11. What is the legal basis for processing my personal data?</w:t>
      </w:r>
    </w:p>
    <w:p w14:paraId="3FD429D9" w14:textId="7B0CAC0E" w:rsidR="00334CEA" w:rsidRDefault="00334CEA">
      <w:pPr>
        <w:rPr>
          <w:sz w:val="24"/>
          <w:szCs w:val="24"/>
        </w:rPr>
      </w:pPr>
      <w:r>
        <w:rPr>
          <w:sz w:val="24"/>
          <w:szCs w:val="24"/>
        </w:rPr>
        <w:t>According to data protection legislation, I am required to inform you that the legal basis I am applying in order to process your personal data is that ’processing is necessary for the performance of the tasks carried out in the public interest’ (Article 6(1)(e</w:t>
      </w:r>
      <w:r w:rsidR="008E3784">
        <w:rPr>
          <w:sz w:val="24"/>
          <w:szCs w:val="24"/>
        </w:rPr>
        <w:t>))</w:t>
      </w:r>
      <w:r>
        <w:rPr>
          <w:sz w:val="24"/>
          <w:szCs w:val="24"/>
        </w:rPr>
        <w:t xml:space="preserve">. Further information can be found in the University’s privacy notice at:  </w:t>
      </w:r>
    </w:p>
    <w:p w14:paraId="495649BD" w14:textId="77777777" w:rsidR="00334CEA" w:rsidRDefault="00334CEA">
      <w:pPr>
        <w:rPr>
          <w:rStyle w:val="Hyperlink"/>
          <w:sz w:val="24"/>
          <w:szCs w:val="24"/>
        </w:rPr>
      </w:pPr>
      <w:hyperlink r:id="rId501" w:history="1">
        <w:r w:rsidRPr="003B7725">
          <w:rPr>
            <w:rStyle w:val="Hyperlink"/>
            <w:sz w:val="24"/>
            <w:szCs w:val="24"/>
          </w:rPr>
          <w:t>https://www.sheffield.ac.uk/govern/data-protection/privacy/general</w:t>
        </w:r>
      </w:hyperlink>
    </w:p>
    <w:p w14:paraId="0E57C4AF" w14:textId="77777777" w:rsidR="00334CEA" w:rsidRPr="00B0394E" w:rsidRDefault="00334CEA">
      <w:pPr>
        <w:rPr>
          <w:rStyle w:val="Hyperlink"/>
          <w:sz w:val="24"/>
          <w:szCs w:val="24"/>
        </w:rPr>
      </w:pPr>
      <w:r w:rsidRPr="00B0394E">
        <w:rPr>
          <w:rStyle w:val="Hyperlink"/>
          <w:sz w:val="24"/>
          <w:szCs w:val="24"/>
        </w:rPr>
        <w:t>Further information on data protection legislation, as well as a glossary of key terms, is available at:</w:t>
      </w:r>
    </w:p>
    <w:p w14:paraId="58212C10" w14:textId="77777777" w:rsidR="00334CEA" w:rsidRPr="00A2043B" w:rsidRDefault="00334CEA">
      <w:pPr>
        <w:rPr>
          <w:rStyle w:val="Hyperlink"/>
          <w:sz w:val="24"/>
          <w:szCs w:val="24"/>
        </w:rPr>
      </w:pPr>
      <w:hyperlink r:id="rId502" w:history="1">
        <w:r w:rsidRPr="004D1C6C">
          <w:rPr>
            <w:rStyle w:val="Hyperlink"/>
            <w:sz w:val="24"/>
            <w:szCs w:val="24"/>
          </w:rPr>
          <w:t>https://sites.google.com/a/sheffield.ac.uk/gdpr/</w:t>
        </w:r>
      </w:hyperlink>
      <w:r>
        <w:rPr>
          <w:rStyle w:val="Hyperlink"/>
          <w:sz w:val="24"/>
          <w:szCs w:val="24"/>
        </w:rPr>
        <w:t xml:space="preserve">. </w:t>
      </w:r>
    </w:p>
    <w:p w14:paraId="0BA44E63" w14:textId="77777777" w:rsidR="00334CEA" w:rsidRPr="00A2043B" w:rsidRDefault="00334CEA">
      <w:pPr>
        <w:rPr>
          <w:rStyle w:val="Hyperlink"/>
          <w:sz w:val="24"/>
          <w:szCs w:val="24"/>
        </w:rPr>
      </w:pPr>
      <w:r w:rsidRPr="00A2043B">
        <w:rPr>
          <w:rStyle w:val="Hyperlink"/>
          <w:sz w:val="24"/>
          <w:szCs w:val="24"/>
        </w:rPr>
        <w:t xml:space="preserve">Further information on audio recordings in research is available at: </w:t>
      </w:r>
    </w:p>
    <w:p w14:paraId="395FE702" w14:textId="77777777" w:rsidR="00334CEA" w:rsidRDefault="00334CEA">
      <w:pPr>
        <w:rPr>
          <w:rStyle w:val="Hyperlink"/>
          <w:sz w:val="24"/>
          <w:szCs w:val="24"/>
        </w:rPr>
      </w:pPr>
      <w:hyperlink r:id="rId503" w:history="1">
        <w:r w:rsidRPr="00DE05BE">
          <w:rPr>
            <w:rStyle w:val="Hyperlink"/>
            <w:sz w:val="24"/>
            <w:szCs w:val="24"/>
          </w:rPr>
          <w:t>https://students.sheffield.ac.uk/research-services/ethics-integrity/policy/forms</w:t>
        </w:r>
      </w:hyperlink>
      <w:r w:rsidRPr="00DE05BE">
        <w:rPr>
          <w:sz w:val="24"/>
          <w:szCs w:val="24"/>
          <w:u w:val="single"/>
        </w:rPr>
        <w:t xml:space="preserve"> </w:t>
      </w:r>
    </w:p>
    <w:p w14:paraId="2F2E16A9" w14:textId="77777777" w:rsidR="00334CEA" w:rsidRDefault="00334CEA">
      <w:pPr>
        <w:rPr>
          <w:sz w:val="24"/>
          <w:szCs w:val="24"/>
        </w:rPr>
      </w:pPr>
      <w:r>
        <w:rPr>
          <w:sz w:val="24"/>
          <w:szCs w:val="24"/>
        </w:rPr>
        <w:t>T</w:t>
      </w:r>
      <w:r w:rsidRPr="00E12831">
        <w:rPr>
          <w:sz w:val="24"/>
          <w:szCs w:val="24"/>
        </w:rPr>
        <w:t>he University of Sheffield will act as the</w:t>
      </w:r>
      <w:r>
        <w:rPr>
          <w:sz w:val="24"/>
          <w:szCs w:val="24"/>
        </w:rPr>
        <w:t xml:space="preserve"> </w:t>
      </w:r>
      <w:r w:rsidRPr="00E12831">
        <w:rPr>
          <w:sz w:val="24"/>
          <w:szCs w:val="24"/>
        </w:rPr>
        <w:t>Data Controller for this study. This means that the University is responsible for looking after</w:t>
      </w:r>
      <w:r>
        <w:rPr>
          <w:sz w:val="24"/>
          <w:szCs w:val="24"/>
        </w:rPr>
        <w:t xml:space="preserve"> </w:t>
      </w:r>
      <w:r w:rsidRPr="00E12831">
        <w:rPr>
          <w:sz w:val="24"/>
          <w:szCs w:val="24"/>
        </w:rPr>
        <w:t>your information and using it properly.</w:t>
      </w:r>
    </w:p>
    <w:p w14:paraId="1628308E" w14:textId="77777777" w:rsidR="00334CEA" w:rsidRPr="00A2043B" w:rsidRDefault="00334CEA">
      <w:pPr>
        <w:rPr>
          <w:b/>
          <w:bCs/>
          <w:sz w:val="24"/>
          <w:szCs w:val="24"/>
        </w:rPr>
      </w:pPr>
      <w:r w:rsidRPr="00A2043B">
        <w:rPr>
          <w:b/>
          <w:bCs/>
          <w:sz w:val="24"/>
          <w:szCs w:val="24"/>
        </w:rPr>
        <w:t>12. What will happen to the results/findings of the research project? Who is organising and funding the research?</w:t>
      </w:r>
    </w:p>
    <w:p w14:paraId="1EDB854A" w14:textId="77777777" w:rsidR="00334CEA" w:rsidRDefault="00334CEA">
      <w:pPr>
        <w:rPr>
          <w:sz w:val="24"/>
          <w:szCs w:val="24"/>
        </w:rPr>
      </w:pPr>
      <w:r>
        <w:rPr>
          <w:sz w:val="24"/>
          <w:szCs w:val="24"/>
        </w:rPr>
        <w:t>The results will be solely used for the purposes of my research and thesis and could include potential publication. Identifying information appertaining to the Institutions and participants taking part in this research will not be identified. This research project is not funded by any external organisation.</w:t>
      </w:r>
    </w:p>
    <w:p w14:paraId="66952938" w14:textId="77777777" w:rsidR="00334CEA" w:rsidRPr="00A2043B" w:rsidRDefault="00334CEA">
      <w:pPr>
        <w:rPr>
          <w:b/>
          <w:bCs/>
          <w:sz w:val="24"/>
          <w:szCs w:val="24"/>
        </w:rPr>
      </w:pPr>
      <w:r w:rsidRPr="00A2043B">
        <w:rPr>
          <w:b/>
          <w:bCs/>
          <w:sz w:val="24"/>
          <w:szCs w:val="24"/>
        </w:rPr>
        <w:t>13. Who has ethically reviewed the project?</w:t>
      </w:r>
    </w:p>
    <w:p w14:paraId="035B322C" w14:textId="77777777" w:rsidR="00334CEA" w:rsidRDefault="00334CEA">
      <w:pPr>
        <w:rPr>
          <w:sz w:val="24"/>
          <w:szCs w:val="24"/>
        </w:rPr>
      </w:pPr>
      <w:r>
        <w:rPr>
          <w:sz w:val="24"/>
          <w:szCs w:val="24"/>
        </w:rPr>
        <w:t>This research has undergone ethical review in line with the policies and procedures of The University of Sheffield.</w:t>
      </w:r>
    </w:p>
    <w:p w14:paraId="5CA079E1" w14:textId="77777777" w:rsidR="00334CEA" w:rsidRPr="00A2043B" w:rsidRDefault="00334CEA">
      <w:pPr>
        <w:rPr>
          <w:b/>
          <w:bCs/>
          <w:sz w:val="24"/>
          <w:szCs w:val="24"/>
        </w:rPr>
      </w:pPr>
      <w:r w:rsidRPr="00A2043B">
        <w:rPr>
          <w:b/>
          <w:bCs/>
          <w:sz w:val="24"/>
          <w:szCs w:val="24"/>
        </w:rPr>
        <w:t>14. Contact for further information</w:t>
      </w:r>
    </w:p>
    <w:p w14:paraId="137099E9" w14:textId="77777777" w:rsidR="00334CEA" w:rsidRDefault="00334CEA">
      <w:pPr>
        <w:rPr>
          <w:sz w:val="24"/>
          <w:szCs w:val="24"/>
        </w:rPr>
      </w:pPr>
      <w:r>
        <w:rPr>
          <w:sz w:val="24"/>
          <w:szCs w:val="24"/>
        </w:rPr>
        <w:t>If you have questions about this research, please contact my research supervisors:</w:t>
      </w:r>
    </w:p>
    <w:p w14:paraId="61CD4C12" w14:textId="77777777" w:rsidR="00334CEA" w:rsidRDefault="00334CEA">
      <w:pPr>
        <w:rPr>
          <w:sz w:val="24"/>
          <w:szCs w:val="24"/>
        </w:rPr>
      </w:pPr>
      <w:r>
        <w:rPr>
          <w:sz w:val="24"/>
          <w:szCs w:val="24"/>
        </w:rPr>
        <w:t>Dr Tim Herrick, The School of Education, Edgar Allen house, University of Sheffield, 241 Glossop Rd, Sheffield S10 2GW</w:t>
      </w:r>
    </w:p>
    <w:p w14:paraId="1BEC32DF" w14:textId="77777777" w:rsidR="00334CEA" w:rsidRDefault="00334CEA">
      <w:pPr>
        <w:rPr>
          <w:sz w:val="24"/>
          <w:szCs w:val="24"/>
        </w:rPr>
      </w:pPr>
      <w:r>
        <w:rPr>
          <w:sz w:val="24"/>
          <w:szCs w:val="24"/>
        </w:rPr>
        <w:t xml:space="preserve">Email: </w:t>
      </w:r>
      <w:hyperlink r:id="rId504" w:history="1">
        <w:r w:rsidRPr="00B00577">
          <w:rPr>
            <w:rStyle w:val="Hyperlink"/>
            <w:sz w:val="24"/>
            <w:szCs w:val="24"/>
          </w:rPr>
          <w:t>t.herrick@sheffield.ac.uk</w:t>
        </w:r>
      </w:hyperlink>
    </w:p>
    <w:p w14:paraId="4F6850CE" w14:textId="77777777" w:rsidR="00334CEA" w:rsidRDefault="00334CEA">
      <w:pPr>
        <w:rPr>
          <w:sz w:val="24"/>
          <w:szCs w:val="24"/>
        </w:rPr>
      </w:pPr>
      <w:r>
        <w:rPr>
          <w:sz w:val="24"/>
          <w:szCs w:val="24"/>
        </w:rPr>
        <w:t>Tel: (0114) 222 8109,</w:t>
      </w:r>
    </w:p>
    <w:p w14:paraId="6FF0C6B9" w14:textId="77777777" w:rsidR="00334CEA" w:rsidRDefault="00334CEA">
      <w:pPr>
        <w:rPr>
          <w:sz w:val="24"/>
          <w:szCs w:val="24"/>
        </w:rPr>
      </w:pPr>
      <w:r>
        <w:rPr>
          <w:sz w:val="24"/>
          <w:szCs w:val="24"/>
        </w:rPr>
        <w:t>or</w:t>
      </w:r>
    </w:p>
    <w:p w14:paraId="0304A9E3" w14:textId="77777777" w:rsidR="00334CEA" w:rsidRDefault="00334CEA">
      <w:pPr>
        <w:rPr>
          <w:sz w:val="24"/>
          <w:szCs w:val="24"/>
        </w:rPr>
      </w:pPr>
      <w:r>
        <w:rPr>
          <w:sz w:val="24"/>
          <w:szCs w:val="24"/>
        </w:rPr>
        <w:t xml:space="preserve"> Professor Dan Goodley, The School of Education, Edgar Allen House, University of Sheffield, 241 Glossop Rd, Sheffield S10 2GW</w:t>
      </w:r>
    </w:p>
    <w:p w14:paraId="64F6148C" w14:textId="77777777" w:rsidR="00334CEA" w:rsidRDefault="00334CEA">
      <w:pPr>
        <w:rPr>
          <w:sz w:val="24"/>
          <w:szCs w:val="24"/>
        </w:rPr>
      </w:pPr>
      <w:r>
        <w:rPr>
          <w:sz w:val="24"/>
          <w:szCs w:val="24"/>
        </w:rPr>
        <w:t xml:space="preserve">Tel: </w:t>
      </w:r>
      <w:r w:rsidRPr="00C15AE9">
        <w:rPr>
          <w:sz w:val="24"/>
          <w:szCs w:val="24"/>
        </w:rPr>
        <w:t>(0114) 222 818</w:t>
      </w:r>
    </w:p>
    <w:p w14:paraId="4F7F29B5" w14:textId="77777777" w:rsidR="00334CEA" w:rsidRDefault="00334CEA">
      <w:pPr>
        <w:rPr>
          <w:sz w:val="24"/>
          <w:szCs w:val="24"/>
        </w:rPr>
      </w:pPr>
      <w:r>
        <w:rPr>
          <w:sz w:val="24"/>
          <w:szCs w:val="24"/>
        </w:rPr>
        <w:t xml:space="preserve">Email: </w:t>
      </w:r>
      <w:hyperlink r:id="rId505" w:history="1">
        <w:r w:rsidRPr="00B329EB">
          <w:rPr>
            <w:rStyle w:val="Hyperlink"/>
            <w:sz w:val="24"/>
            <w:szCs w:val="24"/>
          </w:rPr>
          <w:t>dan.goodley@sheffield.ac.uk</w:t>
        </w:r>
      </w:hyperlink>
      <w:r>
        <w:t xml:space="preserve"> </w:t>
      </w:r>
    </w:p>
    <w:p w14:paraId="5C6FF658" w14:textId="3299A085" w:rsidR="00334CEA" w:rsidRDefault="00334CEA">
      <w:pPr>
        <w:rPr>
          <w:sz w:val="24"/>
          <w:szCs w:val="24"/>
        </w:rPr>
      </w:pPr>
      <w:r>
        <w:rPr>
          <w:sz w:val="24"/>
          <w:szCs w:val="24"/>
        </w:rPr>
        <w:lastRenderedPageBreak/>
        <w:t>You will be given a copy of this participant information sheet, the indicative interview questions, and a consent form to keep.</w:t>
      </w:r>
    </w:p>
    <w:p w14:paraId="4E4A75E5" w14:textId="77777777" w:rsidR="00334CEA" w:rsidRPr="00730CA5" w:rsidRDefault="00334CEA">
      <w:pPr>
        <w:rPr>
          <w:sz w:val="24"/>
          <w:szCs w:val="24"/>
        </w:rPr>
      </w:pPr>
      <w:r>
        <w:rPr>
          <w:sz w:val="24"/>
          <w:szCs w:val="24"/>
        </w:rPr>
        <w:t>Thank you for taking the time to read about my research ‘</w:t>
      </w:r>
      <w:r>
        <w:rPr>
          <w:i/>
          <w:iCs/>
          <w:sz w:val="24"/>
          <w:szCs w:val="24"/>
        </w:rPr>
        <w:t>Out of the Shadows: Shining a light on HE teachers’ experiences of emotion and reflective practice’.</w:t>
      </w:r>
    </w:p>
    <w:p w14:paraId="1999A98F" w14:textId="77777777" w:rsidR="00334CEA" w:rsidRPr="000574E3" w:rsidRDefault="00334CEA">
      <w:pPr>
        <w:rPr>
          <w:sz w:val="24"/>
          <w:szCs w:val="24"/>
          <w:u w:val="single"/>
        </w:rPr>
      </w:pPr>
    </w:p>
    <w:p w14:paraId="1C8BB2B7" w14:textId="77777777" w:rsidR="00334CEA" w:rsidRDefault="00334CEA" w:rsidP="00A02C88">
      <w:pPr>
        <w:rPr>
          <w:rFonts w:ascii="Calibri" w:hAnsi="Calibri" w:cs="Calibri"/>
          <w:sz w:val="24"/>
          <w:szCs w:val="24"/>
        </w:rPr>
      </w:pPr>
    </w:p>
    <w:p w14:paraId="1F51883B" w14:textId="77777777" w:rsidR="00995C1F" w:rsidRDefault="00995C1F" w:rsidP="00A02C88">
      <w:pPr>
        <w:rPr>
          <w:rFonts w:ascii="Calibri" w:hAnsi="Calibri" w:cs="Calibri"/>
          <w:sz w:val="24"/>
          <w:szCs w:val="24"/>
        </w:rPr>
      </w:pPr>
    </w:p>
    <w:p w14:paraId="692375B0" w14:textId="77777777" w:rsidR="00995C1F" w:rsidRDefault="00995C1F" w:rsidP="00A02C88">
      <w:pPr>
        <w:rPr>
          <w:rFonts w:ascii="Calibri" w:hAnsi="Calibri" w:cs="Calibri"/>
          <w:sz w:val="24"/>
          <w:szCs w:val="24"/>
        </w:rPr>
      </w:pPr>
    </w:p>
    <w:p w14:paraId="5387CE64" w14:textId="77777777" w:rsidR="00995C1F" w:rsidRDefault="00995C1F" w:rsidP="00A02C88">
      <w:pPr>
        <w:rPr>
          <w:rFonts w:ascii="Calibri" w:hAnsi="Calibri" w:cs="Calibri"/>
          <w:sz w:val="24"/>
          <w:szCs w:val="24"/>
        </w:rPr>
      </w:pPr>
    </w:p>
    <w:p w14:paraId="0A6A3D9D" w14:textId="77777777" w:rsidR="00145BFC" w:rsidRDefault="00145BFC" w:rsidP="00A02C88">
      <w:pPr>
        <w:rPr>
          <w:rFonts w:ascii="Calibri" w:hAnsi="Calibri" w:cs="Calibri"/>
          <w:sz w:val="24"/>
          <w:szCs w:val="24"/>
        </w:rPr>
      </w:pPr>
    </w:p>
    <w:p w14:paraId="782D20B0" w14:textId="77777777" w:rsidR="00145BFC" w:rsidRDefault="00145BFC" w:rsidP="00A02C88">
      <w:pPr>
        <w:rPr>
          <w:rFonts w:ascii="Calibri" w:hAnsi="Calibri" w:cs="Calibri"/>
          <w:sz w:val="24"/>
          <w:szCs w:val="24"/>
        </w:rPr>
      </w:pPr>
    </w:p>
    <w:p w14:paraId="5CE7B43D" w14:textId="77777777" w:rsidR="00145BFC" w:rsidRDefault="00145BFC" w:rsidP="00A02C88">
      <w:pPr>
        <w:rPr>
          <w:rFonts w:ascii="Calibri" w:hAnsi="Calibri" w:cs="Calibri"/>
          <w:sz w:val="24"/>
          <w:szCs w:val="24"/>
        </w:rPr>
      </w:pPr>
    </w:p>
    <w:p w14:paraId="03B0EA20" w14:textId="77777777" w:rsidR="00145BFC" w:rsidRDefault="00145BFC" w:rsidP="00A02C88">
      <w:pPr>
        <w:rPr>
          <w:rFonts w:ascii="Calibri" w:hAnsi="Calibri" w:cs="Calibri"/>
          <w:sz w:val="24"/>
          <w:szCs w:val="24"/>
        </w:rPr>
      </w:pPr>
    </w:p>
    <w:p w14:paraId="2034E809" w14:textId="77777777" w:rsidR="00145BFC" w:rsidRDefault="00145BFC" w:rsidP="00A02C88">
      <w:pPr>
        <w:rPr>
          <w:rFonts w:ascii="Calibri" w:hAnsi="Calibri" w:cs="Calibri"/>
          <w:sz w:val="24"/>
          <w:szCs w:val="24"/>
        </w:rPr>
      </w:pPr>
    </w:p>
    <w:p w14:paraId="78EBD1E1" w14:textId="77777777" w:rsidR="00145BFC" w:rsidRDefault="00145BFC" w:rsidP="00A02C88">
      <w:pPr>
        <w:rPr>
          <w:rFonts w:ascii="Calibri" w:hAnsi="Calibri" w:cs="Calibri"/>
          <w:sz w:val="24"/>
          <w:szCs w:val="24"/>
        </w:rPr>
      </w:pPr>
    </w:p>
    <w:p w14:paraId="6274528E" w14:textId="77777777" w:rsidR="00145BFC" w:rsidRDefault="00145BFC" w:rsidP="00A02C88">
      <w:pPr>
        <w:rPr>
          <w:rFonts w:ascii="Calibri" w:hAnsi="Calibri" w:cs="Calibri"/>
          <w:sz w:val="24"/>
          <w:szCs w:val="24"/>
        </w:rPr>
      </w:pPr>
    </w:p>
    <w:p w14:paraId="68242E45" w14:textId="77777777" w:rsidR="00145BFC" w:rsidRDefault="00145BFC" w:rsidP="00A02C88">
      <w:pPr>
        <w:rPr>
          <w:rFonts w:ascii="Calibri" w:hAnsi="Calibri" w:cs="Calibri"/>
          <w:sz w:val="24"/>
          <w:szCs w:val="24"/>
        </w:rPr>
      </w:pPr>
    </w:p>
    <w:p w14:paraId="32D4A487" w14:textId="77777777" w:rsidR="00145BFC" w:rsidRDefault="00145BFC" w:rsidP="00A02C88">
      <w:pPr>
        <w:rPr>
          <w:rFonts w:ascii="Calibri" w:hAnsi="Calibri" w:cs="Calibri"/>
          <w:sz w:val="24"/>
          <w:szCs w:val="24"/>
        </w:rPr>
      </w:pPr>
    </w:p>
    <w:p w14:paraId="208A1F68" w14:textId="77777777" w:rsidR="00145BFC" w:rsidRDefault="00145BFC" w:rsidP="00A02C88">
      <w:pPr>
        <w:rPr>
          <w:rFonts w:ascii="Calibri" w:hAnsi="Calibri" w:cs="Calibri"/>
          <w:sz w:val="24"/>
          <w:szCs w:val="24"/>
        </w:rPr>
      </w:pPr>
    </w:p>
    <w:p w14:paraId="21573789" w14:textId="77777777" w:rsidR="00995C1F" w:rsidRDefault="00995C1F" w:rsidP="00A02C88">
      <w:pPr>
        <w:rPr>
          <w:rFonts w:ascii="Calibri" w:hAnsi="Calibri" w:cs="Calibri"/>
          <w:sz w:val="24"/>
          <w:szCs w:val="24"/>
        </w:rPr>
      </w:pPr>
    </w:p>
    <w:p w14:paraId="021EFC9C" w14:textId="77777777" w:rsidR="00995C1F" w:rsidRDefault="00995C1F" w:rsidP="00A02C88">
      <w:pPr>
        <w:rPr>
          <w:rFonts w:ascii="Calibri" w:hAnsi="Calibri" w:cs="Calibri"/>
          <w:sz w:val="24"/>
          <w:szCs w:val="24"/>
        </w:rPr>
      </w:pPr>
    </w:p>
    <w:p w14:paraId="613D9B33" w14:textId="77777777" w:rsidR="00995C1F" w:rsidRDefault="00995C1F" w:rsidP="00A02C88">
      <w:pPr>
        <w:rPr>
          <w:rFonts w:ascii="Calibri" w:hAnsi="Calibri" w:cs="Calibri"/>
          <w:sz w:val="24"/>
          <w:szCs w:val="24"/>
        </w:rPr>
      </w:pPr>
    </w:p>
    <w:p w14:paraId="08064201" w14:textId="77777777" w:rsidR="00BD3470" w:rsidRDefault="00BD3470" w:rsidP="00A02C88">
      <w:pPr>
        <w:rPr>
          <w:rFonts w:ascii="Calibri" w:hAnsi="Calibri" w:cs="Calibri"/>
          <w:sz w:val="24"/>
          <w:szCs w:val="24"/>
        </w:rPr>
      </w:pPr>
    </w:p>
    <w:p w14:paraId="00A6314C" w14:textId="77777777" w:rsidR="00BD3470" w:rsidRDefault="00BD3470" w:rsidP="00A02C88">
      <w:pPr>
        <w:rPr>
          <w:rFonts w:ascii="Calibri" w:hAnsi="Calibri" w:cs="Calibri"/>
          <w:sz w:val="24"/>
          <w:szCs w:val="24"/>
        </w:rPr>
      </w:pPr>
    </w:p>
    <w:p w14:paraId="4C50D5BB" w14:textId="77777777" w:rsidR="00BD3470" w:rsidRDefault="00BD3470" w:rsidP="00A02C88">
      <w:pPr>
        <w:rPr>
          <w:rFonts w:ascii="Calibri" w:hAnsi="Calibri" w:cs="Calibri"/>
          <w:sz w:val="24"/>
          <w:szCs w:val="24"/>
        </w:rPr>
      </w:pPr>
    </w:p>
    <w:p w14:paraId="0206FCA9" w14:textId="77777777" w:rsidR="002F1CA2" w:rsidRDefault="002F1CA2" w:rsidP="00A02C88">
      <w:pPr>
        <w:rPr>
          <w:rFonts w:ascii="Calibri" w:hAnsi="Calibri" w:cs="Calibri"/>
          <w:sz w:val="24"/>
          <w:szCs w:val="24"/>
        </w:rPr>
      </w:pPr>
    </w:p>
    <w:p w14:paraId="5FF46BFD" w14:textId="77777777" w:rsidR="002F1CA2" w:rsidRDefault="002F1CA2" w:rsidP="00A02C88">
      <w:pPr>
        <w:rPr>
          <w:rFonts w:ascii="Calibri" w:hAnsi="Calibri" w:cs="Calibri"/>
          <w:sz w:val="24"/>
          <w:szCs w:val="24"/>
        </w:rPr>
      </w:pPr>
    </w:p>
    <w:p w14:paraId="2467F1F1" w14:textId="77777777" w:rsidR="002F1CA2" w:rsidRDefault="002F1CA2" w:rsidP="00A02C88">
      <w:pPr>
        <w:rPr>
          <w:rFonts w:ascii="Calibri" w:hAnsi="Calibri" w:cs="Calibri"/>
          <w:sz w:val="24"/>
          <w:szCs w:val="24"/>
        </w:rPr>
      </w:pPr>
    </w:p>
    <w:p w14:paraId="178E6580" w14:textId="77777777" w:rsidR="00701CFA" w:rsidRDefault="00701CFA" w:rsidP="00701CFA">
      <w:pPr>
        <w:rPr>
          <w:rFonts w:ascii="Calibri" w:hAnsi="Calibri" w:cs="Calibri"/>
          <w:sz w:val="24"/>
          <w:szCs w:val="24"/>
        </w:rPr>
      </w:pPr>
    </w:p>
    <w:p w14:paraId="36842EE7" w14:textId="2D25A096" w:rsidR="00995C1F" w:rsidRPr="00BF2059" w:rsidRDefault="00995C1F" w:rsidP="00701CFA">
      <w:pPr>
        <w:ind w:left="1440" w:firstLine="720"/>
        <w:rPr>
          <w:rFonts w:cstheme="minorHAnsi"/>
          <w:b/>
          <w:sz w:val="24"/>
          <w:szCs w:val="24"/>
        </w:rPr>
      </w:pPr>
      <w:r w:rsidRPr="00BF2059">
        <w:rPr>
          <w:rFonts w:cstheme="minorHAnsi"/>
          <w:b/>
          <w:sz w:val="24"/>
          <w:szCs w:val="24"/>
        </w:rPr>
        <w:lastRenderedPageBreak/>
        <w:t xml:space="preserve">Appendix E: </w:t>
      </w:r>
      <w:bookmarkStart w:id="110" w:name="_Hlk216029296"/>
      <w:r w:rsidRPr="00BF2059">
        <w:rPr>
          <w:rFonts w:cstheme="minorHAnsi"/>
          <w:b/>
          <w:sz w:val="24"/>
          <w:szCs w:val="24"/>
        </w:rPr>
        <w:t>Participant Consent Form</w:t>
      </w:r>
      <w:bookmarkEnd w:id="110"/>
    </w:p>
    <w:p w14:paraId="0478DEAA" w14:textId="77777777" w:rsidR="00995C1F" w:rsidRPr="00995C1F" w:rsidRDefault="00995C1F" w:rsidP="00995C1F">
      <w:pPr>
        <w:ind w:left="1440" w:firstLine="720"/>
        <w:rPr>
          <w:rFonts w:cstheme="minorHAnsi"/>
          <w:bCs/>
          <w:sz w:val="24"/>
          <w:szCs w:val="24"/>
        </w:rPr>
      </w:pPr>
    </w:p>
    <w:p w14:paraId="08081988" w14:textId="77777777" w:rsidR="00995C1F" w:rsidRDefault="00995C1F" w:rsidP="00312A95">
      <w:pPr>
        <w:rPr>
          <w:rFonts w:ascii="TUOS Blake" w:hAnsi="TUOS Blake"/>
          <w:b/>
          <w:sz w:val="28"/>
          <w:szCs w:val="28"/>
        </w:rPr>
      </w:pPr>
      <w:r>
        <w:rPr>
          <w:rFonts w:ascii="TUOS Blake" w:hAnsi="TUOS Blake"/>
          <w:b/>
          <w:noProof/>
          <w:sz w:val="28"/>
          <w:szCs w:val="28"/>
        </w:rPr>
        <w:drawing>
          <wp:inline distT="0" distB="0" distL="0" distR="0" wp14:anchorId="077A5A9B" wp14:editId="7BF2B270">
            <wp:extent cx="1347470" cy="5365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47470" cy="536575"/>
                    </a:xfrm>
                    <a:prstGeom prst="rect">
                      <a:avLst/>
                    </a:prstGeom>
                    <a:noFill/>
                  </pic:spPr>
                </pic:pic>
              </a:graphicData>
            </a:graphic>
          </wp:inline>
        </w:drawing>
      </w:r>
    </w:p>
    <w:p w14:paraId="39C82011" w14:textId="77777777" w:rsidR="00995C1F" w:rsidRPr="004F0EBF" w:rsidRDefault="00995C1F" w:rsidP="004F0EBF">
      <w:pPr>
        <w:rPr>
          <w:rFonts w:cs="Times New Roman"/>
          <w:b/>
          <w:bCs/>
          <w:sz w:val="24"/>
          <w:szCs w:val="24"/>
          <w:u w:val="single"/>
        </w:rPr>
      </w:pPr>
      <w:r w:rsidRPr="004F0EBF">
        <w:rPr>
          <w:rFonts w:cs="Times New Roman"/>
          <w:b/>
          <w:bCs/>
          <w:sz w:val="24"/>
          <w:szCs w:val="24"/>
          <w:u w:val="single"/>
        </w:rPr>
        <w:t xml:space="preserve">Out of the Shadows: Shining a light on HE teachers’ experiences of emotions and reflective practice </w:t>
      </w:r>
    </w:p>
    <w:p w14:paraId="4D8305B7" w14:textId="77777777" w:rsidR="00995C1F" w:rsidRPr="007833C6" w:rsidRDefault="00995C1F" w:rsidP="007833C6">
      <w:pPr>
        <w:ind w:left="2880" w:firstLine="720"/>
        <w:rPr>
          <w:rFonts w:ascii="TUOS Blake" w:hAnsi="TUOS Blake"/>
          <w:b/>
          <w:sz w:val="28"/>
          <w:szCs w:val="28"/>
        </w:rPr>
      </w:pPr>
      <w:r>
        <w:rPr>
          <w:rFonts w:ascii="TUOS Blake" w:hAnsi="TUOS Blake"/>
          <w:b/>
          <w:sz w:val="28"/>
          <w:szCs w:val="28"/>
        </w:rPr>
        <w:t xml:space="preserve">Participant </w:t>
      </w:r>
      <w:r w:rsidRPr="00B4223F">
        <w:rPr>
          <w:rFonts w:ascii="TUOS Blake" w:hAnsi="TUOS Blake"/>
          <w:b/>
          <w:sz w:val="28"/>
          <w:szCs w:val="28"/>
        </w:rPr>
        <w:t xml:space="preserve">Consent Form </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19"/>
        <w:gridCol w:w="195"/>
      </w:tblGrid>
      <w:tr w:rsidR="00995C1F" w:rsidRPr="00B4223F" w14:paraId="27B4767D" w14:textId="77777777" w:rsidTr="00770F8E">
        <w:trPr>
          <w:gridAfter w:val="1"/>
          <w:wAfter w:w="195" w:type="dxa"/>
          <w:trHeight w:val="280"/>
        </w:trPr>
        <w:tc>
          <w:tcPr>
            <w:tcW w:w="8824" w:type="dxa"/>
            <w:gridSpan w:val="3"/>
          </w:tcPr>
          <w:p w14:paraId="367F19A5" w14:textId="77777777" w:rsidR="00995C1F" w:rsidRPr="00B4223F" w:rsidRDefault="00995C1F">
            <w:pPr>
              <w:spacing w:after="80"/>
              <w:rPr>
                <w:rFonts w:ascii="TUOS Blake" w:hAnsi="TUOS Blake"/>
                <w:b/>
              </w:rPr>
            </w:pPr>
            <w:r w:rsidRPr="00B4223F">
              <w:rPr>
                <w:rFonts w:ascii="TUOS Blake" w:hAnsi="TUOS Blake"/>
                <w:b/>
                <w:i/>
              </w:rPr>
              <w:t>Please tick the appropriate boxes</w:t>
            </w:r>
          </w:p>
        </w:tc>
        <w:tc>
          <w:tcPr>
            <w:tcW w:w="622" w:type="dxa"/>
          </w:tcPr>
          <w:p w14:paraId="45079274" w14:textId="77777777" w:rsidR="00995C1F" w:rsidRPr="00B4223F" w:rsidRDefault="00995C1F">
            <w:pPr>
              <w:spacing w:after="80"/>
              <w:rPr>
                <w:rFonts w:ascii="TUOS Blake" w:hAnsi="TUOS Blake"/>
                <w:b/>
              </w:rPr>
            </w:pPr>
            <w:r w:rsidRPr="00B4223F">
              <w:rPr>
                <w:rFonts w:ascii="TUOS Blake" w:hAnsi="TUOS Blake"/>
                <w:b/>
              </w:rPr>
              <w:t>Yes</w:t>
            </w:r>
          </w:p>
        </w:tc>
        <w:tc>
          <w:tcPr>
            <w:tcW w:w="619" w:type="dxa"/>
          </w:tcPr>
          <w:p w14:paraId="4E8A38DE" w14:textId="77777777" w:rsidR="00995C1F" w:rsidRPr="00B4223F" w:rsidRDefault="00995C1F">
            <w:pPr>
              <w:spacing w:after="80"/>
              <w:rPr>
                <w:rFonts w:ascii="TUOS Blake" w:hAnsi="TUOS Blake"/>
              </w:rPr>
            </w:pPr>
            <w:r w:rsidRPr="00B4223F">
              <w:rPr>
                <w:rFonts w:ascii="TUOS Blake" w:hAnsi="TUOS Blake"/>
                <w:b/>
              </w:rPr>
              <w:t>No</w:t>
            </w:r>
          </w:p>
        </w:tc>
      </w:tr>
      <w:tr w:rsidR="00995C1F" w:rsidRPr="00B4223F" w14:paraId="6C7555BF" w14:textId="77777777" w:rsidTr="00770F8E">
        <w:trPr>
          <w:gridAfter w:val="1"/>
          <w:wAfter w:w="195" w:type="dxa"/>
          <w:trHeight w:val="309"/>
        </w:trPr>
        <w:tc>
          <w:tcPr>
            <w:tcW w:w="8824" w:type="dxa"/>
            <w:gridSpan w:val="3"/>
          </w:tcPr>
          <w:p w14:paraId="51326B15" w14:textId="77777777" w:rsidR="00995C1F" w:rsidRPr="00B4223F" w:rsidRDefault="00995C1F" w:rsidP="00696C64">
            <w:pPr>
              <w:spacing w:after="0"/>
              <w:rPr>
                <w:rFonts w:ascii="TUOS Blake" w:hAnsi="TUOS Blake"/>
                <w:b/>
              </w:rPr>
            </w:pPr>
            <w:r w:rsidRPr="00B4223F">
              <w:rPr>
                <w:rFonts w:ascii="TUOS Blake" w:hAnsi="TUOS Blake"/>
                <w:b/>
              </w:rPr>
              <w:t>Taking Part in the Project</w:t>
            </w:r>
          </w:p>
        </w:tc>
        <w:tc>
          <w:tcPr>
            <w:tcW w:w="622" w:type="dxa"/>
          </w:tcPr>
          <w:p w14:paraId="1642DE05" w14:textId="77777777" w:rsidR="00995C1F" w:rsidRPr="00B4223F" w:rsidRDefault="00995C1F" w:rsidP="00696C64">
            <w:pPr>
              <w:spacing w:after="0"/>
              <w:rPr>
                <w:rFonts w:ascii="TUOS Blake" w:hAnsi="TUOS Blake"/>
              </w:rPr>
            </w:pPr>
          </w:p>
        </w:tc>
        <w:tc>
          <w:tcPr>
            <w:tcW w:w="619" w:type="dxa"/>
          </w:tcPr>
          <w:p w14:paraId="1E4C340B" w14:textId="77777777" w:rsidR="00995C1F" w:rsidRPr="00B4223F" w:rsidRDefault="00995C1F" w:rsidP="00696C64">
            <w:pPr>
              <w:spacing w:after="0"/>
              <w:rPr>
                <w:rFonts w:ascii="TUOS Blake" w:hAnsi="TUOS Blake"/>
              </w:rPr>
            </w:pPr>
          </w:p>
        </w:tc>
      </w:tr>
      <w:tr w:rsidR="00995C1F" w:rsidRPr="00B4223F" w14:paraId="5B8774B0" w14:textId="77777777" w:rsidTr="00770F8E">
        <w:trPr>
          <w:gridAfter w:val="1"/>
          <w:wAfter w:w="195" w:type="dxa"/>
          <w:trHeight w:val="460"/>
        </w:trPr>
        <w:tc>
          <w:tcPr>
            <w:tcW w:w="8824" w:type="dxa"/>
            <w:gridSpan w:val="3"/>
          </w:tcPr>
          <w:p w14:paraId="6C6772BA" w14:textId="77777777" w:rsidR="00995C1F" w:rsidRPr="00B4223F" w:rsidRDefault="00995C1F">
            <w:pPr>
              <w:rPr>
                <w:rFonts w:ascii="TUOS Blake" w:hAnsi="TUOS Blake"/>
                <w:sz w:val="20"/>
                <w:szCs w:val="20"/>
              </w:rPr>
            </w:pPr>
            <w:r w:rsidRPr="00B4223F">
              <w:rPr>
                <w:rFonts w:ascii="TUOS Blake" w:hAnsi="TUOS Blake"/>
                <w:sz w:val="20"/>
                <w:szCs w:val="20"/>
              </w:rPr>
              <w:t xml:space="preserve">I have read and understood the project information sheet, </w:t>
            </w:r>
            <w:r>
              <w:rPr>
                <w:rFonts w:ascii="TUOS Blake" w:hAnsi="TUOS Blake"/>
                <w:sz w:val="20"/>
                <w:szCs w:val="20"/>
              </w:rPr>
              <w:t>or</w:t>
            </w:r>
            <w:r w:rsidRPr="00B4223F">
              <w:rPr>
                <w:rFonts w:ascii="TUOS Blake" w:hAnsi="TUOS Blake"/>
                <w:sz w:val="20"/>
                <w:szCs w:val="20"/>
              </w:rPr>
              <w:t xml:space="preserve"> the project has been fully explained to me.  (If you will answer No to this question, please do not proceed with this consent form until you are fully aware of what your participation in the project will mean.)</w:t>
            </w:r>
          </w:p>
        </w:tc>
        <w:tc>
          <w:tcPr>
            <w:tcW w:w="622" w:type="dxa"/>
          </w:tcPr>
          <w:p w14:paraId="57A92A9A"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0832" behindDoc="0" locked="0" layoutInCell="1" allowOverlap="1" wp14:anchorId="28B4737E" wp14:editId="2DBF658B">
                      <wp:simplePos x="0" y="0"/>
                      <wp:positionH relativeFrom="margin">
                        <wp:posOffset>0</wp:posOffset>
                      </wp:positionH>
                      <wp:positionV relativeFrom="paragraph">
                        <wp:posOffset>127000</wp:posOffset>
                      </wp:positionV>
                      <wp:extent cx="161925" cy="15240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66A7DA1D" w14:textId="77777777" w:rsidR="00995C1F" w:rsidRDefault="00995C1F">
                                  <w:pPr>
                                    <w:spacing w:after="0"/>
                                    <w:textDirection w:val="btLr"/>
                                  </w:pPr>
                                  <w:r>
                                    <w:t>xx</w:t>
                                  </w: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8B4737E" id="Rectangle 23" o:spid="_x0000_s1030" style="position:absolute;left:0;text-align:left;margin-left:0;margin-top:10pt;width:12.75pt;height:1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" fillcolor="yellow" strokecolor="black [3200]" strokeweight="1.5pt">
                      <v:stroke startarrowwidth="narrow" startarrowlength="short" endarrowwidth="narrow" endarrowlength="short"/>
                      <v:path arrowok="t"/>
                      <v:textbox inset="2.53958mm,2.53958mm,2.53958mm,2.53958mm">
                        <w:txbxContent>
                          <w:p w14:paraId="66A7DA1D" w14:textId="77777777" w:rsidR="00995C1F" w:rsidRDefault="00995C1F">
                            <w:pPr>
                              <w:spacing w:after="0"/>
                              <w:textDirection w:val="btLr"/>
                            </w:pPr>
                            <w:r>
                              <w:t>xx</w:t>
                            </w:r>
                          </w:p>
                        </w:txbxContent>
                      </v:textbox>
                      <w10:wrap anchorx="margin"/>
                    </v:rect>
                  </w:pict>
                </mc:Fallback>
              </mc:AlternateContent>
            </w:r>
          </w:p>
        </w:tc>
        <w:tc>
          <w:tcPr>
            <w:tcW w:w="619" w:type="dxa"/>
          </w:tcPr>
          <w:p w14:paraId="0FD4387B"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1856" behindDoc="0" locked="0" layoutInCell="1" allowOverlap="1" wp14:anchorId="22A744E3" wp14:editId="060A8592">
                      <wp:simplePos x="0" y="0"/>
                      <wp:positionH relativeFrom="margin">
                        <wp:posOffset>12700</wp:posOffset>
                      </wp:positionH>
                      <wp:positionV relativeFrom="paragraph">
                        <wp:posOffset>139700</wp:posOffset>
                      </wp:positionV>
                      <wp:extent cx="161925" cy="152400"/>
                      <wp:effectExtent l="0" t="0" r="952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DC9B746"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2A744E3" id="Rectangle 19" o:spid="_x0000_s1031" style="position:absolute;left:0;text-align:left;margin-left:1pt;margin-top:11pt;width:12.75pt;height:1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gCDwIAAB0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2DC9B746" w14:textId="77777777" w:rsidR="00995C1F" w:rsidRDefault="00995C1F">
                            <w:pPr>
                              <w:spacing w:after="0"/>
                              <w:textDirection w:val="btLr"/>
                            </w:pPr>
                          </w:p>
                        </w:txbxContent>
                      </v:textbox>
                      <w10:wrap anchorx="margin"/>
                    </v:rect>
                  </w:pict>
                </mc:Fallback>
              </mc:AlternateContent>
            </w:r>
          </w:p>
        </w:tc>
      </w:tr>
      <w:tr w:rsidR="00995C1F" w:rsidRPr="00B4223F" w14:paraId="29D81F3C" w14:textId="77777777" w:rsidTr="00770F8E">
        <w:trPr>
          <w:gridAfter w:val="1"/>
          <w:wAfter w:w="195" w:type="dxa"/>
        </w:trPr>
        <w:tc>
          <w:tcPr>
            <w:tcW w:w="8824" w:type="dxa"/>
            <w:gridSpan w:val="3"/>
          </w:tcPr>
          <w:p w14:paraId="76947201" w14:textId="77777777" w:rsidR="00995C1F" w:rsidRPr="00B4223F" w:rsidRDefault="00995C1F">
            <w:pPr>
              <w:rPr>
                <w:rFonts w:ascii="TUOS Blake" w:hAnsi="TUOS Blake"/>
                <w:sz w:val="20"/>
                <w:szCs w:val="20"/>
              </w:rPr>
            </w:pPr>
            <w:r w:rsidRPr="00B4223F">
              <w:rPr>
                <w:rFonts w:ascii="TUOS Blake" w:hAnsi="TUOS Blake"/>
                <w:sz w:val="20"/>
                <w:szCs w:val="20"/>
              </w:rPr>
              <w:t xml:space="preserve">I have been given the opportunity to ask questions about the project. </w:t>
            </w:r>
          </w:p>
        </w:tc>
        <w:tc>
          <w:tcPr>
            <w:tcW w:w="622" w:type="dxa"/>
          </w:tcPr>
          <w:p w14:paraId="37E68A0C"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2880" behindDoc="0" locked="0" layoutInCell="1" allowOverlap="1" wp14:anchorId="5CB2E1FE" wp14:editId="5594B0B4">
                      <wp:simplePos x="0" y="0"/>
                      <wp:positionH relativeFrom="margin">
                        <wp:posOffset>3175</wp:posOffset>
                      </wp:positionH>
                      <wp:positionV relativeFrom="paragraph">
                        <wp:posOffset>38735</wp:posOffset>
                      </wp:positionV>
                      <wp:extent cx="161925" cy="1524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52508EBA" w14:textId="77777777" w:rsidR="00995C1F" w:rsidRDefault="00995C1F">
                                  <w:pPr>
                                    <w:spacing w:after="0"/>
                                    <w:textDirection w:val="btLr"/>
                                  </w:pPr>
                                  <w:r>
                                    <w:t>xx</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CB2E1FE" id="Rectangle 10" o:spid="_x0000_s1032" style="position:absolute;left:0;text-align:left;margin-left:.25pt;margin-top:3.05pt;width:12.75pt;height:1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" fillcolor="yellow" strokecolor="black [3200]" strokeweight="1.5pt">
                      <v:stroke startarrowwidth="narrow" startarrowlength="short" endarrowwidth="narrow" endarrowlength="short"/>
                      <v:path arrowok="t"/>
                      <v:textbox inset="2.53958mm,2.53958mm,2.53958mm,2.53958mm">
                        <w:txbxContent>
                          <w:p w14:paraId="52508EBA" w14:textId="77777777" w:rsidR="00995C1F" w:rsidRDefault="00995C1F">
                            <w:pPr>
                              <w:spacing w:after="0"/>
                              <w:textDirection w:val="btLr"/>
                            </w:pPr>
                            <w:r>
                              <w:t>xx</w:t>
                            </w:r>
                          </w:p>
                        </w:txbxContent>
                      </v:textbox>
                      <w10:wrap anchorx="margin"/>
                    </v:rect>
                  </w:pict>
                </mc:Fallback>
              </mc:AlternateContent>
            </w:r>
          </w:p>
        </w:tc>
        <w:tc>
          <w:tcPr>
            <w:tcW w:w="619" w:type="dxa"/>
          </w:tcPr>
          <w:p w14:paraId="224AC79A"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3904" behindDoc="0" locked="0" layoutInCell="1" allowOverlap="1" wp14:anchorId="444BC4A7" wp14:editId="29C41DA6">
                      <wp:simplePos x="0" y="0"/>
                      <wp:positionH relativeFrom="margin">
                        <wp:posOffset>25400</wp:posOffset>
                      </wp:positionH>
                      <wp:positionV relativeFrom="paragraph">
                        <wp:posOffset>50800</wp:posOffset>
                      </wp:positionV>
                      <wp:extent cx="161925" cy="152400"/>
                      <wp:effectExtent l="0" t="0" r="952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43BF53D"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44BC4A7" id="Rectangle 8" o:spid="_x0000_s1033" style="position:absolute;left:0;text-align:left;margin-left:2pt;margin-top:4pt;width:12.75pt;height:1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AyDwIAAB0EAAAOAAAAZHJzL2Uyb0RvYy54bWysU01v2zAMvQ/YfxB0X2wHTdc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143BF53D" w14:textId="77777777" w:rsidR="00995C1F" w:rsidRDefault="00995C1F">
                            <w:pPr>
                              <w:spacing w:after="0"/>
                              <w:textDirection w:val="btLr"/>
                            </w:pPr>
                          </w:p>
                        </w:txbxContent>
                      </v:textbox>
                      <w10:wrap anchorx="margin"/>
                    </v:rect>
                  </w:pict>
                </mc:Fallback>
              </mc:AlternateContent>
            </w:r>
          </w:p>
        </w:tc>
      </w:tr>
      <w:tr w:rsidR="00995C1F" w:rsidRPr="00B4223F" w14:paraId="5012F9C6" w14:textId="77777777" w:rsidTr="00770F8E">
        <w:trPr>
          <w:gridAfter w:val="1"/>
          <w:wAfter w:w="195" w:type="dxa"/>
          <w:trHeight w:val="540"/>
        </w:trPr>
        <w:tc>
          <w:tcPr>
            <w:tcW w:w="8824" w:type="dxa"/>
            <w:gridSpan w:val="3"/>
          </w:tcPr>
          <w:p w14:paraId="633314CA" w14:textId="77777777" w:rsidR="00995C1F" w:rsidRDefault="00995C1F" w:rsidP="00694555">
            <w:pPr>
              <w:rPr>
                <w:rFonts w:ascii="TUOS Blake" w:hAnsi="TUOS Blake"/>
                <w:sz w:val="20"/>
                <w:szCs w:val="20"/>
              </w:rPr>
            </w:pPr>
            <w:r w:rsidRPr="00B4223F">
              <w:rPr>
                <w:rFonts w:ascii="TUOS Blake" w:hAnsi="TUOS Blake"/>
                <w:sz w:val="20"/>
                <w:szCs w:val="20"/>
              </w:rPr>
              <w:t>I agree to take part in the project.  I understand that taking part in the project will include</w:t>
            </w:r>
            <w:r>
              <w:rPr>
                <w:rFonts w:ascii="TUOS Blake" w:hAnsi="TUOS Blake"/>
                <w:sz w:val="20"/>
                <w:szCs w:val="20"/>
              </w:rPr>
              <w:t xml:space="preserve"> being interviewed in two semi-structured interviews with a narrative focus which will be conducted online via Google Meet.</w:t>
            </w:r>
          </w:p>
          <w:p w14:paraId="39B17AFA" w14:textId="77777777" w:rsidR="00995C1F" w:rsidRPr="00312A95" w:rsidRDefault="00995C1F" w:rsidP="00694555">
            <w:pPr>
              <w:rPr>
                <w:rFonts w:ascii="TUOS Blake" w:hAnsi="TUOS Blake"/>
                <w:sz w:val="20"/>
                <w:szCs w:val="20"/>
              </w:rPr>
            </w:pPr>
            <w:r>
              <w:rPr>
                <w:rFonts w:ascii="TUOS Blake" w:hAnsi="TUOS Blake"/>
                <w:sz w:val="20"/>
                <w:szCs w:val="20"/>
              </w:rPr>
              <w:t>I understand that the two interviews will be audio recorded.</w:t>
            </w:r>
          </w:p>
        </w:tc>
        <w:tc>
          <w:tcPr>
            <w:tcW w:w="622" w:type="dxa"/>
          </w:tcPr>
          <w:p w14:paraId="68C78A61" w14:textId="77777777" w:rsidR="00995C1F" w:rsidRPr="00DD498A" w:rsidRDefault="00995C1F" w:rsidP="00DD498A">
            <w:pPr>
              <w:rPr>
                <w:rFonts w:ascii="TUOS Blake" w:hAnsi="TUOS Blake"/>
              </w:rPr>
            </w:pPr>
            <w:r>
              <w:rPr>
                <w:rFonts w:ascii="TUOS Blake" w:hAnsi="TUOS Blake"/>
                <w:noProof/>
              </w:rPr>
              <w:drawing>
                <wp:anchor distT="0" distB="0" distL="114300" distR="114300" simplePos="0" relativeHeight="251660288" behindDoc="0" locked="0" layoutInCell="1" allowOverlap="1" wp14:anchorId="63B2411E" wp14:editId="4879179B">
                  <wp:simplePos x="0" y="0"/>
                  <wp:positionH relativeFrom="column">
                    <wp:posOffset>3175</wp:posOffset>
                  </wp:positionH>
                  <wp:positionV relativeFrom="paragraph">
                    <wp:posOffset>19685</wp:posOffset>
                  </wp:positionV>
                  <wp:extent cx="175260" cy="152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solidFill>
                            <a:srgbClr val="FFFF00"/>
                          </a:solidFill>
                        </pic:spPr>
                      </pic:pic>
                    </a:graphicData>
                  </a:graphic>
                </wp:anchor>
              </w:drawing>
            </w:r>
          </w:p>
          <w:p w14:paraId="4A14A8F8" w14:textId="77777777" w:rsidR="00995C1F" w:rsidRPr="00DD498A" w:rsidRDefault="00995C1F" w:rsidP="00DD498A">
            <w:pPr>
              <w:rPr>
                <w:rFonts w:ascii="TUOS Blake" w:hAnsi="TUOS Blake"/>
              </w:rPr>
            </w:pPr>
            <w:r>
              <w:rPr>
                <w:noProof/>
              </w:rPr>
              <mc:AlternateContent>
                <mc:Choice Requires="wps">
                  <w:drawing>
                    <wp:anchor distT="0" distB="0" distL="114300" distR="114300" simplePos="0" relativeHeight="251661312" behindDoc="0" locked="0" layoutInCell="1" allowOverlap="1" wp14:anchorId="688B6AE0" wp14:editId="478FFDD9">
                      <wp:simplePos x="0" y="0"/>
                      <wp:positionH relativeFrom="margin">
                        <wp:posOffset>-3175</wp:posOffset>
                      </wp:positionH>
                      <wp:positionV relativeFrom="paragraph">
                        <wp:posOffset>2540</wp:posOffset>
                      </wp:positionV>
                      <wp:extent cx="161925" cy="15240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ysClr val="windowText" lastClr="000000"/>
                                </a:solidFill>
                                <a:prstDash val="solid"/>
                                <a:miter lim="800000"/>
                                <a:headEnd type="none" w="sm" len="sm"/>
                                <a:tailEnd type="none" w="sm" len="sm"/>
                              </a:ln>
                            </wps:spPr>
                            <wps:txbx>
                              <w:txbxContent>
                                <w:p w14:paraId="20BC44DB" w14:textId="77777777" w:rsidR="00995C1F" w:rsidRDefault="00995C1F" w:rsidP="00DD498A">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8B6AE0" id="Rectangle 25" o:spid="_x0000_s1034" style="position:absolute;margin-left:-.25pt;margin-top:.2pt;width:12.75pt;height: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" fillcolor="yellow" strokecolor="windowText" strokeweight="1.5pt">
                      <v:stroke startarrowwidth="narrow" startarrowlength="short" endarrowwidth="narrow" endarrowlength="short"/>
                      <v:path arrowok="t"/>
                      <v:textbox inset="2.53958mm,2.53958mm,2.53958mm,2.53958mm">
                        <w:txbxContent>
                          <w:p w14:paraId="20BC44DB" w14:textId="77777777" w:rsidR="00995C1F" w:rsidRDefault="00995C1F" w:rsidP="00DD498A">
                            <w:pPr>
                              <w:spacing w:after="0"/>
                              <w:textDirection w:val="btLr"/>
                            </w:pPr>
                          </w:p>
                        </w:txbxContent>
                      </v:textbox>
                      <w10:wrap anchorx="margin"/>
                    </v:rect>
                  </w:pict>
                </mc:Fallback>
              </mc:AlternateContent>
            </w:r>
            <w:r>
              <w:rPr>
                <w:noProof/>
              </w:rPr>
              <w:drawing>
                <wp:inline distT="0" distB="0" distL="0" distR="0" wp14:anchorId="7A0A4BF0" wp14:editId="78103BC8">
                  <wp:extent cx="17526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pic:spPr>
                      </pic:pic>
                    </a:graphicData>
                  </a:graphic>
                </wp:inline>
              </w:drawing>
            </w:r>
          </w:p>
        </w:tc>
        <w:tc>
          <w:tcPr>
            <w:tcW w:w="619" w:type="dxa"/>
          </w:tcPr>
          <w:p w14:paraId="15A303FE" w14:textId="77777777" w:rsidR="00995C1F" w:rsidRDefault="00995C1F">
            <w:pPr>
              <w:jc w:val="center"/>
              <w:rPr>
                <w:rFonts w:ascii="TUOS Blake" w:hAnsi="TUOS Blake"/>
              </w:rPr>
            </w:pPr>
            <w:r>
              <w:rPr>
                <w:rFonts w:ascii="TUOS Blake" w:hAnsi="TUOS Blake"/>
                <w:noProof/>
              </w:rPr>
              <w:drawing>
                <wp:inline distT="0" distB="0" distL="0" distR="0" wp14:anchorId="21D262C4" wp14:editId="1F23BD77">
                  <wp:extent cx="175260" cy="152400"/>
                  <wp:effectExtent l="0" t="0" r="0" b="0"/>
                  <wp:docPr id="1995473332" name="Picture 199547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pic:spPr>
                      </pic:pic>
                    </a:graphicData>
                  </a:graphic>
                </wp:inline>
              </w:drawing>
            </w:r>
          </w:p>
          <w:p w14:paraId="29DCEF35" w14:textId="77777777" w:rsidR="00995C1F" w:rsidRDefault="00995C1F" w:rsidP="00DD498A">
            <w:pPr>
              <w:spacing w:after="0"/>
              <w:textDirection w:val="btLr"/>
            </w:pPr>
          </w:p>
          <w:p w14:paraId="1BD1861E"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4928" behindDoc="0" locked="0" layoutInCell="1" allowOverlap="1" wp14:anchorId="392843EA" wp14:editId="58C23F00">
                      <wp:simplePos x="0" y="0"/>
                      <wp:positionH relativeFrom="margin">
                        <wp:posOffset>31750</wp:posOffset>
                      </wp:positionH>
                      <wp:positionV relativeFrom="paragraph">
                        <wp:posOffset>5080</wp:posOffset>
                      </wp:positionV>
                      <wp:extent cx="161925" cy="152400"/>
                      <wp:effectExtent l="0" t="0" r="952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DBEF8E3" w14:textId="77777777" w:rsidR="00995C1F" w:rsidRDefault="00995C1F"/>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92843EA" id="Rectangle 18" o:spid="_x0000_s1035" style="position:absolute;left:0;text-align:left;margin-left:2.5pt;margin-top:.4pt;width:12.75pt;height:1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" filled="f" strokecolor="black [3200]" strokeweight="1.5pt">
                      <v:stroke startarrowwidth="narrow" startarrowlength="short" endarrowwidth="narrow" endarrowlength="short"/>
                      <v:path arrowok="t"/>
                      <v:textbox inset="2.53958mm,2.53958mm,2.53958mm,2.53958mm">
                        <w:txbxContent>
                          <w:p w14:paraId="2DBEF8E3" w14:textId="77777777" w:rsidR="00995C1F" w:rsidRDefault="00995C1F"/>
                        </w:txbxContent>
                      </v:textbox>
                      <w10:wrap anchorx="margin"/>
                    </v:rect>
                  </w:pict>
                </mc:Fallback>
              </mc:AlternateContent>
            </w:r>
          </w:p>
        </w:tc>
      </w:tr>
      <w:tr w:rsidR="00995C1F" w:rsidRPr="00B4223F" w14:paraId="1B01662B" w14:textId="77777777" w:rsidTr="00770F8E">
        <w:trPr>
          <w:gridAfter w:val="1"/>
          <w:wAfter w:w="195" w:type="dxa"/>
        </w:trPr>
        <w:tc>
          <w:tcPr>
            <w:tcW w:w="8824" w:type="dxa"/>
            <w:gridSpan w:val="3"/>
          </w:tcPr>
          <w:p w14:paraId="030508B6" w14:textId="77777777" w:rsidR="00995C1F" w:rsidRPr="00B4223F" w:rsidRDefault="00995C1F" w:rsidP="00CA220D">
            <w:pPr>
              <w:rPr>
                <w:rFonts w:ascii="TUOS Blake" w:hAnsi="TUOS Blake"/>
                <w:sz w:val="20"/>
                <w:szCs w:val="20"/>
              </w:rPr>
            </w:pPr>
            <w:r w:rsidRPr="00A915D3">
              <w:rPr>
                <w:rFonts w:ascii="TUOS Blake" w:hAnsi="TUOS Blake"/>
                <w:sz w:val="20"/>
                <w:szCs w:val="20"/>
              </w:rPr>
              <w:t>I understand that by choosing to participate as a volunteer in this research, this does not create a legally binding agreement nor is it intended to create an employment relationship with the University of Sheffield.</w:t>
            </w:r>
          </w:p>
        </w:tc>
        <w:tc>
          <w:tcPr>
            <w:tcW w:w="622" w:type="dxa"/>
          </w:tcPr>
          <w:p w14:paraId="732BD12E" w14:textId="77777777" w:rsidR="00995C1F" w:rsidRPr="00B4223F" w:rsidRDefault="00995C1F" w:rsidP="00CA220D">
            <w:pPr>
              <w:jc w:val="center"/>
              <w:rPr>
                <w:rFonts w:ascii="TUOS Blake" w:hAnsi="TUOS Blake"/>
              </w:rPr>
            </w:pPr>
            <w:r>
              <w:rPr>
                <w:rFonts w:ascii="TUOS Blake" w:hAnsi="TUOS Blake"/>
                <w:noProof/>
              </w:rPr>
              <mc:AlternateContent>
                <mc:Choice Requires="wps">
                  <w:drawing>
                    <wp:anchor distT="0" distB="0" distL="114300" distR="114300" simplePos="0" relativeHeight="251658240" behindDoc="0" locked="0" layoutInCell="1" allowOverlap="1" wp14:anchorId="2EF7B86B" wp14:editId="706ABD68">
                      <wp:simplePos x="0" y="0"/>
                      <wp:positionH relativeFrom="margin">
                        <wp:posOffset>25400</wp:posOffset>
                      </wp:positionH>
                      <wp:positionV relativeFrom="paragraph">
                        <wp:posOffset>127000</wp:posOffset>
                      </wp:positionV>
                      <wp:extent cx="161925" cy="1524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5D80FE03" w14:textId="77777777" w:rsidR="00995C1F" w:rsidRDefault="00995C1F" w:rsidP="00A915D3">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EF7B86B" id="Rectangle 6" o:spid="_x0000_s1036" style="position:absolute;left:0;text-align:left;margin-left:2pt;margin-top:10pt;width:12.75pt;height: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" fillcolor="yellow" strokecolor="black [3200]" strokeweight="1.5pt">
                      <v:stroke startarrowwidth="narrow" startarrowlength="short" endarrowwidth="narrow" endarrowlength="short"/>
                      <v:path arrowok="t"/>
                      <v:textbox inset="2.53958mm,2.53958mm,2.53958mm,2.53958mm">
                        <w:txbxContent>
                          <w:p w14:paraId="5D80FE03" w14:textId="77777777" w:rsidR="00995C1F" w:rsidRDefault="00995C1F" w:rsidP="00A915D3">
                            <w:pPr>
                              <w:spacing w:after="0"/>
                              <w:textDirection w:val="btLr"/>
                            </w:pPr>
                          </w:p>
                        </w:txbxContent>
                      </v:textbox>
                      <w10:wrap anchorx="margin"/>
                    </v:rect>
                  </w:pict>
                </mc:Fallback>
              </mc:AlternateContent>
            </w:r>
            <w:r>
              <w:rPr>
                <w:rFonts w:ascii="TUOS Blake" w:hAnsi="TUOS Blake"/>
                <w:noProof/>
              </w:rPr>
              <mc:AlternateContent>
                <mc:Choice Requires="wps">
                  <w:drawing>
                    <wp:anchor distT="0" distB="0" distL="114300" distR="114300" simplePos="0" relativeHeight="251659264" behindDoc="0" locked="0" layoutInCell="1" allowOverlap="1" wp14:anchorId="49F12522" wp14:editId="432A67FC">
                      <wp:simplePos x="0" y="0"/>
                      <wp:positionH relativeFrom="margin">
                        <wp:posOffset>444500</wp:posOffset>
                      </wp:positionH>
                      <wp:positionV relativeFrom="paragraph">
                        <wp:posOffset>139700</wp:posOffset>
                      </wp:positionV>
                      <wp:extent cx="161925" cy="152400"/>
                      <wp:effectExtent l="0" t="0" r="952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F964C16" w14:textId="77777777" w:rsidR="00995C1F" w:rsidRDefault="00995C1F" w:rsidP="00A915D3">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9F12522" id="Rectangle 3" o:spid="_x0000_s1037" style="position:absolute;left:0;text-align:left;margin-left:35pt;margin-top:11pt;width:12.75pt;height: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U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" filled="f" strokecolor="black [3200]" strokeweight="1.5pt">
                      <v:stroke startarrowwidth="narrow" startarrowlength="short" endarrowwidth="narrow" endarrowlength="short"/>
                      <v:path arrowok="t"/>
                      <v:textbox inset="2.53958mm,2.53958mm,2.53958mm,2.53958mm">
                        <w:txbxContent>
                          <w:p w14:paraId="0F964C16" w14:textId="77777777" w:rsidR="00995C1F" w:rsidRDefault="00995C1F" w:rsidP="00A915D3">
                            <w:pPr>
                              <w:spacing w:after="0"/>
                              <w:textDirection w:val="btLr"/>
                            </w:pPr>
                          </w:p>
                        </w:txbxContent>
                      </v:textbox>
                      <w10:wrap anchorx="margin"/>
                    </v:rect>
                  </w:pict>
                </mc:Fallback>
              </mc:AlternateContent>
            </w:r>
          </w:p>
        </w:tc>
        <w:tc>
          <w:tcPr>
            <w:tcW w:w="619" w:type="dxa"/>
          </w:tcPr>
          <w:p w14:paraId="7304D236" w14:textId="77777777" w:rsidR="00995C1F" w:rsidRPr="00B4223F" w:rsidRDefault="00995C1F" w:rsidP="00CA220D">
            <w:pPr>
              <w:jc w:val="center"/>
              <w:rPr>
                <w:rFonts w:ascii="TUOS Blake" w:hAnsi="TUOS Blake"/>
              </w:rPr>
            </w:pPr>
          </w:p>
        </w:tc>
      </w:tr>
      <w:tr w:rsidR="00995C1F" w:rsidRPr="00B4223F" w14:paraId="11CDC4C0" w14:textId="77777777" w:rsidTr="00770F8E">
        <w:trPr>
          <w:gridAfter w:val="1"/>
          <w:wAfter w:w="195" w:type="dxa"/>
        </w:trPr>
        <w:tc>
          <w:tcPr>
            <w:tcW w:w="8824" w:type="dxa"/>
            <w:gridSpan w:val="3"/>
          </w:tcPr>
          <w:p w14:paraId="1FB93F8A" w14:textId="77777777" w:rsidR="00995C1F" w:rsidRPr="00B4223F" w:rsidRDefault="00995C1F">
            <w:pPr>
              <w:rPr>
                <w:rFonts w:ascii="TUOS Blake" w:hAnsi="TUOS Blake"/>
                <w:sz w:val="20"/>
                <w:szCs w:val="20"/>
              </w:rPr>
            </w:pPr>
            <w:r w:rsidRPr="00B4223F">
              <w:rPr>
                <w:rFonts w:ascii="TUOS Blake" w:hAnsi="TUOS Blake"/>
                <w:sz w:val="20"/>
                <w:szCs w:val="20"/>
              </w:rPr>
              <w:t xml:space="preserve">I understand that my taking part is voluntary and that I can withdraw from the study </w:t>
            </w:r>
            <w:r w:rsidRPr="005E336F">
              <w:rPr>
                <w:rFonts w:ascii="TUOS Blake" w:hAnsi="TUOS Blake"/>
                <w:sz w:val="20"/>
                <w:szCs w:val="20"/>
              </w:rPr>
              <w:t>at any time</w:t>
            </w:r>
            <w:r>
              <w:rPr>
                <w:rFonts w:ascii="TUOS Blake" w:hAnsi="TUOS Blake"/>
                <w:sz w:val="20"/>
                <w:szCs w:val="20"/>
              </w:rPr>
              <w:t xml:space="preserve"> </w:t>
            </w:r>
            <w:r w:rsidRPr="005E336F">
              <w:rPr>
                <w:rFonts w:ascii="TUOS Blake" w:hAnsi="TUOS Blake"/>
                <w:sz w:val="20"/>
                <w:szCs w:val="20"/>
              </w:rPr>
              <w:t>before 30</w:t>
            </w:r>
            <w:r w:rsidRPr="005E336F">
              <w:rPr>
                <w:rFonts w:ascii="TUOS Blake" w:hAnsi="TUOS Blake"/>
                <w:sz w:val="20"/>
                <w:szCs w:val="20"/>
                <w:vertAlign w:val="superscript"/>
              </w:rPr>
              <w:t>th</w:t>
            </w:r>
            <w:r w:rsidRPr="005E336F">
              <w:rPr>
                <w:rFonts w:ascii="TUOS Blake" w:hAnsi="TUOS Blake"/>
                <w:sz w:val="20"/>
                <w:szCs w:val="20"/>
              </w:rPr>
              <w:t xml:space="preserve"> June 2023; </w:t>
            </w:r>
            <w:r w:rsidRPr="00B4223F">
              <w:rPr>
                <w:rFonts w:ascii="TUOS Blake" w:hAnsi="TUOS Blake"/>
                <w:sz w:val="20"/>
                <w:szCs w:val="20"/>
              </w:rPr>
              <w:t xml:space="preserve">I do not have to give any reasons for why I no longer want to take part and there will be no adverse consequences if I choose to withdraw. </w:t>
            </w:r>
          </w:p>
        </w:tc>
        <w:tc>
          <w:tcPr>
            <w:tcW w:w="622" w:type="dxa"/>
          </w:tcPr>
          <w:p w14:paraId="20C7424A"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5952" behindDoc="0" locked="0" layoutInCell="1" allowOverlap="1" wp14:anchorId="4CE41832" wp14:editId="65811459">
                      <wp:simplePos x="0" y="0"/>
                      <wp:positionH relativeFrom="margin">
                        <wp:posOffset>25400</wp:posOffset>
                      </wp:positionH>
                      <wp:positionV relativeFrom="paragraph">
                        <wp:posOffset>127000</wp:posOffset>
                      </wp:positionV>
                      <wp:extent cx="161925" cy="15240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367EA0EC"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CE41832" id="Rectangle 13" o:spid="_x0000_s1038" style="position:absolute;left:0;text-align:left;margin-left:2pt;margin-top:10pt;width:12.75pt;height:1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" fillcolor="yellow" strokecolor="black [3200]" strokeweight="1.5pt">
                      <v:stroke startarrowwidth="narrow" startarrowlength="short" endarrowwidth="narrow" endarrowlength="short"/>
                      <v:path arrowok="t"/>
                      <v:textbox inset="2.53958mm,2.53958mm,2.53958mm,2.53958mm">
                        <w:txbxContent>
                          <w:p w14:paraId="367EA0EC" w14:textId="77777777" w:rsidR="00995C1F" w:rsidRDefault="00995C1F">
                            <w:pPr>
                              <w:spacing w:after="0"/>
                              <w:textDirection w:val="btLr"/>
                            </w:pPr>
                          </w:p>
                        </w:txbxContent>
                      </v:textbox>
                      <w10:wrap anchorx="margin"/>
                    </v:rect>
                  </w:pict>
                </mc:Fallback>
              </mc:AlternateContent>
            </w:r>
            <w:r>
              <w:rPr>
                <w:rFonts w:ascii="TUOS Blake" w:hAnsi="TUOS Blake"/>
                <w:noProof/>
              </w:rPr>
              <mc:AlternateContent>
                <mc:Choice Requires="wps">
                  <w:drawing>
                    <wp:anchor distT="0" distB="0" distL="114300" distR="114300" simplePos="0" relativeHeight="251646976" behindDoc="0" locked="0" layoutInCell="1" allowOverlap="1" wp14:anchorId="23F68089" wp14:editId="42ADD851">
                      <wp:simplePos x="0" y="0"/>
                      <wp:positionH relativeFrom="margin">
                        <wp:posOffset>444500</wp:posOffset>
                      </wp:positionH>
                      <wp:positionV relativeFrom="paragraph">
                        <wp:posOffset>139700</wp:posOffset>
                      </wp:positionV>
                      <wp:extent cx="161925" cy="15240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887BDA5"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3F68089" id="Rectangle 14" o:spid="_x0000_s1039" style="position:absolute;left:0;text-align:left;margin-left:35pt;margin-top:11pt;width:12.75pt;height:1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zkEAIAAB4EAAAOAAAAZHJzL2Uyb0RvYy54bWysU01v2zAMvQ/YfxB0X2xnTdE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" filled="f" strokecolor="black [3200]" strokeweight="1.5pt">
                      <v:stroke startarrowwidth="narrow" startarrowlength="short" endarrowwidth="narrow" endarrowlength="short"/>
                      <v:path arrowok="t"/>
                      <v:textbox inset="2.53958mm,2.53958mm,2.53958mm,2.53958mm">
                        <w:txbxContent>
                          <w:p w14:paraId="4887BDA5" w14:textId="77777777" w:rsidR="00995C1F" w:rsidRDefault="00995C1F">
                            <w:pPr>
                              <w:spacing w:after="0"/>
                              <w:textDirection w:val="btLr"/>
                            </w:pPr>
                          </w:p>
                        </w:txbxContent>
                      </v:textbox>
                      <w10:wrap anchorx="margin"/>
                    </v:rect>
                  </w:pict>
                </mc:Fallback>
              </mc:AlternateContent>
            </w:r>
          </w:p>
        </w:tc>
        <w:tc>
          <w:tcPr>
            <w:tcW w:w="619" w:type="dxa"/>
          </w:tcPr>
          <w:p w14:paraId="1746CA5B" w14:textId="77777777" w:rsidR="00995C1F" w:rsidRPr="00B4223F" w:rsidRDefault="00995C1F">
            <w:pPr>
              <w:jc w:val="center"/>
              <w:rPr>
                <w:rFonts w:ascii="TUOS Blake" w:hAnsi="TUOS Blake"/>
              </w:rPr>
            </w:pPr>
          </w:p>
        </w:tc>
      </w:tr>
      <w:tr w:rsidR="00995C1F" w:rsidRPr="00B4223F" w14:paraId="549036B1" w14:textId="77777777" w:rsidTr="00770F8E">
        <w:trPr>
          <w:gridAfter w:val="1"/>
          <w:wAfter w:w="195" w:type="dxa"/>
        </w:trPr>
        <w:tc>
          <w:tcPr>
            <w:tcW w:w="8824" w:type="dxa"/>
            <w:gridSpan w:val="3"/>
          </w:tcPr>
          <w:p w14:paraId="1E01BC5D" w14:textId="77777777" w:rsidR="00995C1F" w:rsidRPr="00B4223F" w:rsidRDefault="00995C1F">
            <w:pPr>
              <w:spacing w:after="80"/>
              <w:rPr>
                <w:rFonts w:ascii="TUOS Blake" w:hAnsi="TUOS Blake"/>
                <w:b/>
              </w:rPr>
            </w:pPr>
            <w:r w:rsidRPr="00B4223F">
              <w:rPr>
                <w:rFonts w:ascii="TUOS Blake" w:hAnsi="TUOS Blake"/>
                <w:b/>
              </w:rPr>
              <w:t>How my information will be used during and after the project</w:t>
            </w:r>
          </w:p>
        </w:tc>
        <w:tc>
          <w:tcPr>
            <w:tcW w:w="622" w:type="dxa"/>
          </w:tcPr>
          <w:p w14:paraId="43A4019E" w14:textId="77777777" w:rsidR="00995C1F" w:rsidRPr="00B4223F" w:rsidRDefault="00995C1F">
            <w:pPr>
              <w:spacing w:after="80"/>
              <w:jc w:val="center"/>
              <w:rPr>
                <w:rFonts w:ascii="TUOS Blake" w:hAnsi="TUOS Blake"/>
              </w:rPr>
            </w:pPr>
          </w:p>
        </w:tc>
        <w:tc>
          <w:tcPr>
            <w:tcW w:w="619" w:type="dxa"/>
          </w:tcPr>
          <w:p w14:paraId="05DEEF55" w14:textId="77777777" w:rsidR="00995C1F" w:rsidRPr="00B4223F" w:rsidRDefault="00995C1F">
            <w:pPr>
              <w:spacing w:after="80"/>
              <w:jc w:val="center"/>
              <w:rPr>
                <w:rFonts w:ascii="TUOS Blake" w:hAnsi="TUOS Blake"/>
              </w:rPr>
            </w:pPr>
          </w:p>
        </w:tc>
      </w:tr>
      <w:tr w:rsidR="00995C1F" w:rsidRPr="00B4223F" w14:paraId="75E6BBB4" w14:textId="77777777" w:rsidTr="00770F8E">
        <w:trPr>
          <w:gridAfter w:val="1"/>
          <w:wAfter w:w="195" w:type="dxa"/>
        </w:trPr>
        <w:tc>
          <w:tcPr>
            <w:tcW w:w="8824" w:type="dxa"/>
            <w:gridSpan w:val="3"/>
          </w:tcPr>
          <w:p w14:paraId="3B8F0196" w14:textId="7D03578F" w:rsidR="00995C1F" w:rsidRPr="00B4223F" w:rsidRDefault="00995C1F">
            <w:pPr>
              <w:rPr>
                <w:rFonts w:ascii="TUOS Blake" w:hAnsi="TUOS Blake"/>
                <w:sz w:val="20"/>
                <w:szCs w:val="20"/>
              </w:rPr>
            </w:pPr>
            <w:r w:rsidRPr="00B4223F">
              <w:rPr>
                <w:rFonts w:ascii="TUOS Blake" w:hAnsi="TUOS Blake"/>
                <w:sz w:val="20"/>
                <w:szCs w:val="20"/>
              </w:rPr>
              <w:t>I understand my personal details such as name, phone number, address and email address will not be revealed to people outside the project.</w:t>
            </w:r>
          </w:p>
        </w:tc>
        <w:tc>
          <w:tcPr>
            <w:tcW w:w="622" w:type="dxa"/>
          </w:tcPr>
          <w:p w14:paraId="783CB6CC"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48000" behindDoc="0" locked="0" layoutInCell="1" allowOverlap="1" wp14:anchorId="22507F62" wp14:editId="053391EB">
                      <wp:simplePos x="0" y="0"/>
                      <wp:positionH relativeFrom="margin">
                        <wp:posOffset>38100</wp:posOffset>
                      </wp:positionH>
                      <wp:positionV relativeFrom="paragraph">
                        <wp:posOffset>127000</wp:posOffset>
                      </wp:positionV>
                      <wp:extent cx="161925" cy="15240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37639A78"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2507F62" id="Rectangle 21" o:spid="_x0000_s1040" style="position:absolute;left:0;text-align:left;margin-left:3pt;margin-top:10pt;width:12.75pt;height:1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" fillcolor="yellow" strokecolor="black [3200]" strokeweight="1.5pt">
                      <v:stroke startarrowwidth="narrow" startarrowlength="short" endarrowwidth="narrow" endarrowlength="short"/>
                      <v:path arrowok="t"/>
                      <v:textbox inset="2.53958mm,2.53958mm,2.53958mm,2.53958mm">
                        <w:txbxContent>
                          <w:p w14:paraId="37639A78" w14:textId="77777777" w:rsidR="00995C1F" w:rsidRDefault="00995C1F">
                            <w:pPr>
                              <w:spacing w:after="0"/>
                              <w:textDirection w:val="btLr"/>
                            </w:pPr>
                          </w:p>
                        </w:txbxContent>
                      </v:textbox>
                      <w10:wrap anchorx="margin"/>
                    </v:rect>
                  </w:pict>
                </mc:Fallback>
              </mc:AlternateContent>
            </w:r>
            <w:r>
              <w:rPr>
                <w:rFonts w:ascii="TUOS Blake" w:hAnsi="TUOS Blake"/>
                <w:noProof/>
              </w:rPr>
              <mc:AlternateContent>
                <mc:Choice Requires="wps">
                  <w:drawing>
                    <wp:anchor distT="0" distB="0" distL="114300" distR="114300" simplePos="0" relativeHeight="251649024" behindDoc="0" locked="0" layoutInCell="1" allowOverlap="1" wp14:anchorId="2671AA82" wp14:editId="71A6F14D">
                      <wp:simplePos x="0" y="0"/>
                      <wp:positionH relativeFrom="margin">
                        <wp:posOffset>457200</wp:posOffset>
                      </wp:positionH>
                      <wp:positionV relativeFrom="paragraph">
                        <wp:posOffset>139700</wp:posOffset>
                      </wp:positionV>
                      <wp:extent cx="161925" cy="152400"/>
                      <wp:effectExtent l="0" t="0" r="952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187A504"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671AA82" id="Rectangle 20" o:spid="_x0000_s1041" style="position:absolute;left:0;text-align:left;margin-left:36pt;margin-top:11pt;width:12.75pt;height:1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S1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" filled="f" strokecolor="black [3200]" strokeweight="1.5pt">
                      <v:stroke startarrowwidth="narrow" startarrowlength="short" endarrowwidth="narrow" endarrowlength="short"/>
                      <v:path arrowok="t"/>
                      <v:textbox inset="2.53958mm,2.53958mm,2.53958mm,2.53958mm">
                        <w:txbxContent>
                          <w:p w14:paraId="7187A504" w14:textId="77777777" w:rsidR="00995C1F" w:rsidRDefault="00995C1F">
                            <w:pPr>
                              <w:spacing w:after="0"/>
                              <w:textDirection w:val="btLr"/>
                            </w:pPr>
                          </w:p>
                        </w:txbxContent>
                      </v:textbox>
                      <w10:wrap anchorx="margin"/>
                    </v:rect>
                  </w:pict>
                </mc:Fallback>
              </mc:AlternateContent>
            </w:r>
          </w:p>
        </w:tc>
        <w:tc>
          <w:tcPr>
            <w:tcW w:w="619" w:type="dxa"/>
          </w:tcPr>
          <w:p w14:paraId="4C3DB21C" w14:textId="77777777" w:rsidR="00995C1F" w:rsidRPr="00B4223F" w:rsidRDefault="00995C1F">
            <w:pPr>
              <w:jc w:val="center"/>
              <w:rPr>
                <w:rFonts w:ascii="TUOS Blake" w:hAnsi="TUOS Blake"/>
              </w:rPr>
            </w:pPr>
          </w:p>
        </w:tc>
      </w:tr>
      <w:tr w:rsidR="00995C1F" w:rsidRPr="00B4223F" w14:paraId="1316DFFA" w14:textId="77777777" w:rsidTr="00770F8E">
        <w:trPr>
          <w:gridAfter w:val="1"/>
          <w:wAfter w:w="195" w:type="dxa"/>
          <w:trHeight w:val="758"/>
        </w:trPr>
        <w:tc>
          <w:tcPr>
            <w:tcW w:w="8824" w:type="dxa"/>
            <w:gridSpan w:val="3"/>
          </w:tcPr>
          <w:p w14:paraId="2FBBD8EF" w14:textId="03AD939F" w:rsidR="00995C1F" w:rsidRPr="00B4223F" w:rsidRDefault="00995C1F">
            <w:pPr>
              <w:rPr>
                <w:rFonts w:ascii="TUOS Blake" w:hAnsi="TUOS Blake"/>
                <w:sz w:val="20"/>
                <w:szCs w:val="20"/>
              </w:rPr>
            </w:pPr>
            <w:r w:rsidRPr="00B4223F">
              <w:rPr>
                <w:rFonts w:ascii="TUOS Blake" w:hAnsi="TUOS Blake"/>
                <w:sz w:val="20"/>
                <w:szCs w:val="20"/>
              </w:rPr>
              <w:t>I understand and agree that my words may be quoted in publications, reports, web pages and other research outputs. I understand that I will not be named in these out</w:t>
            </w:r>
            <w:r>
              <w:rPr>
                <w:rFonts w:ascii="TUOS Blake" w:hAnsi="TUOS Blake"/>
                <w:sz w:val="20"/>
                <w:szCs w:val="20"/>
              </w:rPr>
              <w:t>puts.</w:t>
            </w:r>
          </w:p>
        </w:tc>
        <w:tc>
          <w:tcPr>
            <w:tcW w:w="622" w:type="dxa"/>
          </w:tcPr>
          <w:p w14:paraId="547E1C12"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50048" behindDoc="0" locked="0" layoutInCell="1" allowOverlap="1" wp14:anchorId="2C83FA08" wp14:editId="5E1BBD7A">
                      <wp:simplePos x="0" y="0"/>
                      <wp:positionH relativeFrom="margin">
                        <wp:posOffset>25400</wp:posOffset>
                      </wp:positionH>
                      <wp:positionV relativeFrom="paragraph">
                        <wp:posOffset>127000</wp:posOffset>
                      </wp:positionV>
                      <wp:extent cx="161925" cy="15240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54A5D428"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C83FA08" id="Rectangle 4" o:spid="_x0000_s1042" style="position:absolute;left:0;text-align:left;margin-left:2pt;margin-top:10pt;width:12.75pt;height:1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" fillcolor="yellow" strokecolor="black [3200]" strokeweight="1.5pt">
                      <v:stroke startarrowwidth="narrow" startarrowlength="short" endarrowwidth="narrow" endarrowlength="short"/>
                      <v:path arrowok="t"/>
                      <v:textbox inset="2.53958mm,2.53958mm,2.53958mm,2.53958mm">
                        <w:txbxContent>
                          <w:p w14:paraId="54A5D428" w14:textId="77777777" w:rsidR="00995C1F" w:rsidRDefault="00995C1F">
                            <w:pPr>
                              <w:spacing w:after="0"/>
                              <w:textDirection w:val="btLr"/>
                            </w:pPr>
                          </w:p>
                        </w:txbxContent>
                      </v:textbox>
                      <w10:wrap anchorx="margin"/>
                    </v:rect>
                  </w:pict>
                </mc:Fallback>
              </mc:AlternateContent>
            </w:r>
            <w:r>
              <w:rPr>
                <w:rFonts w:ascii="TUOS Blake" w:hAnsi="TUOS Blake"/>
                <w:noProof/>
              </w:rPr>
              <mc:AlternateContent>
                <mc:Choice Requires="wps">
                  <w:drawing>
                    <wp:anchor distT="0" distB="0" distL="114300" distR="114300" simplePos="0" relativeHeight="251653120" behindDoc="0" locked="0" layoutInCell="1" allowOverlap="1" wp14:anchorId="6940D07A" wp14:editId="768ACC62">
                      <wp:simplePos x="0" y="0"/>
                      <wp:positionH relativeFrom="margin">
                        <wp:posOffset>444500</wp:posOffset>
                      </wp:positionH>
                      <wp:positionV relativeFrom="paragraph">
                        <wp:posOffset>139700</wp:posOffset>
                      </wp:positionV>
                      <wp:extent cx="161925" cy="152400"/>
                      <wp:effectExtent l="0" t="0" r="952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EF42094"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940D07A" id="Rectangle 15" o:spid="_x0000_s1043" style="position:absolute;left:0;text-align:left;margin-left:35pt;margin-top:11pt;width:12.75pt;height:1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yFEAIAAB4EAAAOAAAAZHJzL2Uyb0RvYy54bWysU01v2zAMvQ/YfxB0X2wHTdc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" filled="f" strokecolor="black [3200]" strokeweight="1.5pt">
                      <v:stroke startarrowwidth="narrow" startarrowlength="short" endarrowwidth="narrow" endarrowlength="short"/>
                      <v:path arrowok="t"/>
                      <v:textbox inset="2.53958mm,2.53958mm,2.53958mm,2.53958mm">
                        <w:txbxContent>
                          <w:p w14:paraId="4EF42094" w14:textId="77777777" w:rsidR="00995C1F" w:rsidRDefault="00995C1F">
                            <w:pPr>
                              <w:spacing w:after="0"/>
                              <w:textDirection w:val="btLr"/>
                            </w:pPr>
                          </w:p>
                        </w:txbxContent>
                      </v:textbox>
                      <w10:wrap anchorx="margin"/>
                    </v:rect>
                  </w:pict>
                </mc:Fallback>
              </mc:AlternateContent>
            </w:r>
          </w:p>
        </w:tc>
        <w:tc>
          <w:tcPr>
            <w:tcW w:w="619" w:type="dxa"/>
          </w:tcPr>
          <w:p w14:paraId="0507B0D0" w14:textId="77777777" w:rsidR="00995C1F" w:rsidRPr="00B4223F" w:rsidRDefault="00995C1F">
            <w:pPr>
              <w:jc w:val="center"/>
              <w:rPr>
                <w:rFonts w:ascii="TUOS Blake" w:hAnsi="TUOS Blake"/>
              </w:rPr>
            </w:pPr>
          </w:p>
        </w:tc>
      </w:tr>
      <w:tr w:rsidR="00995C1F" w:rsidRPr="00B4223F" w14:paraId="13815D21" w14:textId="77777777" w:rsidTr="00770F8E">
        <w:trPr>
          <w:gridAfter w:val="1"/>
          <w:wAfter w:w="195" w:type="dxa"/>
        </w:trPr>
        <w:tc>
          <w:tcPr>
            <w:tcW w:w="8824" w:type="dxa"/>
            <w:gridSpan w:val="3"/>
          </w:tcPr>
          <w:p w14:paraId="6F9B2713" w14:textId="77777777" w:rsidR="00995C1F" w:rsidRPr="00B4223F" w:rsidRDefault="00995C1F">
            <w:pPr>
              <w:rPr>
                <w:rFonts w:ascii="TUOS Blake" w:hAnsi="TUOS Blake"/>
                <w:sz w:val="20"/>
                <w:szCs w:val="20"/>
              </w:rPr>
            </w:pPr>
            <w:r w:rsidRPr="00B4223F">
              <w:rPr>
                <w:rFonts w:ascii="TUOS Blake" w:hAnsi="TUOS Blake"/>
                <w:sz w:val="20"/>
                <w:szCs w:val="20"/>
              </w:rPr>
              <w:t xml:space="preserve">I understand and agree that other authorised researchers will have access to this data only if they agree to preserve the confidentiality of the information as requested in this form. </w:t>
            </w:r>
          </w:p>
        </w:tc>
        <w:tc>
          <w:tcPr>
            <w:tcW w:w="622" w:type="dxa"/>
          </w:tcPr>
          <w:p w14:paraId="2E36F904"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54144" behindDoc="0" locked="0" layoutInCell="1" allowOverlap="1" wp14:anchorId="45CFB34D" wp14:editId="4C1E79CC">
                      <wp:simplePos x="0" y="0"/>
                      <wp:positionH relativeFrom="margin">
                        <wp:posOffset>25400</wp:posOffset>
                      </wp:positionH>
                      <wp:positionV relativeFrom="paragraph">
                        <wp:posOffset>114300</wp:posOffset>
                      </wp:positionV>
                      <wp:extent cx="161925" cy="1524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4196C99B"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5CFB34D" id="Rectangle 1" o:spid="_x0000_s1044" style="position:absolute;left:0;text-align:left;margin-left:2pt;margin-top:9pt;width:12.75pt;height: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" fillcolor="yellow" strokecolor="black [3200]" strokeweight="1.5pt">
                      <v:stroke startarrowwidth="narrow" startarrowlength="short" endarrowwidth="narrow" endarrowlength="short"/>
                      <v:path arrowok="t"/>
                      <v:textbox inset="2.53958mm,2.53958mm,2.53958mm,2.53958mm">
                        <w:txbxContent>
                          <w:p w14:paraId="4196C99B" w14:textId="77777777" w:rsidR="00995C1F" w:rsidRDefault="00995C1F">
                            <w:pPr>
                              <w:spacing w:after="0"/>
                              <w:textDirection w:val="btLr"/>
                            </w:pPr>
                          </w:p>
                        </w:txbxContent>
                      </v:textbox>
                      <w10:wrap anchorx="margin"/>
                    </v:rect>
                  </w:pict>
                </mc:Fallback>
              </mc:AlternateContent>
            </w:r>
            <w:r>
              <w:rPr>
                <w:rFonts w:ascii="TUOS Blake" w:hAnsi="TUOS Blake"/>
                <w:noProof/>
              </w:rPr>
              <mc:AlternateContent>
                <mc:Choice Requires="wps">
                  <w:drawing>
                    <wp:anchor distT="0" distB="0" distL="114300" distR="114300" simplePos="0" relativeHeight="251655168" behindDoc="0" locked="0" layoutInCell="1" allowOverlap="1" wp14:anchorId="4833655E" wp14:editId="76C4B451">
                      <wp:simplePos x="0" y="0"/>
                      <wp:positionH relativeFrom="margin">
                        <wp:posOffset>444500</wp:posOffset>
                      </wp:positionH>
                      <wp:positionV relativeFrom="paragraph">
                        <wp:posOffset>127000</wp:posOffset>
                      </wp:positionV>
                      <wp:extent cx="161925" cy="1524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7CF7C6F" w14:textId="77777777" w:rsidR="00995C1F" w:rsidRDefault="00995C1F">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833655E" id="Rectangle 12" o:spid="_x0000_s1045" style="position:absolute;left:0;text-align:left;margin-left:35pt;margin-top:10pt;width:12.75pt;height: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" filled="f" strokecolor="black [3200]" strokeweight="1.5pt">
                      <v:stroke startarrowwidth="narrow" startarrowlength="short" endarrowwidth="narrow" endarrowlength="short"/>
                      <v:path arrowok="t"/>
                      <v:textbox inset="2.53958mm,2.53958mm,2.53958mm,2.53958mm">
                        <w:txbxContent>
                          <w:p w14:paraId="17CF7C6F" w14:textId="77777777" w:rsidR="00995C1F" w:rsidRDefault="00995C1F">
                            <w:pPr>
                              <w:spacing w:after="0"/>
                              <w:textDirection w:val="btLr"/>
                            </w:pPr>
                          </w:p>
                        </w:txbxContent>
                      </v:textbox>
                      <w10:wrap anchorx="margin"/>
                    </v:rect>
                  </w:pict>
                </mc:Fallback>
              </mc:AlternateContent>
            </w:r>
          </w:p>
        </w:tc>
        <w:tc>
          <w:tcPr>
            <w:tcW w:w="619" w:type="dxa"/>
          </w:tcPr>
          <w:p w14:paraId="0DFBE4B3" w14:textId="77777777" w:rsidR="00995C1F" w:rsidRPr="00B4223F" w:rsidRDefault="00995C1F">
            <w:pPr>
              <w:jc w:val="center"/>
              <w:rPr>
                <w:rFonts w:ascii="TUOS Blake" w:hAnsi="TUOS Blake"/>
              </w:rPr>
            </w:pPr>
          </w:p>
        </w:tc>
      </w:tr>
      <w:tr w:rsidR="00995C1F" w:rsidRPr="00B4223F" w14:paraId="28F68AEE" w14:textId="77777777" w:rsidTr="00770F8E">
        <w:trPr>
          <w:gridAfter w:val="1"/>
          <w:wAfter w:w="195" w:type="dxa"/>
        </w:trPr>
        <w:tc>
          <w:tcPr>
            <w:tcW w:w="8824" w:type="dxa"/>
            <w:gridSpan w:val="3"/>
          </w:tcPr>
          <w:p w14:paraId="64DE7402" w14:textId="77777777" w:rsidR="00995C1F" w:rsidRPr="00B4223F" w:rsidRDefault="00995C1F">
            <w:pPr>
              <w:spacing w:after="80"/>
              <w:rPr>
                <w:rFonts w:ascii="TUOS Blake" w:hAnsi="TUOS Blake"/>
                <w:b/>
              </w:rPr>
            </w:pPr>
            <w:r w:rsidRPr="00B4223F">
              <w:rPr>
                <w:rFonts w:ascii="TUOS Blake" w:hAnsi="TUOS Blake"/>
                <w:b/>
              </w:rPr>
              <w:t>So that the information you provide can be used legally by the researchers</w:t>
            </w:r>
          </w:p>
        </w:tc>
        <w:tc>
          <w:tcPr>
            <w:tcW w:w="622" w:type="dxa"/>
          </w:tcPr>
          <w:p w14:paraId="45155355" w14:textId="77777777" w:rsidR="00995C1F" w:rsidRPr="00B4223F" w:rsidRDefault="00995C1F">
            <w:pPr>
              <w:spacing w:after="80"/>
              <w:jc w:val="center"/>
              <w:rPr>
                <w:rFonts w:ascii="TUOS Blake" w:hAnsi="TUOS Blake"/>
              </w:rPr>
            </w:pPr>
          </w:p>
        </w:tc>
        <w:tc>
          <w:tcPr>
            <w:tcW w:w="619" w:type="dxa"/>
          </w:tcPr>
          <w:p w14:paraId="5E2ABF37" w14:textId="77777777" w:rsidR="00995C1F" w:rsidRPr="00B4223F" w:rsidRDefault="00995C1F">
            <w:pPr>
              <w:spacing w:after="80"/>
              <w:jc w:val="center"/>
              <w:rPr>
                <w:rFonts w:ascii="TUOS Blake" w:hAnsi="TUOS Blake"/>
              </w:rPr>
            </w:pPr>
          </w:p>
        </w:tc>
      </w:tr>
      <w:tr w:rsidR="00995C1F" w:rsidRPr="00B4223F" w14:paraId="414DF27A" w14:textId="77777777" w:rsidTr="00770F8E">
        <w:trPr>
          <w:gridAfter w:val="1"/>
          <w:wAfter w:w="195" w:type="dxa"/>
        </w:trPr>
        <w:tc>
          <w:tcPr>
            <w:tcW w:w="8824" w:type="dxa"/>
            <w:gridSpan w:val="3"/>
          </w:tcPr>
          <w:p w14:paraId="153CA029" w14:textId="77777777" w:rsidR="00995C1F" w:rsidRPr="00B4223F" w:rsidRDefault="00995C1F">
            <w:pPr>
              <w:rPr>
                <w:rFonts w:ascii="TUOS Blake" w:hAnsi="TUOS Blake"/>
                <w:sz w:val="20"/>
                <w:szCs w:val="20"/>
              </w:rPr>
            </w:pPr>
            <w:r w:rsidRPr="00B4223F">
              <w:rPr>
                <w:rFonts w:ascii="TUOS Blake" w:hAnsi="TUOS Blake"/>
                <w:sz w:val="20"/>
                <w:szCs w:val="20"/>
              </w:rPr>
              <w:t>I agree to assign the copyright I hold in any materials generated as part of this project to The University of Sheffield.</w:t>
            </w:r>
          </w:p>
        </w:tc>
        <w:tc>
          <w:tcPr>
            <w:tcW w:w="622" w:type="dxa"/>
          </w:tcPr>
          <w:p w14:paraId="51D8F440"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56192" behindDoc="0" locked="0" layoutInCell="1" allowOverlap="1" wp14:anchorId="73467A37" wp14:editId="71CB744F">
                      <wp:simplePos x="0" y="0"/>
                      <wp:positionH relativeFrom="margin">
                        <wp:posOffset>15875</wp:posOffset>
                      </wp:positionH>
                      <wp:positionV relativeFrom="paragraph">
                        <wp:posOffset>76200</wp:posOffset>
                      </wp:positionV>
                      <wp:extent cx="161925" cy="1524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rgbClr val="FFFF00"/>
                              </a:solidFill>
                              <a:ln w="19050" cap="flat" cmpd="sng">
                                <a:solidFill>
                                  <a:schemeClr val="dk1"/>
                                </a:solidFill>
                                <a:prstDash val="solid"/>
                                <a:miter lim="800000"/>
                                <a:headEnd type="none" w="sm" len="sm"/>
                                <a:tailEnd type="none" w="sm" len="sm"/>
                              </a:ln>
                            </wps:spPr>
                            <wps:txbx>
                              <w:txbxContent>
                                <w:p w14:paraId="330B50F9" w14:textId="77777777" w:rsidR="00995C1F" w:rsidRDefault="00995C1F" w:rsidP="00F264A0">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3467A37" id="Rectangle 22" o:spid="_x0000_s1046" style="position:absolute;left:0;text-align:left;margin-left:1.25pt;margin-top:6pt;width:12.75pt;height:1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" fillcolor="yellow" strokecolor="black [3200]" strokeweight="1.5pt">
                      <v:stroke startarrowwidth="narrow" startarrowlength="short" endarrowwidth="narrow" endarrowlength="short"/>
                      <v:path arrowok="t"/>
                      <v:textbox inset="2.53958mm,2.53958mm,2.53958mm,2.53958mm">
                        <w:txbxContent>
                          <w:p w14:paraId="330B50F9" w14:textId="77777777" w:rsidR="00995C1F" w:rsidRDefault="00995C1F" w:rsidP="00F264A0">
                            <w:pPr>
                              <w:spacing w:after="0"/>
                              <w:textDirection w:val="btLr"/>
                            </w:pPr>
                          </w:p>
                        </w:txbxContent>
                      </v:textbox>
                      <w10:wrap anchorx="margin"/>
                    </v:rect>
                  </w:pict>
                </mc:Fallback>
              </mc:AlternateContent>
            </w:r>
          </w:p>
        </w:tc>
        <w:tc>
          <w:tcPr>
            <w:tcW w:w="619" w:type="dxa"/>
          </w:tcPr>
          <w:p w14:paraId="0B1F0D4D" w14:textId="77777777" w:rsidR="00995C1F" w:rsidRPr="00B4223F" w:rsidRDefault="00995C1F">
            <w:pPr>
              <w:jc w:val="center"/>
              <w:rPr>
                <w:rFonts w:ascii="TUOS Blake" w:hAnsi="TUOS Blake"/>
              </w:rPr>
            </w:pPr>
            <w:r>
              <w:rPr>
                <w:rFonts w:ascii="TUOS Blake" w:hAnsi="TUOS Blake"/>
                <w:noProof/>
              </w:rPr>
              <mc:AlternateContent>
                <mc:Choice Requires="wps">
                  <w:drawing>
                    <wp:anchor distT="0" distB="0" distL="114300" distR="114300" simplePos="0" relativeHeight="251657216" behindDoc="0" locked="0" layoutInCell="1" allowOverlap="1" wp14:anchorId="2539DCEF" wp14:editId="37DD7565">
                      <wp:simplePos x="0" y="0"/>
                      <wp:positionH relativeFrom="margin">
                        <wp:posOffset>44450</wp:posOffset>
                      </wp:positionH>
                      <wp:positionV relativeFrom="paragraph">
                        <wp:posOffset>76200</wp:posOffset>
                      </wp:positionV>
                      <wp:extent cx="161925" cy="1524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D5F7D32" w14:textId="77777777" w:rsidR="00995C1F" w:rsidRDefault="00995C1F" w:rsidP="00F264A0">
                                  <w:pPr>
                                    <w:spacing w:after="0"/>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539DCEF" id="Rectangle 11" o:spid="_x0000_s1047" style="position:absolute;left:0;text-align:left;margin-left:3.5pt;margin-top:6pt;width:12.75pt;height:1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2o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0D5F7D32" w14:textId="77777777" w:rsidR="00995C1F" w:rsidRDefault="00995C1F" w:rsidP="00F264A0">
                            <w:pPr>
                              <w:spacing w:after="0"/>
                              <w:textDirection w:val="btLr"/>
                            </w:pPr>
                          </w:p>
                        </w:txbxContent>
                      </v:textbox>
                      <w10:wrap anchorx="margin"/>
                    </v:rect>
                  </w:pict>
                </mc:Fallback>
              </mc:AlternateContent>
            </w:r>
          </w:p>
        </w:tc>
      </w:tr>
      <w:tr w:rsidR="00995C1F" w:rsidRPr="00A915D3" w14:paraId="3FB6311A" w14:textId="77777777" w:rsidTr="00770F8E">
        <w:tblPrEx>
          <w:tblBorders>
            <w:top w:val="nil"/>
            <w:left w:val="nil"/>
            <w:bottom w:val="nil"/>
            <w:right w:val="nil"/>
            <w:insideH w:val="nil"/>
            <w:insideV w:val="nil"/>
          </w:tblBorders>
          <w:tblLook w:val="0400" w:firstRow="0" w:lastRow="0" w:firstColumn="0" w:lastColumn="0" w:noHBand="0" w:noVBand="1"/>
        </w:tblPrEx>
        <w:trPr>
          <w:trHeight w:val="259"/>
        </w:trPr>
        <w:tc>
          <w:tcPr>
            <w:tcW w:w="3892" w:type="dxa"/>
          </w:tcPr>
          <w:p w14:paraId="665C124D" w14:textId="77777777" w:rsidR="00995C1F" w:rsidRPr="00A915D3" w:rsidRDefault="00995C1F">
            <w:pPr>
              <w:rPr>
                <w:rFonts w:ascii="TUOS Blake" w:hAnsi="TUOS Blake"/>
                <w:sz w:val="18"/>
                <w:szCs w:val="18"/>
              </w:rPr>
            </w:pPr>
          </w:p>
        </w:tc>
        <w:tc>
          <w:tcPr>
            <w:tcW w:w="2944" w:type="dxa"/>
          </w:tcPr>
          <w:p w14:paraId="753707F5" w14:textId="77777777" w:rsidR="00995C1F" w:rsidRPr="00A915D3" w:rsidRDefault="00995C1F">
            <w:pPr>
              <w:rPr>
                <w:rFonts w:ascii="TUOS Blake" w:hAnsi="TUOS Blake"/>
                <w:sz w:val="18"/>
                <w:szCs w:val="18"/>
              </w:rPr>
            </w:pPr>
          </w:p>
        </w:tc>
        <w:tc>
          <w:tcPr>
            <w:tcW w:w="3424" w:type="dxa"/>
            <w:gridSpan w:val="4"/>
          </w:tcPr>
          <w:p w14:paraId="5B394919" w14:textId="77777777" w:rsidR="00995C1F" w:rsidRPr="00A915D3" w:rsidRDefault="00995C1F">
            <w:pPr>
              <w:rPr>
                <w:rFonts w:ascii="TUOS Blake" w:hAnsi="TUOS Blake"/>
                <w:sz w:val="18"/>
                <w:szCs w:val="18"/>
              </w:rPr>
            </w:pPr>
          </w:p>
        </w:tc>
      </w:tr>
      <w:tr w:rsidR="00995C1F" w:rsidRPr="00B4223F" w14:paraId="08359636" w14:textId="77777777" w:rsidTr="00770F8E">
        <w:tblPrEx>
          <w:tblBorders>
            <w:top w:val="nil"/>
            <w:left w:val="nil"/>
            <w:bottom w:val="nil"/>
            <w:right w:val="nil"/>
            <w:insideH w:val="nil"/>
            <w:insideV w:val="nil"/>
          </w:tblBorders>
          <w:tblLook w:val="0400" w:firstRow="0" w:lastRow="0" w:firstColumn="0" w:lastColumn="0" w:noHBand="0" w:noVBand="1"/>
        </w:tblPrEx>
        <w:tc>
          <w:tcPr>
            <w:tcW w:w="3892" w:type="dxa"/>
          </w:tcPr>
          <w:p w14:paraId="4B86974C" w14:textId="77777777" w:rsidR="00995C1F" w:rsidRDefault="00995C1F">
            <w:pPr>
              <w:rPr>
                <w:rFonts w:ascii="TUOS Blake" w:hAnsi="TUOS Blake"/>
                <w:sz w:val="20"/>
                <w:szCs w:val="20"/>
              </w:rPr>
            </w:pPr>
          </w:p>
          <w:p w14:paraId="05672B2F" w14:textId="77777777" w:rsidR="00995C1F" w:rsidRDefault="00995C1F">
            <w:pPr>
              <w:rPr>
                <w:rFonts w:ascii="TUOS Blake" w:hAnsi="TUOS Blake"/>
                <w:sz w:val="20"/>
                <w:szCs w:val="20"/>
              </w:rPr>
            </w:pPr>
          </w:p>
          <w:p w14:paraId="61F0651E" w14:textId="0F5B0568" w:rsidR="00995C1F" w:rsidRPr="00B4223F" w:rsidRDefault="00995C1F">
            <w:pPr>
              <w:rPr>
                <w:rFonts w:ascii="TUOS Blake" w:hAnsi="TUOS Blake"/>
              </w:rPr>
            </w:pPr>
            <w:r w:rsidRPr="00B4223F">
              <w:rPr>
                <w:rFonts w:ascii="TUOS Blake" w:hAnsi="TUOS Blake"/>
                <w:sz w:val="20"/>
                <w:szCs w:val="20"/>
              </w:rPr>
              <w:lastRenderedPageBreak/>
              <w:t xml:space="preserve">Name of </w:t>
            </w:r>
            <w:r>
              <w:rPr>
                <w:rFonts w:ascii="TUOS Blake" w:hAnsi="TUOS Blake"/>
                <w:sz w:val="20"/>
                <w:szCs w:val="20"/>
              </w:rPr>
              <w:t>P</w:t>
            </w:r>
            <w:r w:rsidRPr="00B4223F">
              <w:rPr>
                <w:rFonts w:ascii="TUOS Blake" w:hAnsi="TUOS Blake"/>
                <w:sz w:val="20"/>
                <w:szCs w:val="20"/>
              </w:rPr>
              <w:t>articipant [printed]</w:t>
            </w:r>
            <w:r>
              <w:rPr>
                <w:rFonts w:ascii="TUOS Blake" w:hAnsi="TUOS Blake"/>
                <w:sz w:val="20"/>
                <w:szCs w:val="20"/>
              </w:rPr>
              <w:t xml:space="preserve"> </w:t>
            </w:r>
          </w:p>
        </w:tc>
        <w:tc>
          <w:tcPr>
            <w:tcW w:w="2944" w:type="dxa"/>
          </w:tcPr>
          <w:p w14:paraId="5E640ED5" w14:textId="77777777" w:rsidR="00995C1F" w:rsidRDefault="00995C1F">
            <w:pPr>
              <w:rPr>
                <w:rFonts w:ascii="TUOS Blake" w:hAnsi="TUOS Blake"/>
                <w:sz w:val="20"/>
                <w:szCs w:val="20"/>
              </w:rPr>
            </w:pPr>
          </w:p>
          <w:p w14:paraId="3F99E08A" w14:textId="77777777" w:rsidR="00995C1F" w:rsidRDefault="00995C1F">
            <w:pPr>
              <w:rPr>
                <w:rFonts w:ascii="TUOS Blake" w:hAnsi="TUOS Blake"/>
                <w:sz w:val="20"/>
                <w:szCs w:val="20"/>
              </w:rPr>
            </w:pPr>
          </w:p>
          <w:p w14:paraId="0D47DBD6" w14:textId="77777777" w:rsidR="00995C1F" w:rsidRPr="00B4223F" w:rsidRDefault="00995C1F">
            <w:pPr>
              <w:rPr>
                <w:rFonts w:ascii="TUOS Blake" w:hAnsi="TUOS Blake"/>
              </w:rPr>
            </w:pPr>
            <w:r w:rsidRPr="00B4223F">
              <w:rPr>
                <w:rFonts w:ascii="TUOS Blake" w:hAnsi="TUOS Blake"/>
                <w:sz w:val="20"/>
                <w:szCs w:val="20"/>
              </w:rPr>
              <w:lastRenderedPageBreak/>
              <w:t>Signature</w:t>
            </w:r>
          </w:p>
        </w:tc>
        <w:tc>
          <w:tcPr>
            <w:tcW w:w="3424" w:type="dxa"/>
            <w:gridSpan w:val="4"/>
          </w:tcPr>
          <w:p w14:paraId="18C96215" w14:textId="77777777" w:rsidR="00995C1F" w:rsidRDefault="00995C1F">
            <w:pPr>
              <w:rPr>
                <w:rFonts w:ascii="TUOS Blake" w:hAnsi="TUOS Blake"/>
                <w:sz w:val="20"/>
                <w:szCs w:val="20"/>
              </w:rPr>
            </w:pPr>
          </w:p>
          <w:p w14:paraId="00C48218" w14:textId="77777777" w:rsidR="00995C1F" w:rsidRDefault="00995C1F">
            <w:pPr>
              <w:rPr>
                <w:rFonts w:ascii="TUOS Blake" w:hAnsi="TUOS Blake"/>
                <w:sz w:val="20"/>
                <w:szCs w:val="20"/>
              </w:rPr>
            </w:pPr>
          </w:p>
          <w:p w14:paraId="0DBF8A9E" w14:textId="77777777" w:rsidR="00995C1F" w:rsidRPr="00B4223F" w:rsidRDefault="00995C1F">
            <w:pPr>
              <w:rPr>
                <w:rFonts w:ascii="TUOS Blake" w:hAnsi="TUOS Blake"/>
              </w:rPr>
            </w:pPr>
            <w:r w:rsidRPr="00B4223F">
              <w:rPr>
                <w:rFonts w:ascii="TUOS Blake" w:hAnsi="TUOS Blake"/>
                <w:sz w:val="20"/>
                <w:szCs w:val="20"/>
              </w:rPr>
              <w:lastRenderedPageBreak/>
              <w:t>Date</w:t>
            </w:r>
            <w:r>
              <w:rPr>
                <w:rFonts w:ascii="TUOS Blake" w:hAnsi="TUOS Blake"/>
                <w:sz w:val="20"/>
                <w:szCs w:val="20"/>
              </w:rPr>
              <w:t xml:space="preserve">  </w:t>
            </w:r>
          </w:p>
        </w:tc>
      </w:tr>
      <w:tr w:rsidR="00995C1F" w:rsidRPr="00B4223F" w14:paraId="07C49F52" w14:textId="77777777" w:rsidTr="00770F8E">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0AD04730" w14:textId="77777777" w:rsidR="00995C1F" w:rsidRPr="00B4223F" w:rsidRDefault="00995C1F">
            <w:pPr>
              <w:rPr>
                <w:rFonts w:ascii="TUOS Blake" w:hAnsi="TUOS Blake"/>
              </w:rPr>
            </w:pPr>
          </w:p>
          <w:p w14:paraId="7347A2B0" w14:textId="77777777" w:rsidR="00995C1F" w:rsidRPr="00B4223F" w:rsidRDefault="00995C1F">
            <w:pPr>
              <w:rPr>
                <w:rFonts w:ascii="TUOS Blake" w:hAnsi="TUOS Blake"/>
              </w:rPr>
            </w:pPr>
          </w:p>
        </w:tc>
        <w:tc>
          <w:tcPr>
            <w:tcW w:w="2944" w:type="dxa"/>
          </w:tcPr>
          <w:p w14:paraId="1E391C82" w14:textId="77777777" w:rsidR="00995C1F" w:rsidRPr="00B4223F" w:rsidRDefault="00995C1F">
            <w:pPr>
              <w:rPr>
                <w:rFonts w:ascii="TUOS Blake" w:hAnsi="TUOS Blake"/>
              </w:rPr>
            </w:pPr>
          </w:p>
        </w:tc>
        <w:tc>
          <w:tcPr>
            <w:tcW w:w="3424" w:type="dxa"/>
            <w:gridSpan w:val="4"/>
          </w:tcPr>
          <w:p w14:paraId="10076BF0" w14:textId="77777777" w:rsidR="00995C1F" w:rsidRPr="00B4223F" w:rsidRDefault="00995C1F">
            <w:pPr>
              <w:rPr>
                <w:rFonts w:ascii="TUOS Blake" w:hAnsi="TUOS Blake"/>
              </w:rPr>
            </w:pPr>
          </w:p>
        </w:tc>
      </w:tr>
      <w:tr w:rsidR="00995C1F" w:rsidRPr="00B4223F" w14:paraId="00FF3A21" w14:textId="77777777" w:rsidTr="00770F8E">
        <w:tblPrEx>
          <w:tblBorders>
            <w:top w:val="nil"/>
            <w:left w:val="nil"/>
            <w:bottom w:val="nil"/>
            <w:right w:val="nil"/>
            <w:insideH w:val="nil"/>
            <w:insideV w:val="nil"/>
          </w:tblBorders>
          <w:tblLook w:val="0400" w:firstRow="0" w:lastRow="0" w:firstColumn="0" w:lastColumn="0" w:noHBand="0" w:noVBand="1"/>
        </w:tblPrEx>
        <w:tc>
          <w:tcPr>
            <w:tcW w:w="3892" w:type="dxa"/>
          </w:tcPr>
          <w:p w14:paraId="1D20CB0F" w14:textId="77777777" w:rsidR="00995C1F" w:rsidRPr="00B4223F" w:rsidRDefault="00995C1F">
            <w:pPr>
              <w:rPr>
                <w:rFonts w:ascii="TUOS Blake" w:hAnsi="TUOS Blake"/>
              </w:rPr>
            </w:pPr>
            <w:r w:rsidRPr="00B4223F">
              <w:rPr>
                <w:rFonts w:ascii="TUOS Blake" w:hAnsi="TUOS Blake"/>
                <w:sz w:val="20"/>
                <w:szCs w:val="20"/>
              </w:rPr>
              <w:t>Name of Researcher [printed]</w:t>
            </w:r>
          </w:p>
        </w:tc>
        <w:tc>
          <w:tcPr>
            <w:tcW w:w="2944" w:type="dxa"/>
          </w:tcPr>
          <w:p w14:paraId="0E1AAFC1" w14:textId="77777777" w:rsidR="00995C1F" w:rsidRPr="00B4223F" w:rsidRDefault="00995C1F">
            <w:pPr>
              <w:rPr>
                <w:rFonts w:ascii="TUOS Blake" w:hAnsi="TUOS Blake"/>
              </w:rPr>
            </w:pPr>
            <w:r w:rsidRPr="00B4223F">
              <w:rPr>
                <w:rFonts w:ascii="TUOS Blake" w:hAnsi="TUOS Blake"/>
                <w:sz w:val="20"/>
                <w:szCs w:val="20"/>
              </w:rPr>
              <w:t>Signature</w:t>
            </w:r>
          </w:p>
        </w:tc>
        <w:tc>
          <w:tcPr>
            <w:tcW w:w="3424" w:type="dxa"/>
            <w:gridSpan w:val="4"/>
          </w:tcPr>
          <w:p w14:paraId="30D54685" w14:textId="77777777" w:rsidR="00995C1F" w:rsidRPr="00B4223F" w:rsidRDefault="00995C1F">
            <w:pPr>
              <w:rPr>
                <w:rFonts w:ascii="TUOS Blake" w:hAnsi="TUOS Blake"/>
              </w:rPr>
            </w:pPr>
            <w:r w:rsidRPr="00B4223F">
              <w:rPr>
                <w:rFonts w:ascii="TUOS Blake" w:hAnsi="TUOS Blake"/>
                <w:sz w:val="20"/>
                <w:szCs w:val="20"/>
              </w:rPr>
              <w:t>Date</w:t>
            </w:r>
          </w:p>
        </w:tc>
      </w:tr>
      <w:tr w:rsidR="00995C1F" w:rsidRPr="00B4223F" w14:paraId="11D79B6D" w14:textId="77777777" w:rsidTr="00770F8E">
        <w:tblPrEx>
          <w:tblBorders>
            <w:top w:val="nil"/>
            <w:left w:val="nil"/>
            <w:bottom w:val="nil"/>
            <w:right w:val="nil"/>
            <w:insideH w:val="nil"/>
            <w:insideV w:val="nil"/>
          </w:tblBorders>
          <w:tblLook w:val="0400" w:firstRow="0" w:lastRow="0" w:firstColumn="0" w:lastColumn="0" w:noHBand="0" w:noVBand="1"/>
        </w:tblPrEx>
        <w:trPr>
          <w:trHeight w:val="624"/>
        </w:trPr>
        <w:tc>
          <w:tcPr>
            <w:tcW w:w="3892" w:type="dxa"/>
          </w:tcPr>
          <w:p w14:paraId="5A65C759" w14:textId="77777777" w:rsidR="00995C1F" w:rsidRPr="00B4223F" w:rsidRDefault="00995C1F">
            <w:pPr>
              <w:rPr>
                <w:rFonts w:ascii="TUOS Blake" w:hAnsi="TUOS Blake"/>
                <w:sz w:val="20"/>
                <w:szCs w:val="20"/>
              </w:rPr>
            </w:pPr>
          </w:p>
          <w:p w14:paraId="0D9D867D" w14:textId="77777777" w:rsidR="00995C1F" w:rsidRPr="00B4223F" w:rsidRDefault="00995C1F" w:rsidP="008F603B">
            <w:pPr>
              <w:rPr>
                <w:rFonts w:ascii="TUOS Blake" w:hAnsi="TUOS Blake"/>
                <w:sz w:val="20"/>
                <w:szCs w:val="20"/>
              </w:rPr>
            </w:pPr>
          </w:p>
        </w:tc>
        <w:tc>
          <w:tcPr>
            <w:tcW w:w="2944" w:type="dxa"/>
          </w:tcPr>
          <w:p w14:paraId="6F3D3097" w14:textId="77777777" w:rsidR="00995C1F" w:rsidRPr="00B4223F" w:rsidRDefault="00995C1F">
            <w:pPr>
              <w:rPr>
                <w:rFonts w:ascii="TUOS Blake" w:hAnsi="TUOS Blake"/>
                <w:sz w:val="20"/>
                <w:szCs w:val="20"/>
              </w:rPr>
            </w:pPr>
          </w:p>
        </w:tc>
        <w:tc>
          <w:tcPr>
            <w:tcW w:w="3424" w:type="dxa"/>
            <w:gridSpan w:val="4"/>
          </w:tcPr>
          <w:p w14:paraId="197E0020" w14:textId="77777777" w:rsidR="00995C1F" w:rsidRPr="00B4223F" w:rsidRDefault="00995C1F">
            <w:pPr>
              <w:rPr>
                <w:rFonts w:ascii="TUOS Blake" w:hAnsi="TUOS Blake"/>
                <w:sz w:val="20"/>
                <w:szCs w:val="20"/>
              </w:rPr>
            </w:pPr>
          </w:p>
        </w:tc>
      </w:tr>
    </w:tbl>
    <w:p w14:paraId="1772693C" w14:textId="77777777" w:rsidR="00995C1F" w:rsidRDefault="00995C1F">
      <w:pPr>
        <w:spacing w:after="0"/>
        <w:rPr>
          <w:rFonts w:ascii="TUOS Blake" w:hAnsi="TUOS Blake"/>
          <w:b/>
          <w:sz w:val="20"/>
          <w:szCs w:val="20"/>
        </w:rPr>
      </w:pPr>
    </w:p>
    <w:p w14:paraId="1B3BE4F6" w14:textId="77777777" w:rsidR="00995C1F" w:rsidRDefault="00995C1F">
      <w:pPr>
        <w:spacing w:after="0"/>
        <w:rPr>
          <w:rFonts w:ascii="TUOS Blake" w:hAnsi="TUOS Blake"/>
          <w:b/>
          <w:sz w:val="20"/>
          <w:szCs w:val="20"/>
        </w:rPr>
      </w:pPr>
    </w:p>
    <w:p w14:paraId="63CB73C0" w14:textId="77777777" w:rsidR="00995C1F" w:rsidRDefault="00995C1F">
      <w:pPr>
        <w:spacing w:after="0"/>
        <w:rPr>
          <w:rFonts w:ascii="TUOS Blake" w:hAnsi="TUOS Blake"/>
          <w:b/>
          <w:sz w:val="20"/>
          <w:szCs w:val="20"/>
        </w:rPr>
      </w:pPr>
    </w:p>
    <w:p w14:paraId="0F248A68" w14:textId="77777777" w:rsidR="00995C1F" w:rsidRDefault="00995C1F">
      <w:pPr>
        <w:spacing w:after="0"/>
        <w:rPr>
          <w:rFonts w:ascii="TUOS Blake" w:hAnsi="TUOS Blake"/>
          <w:b/>
          <w:sz w:val="20"/>
          <w:szCs w:val="20"/>
        </w:rPr>
      </w:pPr>
    </w:p>
    <w:p w14:paraId="07DE82B7" w14:textId="77777777" w:rsidR="00995C1F" w:rsidRDefault="00995C1F">
      <w:pPr>
        <w:spacing w:after="0"/>
        <w:rPr>
          <w:rFonts w:ascii="TUOS Blake" w:hAnsi="TUOS Blake"/>
          <w:b/>
          <w:sz w:val="20"/>
          <w:szCs w:val="20"/>
        </w:rPr>
      </w:pPr>
    </w:p>
    <w:p w14:paraId="7E494C2A" w14:textId="77777777" w:rsidR="00995C1F" w:rsidRDefault="00995C1F">
      <w:pPr>
        <w:spacing w:after="0"/>
        <w:rPr>
          <w:rFonts w:ascii="TUOS Blake" w:hAnsi="TUOS Blake"/>
          <w:b/>
          <w:sz w:val="20"/>
          <w:szCs w:val="20"/>
        </w:rPr>
      </w:pPr>
      <w:r w:rsidRPr="00B4223F">
        <w:rPr>
          <w:rFonts w:ascii="TUOS Blake" w:hAnsi="TUOS Blake"/>
          <w:b/>
          <w:sz w:val="20"/>
          <w:szCs w:val="20"/>
        </w:rPr>
        <w:t>Project contact details for further information:</w:t>
      </w:r>
    </w:p>
    <w:p w14:paraId="5CFBF578" w14:textId="77777777" w:rsidR="00995C1F" w:rsidRDefault="00995C1F">
      <w:pPr>
        <w:spacing w:after="0"/>
        <w:rPr>
          <w:rFonts w:ascii="TUOS Blake" w:hAnsi="TUOS Blake"/>
          <w:b/>
          <w:sz w:val="20"/>
          <w:szCs w:val="20"/>
        </w:rPr>
      </w:pPr>
      <w:r>
        <w:rPr>
          <w:rFonts w:ascii="TUOS Blake" w:hAnsi="TUOS Blake"/>
          <w:b/>
          <w:sz w:val="20"/>
          <w:szCs w:val="20"/>
        </w:rPr>
        <w:t xml:space="preserve">If you would like to ask any further questions about the research study, please contact Suzanne Schultz Email: </w:t>
      </w:r>
      <w:hyperlink r:id="rId508" w:history="1">
        <w:r w:rsidRPr="004D1C6C">
          <w:rPr>
            <w:rStyle w:val="Hyperlink"/>
            <w:rFonts w:ascii="TUOS Blake" w:hAnsi="TUOS Blake"/>
            <w:b/>
            <w:sz w:val="20"/>
            <w:szCs w:val="20"/>
          </w:rPr>
          <w:t>sdschultz1@sheffield.ac.uk</w:t>
        </w:r>
      </w:hyperlink>
      <w:r>
        <w:rPr>
          <w:rFonts w:ascii="TUOS Blake" w:hAnsi="TUOS Blake"/>
          <w:b/>
          <w:sz w:val="20"/>
          <w:szCs w:val="20"/>
        </w:rPr>
        <w:t>. Phone: 07798645620</w:t>
      </w:r>
    </w:p>
    <w:p w14:paraId="4904F381" w14:textId="77777777" w:rsidR="00995C1F" w:rsidRPr="00943FEA" w:rsidRDefault="00995C1F">
      <w:pPr>
        <w:spacing w:after="0"/>
        <w:rPr>
          <w:rFonts w:ascii="TUOS Blake" w:hAnsi="TUOS Blake"/>
          <w:bCs/>
          <w:sz w:val="20"/>
          <w:szCs w:val="20"/>
        </w:rPr>
      </w:pPr>
      <w:r w:rsidRPr="00943FEA">
        <w:rPr>
          <w:rFonts w:ascii="TUOS Blake" w:hAnsi="TUOS Blake"/>
          <w:bCs/>
          <w:sz w:val="20"/>
          <w:szCs w:val="20"/>
        </w:rPr>
        <w:t xml:space="preserve">If you feel something has gone wrong, or you would like to raise an issue/complaint, you are advised to contact the Principal Investigator (PI), </w:t>
      </w:r>
      <w:r>
        <w:rPr>
          <w:rFonts w:ascii="TUOS Blake" w:hAnsi="TUOS Blake"/>
          <w:bCs/>
          <w:sz w:val="20"/>
          <w:szCs w:val="20"/>
        </w:rPr>
        <w:t xml:space="preserve">Dr </w:t>
      </w:r>
      <w:r w:rsidRPr="00943FEA">
        <w:rPr>
          <w:rFonts w:ascii="TUOS Blake" w:hAnsi="TUOS Blake"/>
          <w:bCs/>
          <w:sz w:val="20"/>
          <w:szCs w:val="20"/>
        </w:rPr>
        <w:t xml:space="preserve">Tim Herrick, The School of Education, Edgar Allen House, The University of Sheffield, 241 Glossop Road, Sheffield, S10 2GW. Email: t.herrick@sheffield.ac.uk  </w:t>
      </w:r>
      <w:r>
        <w:rPr>
          <w:rFonts w:ascii="TUOS Blake" w:hAnsi="TUOS Blake"/>
          <w:bCs/>
          <w:sz w:val="20"/>
          <w:szCs w:val="20"/>
        </w:rPr>
        <w:t xml:space="preserve"> </w:t>
      </w:r>
    </w:p>
    <w:p w14:paraId="5DFE7FD1" w14:textId="77777777" w:rsidR="00995C1F" w:rsidRPr="00B4223F" w:rsidRDefault="00995C1F">
      <w:pPr>
        <w:rPr>
          <w:rFonts w:ascii="TUOS Blake" w:hAnsi="TUOS Blake"/>
          <w:color w:val="FF0000"/>
          <w:sz w:val="20"/>
          <w:szCs w:val="20"/>
        </w:rPr>
      </w:pPr>
      <w:bookmarkStart w:id="111" w:name="_gjdgxs" w:colFirst="0" w:colLast="0"/>
      <w:bookmarkEnd w:id="111"/>
      <w:r>
        <w:rPr>
          <w:rFonts w:ascii="TUOS Blake" w:hAnsi="TUOS Blake"/>
          <w:color w:val="FF0000"/>
          <w:sz w:val="20"/>
          <w:szCs w:val="20"/>
        </w:rPr>
        <w:t xml:space="preserve"> </w:t>
      </w:r>
    </w:p>
    <w:p w14:paraId="42742EAD" w14:textId="77777777" w:rsidR="00995C1F" w:rsidRDefault="00995C1F" w:rsidP="00A02C88">
      <w:pPr>
        <w:rPr>
          <w:rFonts w:ascii="Calibri" w:hAnsi="Calibri" w:cs="Calibri"/>
          <w:sz w:val="24"/>
          <w:szCs w:val="24"/>
        </w:rPr>
      </w:pPr>
    </w:p>
    <w:p w14:paraId="638394A4" w14:textId="77777777" w:rsidR="00594474" w:rsidRDefault="00594474" w:rsidP="00A02C88">
      <w:pPr>
        <w:rPr>
          <w:rFonts w:ascii="Calibri" w:hAnsi="Calibri" w:cs="Calibri"/>
          <w:sz w:val="24"/>
          <w:szCs w:val="24"/>
        </w:rPr>
      </w:pPr>
    </w:p>
    <w:p w14:paraId="3A4B3277" w14:textId="77777777" w:rsidR="00594474" w:rsidRDefault="00594474" w:rsidP="00A02C88">
      <w:pPr>
        <w:rPr>
          <w:rFonts w:ascii="Calibri" w:hAnsi="Calibri" w:cs="Calibri"/>
          <w:sz w:val="24"/>
          <w:szCs w:val="24"/>
        </w:rPr>
      </w:pPr>
    </w:p>
    <w:p w14:paraId="1723DBBE" w14:textId="77777777" w:rsidR="00594474" w:rsidRDefault="00594474" w:rsidP="00A02C88">
      <w:pPr>
        <w:rPr>
          <w:rFonts w:ascii="Calibri" w:hAnsi="Calibri" w:cs="Calibri"/>
          <w:sz w:val="24"/>
          <w:szCs w:val="24"/>
        </w:rPr>
      </w:pPr>
    </w:p>
    <w:p w14:paraId="224FC2B0" w14:textId="77777777" w:rsidR="00594474" w:rsidRDefault="00594474" w:rsidP="00A02C88">
      <w:pPr>
        <w:rPr>
          <w:rFonts w:ascii="Calibri" w:hAnsi="Calibri" w:cs="Calibri"/>
          <w:sz w:val="24"/>
          <w:szCs w:val="24"/>
        </w:rPr>
      </w:pPr>
    </w:p>
    <w:p w14:paraId="562DAADA" w14:textId="77777777" w:rsidR="00594474" w:rsidRDefault="00594474" w:rsidP="00A02C88">
      <w:pPr>
        <w:rPr>
          <w:rFonts w:ascii="Calibri" w:hAnsi="Calibri" w:cs="Calibri"/>
          <w:sz w:val="24"/>
          <w:szCs w:val="24"/>
        </w:rPr>
      </w:pPr>
    </w:p>
    <w:p w14:paraId="73027251" w14:textId="77777777" w:rsidR="00594474" w:rsidRDefault="00594474" w:rsidP="00A02C88">
      <w:pPr>
        <w:rPr>
          <w:rFonts w:ascii="Calibri" w:hAnsi="Calibri" w:cs="Calibri"/>
          <w:sz w:val="24"/>
          <w:szCs w:val="24"/>
        </w:rPr>
      </w:pPr>
    </w:p>
    <w:p w14:paraId="57716C87" w14:textId="77777777" w:rsidR="00594474" w:rsidRDefault="00594474" w:rsidP="00A02C88">
      <w:pPr>
        <w:rPr>
          <w:rFonts w:ascii="Calibri" w:hAnsi="Calibri" w:cs="Calibri"/>
          <w:sz w:val="24"/>
          <w:szCs w:val="24"/>
        </w:rPr>
      </w:pPr>
    </w:p>
    <w:p w14:paraId="595C0F9B" w14:textId="77777777" w:rsidR="00594474" w:rsidRDefault="00594474" w:rsidP="00A02C88">
      <w:pPr>
        <w:rPr>
          <w:rFonts w:ascii="Calibri" w:hAnsi="Calibri" w:cs="Calibri"/>
          <w:sz w:val="24"/>
          <w:szCs w:val="24"/>
        </w:rPr>
      </w:pPr>
    </w:p>
    <w:p w14:paraId="26B9895D" w14:textId="77777777" w:rsidR="00594474" w:rsidRDefault="00594474" w:rsidP="00A02C88">
      <w:pPr>
        <w:rPr>
          <w:rFonts w:ascii="Calibri" w:hAnsi="Calibri" w:cs="Calibri"/>
          <w:sz w:val="24"/>
          <w:szCs w:val="24"/>
        </w:rPr>
      </w:pPr>
    </w:p>
    <w:p w14:paraId="01B0798A" w14:textId="77777777" w:rsidR="00594474" w:rsidRDefault="00594474" w:rsidP="00A02C88">
      <w:pPr>
        <w:rPr>
          <w:rFonts w:ascii="Calibri" w:hAnsi="Calibri" w:cs="Calibri"/>
          <w:sz w:val="24"/>
          <w:szCs w:val="24"/>
        </w:rPr>
      </w:pPr>
    </w:p>
    <w:p w14:paraId="5034FD56" w14:textId="77777777" w:rsidR="00594474" w:rsidRDefault="00594474" w:rsidP="00A02C88">
      <w:pPr>
        <w:rPr>
          <w:rFonts w:ascii="Calibri" w:hAnsi="Calibri" w:cs="Calibri"/>
          <w:sz w:val="24"/>
          <w:szCs w:val="24"/>
        </w:rPr>
      </w:pPr>
    </w:p>
    <w:p w14:paraId="1FB052C1" w14:textId="77777777" w:rsidR="00594474" w:rsidRDefault="00594474" w:rsidP="00A02C88">
      <w:pPr>
        <w:rPr>
          <w:rFonts w:ascii="Calibri" w:hAnsi="Calibri" w:cs="Calibri"/>
          <w:sz w:val="24"/>
          <w:szCs w:val="24"/>
        </w:rPr>
      </w:pPr>
    </w:p>
    <w:p w14:paraId="63C24CEC" w14:textId="77777777" w:rsidR="00594474" w:rsidRDefault="00594474" w:rsidP="00A02C88">
      <w:pPr>
        <w:rPr>
          <w:rFonts w:ascii="Calibri" w:hAnsi="Calibri" w:cs="Calibri"/>
          <w:sz w:val="24"/>
          <w:szCs w:val="24"/>
        </w:rPr>
      </w:pPr>
    </w:p>
    <w:p w14:paraId="78340DC5" w14:textId="77777777" w:rsidR="00F742B7" w:rsidRDefault="00F742B7" w:rsidP="00A02C88">
      <w:pPr>
        <w:rPr>
          <w:rFonts w:ascii="Calibri" w:hAnsi="Calibri" w:cs="Calibri"/>
          <w:sz w:val="24"/>
          <w:szCs w:val="24"/>
        </w:rPr>
      </w:pPr>
    </w:p>
    <w:p w14:paraId="1E82F42E" w14:textId="77777777" w:rsidR="00594474" w:rsidRDefault="00594474" w:rsidP="00A02C88">
      <w:pPr>
        <w:rPr>
          <w:rFonts w:ascii="Calibri" w:hAnsi="Calibri" w:cs="Calibri"/>
          <w:sz w:val="24"/>
          <w:szCs w:val="24"/>
        </w:rPr>
      </w:pPr>
    </w:p>
    <w:p w14:paraId="7337D81C" w14:textId="77777777" w:rsidR="00B43199" w:rsidRPr="00BF2059" w:rsidRDefault="00B43199" w:rsidP="00B43199">
      <w:pPr>
        <w:ind w:left="1440" w:firstLine="720"/>
        <w:rPr>
          <w:b/>
          <w:bCs/>
          <w:sz w:val="24"/>
          <w:szCs w:val="24"/>
        </w:rPr>
      </w:pPr>
      <w:r w:rsidRPr="00BF2059">
        <w:rPr>
          <w:b/>
          <w:bCs/>
          <w:sz w:val="24"/>
          <w:szCs w:val="24"/>
        </w:rPr>
        <w:lastRenderedPageBreak/>
        <w:t xml:space="preserve">Appendix F: </w:t>
      </w:r>
      <w:bookmarkStart w:id="112" w:name="_Hlk216029450"/>
      <w:r w:rsidRPr="00BF2059">
        <w:rPr>
          <w:b/>
          <w:bCs/>
          <w:sz w:val="24"/>
          <w:szCs w:val="24"/>
        </w:rPr>
        <w:t>Pre-interview questionnaire</w:t>
      </w:r>
      <w:bookmarkEnd w:id="112"/>
    </w:p>
    <w:p w14:paraId="406AB17E" w14:textId="77777777" w:rsidR="00B43199" w:rsidRDefault="00B43199" w:rsidP="00CD1C12">
      <w:pPr>
        <w:rPr>
          <w:b/>
          <w:bCs/>
          <w:sz w:val="24"/>
          <w:szCs w:val="24"/>
          <w:u w:val="single"/>
        </w:rPr>
      </w:pPr>
      <w:r w:rsidRPr="002D62C8">
        <w:rPr>
          <w:b/>
          <w:bCs/>
          <w:sz w:val="24"/>
          <w:szCs w:val="24"/>
          <w:u w:val="single"/>
        </w:rPr>
        <w:t xml:space="preserve">Out of the Shadows: Shining a light on HE teachers’ experiences of emotions and reflective practice </w:t>
      </w:r>
    </w:p>
    <w:p w14:paraId="58280A69" w14:textId="77777777" w:rsidR="00B43199" w:rsidRDefault="00B43199" w:rsidP="00CD1C12">
      <w:pPr>
        <w:rPr>
          <w:sz w:val="24"/>
          <w:szCs w:val="24"/>
        </w:rPr>
      </w:pPr>
      <w:r w:rsidRPr="00CD1C12">
        <w:rPr>
          <w:sz w:val="24"/>
          <w:szCs w:val="24"/>
        </w:rPr>
        <w:t>Suzanne Schultz</w:t>
      </w:r>
      <w:r w:rsidRPr="00CD1C12">
        <w:rPr>
          <w:sz w:val="24"/>
          <w:szCs w:val="24"/>
        </w:rPr>
        <w:tab/>
      </w:r>
      <w:r>
        <w:rPr>
          <w:sz w:val="24"/>
          <w:szCs w:val="24"/>
        </w:rPr>
        <w:tab/>
      </w:r>
      <w:r>
        <w:rPr>
          <w:sz w:val="24"/>
          <w:szCs w:val="24"/>
        </w:rPr>
        <w:tab/>
      </w:r>
      <w:r>
        <w:rPr>
          <w:sz w:val="24"/>
          <w:szCs w:val="24"/>
        </w:rPr>
        <w:tab/>
        <w:t xml:space="preserve">Contact details: </w:t>
      </w:r>
      <w:hyperlink r:id="rId509" w:history="1">
        <w:r w:rsidRPr="00C344A4">
          <w:rPr>
            <w:rStyle w:val="Hyperlink"/>
            <w:sz w:val="24"/>
            <w:szCs w:val="24"/>
          </w:rPr>
          <w:t>sdschultz1@sheffield.ac.uk</w:t>
        </w:r>
      </w:hyperlink>
      <w:r>
        <w:rPr>
          <w:sz w:val="24"/>
          <w:szCs w:val="24"/>
        </w:rPr>
        <w:t xml:space="preserve"> </w:t>
      </w:r>
    </w:p>
    <w:p w14:paraId="13243D9B" w14:textId="77777777" w:rsidR="00B43199" w:rsidRDefault="00B43199" w:rsidP="00CD1C1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Mobile: 07798645620</w:t>
      </w:r>
    </w:p>
    <w:p w14:paraId="705C2684" w14:textId="77777777" w:rsidR="00B43199" w:rsidRDefault="00B43199" w:rsidP="00CD1C12">
      <w:pPr>
        <w:rPr>
          <w:sz w:val="24"/>
          <w:szCs w:val="24"/>
        </w:rPr>
      </w:pPr>
    </w:p>
    <w:p w14:paraId="1A3E9389" w14:textId="77777777" w:rsidR="00B43199" w:rsidRPr="00CD1C12" w:rsidRDefault="00B43199" w:rsidP="00CD1C12">
      <w:pPr>
        <w:rPr>
          <w:sz w:val="24"/>
          <w:szCs w:val="24"/>
          <w:u w:val="single"/>
        </w:rPr>
      </w:pPr>
      <w:r w:rsidRPr="00CD1C12">
        <w:rPr>
          <w:sz w:val="24"/>
          <w:szCs w:val="24"/>
          <w:u w:val="single"/>
        </w:rPr>
        <w:t>Pre-interview questionnaire</w:t>
      </w:r>
    </w:p>
    <w:p w14:paraId="6DAEB2BA" w14:textId="77777777" w:rsidR="00B43199" w:rsidRDefault="00B43199" w:rsidP="00CD1C12">
      <w:pPr>
        <w:rPr>
          <w:sz w:val="24"/>
          <w:szCs w:val="24"/>
        </w:rPr>
      </w:pPr>
    </w:p>
    <w:p w14:paraId="620B801B" w14:textId="77777777" w:rsidR="00B43199" w:rsidRDefault="00B43199" w:rsidP="00CD1C12">
      <w:pPr>
        <w:rPr>
          <w:sz w:val="24"/>
          <w:szCs w:val="24"/>
        </w:rPr>
      </w:pPr>
      <w:r>
        <w:rPr>
          <w:sz w:val="24"/>
          <w:szCs w:val="24"/>
        </w:rPr>
        <w:t>Participant’s name:</w:t>
      </w:r>
    </w:p>
    <w:p w14:paraId="6E3E736F" w14:textId="77777777" w:rsidR="00B43199" w:rsidRDefault="00B43199" w:rsidP="00CD1C12">
      <w:pPr>
        <w:rPr>
          <w:sz w:val="24"/>
          <w:szCs w:val="24"/>
        </w:rPr>
      </w:pPr>
    </w:p>
    <w:p w14:paraId="6CDF4B2E" w14:textId="77777777" w:rsidR="00B43199" w:rsidRDefault="00B43199" w:rsidP="00CD1C12">
      <w:pPr>
        <w:rPr>
          <w:sz w:val="24"/>
          <w:szCs w:val="24"/>
        </w:rPr>
      </w:pPr>
      <w:r>
        <w:rPr>
          <w:sz w:val="24"/>
          <w:szCs w:val="24"/>
        </w:rPr>
        <w:t>Participant’s email address:</w:t>
      </w:r>
    </w:p>
    <w:p w14:paraId="4D54063E" w14:textId="77777777" w:rsidR="00B43199" w:rsidRDefault="00B43199" w:rsidP="00CD1C12">
      <w:pPr>
        <w:rPr>
          <w:sz w:val="24"/>
          <w:szCs w:val="24"/>
        </w:rPr>
      </w:pPr>
    </w:p>
    <w:p w14:paraId="2B804CF8" w14:textId="77777777" w:rsidR="00B43199" w:rsidRDefault="00B43199" w:rsidP="00CD1C12">
      <w:pPr>
        <w:rPr>
          <w:sz w:val="24"/>
          <w:szCs w:val="24"/>
        </w:rPr>
      </w:pPr>
      <w:r>
        <w:rPr>
          <w:sz w:val="24"/>
          <w:szCs w:val="24"/>
        </w:rPr>
        <w:t>Preferred day and time for interview one:</w:t>
      </w:r>
    </w:p>
    <w:p w14:paraId="741594C4" w14:textId="77777777" w:rsidR="00B43199" w:rsidRDefault="00B43199" w:rsidP="00CD1C12">
      <w:pPr>
        <w:rPr>
          <w:sz w:val="24"/>
          <w:szCs w:val="24"/>
        </w:rPr>
      </w:pPr>
      <w:r>
        <w:rPr>
          <w:sz w:val="24"/>
          <w:szCs w:val="24"/>
        </w:rPr>
        <w:tab/>
      </w:r>
      <w:r>
        <w:rPr>
          <w:sz w:val="24"/>
          <w:szCs w:val="24"/>
        </w:rPr>
        <w:tab/>
      </w:r>
      <w:r>
        <w:rPr>
          <w:sz w:val="24"/>
          <w:szCs w:val="24"/>
        </w:rPr>
        <w:tab/>
        <w:t xml:space="preserve">   for interview two:</w:t>
      </w:r>
    </w:p>
    <w:p w14:paraId="7AF918C3" w14:textId="77777777" w:rsidR="00B43199" w:rsidRDefault="00B43199" w:rsidP="00CD1C12">
      <w:pPr>
        <w:rPr>
          <w:sz w:val="24"/>
          <w:szCs w:val="24"/>
        </w:rPr>
      </w:pPr>
    </w:p>
    <w:p w14:paraId="4137F0E4" w14:textId="77777777" w:rsidR="00B43199" w:rsidRDefault="00B43199" w:rsidP="00CD1C12">
      <w:pPr>
        <w:rPr>
          <w:sz w:val="24"/>
          <w:szCs w:val="24"/>
        </w:rPr>
      </w:pPr>
      <w:r>
        <w:rPr>
          <w:sz w:val="24"/>
          <w:szCs w:val="24"/>
        </w:rPr>
        <w:t>Academic age (the number of years you have been teaching):</w:t>
      </w:r>
    </w:p>
    <w:p w14:paraId="1A214501" w14:textId="77777777" w:rsidR="00B43199" w:rsidRDefault="00B43199" w:rsidP="00CD1C12">
      <w:pPr>
        <w:rPr>
          <w:sz w:val="24"/>
          <w:szCs w:val="24"/>
        </w:rPr>
      </w:pPr>
    </w:p>
    <w:p w14:paraId="0960F99B" w14:textId="77777777" w:rsidR="00B43199" w:rsidRDefault="00B43199" w:rsidP="00CD1C12">
      <w:pPr>
        <w:rPr>
          <w:sz w:val="24"/>
          <w:szCs w:val="24"/>
        </w:rPr>
      </w:pPr>
      <w:r>
        <w:rPr>
          <w:sz w:val="24"/>
          <w:szCs w:val="24"/>
        </w:rPr>
        <w:t>Gender:</w:t>
      </w:r>
    </w:p>
    <w:p w14:paraId="6854524C" w14:textId="77777777" w:rsidR="00B43199" w:rsidRDefault="00B43199" w:rsidP="00CD1C12">
      <w:pPr>
        <w:rPr>
          <w:sz w:val="24"/>
          <w:szCs w:val="24"/>
        </w:rPr>
      </w:pPr>
    </w:p>
    <w:p w14:paraId="05E62726" w14:textId="197DFB42" w:rsidR="00B43199" w:rsidRPr="00371D5C" w:rsidRDefault="00B43199" w:rsidP="00CD1C12">
      <w:pPr>
        <w:rPr>
          <w:color w:val="EE0000"/>
          <w:sz w:val="24"/>
          <w:szCs w:val="24"/>
        </w:rPr>
      </w:pPr>
      <w:r w:rsidRPr="00371D5C">
        <w:rPr>
          <w:color w:val="EE0000"/>
          <w:sz w:val="24"/>
          <w:szCs w:val="24"/>
        </w:rPr>
        <w:t>Discipline taught:</w:t>
      </w:r>
      <w:r w:rsidR="00371D5C">
        <w:rPr>
          <w:color w:val="EE0000"/>
          <w:sz w:val="24"/>
          <w:szCs w:val="24"/>
        </w:rPr>
        <w:t xml:space="preserve"> This was redacted in the data </w:t>
      </w:r>
      <w:r w:rsidR="004A652F">
        <w:rPr>
          <w:color w:val="EE0000"/>
          <w:sz w:val="24"/>
          <w:szCs w:val="24"/>
        </w:rPr>
        <w:t>due to potential confidentiality breaches</w:t>
      </w:r>
    </w:p>
    <w:p w14:paraId="697881BE" w14:textId="77777777" w:rsidR="00B43199" w:rsidRDefault="00B43199" w:rsidP="00CD1C12">
      <w:pPr>
        <w:rPr>
          <w:sz w:val="24"/>
          <w:szCs w:val="24"/>
        </w:rPr>
      </w:pPr>
    </w:p>
    <w:p w14:paraId="4F1644EB" w14:textId="77777777" w:rsidR="00B43199" w:rsidRDefault="00B43199" w:rsidP="00CD1C12">
      <w:pPr>
        <w:rPr>
          <w:sz w:val="24"/>
          <w:szCs w:val="24"/>
        </w:rPr>
      </w:pPr>
      <w:r>
        <w:rPr>
          <w:sz w:val="24"/>
          <w:szCs w:val="24"/>
        </w:rPr>
        <w:t>Preferred pseudonym to be used for transcript:</w:t>
      </w:r>
    </w:p>
    <w:p w14:paraId="1D298508" w14:textId="77777777" w:rsidR="000863EF" w:rsidRDefault="000863EF" w:rsidP="00CD1C12">
      <w:pPr>
        <w:rPr>
          <w:sz w:val="24"/>
          <w:szCs w:val="24"/>
        </w:rPr>
      </w:pPr>
    </w:p>
    <w:p w14:paraId="41C8D0F0" w14:textId="77777777" w:rsidR="00CD06B3" w:rsidRDefault="00CD06B3" w:rsidP="00CD1C12">
      <w:pPr>
        <w:rPr>
          <w:sz w:val="24"/>
          <w:szCs w:val="24"/>
        </w:rPr>
      </w:pPr>
    </w:p>
    <w:p w14:paraId="3F2C9FB8" w14:textId="77777777" w:rsidR="000A68FF" w:rsidRDefault="000A68FF" w:rsidP="00CD1C12">
      <w:pPr>
        <w:rPr>
          <w:sz w:val="24"/>
          <w:szCs w:val="24"/>
        </w:rPr>
      </w:pPr>
    </w:p>
    <w:p w14:paraId="50EEB387" w14:textId="77777777" w:rsidR="00CD06B3" w:rsidRDefault="00CD06B3" w:rsidP="00CD1C12">
      <w:pPr>
        <w:rPr>
          <w:sz w:val="24"/>
          <w:szCs w:val="24"/>
        </w:rPr>
      </w:pPr>
    </w:p>
    <w:p w14:paraId="15ED2804" w14:textId="77777777" w:rsidR="002F1CA2" w:rsidRDefault="002F1CA2" w:rsidP="00CD1C12">
      <w:pPr>
        <w:rPr>
          <w:sz w:val="24"/>
          <w:szCs w:val="24"/>
        </w:rPr>
      </w:pPr>
    </w:p>
    <w:p w14:paraId="1125BC50" w14:textId="77777777" w:rsidR="002F1CA2" w:rsidRDefault="002F1CA2" w:rsidP="00CD1C12">
      <w:pPr>
        <w:rPr>
          <w:sz w:val="24"/>
          <w:szCs w:val="24"/>
        </w:rPr>
      </w:pPr>
    </w:p>
    <w:p w14:paraId="34FC1C6A" w14:textId="77777777" w:rsidR="002F1CA2" w:rsidRDefault="002F1CA2" w:rsidP="00CD1C12">
      <w:pPr>
        <w:rPr>
          <w:sz w:val="24"/>
          <w:szCs w:val="24"/>
        </w:rPr>
      </w:pPr>
    </w:p>
    <w:p w14:paraId="0400B3B8" w14:textId="738BE342" w:rsidR="00CD06B3" w:rsidRPr="000A68FF" w:rsidRDefault="00CD06B3" w:rsidP="00BF2059">
      <w:pPr>
        <w:ind w:left="2160" w:firstLine="720"/>
        <w:rPr>
          <w:b/>
          <w:bCs/>
          <w:sz w:val="24"/>
          <w:szCs w:val="24"/>
        </w:rPr>
      </w:pPr>
      <w:r w:rsidRPr="000A68FF">
        <w:rPr>
          <w:b/>
          <w:bCs/>
          <w:sz w:val="24"/>
          <w:szCs w:val="24"/>
        </w:rPr>
        <w:lastRenderedPageBreak/>
        <w:t>Appendix G: Ethical approval letter</w:t>
      </w:r>
    </w:p>
    <w:p w14:paraId="35919AE9" w14:textId="77777777" w:rsidR="00CD06B3" w:rsidRDefault="00CD06B3" w:rsidP="00CD1C12">
      <w:pPr>
        <w:rPr>
          <w:sz w:val="24"/>
          <w:szCs w:val="24"/>
        </w:rPr>
      </w:pPr>
    </w:p>
    <w:p w14:paraId="05DCF59C" w14:textId="77777777" w:rsidR="001111D5" w:rsidRDefault="001111D5">
      <w:pPr>
        <w:spacing w:after="268" w:line="259" w:lineRule="auto"/>
        <w:ind w:left="14"/>
      </w:pPr>
      <w:r>
        <w:rPr>
          <w:noProof/>
        </w:rPr>
        <w:drawing>
          <wp:inline distT="0" distB="0" distL="0" distR="0" wp14:anchorId="6337B14A" wp14:editId="6A995360">
            <wp:extent cx="1897379" cy="7620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10"/>
                    <a:stretch>
                      <a:fillRect/>
                    </a:stretch>
                  </pic:blipFill>
                  <pic:spPr>
                    <a:xfrm>
                      <a:off x="0" y="0"/>
                      <a:ext cx="1897379" cy="762000"/>
                    </a:xfrm>
                    <a:prstGeom prst="rect">
                      <a:avLst/>
                    </a:prstGeom>
                  </pic:spPr>
                </pic:pic>
              </a:graphicData>
            </a:graphic>
          </wp:inline>
        </w:drawing>
      </w:r>
      <w:r>
        <w:t xml:space="preserve"> </w:t>
      </w:r>
    </w:p>
    <w:p w14:paraId="08C70916" w14:textId="77777777" w:rsidR="001111D5" w:rsidRDefault="001111D5">
      <w:pPr>
        <w:ind w:left="-5"/>
      </w:pPr>
      <w:r>
        <w:t xml:space="preserve">Downloaded: 08/12/2025  </w:t>
      </w:r>
    </w:p>
    <w:p w14:paraId="56B4594C" w14:textId="77777777" w:rsidR="001111D5" w:rsidRDefault="001111D5">
      <w:pPr>
        <w:spacing w:after="341"/>
        <w:ind w:left="-5"/>
      </w:pPr>
      <w:r>
        <w:t xml:space="preserve">Approved: 05/01/2023 </w:t>
      </w:r>
    </w:p>
    <w:p w14:paraId="5FD29D50" w14:textId="77777777" w:rsidR="001111D5" w:rsidRDefault="001111D5">
      <w:pPr>
        <w:ind w:left="-5"/>
      </w:pPr>
      <w:r>
        <w:t xml:space="preserve">Suzanne Schultz  </w:t>
      </w:r>
    </w:p>
    <w:p w14:paraId="2DE9E4B3" w14:textId="32C04FE0" w:rsidR="001111D5" w:rsidRDefault="001111D5">
      <w:pPr>
        <w:ind w:left="-5"/>
      </w:pPr>
      <w:r>
        <w:t>Registra</w:t>
      </w:r>
      <w:r w:rsidR="007E0082">
        <w:t>ti</w:t>
      </w:r>
      <w:r>
        <w:t xml:space="preserve">on number: 200192565  </w:t>
      </w:r>
    </w:p>
    <w:p w14:paraId="3CCBD161" w14:textId="77777777" w:rsidR="00B708C2" w:rsidRDefault="001111D5">
      <w:pPr>
        <w:ind w:left="-5"/>
      </w:pPr>
      <w:r>
        <w:t xml:space="preserve">School of </w:t>
      </w:r>
      <w:r w:rsidR="007E0082">
        <w:t>Education</w:t>
      </w:r>
      <w:r w:rsidR="00D03FB0">
        <w:t xml:space="preserve"> </w:t>
      </w:r>
    </w:p>
    <w:p w14:paraId="1D6DFE85" w14:textId="77777777" w:rsidR="003813B4" w:rsidRDefault="00B708C2">
      <w:pPr>
        <w:ind w:left="-5"/>
      </w:pPr>
      <w:r>
        <w:t>Programme:</w:t>
      </w:r>
      <w:r w:rsidR="001111D5">
        <w:t xml:space="preserve">  </w:t>
      </w:r>
      <w:r>
        <w:t>EdD</w:t>
      </w:r>
      <w:r w:rsidR="003813B4">
        <w:t xml:space="preserve"> </w:t>
      </w:r>
    </w:p>
    <w:p w14:paraId="7F64ED6E" w14:textId="77777777" w:rsidR="00084362" w:rsidRDefault="00084362">
      <w:pPr>
        <w:ind w:left="-5"/>
      </w:pPr>
    </w:p>
    <w:p w14:paraId="6DE45068" w14:textId="3809C8DB" w:rsidR="003813B4" w:rsidRDefault="003813B4" w:rsidP="00084362">
      <w:pPr>
        <w:ind w:left="-5"/>
      </w:pPr>
      <w:r>
        <w:t>Dear Suzanne</w:t>
      </w:r>
    </w:p>
    <w:p w14:paraId="25242018" w14:textId="7FEACDC1" w:rsidR="001111D5" w:rsidRDefault="001111D5">
      <w:pPr>
        <w:ind w:left="-5"/>
      </w:pPr>
      <w:r>
        <w:rPr>
          <w:rFonts w:ascii="Calibri" w:eastAsia="Calibri" w:hAnsi="Calibri" w:cs="Calibri"/>
          <w:b/>
        </w:rPr>
        <w:t>PROJECT TITLE:</w:t>
      </w:r>
      <w:r>
        <w:t xml:space="preserve"> Once More with Feeling: An </w:t>
      </w:r>
      <w:r w:rsidR="0098386E">
        <w:t>exploration</w:t>
      </w:r>
      <w:r>
        <w:t xml:space="preserve"> of teachers' </w:t>
      </w:r>
      <w:r w:rsidR="00AD70DA">
        <w:t>emotions</w:t>
      </w:r>
      <w:r>
        <w:t xml:space="preserve"> in the course of their learning, and teaching.  </w:t>
      </w:r>
    </w:p>
    <w:p w14:paraId="75EFEE67" w14:textId="77777777" w:rsidR="001111D5" w:rsidRDefault="001111D5">
      <w:pPr>
        <w:spacing w:after="149"/>
        <w:ind w:left="-5"/>
      </w:pPr>
      <w:r>
        <w:rPr>
          <w:rFonts w:ascii="Calibri" w:eastAsia="Calibri" w:hAnsi="Calibri" w:cs="Calibri"/>
          <w:b/>
        </w:rPr>
        <w:t>APPLICATION:</w:t>
      </w:r>
      <w:r>
        <w:t xml:space="preserve"> Reference Number 049687 </w:t>
      </w:r>
    </w:p>
    <w:p w14:paraId="6405BC78" w14:textId="77777777" w:rsidR="00C910AB" w:rsidRDefault="001111D5" w:rsidP="00C910AB">
      <w:pPr>
        <w:spacing w:after="152"/>
        <w:ind w:left="-5"/>
      </w:pPr>
      <w:r>
        <w:t xml:space="preserve">On behalf of the University ethics reviewers who reviewed your project, I am pleased to inform you that on 05/01/2023 the above-named project was </w:t>
      </w:r>
      <w:r>
        <w:rPr>
          <w:rFonts w:ascii="Calibri" w:eastAsia="Calibri" w:hAnsi="Calibri" w:cs="Calibri"/>
          <w:b/>
        </w:rPr>
        <w:t>approved</w:t>
      </w:r>
      <w:r>
        <w:t xml:space="preserve"> on ethics grounds, on the basis that you will adhere to the following documenta</w:t>
      </w:r>
      <w:r w:rsidR="00AD70DA">
        <w:t>ti</w:t>
      </w:r>
      <w:r>
        <w:t>on that you submi</w:t>
      </w:r>
      <w:r w:rsidR="00AD70DA">
        <w:t>tted</w:t>
      </w:r>
      <w:r>
        <w:t xml:space="preserve"> for ethics review: </w:t>
      </w:r>
    </w:p>
    <w:p w14:paraId="79011DF1" w14:textId="1F375B33" w:rsidR="001111D5" w:rsidRDefault="001111D5" w:rsidP="00C910AB">
      <w:pPr>
        <w:spacing w:after="152"/>
        <w:ind w:left="-5"/>
      </w:pPr>
      <w:r>
        <w:rPr>
          <w:noProof/>
        </w:rPr>
        <mc:AlternateContent>
          <mc:Choice Requires="wpg">
            <w:drawing>
              <wp:anchor distT="0" distB="0" distL="114300" distR="114300" simplePos="0" relativeHeight="251662336" behindDoc="0" locked="0" layoutInCell="1" allowOverlap="1" wp14:anchorId="17206E82" wp14:editId="523C2287">
                <wp:simplePos x="0" y="0"/>
                <wp:positionH relativeFrom="column">
                  <wp:posOffset>206884</wp:posOffset>
                </wp:positionH>
                <wp:positionV relativeFrom="paragraph">
                  <wp:posOffset>-3198</wp:posOffset>
                </wp:positionV>
                <wp:extent cx="30480" cy="289559"/>
                <wp:effectExtent l="0" t="0" r="0" b="0"/>
                <wp:wrapSquare wrapText="bothSides"/>
                <wp:docPr id="3957" name="Group 3957"/>
                <wp:cNvGraphicFramePr/>
                <a:graphic xmlns:a="http://schemas.openxmlformats.org/drawingml/2006/main">
                  <a:graphicData uri="http://schemas.microsoft.com/office/word/2010/wordprocessingGroup">
                    <wpg:wgp>
                      <wpg:cNvGrpSpPr/>
                      <wpg:grpSpPr>
                        <a:xfrm>
                          <a:off x="0" y="0"/>
                          <a:ext cx="30480" cy="289559"/>
                          <a:chOff x="0" y="0"/>
                          <a:chExt cx="30480" cy="289559"/>
                        </a:xfrm>
                      </wpg:grpSpPr>
                      <wps:wsp>
                        <wps:cNvPr id="917" name="Shape 917"/>
                        <wps:cNvSpPr/>
                        <wps:spPr>
                          <a:xfrm>
                            <a:off x="0" y="0"/>
                            <a:ext cx="30480" cy="30479"/>
                          </a:xfrm>
                          <a:custGeom>
                            <a:avLst/>
                            <a:gdLst/>
                            <a:ahLst/>
                            <a:cxnLst/>
                            <a:rect l="0" t="0" r="0" b="0"/>
                            <a:pathLst>
                              <a:path w="30480" h="30479">
                                <a:moveTo>
                                  <a:pt x="15240" y="0"/>
                                </a:moveTo>
                                <a:cubicBezTo>
                                  <a:pt x="23657" y="0"/>
                                  <a:pt x="30480" y="6822"/>
                                  <a:pt x="30480" y="15240"/>
                                </a:cubicBezTo>
                                <a:cubicBezTo>
                                  <a:pt x="30480" y="23657"/>
                                  <a:pt x="23657" y="30479"/>
                                  <a:pt x="15240" y="30479"/>
                                </a:cubicBezTo>
                                <a:cubicBezTo>
                                  <a:pt x="6823" y="30479"/>
                                  <a:pt x="0" y="23657"/>
                                  <a:pt x="0" y="15240"/>
                                </a:cubicBezTo>
                                <a:cubicBezTo>
                                  <a:pt x="0" y="6822"/>
                                  <a:pt x="6823"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0" y="0"/>
                            <a:ext cx="30480" cy="30479"/>
                          </a:xfrm>
                          <a:custGeom>
                            <a:avLst/>
                            <a:gdLst/>
                            <a:ahLst/>
                            <a:cxnLst/>
                            <a:rect l="0" t="0" r="0" b="0"/>
                            <a:pathLst>
                              <a:path w="30480" h="30479">
                                <a:moveTo>
                                  <a:pt x="15240" y="0"/>
                                </a:moveTo>
                                <a:cubicBezTo>
                                  <a:pt x="23657" y="0"/>
                                  <a:pt x="30480" y="6823"/>
                                  <a:pt x="30480" y="15239"/>
                                </a:cubicBezTo>
                                <a:cubicBezTo>
                                  <a:pt x="30480" y="23657"/>
                                  <a:pt x="23657" y="30479"/>
                                  <a:pt x="15240" y="30479"/>
                                </a:cubicBezTo>
                                <a:cubicBezTo>
                                  <a:pt x="6823" y="30479"/>
                                  <a:pt x="0" y="23657"/>
                                  <a:pt x="0" y="15239"/>
                                </a:cubicBezTo>
                                <a:cubicBezTo>
                                  <a:pt x="0" y="6823"/>
                                  <a:pt x="6823" y="0"/>
                                  <a:pt x="15240" y="0"/>
                                </a:cubicBezTo>
                                <a:close/>
                              </a:path>
                            </a:pathLst>
                          </a:custGeom>
                          <a:ln w="7622" cap="sq">
                            <a:bevel/>
                          </a:ln>
                        </wps:spPr>
                        <wps:style>
                          <a:lnRef idx="1">
                            <a:srgbClr val="000000"/>
                          </a:lnRef>
                          <a:fillRef idx="0">
                            <a:srgbClr val="000000">
                              <a:alpha val="0"/>
                            </a:srgbClr>
                          </a:fillRef>
                          <a:effectRef idx="0">
                            <a:scrgbClr r="0" g="0" b="0"/>
                          </a:effectRef>
                          <a:fontRef idx="none"/>
                        </wps:style>
                        <wps:bodyPr/>
                      </wps:wsp>
                      <wps:wsp>
                        <wps:cNvPr id="919" name="Shape 919"/>
                        <wps:cNvSpPr/>
                        <wps:spPr>
                          <a:xfrm>
                            <a:off x="0" y="129540"/>
                            <a:ext cx="30480" cy="30478"/>
                          </a:xfrm>
                          <a:custGeom>
                            <a:avLst/>
                            <a:gdLst/>
                            <a:ahLst/>
                            <a:cxnLst/>
                            <a:rect l="0" t="0" r="0" b="0"/>
                            <a:pathLst>
                              <a:path w="30480" h="30478">
                                <a:moveTo>
                                  <a:pt x="15240" y="0"/>
                                </a:moveTo>
                                <a:cubicBezTo>
                                  <a:pt x="23657" y="0"/>
                                  <a:pt x="30480" y="6822"/>
                                  <a:pt x="30480" y="15239"/>
                                </a:cubicBezTo>
                                <a:cubicBezTo>
                                  <a:pt x="30480" y="23656"/>
                                  <a:pt x="23657" y="30478"/>
                                  <a:pt x="15240" y="30478"/>
                                </a:cubicBezTo>
                                <a:cubicBezTo>
                                  <a:pt x="6823" y="30478"/>
                                  <a:pt x="0" y="23656"/>
                                  <a:pt x="0" y="15239"/>
                                </a:cubicBezTo>
                                <a:cubicBezTo>
                                  <a:pt x="0" y="6822"/>
                                  <a:pt x="6823" y="0"/>
                                  <a:pt x="15240" y="0"/>
                                </a:cubicBez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920" name="Shape 920"/>
                        <wps:cNvSpPr/>
                        <wps:spPr>
                          <a:xfrm>
                            <a:off x="0" y="129540"/>
                            <a:ext cx="30480" cy="30479"/>
                          </a:xfrm>
                          <a:custGeom>
                            <a:avLst/>
                            <a:gdLst/>
                            <a:ahLst/>
                            <a:cxnLst/>
                            <a:rect l="0" t="0" r="0" b="0"/>
                            <a:pathLst>
                              <a:path w="30480" h="30479">
                                <a:moveTo>
                                  <a:pt x="15240" y="0"/>
                                </a:moveTo>
                                <a:cubicBezTo>
                                  <a:pt x="23657" y="0"/>
                                  <a:pt x="30480" y="6823"/>
                                  <a:pt x="30480" y="15239"/>
                                </a:cubicBezTo>
                                <a:cubicBezTo>
                                  <a:pt x="30480" y="23656"/>
                                  <a:pt x="23657" y="30479"/>
                                  <a:pt x="15240" y="30479"/>
                                </a:cubicBezTo>
                                <a:cubicBezTo>
                                  <a:pt x="6823" y="30479"/>
                                  <a:pt x="0" y="23656"/>
                                  <a:pt x="0" y="15239"/>
                                </a:cubicBezTo>
                                <a:cubicBezTo>
                                  <a:pt x="0" y="6823"/>
                                  <a:pt x="6823" y="0"/>
                                  <a:pt x="15240" y="0"/>
                                </a:cubicBezTo>
                                <a:close/>
                              </a:path>
                            </a:pathLst>
                          </a:custGeom>
                          <a:ln w="7622" cap="sq">
                            <a:bevel/>
                          </a:ln>
                        </wps:spPr>
                        <wps:style>
                          <a:lnRef idx="1">
                            <a:srgbClr val="000000"/>
                          </a:lnRef>
                          <a:fillRef idx="0">
                            <a:srgbClr val="000000">
                              <a:alpha val="0"/>
                            </a:srgbClr>
                          </a:fillRef>
                          <a:effectRef idx="0">
                            <a:scrgbClr r="0" g="0" b="0"/>
                          </a:effectRef>
                          <a:fontRef idx="none"/>
                        </wps:style>
                        <wps:bodyPr/>
                      </wps:wsp>
                      <wps:wsp>
                        <wps:cNvPr id="921" name="Shape 921"/>
                        <wps:cNvSpPr/>
                        <wps:spPr>
                          <a:xfrm>
                            <a:off x="0" y="259080"/>
                            <a:ext cx="30480" cy="30479"/>
                          </a:xfrm>
                          <a:custGeom>
                            <a:avLst/>
                            <a:gdLst/>
                            <a:ahLst/>
                            <a:cxnLst/>
                            <a:rect l="0" t="0" r="0" b="0"/>
                            <a:pathLst>
                              <a:path w="30480" h="30479">
                                <a:moveTo>
                                  <a:pt x="15240" y="0"/>
                                </a:moveTo>
                                <a:cubicBezTo>
                                  <a:pt x="23657" y="0"/>
                                  <a:pt x="30480" y="6823"/>
                                  <a:pt x="30480" y="15240"/>
                                </a:cubicBezTo>
                                <a:cubicBezTo>
                                  <a:pt x="30480" y="23657"/>
                                  <a:pt x="23657" y="30479"/>
                                  <a:pt x="15240" y="30479"/>
                                </a:cubicBezTo>
                                <a:cubicBezTo>
                                  <a:pt x="6823" y="30479"/>
                                  <a:pt x="0" y="23657"/>
                                  <a:pt x="0" y="15240"/>
                                </a:cubicBezTo>
                                <a:cubicBezTo>
                                  <a:pt x="0" y="6823"/>
                                  <a:pt x="6823" y="0"/>
                                  <a:pt x="15240" y="0"/>
                                </a:cubicBez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922" name="Shape 922"/>
                        <wps:cNvSpPr/>
                        <wps:spPr>
                          <a:xfrm>
                            <a:off x="0" y="259080"/>
                            <a:ext cx="30480" cy="30479"/>
                          </a:xfrm>
                          <a:custGeom>
                            <a:avLst/>
                            <a:gdLst/>
                            <a:ahLst/>
                            <a:cxnLst/>
                            <a:rect l="0" t="0" r="0" b="0"/>
                            <a:pathLst>
                              <a:path w="30480" h="30479">
                                <a:moveTo>
                                  <a:pt x="15240" y="0"/>
                                </a:moveTo>
                                <a:cubicBezTo>
                                  <a:pt x="23657" y="0"/>
                                  <a:pt x="30480" y="6823"/>
                                  <a:pt x="30480" y="15239"/>
                                </a:cubicBezTo>
                                <a:cubicBezTo>
                                  <a:pt x="30480" y="23656"/>
                                  <a:pt x="23657" y="30479"/>
                                  <a:pt x="15240" y="30479"/>
                                </a:cubicBezTo>
                                <a:cubicBezTo>
                                  <a:pt x="6823" y="30479"/>
                                  <a:pt x="0" y="23656"/>
                                  <a:pt x="0" y="15239"/>
                                </a:cubicBezTo>
                                <a:cubicBezTo>
                                  <a:pt x="0" y="6823"/>
                                  <a:pt x="6823" y="0"/>
                                  <a:pt x="15240" y="0"/>
                                </a:cubicBezTo>
                                <a:close/>
                              </a:path>
                            </a:pathLst>
                          </a:custGeom>
                          <a:ln w="7622"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019487" id="Group 3957" o:spid="_x0000_s1026" style="position:absolute;margin-left:16.3pt;margin-top:-.25pt;width:2.4pt;height:22.8pt;z-index:251662336" coordsize="30480,28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">
                <v:shape id="Shape 917" o:spid="_x0000_s1027" style="position:absolute;width:30480;height:30479;visibility:visible;mso-wrap-style:square;v-text-anchor:top"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" path="m15240,v8417,,15240,6822,15240,15240c30480,23657,23657,30479,15240,30479,6823,30479,,23657,,15240,,6822,6823,,15240,xe" fillcolor="black" stroked="f" strokeweight="0">
                  <v:stroke miterlimit="83231f" joinstyle="miter"/>
                  <v:path arrowok="t" textboxrect="0,0,30480,30479"/>
                </v:shape>
                <v:shape id="Shape 918" o:spid="_x0000_s1028" style="position:absolute;width:30480;height:30479;visibility:visible;mso-wrap-style:square;v-text-anchor:top"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" path="m15240,v8417,,15240,6823,15240,15239c30480,23657,23657,30479,15240,30479,6823,30479,,23657,,15239,,6823,6823,,15240,xe" filled="f" strokeweight=".21172mm">
                  <v:stroke joinstyle="bevel" endcap="square"/>
                  <v:path arrowok="t" textboxrect="0,0,30480,30479"/>
                </v:shape>
                <v:shape id="Shape 919" o:spid="_x0000_s1029" style="position:absolute;top:129540;width:30480;height:30478;visibility:visible;mso-wrap-style:square;v-text-anchor:top" coordsize="30480,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" path="m15240,v8417,,15240,6822,15240,15239c30480,23656,23657,30478,15240,30478,6823,30478,,23656,,15239,,6822,6823,,15240,xe" fillcolor="black" stroked="f" strokeweight="0">
                  <v:stroke joinstyle="bevel" endcap="square"/>
                  <v:path arrowok="t" textboxrect="0,0,30480,30478"/>
                </v:shape>
                <v:shape id="Shape 920" o:spid="_x0000_s1030" style="position:absolute;top:129540;width:30480;height:30479;visibility:visible;mso-wrap-style:square;v-text-anchor:top"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" path="m15240,v8417,,15240,6823,15240,15239c30480,23656,23657,30479,15240,30479,6823,30479,,23656,,15239,,6823,6823,,15240,xe" filled="f" strokeweight=".21172mm">
                  <v:stroke joinstyle="bevel" endcap="square"/>
                  <v:path arrowok="t" textboxrect="0,0,30480,30479"/>
                </v:shape>
                <v:shape id="Shape 921" o:spid="_x0000_s1031" style="position:absolute;top:259080;width:30480;height:30479;visibility:visible;mso-wrap-style:square;v-text-anchor:top"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" path="m15240,v8417,,15240,6823,15240,15240c30480,23657,23657,30479,15240,30479,6823,30479,,23657,,15240,,6823,6823,,15240,xe" fillcolor="black" stroked="f" strokeweight="0">
                  <v:stroke joinstyle="bevel" endcap="square"/>
                  <v:path arrowok="t" textboxrect="0,0,30480,30479"/>
                </v:shape>
                <v:shape id="Shape 922" o:spid="_x0000_s1032" style="position:absolute;top:259080;width:30480;height:30479;visibility:visible;mso-wrap-style:square;v-text-anchor:top" coordsize="3048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" path="m15240,v8417,,15240,6823,15240,15239c30480,23656,23657,30479,15240,30479,6823,30479,,23656,,15239,,6823,6823,,15240,xe" filled="f" strokeweight=".21172mm">
                  <v:stroke joinstyle="bevel" endcap="square"/>
                  <v:path arrowok="t" textboxrect="0,0,30480,30479"/>
                </v:shape>
                <w10:wrap type="square"/>
              </v:group>
            </w:pict>
          </mc:Fallback>
        </mc:AlternateContent>
      </w:r>
      <w:r>
        <w:t xml:space="preserve">University research ethics </w:t>
      </w:r>
      <w:r w:rsidR="00C910AB">
        <w:t>application</w:t>
      </w:r>
      <w:r>
        <w:t xml:space="preserve"> form 049687 (form submission date: 20/12/2022); (expected project end date: 30/06/2024). Par</w:t>
      </w:r>
      <w:r w:rsidR="006B0649">
        <w:t>ti</w:t>
      </w:r>
      <w:r>
        <w:t>cipant informa</w:t>
      </w:r>
      <w:r w:rsidR="006B0649">
        <w:t>ti</w:t>
      </w:r>
      <w:r>
        <w:t xml:space="preserve">on sheet 1112405 version 5 (20/12/2022). </w:t>
      </w:r>
      <w:r w:rsidR="006B0649">
        <w:t>Participant</w:t>
      </w:r>
      <w:r>
        <w:t xml:space="preserve"> consent form 1112406 version 4 (20/12/2022). </w:t>
      </w:r>
    </w:p>
    <w:p w14:paraId="3AE6967F" w14:textId="1868BA82" w:rsidR="001111D5" w:rsidRDefault="001111D5">
      <w:pPr>
        <w:spacing w:after="152"/>
        <w:ind w:left="-5"/>
      </w:pPr>
      <w:r>
        <w:t>If during the course of the project you need t</w:t>
      </w:r>
      <w:hyperlink r:id="rId511">
        <w:r>
          <w:t xml:space="preserve">o </w:t>
        </w:r>
      </w:hyperlink>
      <w:r w:rsidR="00B12497" w:rsidRPr="007205AD">
        <w:rPr>
          <w:color w:val="0070C0"/>
        </w:rPr>
        <w:t>deviate significantly from the above-approved documentation</w:t>
      </w:r>
      <w:r w:rsidR="007205AD" w:rsidRPr="007205AD">
        <w:rPr>
          <w:color w:val="0070C0"/>
        </w:rPr>
        <w:t xml:space="preserve"> </w:t>
      </w:r>
      <w:r w:rsidR="007205AD">
        <w:t xml:space="preserve">please </w:t>
      </w:r>
      <w:r>
        <w:t>inform me since wri</w:t>
      </w:r>
      <w:r w:rsidR="006B0649">
        <w:t>tt</w:t>
      </w:r>
      <w:r>
        <w:t xml:space="preserve">en approval will be required. </w:t>
      </w:r>
    </w:p>
    <w:p w14:paraId="3B284800" w14:textId="19BDBF1B" w:rsidR="001111D5" w:rsidRDefault="001111D5">
      <w:pPr>
        <w:spacing w:after="149"/>
        <w:ind w:left="-5"/>
      </w:pPr>
      <w:r>
        <w:t xml:space="preserve">Your </w:t>
      </w:r>
      <w:r w:rsidR="00CA1BEA">
        <w:t>responsibilities</w:t>
      </w:r>
      <w:r>
        <w:t xml:space="preserve"> in delivering this research project are set out at the end of this le</w:t>
      </w:r>
      <w:r w:rsidR="00CA1BEA">
        <w:t>tt</w:t>
      </w:r>
      <w:r>
        <w:t xml:space="preserve">er. </w:t>
      </w:r>
    </w:p>
    <w:p w14:paraId="135EF4E1" w14:textId="77777777" w:rsidR="001111D5" w:rsidRDefault="001111D5">
      <w:pPr>
        <w:spacing w:after="542"/>
        <w:ind w:left="-5"/>
      </w:pPr>
      <w:r>
        <w:t xml:space="preserve">Yours sincerely  </w:t>
      </w:r>
    </w:p>
    <w:p w14:paraId="3CE51D27" w14:textId="4C0B46B3" w:rsidR="001111D5" w:rsidRDefault="001111D5">
      <w:pPr>
        <w:ind w:left="-5"/>
      </w:pPr>
      <w:r>
        <w:t>Eve Aus</w:t>
      </w:r>
      <w:r w:rsidR="00CA1BEA">
        <w:t>ti</w:t>
      </w:r>
      <w:r>
        <w:t xml:space="preserve">n  </w:t>
      </w:r>
    </w:p>
    <w:p w14:paraId="3C9C2A99" w14:textId="77777777" w:rsidR="001111D5" w:rsidRDefault="001111D5">
      <w:pPr>
        <w:ind w:left="-5"/>
      </w:pPr>
      <w:r>
        <w:t xml:space="preserve">Ethics Admin  </w:t>
      </w:r>
    </w:p>
    <w:p w14:paraId="4E1B09B8" w14:textId="77777777" w:rsidR="001111D5" w:rsidRDefault="001111D5">
      <w:pPr>
        <w:spacing w:after="149"/>
        <w:ind w:left="-5"/>
      </w:pPr>
      <w:r>
        <w:t xml:space="preserve">Faculty of Social Sciences </w:t>
      </w:r>
    </w:p>
    <w:p w14:paraId="7E50C563" w14:textId="34FA9489" w:rsidR="001111D5" w:rsidRDefault="001111D5">
      <w:pPr>
        <w:ind w:left="-5"/>
      </w:pPr>
    </w:p>
    <w:p w14:paraId="791EFDC6" w14:textId="77777777" w:rsidR="001E57E3" w:rsidRDefault="00CF2CD1">
      <w:pPr>
        <w:ind w:left="-5"/>
      </w:pPr>
      <w:r w:rsidRPr="00CF2CD1">
        <w:t xml:space="preserve">Please note the following responsibilities of the researcher in delivering the research project: </w:t>
      </w:r>
    </w:p>
    <w:p w14:paraId="6ADB4F50" w14:textId="77777777" w:rsidR="001E57E3" w:rsidRPr="00DC3064" w:rsidRDefault="00CF2CD1">
      <w:pPr>
        <w:ind w:left="-5"/>
        <w:rPr>
          <w:color w:val="0070C0"/>
          <w:u w:val="single"/>
        </w:rPr>
      </w:pPr>
      <w:r w:rsidRPr="00CF2CD1">
        <w:lastRenderedPageBreak/>
        <w:t xml:space="preserve">The project must abide by the University's Research Ethics Policy: </w:t>
      </w:r>
      <w:r w:rsidRPr="00DC3064">
        <w:rPr>
          <w:color w:val="0070C0"/>
          <w:u w:val="single"/>
        </w:rPr>
        <w:t xml:space="preserve">https://www.sheffield.ac.uk/research-services/ethics-integrity/policy </w:t>
      </w:r>
    </w:p>
    <w:p w14:paraId="666E52C8" w14:textId="6018BF62" w:rsidR="001E57E3" w:rsidRDefault="00CF2CD1">
      <w:pPr>
        <w:ind w:left="-5"/>
        <w:rPr>
          <w:color w:val="0070C0"/>
        </w:rPr>
      </w:pPr>
      <w:r w:rsidRPr="00CF2CD1">
        <w:t xml:space="preserve">The project must abide by the University's Good Research &amp; Innovation Practices Policy: </w:t>
      </w:r>
      <w:hyperlink r:id="rId512" w:history="1">
        <w:r w:rsidR="001E57E3" w:rsidRPr="008D1711">
          <w:rPr>
            <w:rStyle w:val="Hyperlink"/>
          </w:rPr>
          <w:t>https://www.sheffield.ac.uk/polopoly_fs/1.671066!/file/GRIPPolicy.pdf</w:t>
        </w:r>
      </w:hyperlink>
      <w:r w:rsidRPr="001E57E3">
        <w:rPr>
          <w:color w:val="0070C0"/>
        </w:rPr>
        <w:t xml:space="preserve"> </w:t>
      </w:r>
    </w:p>
    <w:p w14:paraId="0343CEBC" w14:textId="77777777" w:rsidR="00E63716" w:rsidRDefault="00CF2CD1">
      <w:pPr>
        <w:ind w:left="-5"/>
      </w:pPr>
      <w:r w:rsidRPr="00CF2CD1">
        <w:t xml:space="preserve">The researcher must inform their supervisor (in the case of a student) or Ethics Admin (in the case of a member of staff) of any significant changes to the project or the approved documentation. </w:t>
      </w:r>
    </w:p>
    <w:p w14:paraId="5D61883B" w14:textId="77777777" w:rsidR="00E63716" w:rsidRDefault="00CF2CD1">
      <w:pPr>
        <w:ind w:left="-5"/>
      </w:pPr>
      <w:r w:rsidRPr="00CF2CD1">
        <w:t xml:space="preserve">The researcher must comply with the requirements of the law and relevant guidelines relating to security and confidentiality of personal data. </w:t>
      </w:r>
    </w:p>
    <w:p w14:paraId="7D64A9DC" w14:textId="5B5EC2BC" w:rsidR="00CF2CD1" w:rsidRDefault="00CF2CD1">
      <w:pPr>
        <w:ind w:left="-5"/>
      </w:pPr>
      <w:r w:rsidRPr="00CF2CD1">
        <w:t>The researcher is responsible for effectively managing the data collected both during and after the end of the project in line with best practice, and any relevant legislative, regulatory or contractual requirements.</w:t>
      </w:r>
    </w:p>
    <w:p w14:paraId="027C53ED" w14:textId="77777777" w:rsidR="00CD06B3" w:rsidRDefault="00CD06B3" w:rsidP="00CD1C12">
      <w:pPr>
        <w:rPr>
          <w:sz w:val="24"/>
          <w:szCs w:val="24"/>
        </w:rPr>
      </w:pPr>
    </w:p>
    <w:p w14:paraId="4ED75204" w14:textId="77777777" w:rsidR="00CD06B3" w:rsidRDefault="00CD06B3" w:rsidP="00CD1C12">
      <w:pPr>
        <w:rPr>
          <w:sz w:val="24"/>
          <w:szCs w:val="24"/>
        </w:rPr>
      </w:pPr>
    </w:p>
    <w:p w14:paraId="7925093F" w14:textId="77777777" w:rsidR="00CD06B3" w:rsidRDefault="00CD06B3" w:rsidP="00CD1C12">
      <w:pPr>
        <w:rPr>
          <w:sz w:val="24"/>
          <w:szCs w:val="24"/>
        </w:rPr>
      </w:pPr>
    </w:p>
    <w:p w14:paraId="702A0AF7" w14:textId="77777777" w:rsidR="00CD06B3" w:rsidRDefault="00CD06B3" w:rsidP="00CD1C12">
      <w:pPr>
        <w:rPr>
          <w:sz w:val="24"/>
          <w:szCs w:val="24"/>
        </w:rPr>
      </w:pPr>
    </w:p>
    <w:p w14:paraId="79DB2C03" w14:textId="77777777" w:rsidR="00CD06B3" w:rsidRDefault="00CD06B3" w:rsidP="00CD1C12">
      <w:pPr>
        <w:rPr>
          <w:sz w:val="24"/>
          <w:szCs w:val="24"/>
        </w:rPr>
      </w:pPr>
    </w:p>
    <w:p w14:paraId="3EB2812A" w14:textId="77777777" w:rsidR="00CD06B3" w:rsidRDefault="00CD06B3" w:rsidP="00CD1C12">
      <w:pPr>
        <w:rPr>
          <w:sz w:val="24"/>
          <w:szCs w:val="24"/>
        </w:rPr>
      </w:pPr>
    </w:p>
    <w:p w14:paraId="089A0545" w14:textId="77777777" w:rsidR="00CD06B3" w:rsidRDefault="00CD06B3" w:rsidP="00CD1C12">
      <w:pPr>
        <w:rPr>
          <w:sz w:val="24"/>
          <w:szCs w:val="24"/>
        </w:rPr>
      </w:pPr>
    </w:p>
    <w:p w14:paraId="0FA99486" w14:textId="77777777" w:rsidR="00CD06B3" w:rsidRDefault="00CD06B3" w:rsidP="00CD1C12">
      <w:pPr>
        <w:rPr>
          <w:sz w:val="24"/>
          <w:szCs w:val="24"/>
        </w:rPr>
      </w:pPr>
    </w:p>
    <w:p w14:paraId="40ACAE54" w14:textId="77777777" w:rsidR="00CD06B3" w:rsidRDefault="00CD06B3" w:rsidP="00CD1C12">
      <w:pPr>
        <w:rPr>
          <w:sz w:val="24"/>
          <w:szCs w:val="24"/>
        </w:rPr>
      </w:pPr>
    </w:p>
    <w:p w14:paraId="51057717" w14:textId="77777777" w:rsidR="00CD06B3" w:rsidRDefault="00CD06B3" w:rsidP="00CD1C12">
      <w:pPr>
        <w:rPr>
          <w:sz w:val="24"/>
          <w:szCs w:val="24"/>
        </w:rPr>
      </w:pPr>
    </w:p>
    <w:p w14:paraId="4C44C5A0" w14:textId="77777777" w:rsidR="00CD06B3" w:rsidRDefault="00CD06B3" w:rsidP="00CD1C12">
      <w:pPr>
        <w:rPr>
          <w:sz w:val="24"/>
          <w:szCs w:val="24"/>
        </w:rPr>
      </w:pPr>
    </w:p>
    <w:p w14:paraId="137650D5" w14:textId="77777777" w:rsidR="00CD06B3" w:rsidRDefault="00CD06B3" w:rsidP="00CD1C12">
      <w:pPr>
        <w:rPr>
          <w:sz w:val="24"/>
          <w:szCs w:val="24"/>
        </w:rPr>
      </w:pPr>
    </w:p>
    <w:p w14:paraId="0AA831CC" w14:textId="77777777" w:rsidR="00B356A4" w:rsidRDefault="00B356A4" w:rsidP="00CD1C12">
      <w:pPr>
        <w:rPr>
          <w:sz w:val="24"/>
          <w:szCs w:val="24"/>
        </w:rPr>
      </w:pPr>
    </w:p>
    <w:p w14:paraId="2EFE892C" w14:textId="77777777" w:rsidR="00084362" w:rsidRDefault="00084362" w:rsidP="00AD4912">
      <w:pPr>
        <w:ind w:left="1440" w:firstLine="720"/>
        <w:rPr>
          <w:sz w:val="24"/>
          <w:szCs w:val="24"/>
        </w:rPr>
      </w:pPr>
    </w:p>
    <w:p w14:paraId="5A93FEBF" w14:textId="77777777" w:rsidR="00084362" w:rsidRDefault="00084362" w:rsidP="00AD4912">
      <w:pPr>
        <w:ind w:left="1440" w:firstLine="720"/>
        <w:rPr>
          <w:sz w:val="24"/>
          <w:szCs w:val="24"/>
        </w:rPr>
      </w:pPr>
    </w:p>
    <w:p w14:paraId="02D26C10" w14:textId="77777777" w:rsidR="002F1CA2" w:rsidRDefault="002F1CA2" w:rsidP="00187F6D">
      <w:pPr>
        <w:rPr>
          <w:sz w:val="24"/>
          <w:szCs w:val="24"/>
        </w:rPr>
      </w:pPr>
    </w:p>
    <w:p w14:paraId="4FD8851A" w14:textId="77777777" w:rsidR="002F1CA2" w:rsidRDefault="002F1CA2" w:rsidP="00AD4912">
      <w:pPr>
        <w:ind w:left="1440" w:firstLine="720"/>
        <w:rPr>
          <w:sz w:val="24"/>
          <w:szCs w:val="24"/>
        </w:rPr>
      </w:pPr>
    </w:p>
    <w:p w14:paraId="7C144980" w14:textId="77777777" w:rsidR="00C36E40" w:rsidRDefault="00C36E40" w:rsidP="00AD4912">
      <w:pPr>
        <w:ind w:left="1440" w:firstLine="720"/>
        <w:rPr>
          <w:b/>
          <w:bCs/>
          <w:sz w:val="24"/>
          <w:szCs w:val="24"/>
        </w:rPr>
      </w:pPr>
    </w:p>
    <w:p w14:paraId="1B843ADC" w14:textId="77777777" w:rsidR="00C36E40" w:rsidRDefault="00C36E40" w:rsidP="00AD4912">
      <w:pPr>
        <w:ind w:left="1440" w:firstLine="720"/>
        <w:rPr>
          <w:b/>
          <w:bCs/>
          <w:sz w:val="24"/>
          <w:szCs w:val="24"/>
        </w:rPr>
      </w:pPr>
    </w:p>
    <w:p w14:paraId="46842C81" w14:textId="77777777" w:rsidR="00C36E40" w:rsidRDefault="00C36E40" w:rsidP="00AD4912">
      <w:pPr>
        <w:ind w:left="1440" w:firstLine="720"/>
        <w:rPr>
          <w:b/>
          <w:bCs/>
          <w:sz w:val="24"/>
          <w:szCs w:val="24"/>
        </w:rPr>
      </w:pPr>
    </w:p>
    <w:p w14:paraId="7F661562" w14:textId="3AD2DD65" w:rsidR="00B356A4" w:rsidRPr="001F39D9" w:rsidRDefault="000863EF" w:rsidP="00AD4912">
      <w:pPr>
        <w:ind w:left="1440" w:firstLine="720"/>
        <w:rPr>
          <w:b/>
          <w:bCs/>
          <w:sz w:val="24"/>
          <w:szCs w:val="24"/>
        </w:rPr>
      </w:pPr>
      <w:r w:rsidRPr="001F39D9">
        <w:rPr>
          <w:b/>
          <w:bCs/>
          <w:sz w:val="24"/>
          <w:szCs w:val="24"/>
        </w:rPr>
        <w:lastRenderedPageBreak/>
        <w:t xml:space="preserve">Appendix </w:t>
      </w:r>
      <w:r w:rsidR="005044FA" w:rsidRPr="001F39D9">
        <w:rPr>
          <w:b/>
          <w:bCs/>
          <w:sz w:val="24"/>
          <w:szCs w:val="24"/>
        </w:rPr>
        <w:t>H</w:t>
      </w:r>
      <w:r w:rsidRPr="001F39D9">
        <w:rPr>
          <w:b/>
          <w:bCs/>
          <w:sz w:val="24"/>
          <w:szCs w:val="24"/>
        </w:rPr>
        <w:t xml:space="preserve">: </w:t>
      </w:r>
      <w:bookmarkStart w:id="113" w:name="_Hlk216029621"/>
      <w:r w:rsidR="00AD4912" w:rsidRPr="001F39D9">
        <w:rPr>
          <w:b/>
          <w:bCs/>
          <w:sz w:val="24"/>
          <w:szCs w:val="24"/>
        </w:rPr>
        <w:t>Winnicott’s models of holding</w:t>
      </w:r>
      <w:bookmarkEnd w:id="113"/>
    </w:p>
    <w:p w14:paraId="2DA72C1F" w14:textId="61A0E1ED" w:rsidR="00B356A4" w:rsidRDefault="0021119F">
      <w:r>
        <w:rPr>
          <w:noProof/>
        </w:rPr>
        <w:drawing>
          <wp:inline distT="0" distB="0" distL="0" distR="0" wp14:anchorId="740818D6" wp14:editId="75ADBE7A">
            <wp:extent cx="5486400" cy="3200400"/>
            <wp:effectExtent l="0" t="0" r="0" b="19050"/>
            <wp:docPr id="20589706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3" r:lo="rId514" r:qs="rId515" r:cs="rId516"/>
              </a:graphicData>
            </a:graphic>
          </wp:inline>
        </w:drawing>
      </w:r>
      <w:r w:rsidR="00B356A4" w:rsidRPr="004165AE">
        <w:rPr>
          <w:color w:val="EE0000"/>
        </w:rPr>
        <w:t>A.</w:t>
      </w:r>
    </w:p>
    <w:p w14:paraId="015469F2" w14:textId="4D745022" w:rsidR="00B356A4" w:rsidRDefault="00B356A4">
      <w:r>
        <w:rPr>
          <w:noProof/>
        </w:rPr>
        <w:drawing>
          <wp:inline distT="0" distB="0" distL="0" distR="0" wp14:anchorId="302A2806" wp14:editId="05228B4B">
            <wp:extent cx="5486400" cy="3309257"/>
            <wp:effectExtent l="0" t="0" r="0" b="24765"/>
            <wp:docPr id="182576866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8" r:lo="rId519" r:qs="rId520" r:cs="rId521"/>
              </a:graphicData>
            </a:graphic>
          </wp:inline>
        </w:drawing>
      </w:r>
      <w:r w:rsidR="004165AE" w:rsidRPr="007D1073">
        <w:rPr>
          <w:color w:val="EE0000"/>
        </w:rPr>
        <w:t>B</w:t>
      </w:r>
      <w:r w:rsidR="007D1073" w:rsidRPr="007D1073">
        <w:rPr>
          <w:color w:val="EE0000"/>
        </w:rPr>
        <w:t>.</w:t>
      </w:r>
    </w:p>
    <w:p w14:paraId="7574AD53" w14:textId="099E9ED3" w:rsidR="00B356A4" w:rsidRDefault="00B356A4">
      <w:r>
        <w:t>B.</w:t>
      </w:r>
    </w:p>
    <w:p w14:paraId="27ECD9B0" w14:textId="52D82CF7" w:rsidR="00B356A4" w:rsidRPr="00CE6EB6" w:rsidRDefault="00B356A4" w:rsidP="005044FA">
      <w:pPr>
        <w:ind w:left="720" w:firstLine="720"/>
        <w:rPr>
          <w:i/>
          <w:iCs/>
        </w:rPr>
      </w:pPr>
      <w:r w:rsidRPr="00CE6EB6">
        <w:rPr>
          <w:i/>
          <w:iCs/>
        </w:rPr>
        <w:t xml:space="preserve">Appendix </w:t>
      </w:r>
      <w:r w:rsidR="005044FA" w:rsidRPr="00CE6EB6">
        <w:rPr>
          <w:i/>
          <w:iCs/>
        </w:rPr>
        <w:t>H:</w:t>
      </w:r>
      <w:r w:rsidRPr="00CE6EB6">
        <w:rPr>
          <w:i/>
          <w:iCs/>
        </w:rPr>
        <w:t xml:space="preserve"> Winnicott’s model of holding.</w:t>
      </w:r>
    </w:p>
    <w:p w14:paraId="4467F886" w14:textId="77777777" w:rsidR="00B356A4" w:rsidRDefault="00B356A4"/>
    <w:p w14:paraId="63B6005F" w14:textId="77777777" w:rsidR="00B356A4" w:rsidRDefault="00B356A4"/>
    <w:p w14:paraId="4BE5E6D7" w14:textId="77777777" w:rsidR="00A23DB7" w:rsidRDefault="00B356A4" w:rsidP="00EB28B4">
      <w:r>
        <w:t xml:space="preserve">To the research participant: Could you use this model to reflect on what holds you as a teacher </w:t>
      </w:r>
      <w:r w:rsidRPr="007D1073">
        <w:rPr>
          <w:color w:val="EE0000"/>
        </w:rPr>
        <w:t>(B)</w:t>
      </w:r>
      <w:r w:rsidRPr="007D1073">
        <w:t>?</w:t>
      </w:r>
      <w:r w:rsidRPr="007D1073">
        <w:rPr>
          <w:color w:val="EE0000"/>
        </w:rPr>
        <w:t xml:space="preserve"> </w:t>
      </w:r>
      <w:r>
        <w:t>Suzanne Schultz</w:t>
      </w:r>
    </w:p>
    <w:p w14:paraId="5454FB15" w14:textId="55B640EF" w:rsidR="00F933C5" w:rsidRPr="00EB28B4" w:rsidRDefault="00F933C5" w:rsidP="00A23DB7">
      <w:pPr>
        <w:ind w:left="1440" w:firstLine="720"/>
      </w:pPr>
      <w:r w:rsidRPr="00CE6EB6">
        <w:rPr>
          <w:b/>
          <w:bCs/>
          <w:sz w:val="24"/>
          <w:szCs w:val="24"/>
        </w:rPr>
        <w:lastRenderedPageBreak/>
        <w:t xml:space="preserve">Appendix </w:t>
      </w:r>
      <w:r w:rsidR="005044FA" w:rsidRPr="00CE6EB6">
        <w:rPr>
          <w:b/>
          <w:bCs/>
          <w:sz w:val="24"/>
          <w:szCs w:val="24"/>
        </w:rPr>
        <w:t>I</w:t>
      </w:r>
      <w:r w:rsidRPr="00CE6EB6">
        <w:rPr>
          <w:b/>
          <w:bCs/>
          <w:sz w:val="24"/>
          <w:szCs w:val="24"/>
        </w:rPr>
        <w:t xml:space="preserve">: </w:t>
      </w:r>
      <w:bookmarkStart w:id="114" w:name="_Hlk216029952"/>
      <w:r w:rsidRPr="00CE6EB6">
        <w:rPr>
          <w:b/>
          <w:bCs/>
          <w:sz w:val="24"/>
          <w:szCs w:val="24"/>
        </w:rPr>
        <w:t xml:space="preserve">List of Resources for </w:t>
      </w:r>
      <w:r w:rsidR="0003226E" w:rsidRPr="00CE6EB6">
        <w:rPr>
          <w:b/>
          <w:bCs/>
          <w:sz w:val="24"/>
          <w:szCs w:val="24"/>
        </w:rPr>
        <w:t>Participants</w:t>
      </w:r>
      <w:bookmarkEnd w:id="114"/>
    </w:p>
    <w:p w14:paraId="147502FE" w14:textId="1697B059" w:rsidR="00F933C5" w:rsidRDefault="00F933C5">
      <w:pPr>
        <w:rPr>
          <w:sz w:val="24"/>
          <w:szCs w:val="24"/>
        </w:rPr>
      </w:pPr>
      <w:r>
        <w:rPr>
          <w:sz w:val="24"/>
          <w:szCs w:val="24"/>
        </w:rPr>
        <w:t xml:space="preserve">Out of the Shadows: Shining a light on HE teachers’ experiences of emotion and reflective practice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Suzanne Schultz</w:t>
      </w:r>
    </w:p>
    <w:p w14:paraId="68008D1B" w14:textId="4FA70639" w:rsidR="00F933C5" w:rsidRPr="00662F25" w:rsidRDefault="00184A22">
      <w:pPr>
        <w:rPr>
          <w:color w:val="C00000"/>
          <w:sz w:val="24"/>
          <w:szCs w:val="24"/>
        </w:rPr>
      </w:pPr>
      <w:r w:rsidRPr="00662F25">
        <w:rPr>
          <w:color w:val="C00000"/>
          <w:sz w:val="24"/>
          <w:szCs w:val="24"/>
        </w:rPr>
        <w:t xml:space="preserve">(As geographic locations were </w:t>
      </w:r>
      <w:r w:rsidR="00546681" w:rsidRPr="00662F25">
        <w:rPr>
          <w:color w:val="C00000"/>
          <w:sz w:val="24"/>
          <w:szCs w:val="24"/>
        </w:rPr>
        <w:t>anonymised</w:t>
      </w:r>
      <w:r w:rsidRPr="00662F25">
        <w:rPr>
          <w:color w:val="C00000"/>
          <w:sz w:val="24"/>
          <w:szCs w:val="24"/>
        </w:rPr>
        <w:t xml:space="preserve">, alongside the national </w:t>
      </w:r>
      <w:r w:rsidR="00546681" w:rsidRPr="00662F25">
        <w:rPr>
          <w:color w:val="C00000"/>
          <w:sz w:val="24"/>
          <w:szCs w:val="24"/>
        </w:rPr>
        <w:t>helplines</w:t>
      </w:r>
      <w:r w:rsidRPr="00662F25">
        <w:rPr>
          <w:color w:val="C00000"/>
          <w:sz w:val="24"/>
          <w:szCs w:val="24"/>
        </w:rPr>
        <w:t xml:space="preserve">/support services cited, a number of location specific counselling and/or support services were </w:t>
      </w:r>
      <w:r w:rsidR="007E1A6A" w:rsidRPr="00662F25">
        <w:rPr>
          <w:color w:val="C00000"/>
          <w:sz w:val="24"/>
          <w:szCs w:val="24"/>
        </w:rPr>
        <w:t xml:space="preserve">provided which were tailored to the location. These </w:t>
      </w:r>
      <w:r w:rsidR="00546681" w:rsidRPr="00662F25">
        <w:rPr>
          <w:color w:val="C00000"/>
          <w:sz w:val="24"/>
          <w:szCs w:val="24"/>
        </w:rPr>
        <w:t>have been removed in the interests of confidentiality)</w:t>
      </w:r>
    </w:p>
    <w:p w14:paraId="783245E8" w14:textId="77777777" w:rsidR="00F933C5" w:rsidRDefault="00F933C5">
      <w:pPr>
        <w:rPr>
          <w:sz w:val="24"/>
          <w:szCs w:val="24"/>
        </w:rPr>
      </w:pPr>
      <w:r>
        <w:rPr>
          <w:sz w:val="24"/>
          <w:szCs w:val="24"/>
        </w:rPr>
        <w:t>List of resources for emotional support</w:t>
      </w:r>
    </w:p>
    <w:p w14:paraId="3BB0D436" w14:textId="77777777" w:rsidR="00F933C5" w:rsidRDefault="00F933C5">
      <w:pPr>
        <w:rPr>
          <w:sz w:val="24"/>
          <w:szCs w:val="24"/>
        </w:rPr>
      </w:pPr>
    </w:p>
    <w:p w14:paraId="09C9EA12" w14:textId="77777777" w:rsidR="00F933C5" w:rsidRDefault="00F933C5">
      <w:pPr>
        <w:rPr>
          <w:sz w:val="24"/>
          <w:szCs w:val="24"/>
        </w:rPr>
      </w:pPr>
      <w:r>
        <w:rPr>
          <w:sz w:val="24"/>
          <w:szCs w:val="24"/>
        </w:rPr>
        <w:t>Mind helpline: 0300 123 3393</w:t>
      </w:r>
    </w:p>
    <w:p w14:paraId="22256ED6" w14:textId="7A4E9ED1" w:rsidR="00F933C5" w:rsidRDefault="00F933C5">
      <w:pPr>
        <w:rPr>
          <w:sz w:val="24"/>
          <w:szCs w:val="24"/>
        </w:rPr>
      </w:pPr>
      <w:r>
        <w:rPr>
          <w:sz w:val="24"/>
          <w:szCs w:val="24"/>
        </w:rPr>
        <w:t>(Monday</w:t>
      </w:r>
      <w:r w:rsidR="005E0C25">
        <w:rPr>
          <w:sz w:val="24"/>
          <w:szCs w:val="24"/>
        </w:rPr>
        <w:t xml:space="preserve"> –</w:t>
      </w:r>
      <w:r>
        <w:rPr>
          <w:sz w:val="24"/>
          <w:szCs w:val="24"/>
        </w:rPr>
        <w:t xml:space="preserve"> Friday</w:t>
      </w:r>
      <w:r w:rsidR="005E0C25">
        <w:rPr>
          <w:sz w:val="24"/>
          <w:szCs w:val="24"/>
        </w:rPr>
        <w:t xml:space="preserve">: </w:t>
      </w:r>
      <w:r>
        <w:rPr>
          <w:sz w:val="24"/>
          <w:szCs w:val="24"/>
        </w:rPr>
        <w:t xml:space="preserve"> 9am</w:t>
      </w:r>
      <w:r w:rsidR="005E0C25">
        <w:rPr>
          <w:sz w:val="24"/>
          <w:szCs w:val="24"/>
        </w:rPr>
        <w:t xml:space="preserve"> </w:t>
      </w:r>
      <w:r>
        <w:rPr>
          <w:sz w:val="24"/>
          <w:szCs w:val="24"/>
        </w:rPr>
        <w:t>-</w:t>
      </w:r>
      <w:r w:rsidR="005E0C25">
        <w:rPr>
          <w:sz w:val="24"/>
          <w:szCs w:val="24"/>
        </w:rPr>
        <w:t xml:space="preserve"> </w:t>
      </w:r>
      <w:r>
        <w:rPr>
          <w:sz w:val="24"/>
          <w:szCs w:val="24"/>
        </w:rPr>
        <w:t>6pm)</w:t>
      </w:r>
    </w:p>
    <w:p w14:paraId="1119C75C" w14:textId="77777777" w:rsidR="00F933C5" w:rsidRDefault="00F933C5">
      <w:pPr>
        <w:rPr>
          <w:sz w:val="24"/>
          <w:szCs w:val="24"/>
        </w:rPr>
      </w:pPr>
    </w:p>
    <w:p w14:paraId="2501D011" w14:textId="77777777" w:rsidR="00F933C5" w:rsidRDefault="00F933C5">
      <w:pPr>
        <w:rPr>
          <w:sz w:val="24"/>
          <w:szCs w:val="24"/>
        </w:rPr>
      </w:pPr>
      <w:r>
        <w:rPr>
          <w:sz w:val="24"/>
          <w:szCs w:val="24"/>
        </w:rPr>
        <w:t>Samaritans: 116 123 (Free)</w:t>
      </w:r>
    </w:p>
    <w:p w14:paraId="5197E621" w14:textId="77777777" w:rsidR="00F933C5" w:rsidRDefault="00F933C5">
      <w:pPr>
        <w:rPr>
          <w:sz w:val="24"/>
          <w:szCs w:val="24"/>
        </w:rPr>
      </w:pPr>
    </w:p>
    <w:p w14:paraId="4B64648B" w14:textId="77777777" w:rsidR="00F933C5" w:rsidRDefault="00F933C5">
      <w:pPr>
        <w:rPr>
          <w:sz w:val="24"/>
          <w:szCs w:val="24"/>
        </w:rPr>
      </w:pPr>
      <w:r>
        <w:rPr>
          <w:sz w:val="24"/>
          <w:szCs w:val="24"/>
        </w:rPr>
        <w:t>Campaign Against Living Miserably: 0800 58 58 58</w:t>
      </w:r>
    </w:p>
    <w:p w14:paraId="6571F931" w14:textId="77777777" w:rsidR="00F933C5" w:rsidRDefault="00F933C5">
      <w:pPr>
        <w:rPr>
          <w:sz w:val="24"/>
          <w:szCs w:val="24"/>
        </w:rPr>
      </w:pPr>
    </w:p>
    <w:p w14:paraId="6071BEB1" w14:textId="77777777" w:rsidR="00F933C5" w:rsidRDefault="00F933C5">
      <w:pPr>
        <w:rPr>
          <w:sz w:val="24"/>
          <w:szCs w:val="24"/>
        </w:rPr>
      </w:pPr>
      <w:r>
        <w:rPr>
          <w:sz w:val="24"/>
          <w:szCs w:val="24"/>
        </w:rPr>
        <w:t>Rethink: 0300 50000 927</w:t>
      </w:r>
    </w:p>
    <w:p w14:paraId="06AD69BD" w14:textId="77777777" w:rsidR="00F933C5" w:rsidRDefault="00F933C5">
      <w:pPr>
        <w:rPr>
          <w:sz w:val="24"/>
          <w:szCs w:val="24"/>
        </w:rPr>
      </w:pPr>
    </w:p>
    <w:p w14:paraId="45BE3E8B" w14:textId="77777777" w:rsidR="00F933C5" w:rsidRDefault="00F933C5">
      <w:pPr>
        <w:rPr>
          <w:sz w:val="24"/>
          <w:szCs w:val="24"/>
        </w:rPr>
      </w:pPr>
      <w:r>
        <w:rPr>
          <w:sz w:val="24"/>
          <w:szCs w:val="24"/>
        </w:rPr>
        <w:t>Anxiety UK: 03444 775 774</w:t>
      </w:r>
    </w:p>
    <w:p w14:paraId="2E722DE5" w14:textId="70554FA9" w:rsidR="00F933C5" w:rsidRDefault="00F933C5">
      <w:pPr>
        <w:rPr>
          <w:sz w:val="24"/>
          <w:szCs w:val="24"/>
        </w:rPr>
      </w:pPr>
      <w:r>
        <w:rPr>
          <w:sz w:val="24"/>
          <w:szCs w:val="24"/>
        </w:rPr>
        <w:t>Monday</w:t>
      </w:r>
      <w:r w:rsidR="001D76BD">
        <w:rPr>
          <w:sz w:val="24"/>
          <w:szCs w:val="24"/>
        </w:rPr>
        <w:t xml:space="preserve"> </w:t>
      </w:r>
      <w:r w:rsidR="005E0C25">
        <w:rPr>
          <w:sz w:val="24"/>
          <w:szCs w:val="24"/>
        </w:rPr>
        <w:t>-</w:t>
      </w:r>
      <w:r>
        <w:rPr>
          <w:sz w:val="24"/>
          <w:szCs w:val="24"/>
        </w:rPr>
        <w:t xml:space="preserve"> Friday</w:t>
      </w:r>
      <w:r w:rsidR="001D76BD">
        <w:rPr>
          <w:sz w:val="24"/>
          <w:szCs w:val="24"/>
        </w:rPr>
        <w:t xml:space="preserve">: </w:t>
      </w:r>
      <w:r>
        <w:rPr>
          <w:sz w:val="24"/>
          <w:szCs w:val="24"/>
        </w:rPr>
        <w:t>9am</w:t>
      </w:r>
      <w:r w:rsidR="001D76BD">
        <w:rPr>
          <w:sz w:val="24"/>
          <w:szCs w:val="24"/>
        </w:rPr>
        <w:t xml:space="preserve"> </w:t>
      </w:r>
      <w:r>
        <w:rPr>
          <w:sz w:val="24"/>
          <w:szCs w:val="24"/>
        </w:rPr>
        <w:t>-</w:t>
      </w:r>
      <w:r w:rsidR="001D76BD">
        <w:rPr>
          <w:sz w:val="24"/>
          <w:szCs w:val="24"/>
        </w:rPr>
        <w:t xml:space="preserve"> </w:t>
      </w:r>
      <w:r>
        <w:rPr>
          <w:sz w:val="24"/>
          <w:szCs w:val="24"/>
        </w:rPr>
        <w:t>5.30pm</w:t>
      </w:r>
    </w:p>
    <w:p w14:paraId="27D1C272" w14:textId="77777777" w:rsidR="00F933C5" w:rsidRDefault="00F933C5">
      <w:pPr>
        <w:rPr>
          <w:sz w:val="24"/>
          <w:szCs w:val="24"/>
        </w:rPr>
      </w:pPr>
    </w:p>
    <w:p w14:paraId="351D4ECE" w14:textId="77777777" w:rsidR="00F933C5" w:rsidRDefault="00F933C5">
      <w:pPr>
        <w:rPr>
          <w:sz w:val="24"/>
          <w:szCs w:val="24"/>
        </w:rPr>
      </w:pPr>
      <w:r>
        <w:rPr>
          <w:sz w:val="24"/>
          <w:szCs w:val="24"/>
        </w:rPr>
        <w:t xml:space="preserve">The School of Life: www.theschooloflife.com </w:t>
      </w:r>
    </w:p>
    <w:p w14:paraId="38CC1F0F" w14:textId="79043807" w:rsidR="009E0BB8" w:rsidRPr="00412AA8" w:rsidRDefault="00F933C5" w:rsidP="00412AA8">
      <w:pPr>
        <w:rPr>
          <w:sz w:val="24"/>
          <w:szCs w:val="24"/>
        </w:rPr>
      </w:pPr>
      <w:r>
        <w:rPr>
          <w:sz w:val="24"/>
          <w:szCs w:val="24"/>
        </w:rPr>
        <w:t xml:space="preserve">(Individual and </w:t>
      </w:r>
      <w:r w:rsidR="00285D8B">
        <w:rPr>
          <w:sz w:val="24"/>
          <w:szCs w:val="24"/>
        </w:rPr>
        <w:t>couple’s</w:t>
      </w:r>
      <w:r>
        <w:rPr>
          <w:sz w:val="24"/>
          <w:szCs w:val="24"/>
        </w:rPr>
        <w:t xml:space="preserve"> therapy; educational resources and training)</w:t>
      </w:r>
    </w:p>
    <w:p w14:paraId="4798CAEA" w14:textId="77777777" w:rsidR="009E0BB8" w:rsidRDefault="009E0BB8" w:rsidP="001F1BF9">
      <w:pPr>
        <w:rPr>
          <w:rFonts w:ascii="Calibri" w:hAnsi="Calibri" w:cs="Calibri"/>
          <w:sz w:val="24"/>
          <w:szCs w:val="24"/>
        </w:rPr>
      </w:pPr>
    </w:p>
    <w:p w14:paraId="2B5338D2" w14:textId="77777777" w:rsidR="009E0BB8" w:rsidRDefault="009E0BB8" w:rsidP="001F1BF9">
      <w:pPr>
        <w:rPr>
          <w:rFonts w:ascii="Calibri" w:hAnsi="Calibri" w:cs="Calibri"/>
          <w:sz w:val="24"/>
          <w:szCs w:val="24"/>
        </w:rPr>
      </w:pPr>
    </w:p>
    <w:p w14:paraId="7BA2FE76" w14:textId="77777777" w:rsidR="001F1BF9" w:rsidRDefault="001F1BF9" w:rsidP="001F1BF9">
      <w:pPr>
        <w:rPr>
          <w:rFonts w:ascii="Calibri" w:hAnsi="Calibri" w:cs="Calibri"/>
          <w:sz w:val="24"/>
          <w:szCs w:val="24"/>
        </w:rPr>
      </w:pPr>
    </w:p>
    <w:p w14:paraId="49A215B2" w14:textId="77777777" w:rsidR="009E0BB8" w:rsidRDefault="009E0BB8" w:rsidP="009E0BB8">
      <w:pPr>
        <w:ind w:left="720" w:firstLine="720"/>
        <w:rPr>
          <w:rFonts w:ascii="Calibri" w:hAnsi="Calibri" w:cs="Calibri"/>
          <w:sz w:val="24"/>
          <w:szCs w:val="24"/>
        </w:rPr>
      </w:pPr>
    </w:p>
    <w:p w14:paraId="3CA0AA0C" w14:textId="77777777" w:rsidR="008F78F4" w:rsidRDefault="008F78F4" w:rsidP="000C577A">
      <w:pPr>
        <w:rPr>
          <w:rFonts w:ascii="Calibri" w:hAnsi="Calibri" w:cs="Calibri"/>
          <w:sz w:val="24"/>
          <w:szCs w:val="24"/>
        </w:rPr>
      </w:pPr>
    </w:p>
    <w:p w14:paraId="2A2AF8C5" w14:textId="77777777" w:rsidR="008F78F4" w:rsidRDefault="008F78F4" w:rsidP="009E0BB8">
      <w:pPr>
        <w:ind w:left="720" w:firstLine="720"/>
        <w:rPr>
          <w:rFonts w:ascii="Calibri" w:hAnsi="Calibri" w:cs="Calibri"/>
          <w:sz w:val="24"/>
          <w:szCs w:val="24"/>
        </w:rPr>
      </w:pPr>
    </w:p>
    <w:p w14:paraId="15A98F3C" w14:textId="77777777" w:rsidR="00205BB2" w:rsidRDefault="00205BB2" w:rsidP="009E0BB8">
      <w:pPr>
        <w:ind w:left="720" w:firstLine="720"/>
        <w:rPr>
          <w:rFonts w:ascii="Calibri" w:hAnsi="Calibri" w:cs="Calibri"/>
          <w:b/>
          <w:bCs/>
          <w:sz w:val="24"/>
          <w:szCs w:val="24"/>
        </w:rPr>
      </w:pPr>
    </w:p>
    <w:p w14:paraId="663ABB9F" w14:textId="13F0BDAF" w:rsidR="00610553" w:rsidRPr="00285D8B" w:rsidRDefault="00610553" w:rsidP="009E0BB8">
      <w:pPr>
        <w:ind w:left="720" w:firstLine="720"/>
        <w:rPr>
          <w:rFonts w:ascii="Calibri" w:hAnsi="Calibri" w:cs="Calibri"/>
          <w:b/>
          <w:bCs/>
          <w:sz w:val="24"/>
          <w:szCs w:val="24"/>
        </w:rPr>
      </w:pPr>
      <w:r w:rsidRPr="00285D8B">
        <w:rPr>
          <w:rFonts w:ascii="Calibri" w:hAnsi="Calibri" w:cs="Calibri"/>
          <w:b/>
          <w:bCs/>
          <w:sz w:val="24"/>
          <w:szCs w:val="24"/>
        </w:rPr>
        <w:lastRenderedPageBreak/>
        <w:t>Appendix</w:t>
      </w:r>
      <w:r w:rsidR="008F78F4" w:rsidRPr="00285D8B">
        <w:rPr>
          <w:rFonts w:ascii="Calibri" w:hAnsi="Calibri" w:cs="Calibri"/>
          <w:b/>
          <w:bCs/>
          <w:sz w:val="24"/>
          <w:szCs w:val="24"/>
        </w:rPr>
        <w:t xml:space="preserve"> J</w:t>
      </w:r>
      <w:r w:rsidRPr="00285D8B">
        <w:rPr>
          <w:rFonts w:ascii="Calibri" w:hAnsi="Calibri" w:cs="Calibri"/>
          <w:b/>
          <w:bCs/>
          <w:sz w:val="24"/>
          <w:szCs w:val="24"/>
        </w:rPr>
        <w:t xml:space="preserve">: </w:t>
      </w:r>
      <w:bookmarkStart w:id="115" w:name="_Hlk216030320"/>
      <w:r w:rsidR="008C3E20" w:rsidRPr="00285D8B">
        <w:rPr>
          <w:rFonts w:ascii="Calibri" w:hAnsi="Calibri" w:cs="Calibri"/>
          <w:b/>
          <w:bCs/>
          <w:sz w:val="24"/>
          <w:szCs w:val="24"/>
        </w:rPr>
        <w:t xml:space="preserve">Stages of </w:t>
      </w:r>
      <w:r w:rsidRPr="00285D8B">
        <w:rPr>
          <w:rFonts w:ascii="Calibri" w:hAnsi="Calibri" w:cs="Calibri"/>
          <w:b/>
          <w:bCs/>
          <w:sz w:val="24"/>
          <w:szCs w:val="24"/>
        </w:rPr>
        <w:t>Braun and Clarke’s Thematic Analysis</w:t>
      </w:r>
      <w:bookmarkEnd w:id="115"/>
    </w:p>
    <w:p w14:paraId="1280E116" w14:textId="77777777" w:rsidR="003A602B" w:rsidRPr="00AF69B7" w:rsidRDefault="003A602B" w:rsidP="009E0BB8">
      <w:pPr>
        <w:ind w:left="720" w:firstLine="720"/>
        <w:rPr>
          <w:rFonts w:ascii="Calibri" w:hAnsi="Calibri" w:cs="Calibri"/>
          <w:sz w:val="24"/>
          <w:szCs w:val="24"/>
        </w:rPr>
      </w:pPr>
    </w:p>
    <w:p w14:paraId="763CB0E7" w14:textId="099B05FF" w:rsidR="00610553" w:rsidRPr="00A017BC" w:rsidRDefault="00A017BC" w:rsidP="003A602B">
      <w:pPr>
        <w:ind w:left="1440" w:firstLine="720"/>
        <w:rPr>
          <w:i/>
          <w:iCs/>
          <w:sz w:val="24"/>
          <w:szCs w:val="24"/>
        </w:rPr>
      </w:pPr>
      <w:r w:rsidRPr="00A017BC">
        <w:rPr>
          <w:i/>
          <w:iCs/>
          <w:sz w:val="24"/>
          <w:szCs w:val="24"/>
        </w:rPr>
        <w:t>Table 21:</w:t>
      </w:r>
      <w:r w:rsidR="00AA499F" w:rsidRPr="00A017BC">
        <w:rPr>
          <w:i/>
          <w:iCs/>
          <w:sz w:val="24"/>
          <w:szCs w:val="24"/>
        </w:rPr>
        <w:t xml:space="preserve"> </w:t>
      </w:r>
      <w:r w:rsidR="003A602B" w:rsidRPr="00A017BC">
        <w:rPr>
          <w:i/>
          <w:iCs/>
          <w:sz w:val="24"/>
          <w:szCs w:val="24"/>
        </w:rPr>
        <w:t>Braun and Clarke’s Thematic Analysis</w:t>
      </w:r>
    </w:p>
    <w:tbl>
      <w:tblPr>
        <w:tblStyle w:val="TableGrid1"/>
        <w:tblW w:w="9044" w:type="dxa"/>
        <w:tblLook w:val="04A0" w:firstRow="1" w:lastRow="0" w:firstColumn="1" w:lastColumn="0" w:noHBand="0" w:noVBand="1"/>
      </w:tblPr>
      <w:tblGrid>
        <w:gridCol w:w="4372"/>
        <w:gridCol w:w="4672"/>
      </w:tblGrid>
      <w:tr w:rsidR="00610553" w:rsidRPr="00AF69B7" w14:paraId="486E616E" w14:textId="77777777" w:rsidTr="008C3E20">
        <w:trPr>
          <w:trHeight w:val="290"/>
        </w:trPr>
        <w:tc>
          <w:tcPr>
            <w:tcW w:w="4372" w:type="dxa"/>
          </w:tcPr>
          <w:p w14:paraId="115B8E93" w14:textId="77777777" w:rsidR="00610553" w:rsidRPr="00AF69B7" w:rsidRDefault="00610553" w:rsidP="00AF69B7">
            <w:pPr>
              <w:rPr>
                <w:rFonts w:ascii="Calibri" w:hAnsi="Calibri" w:cs="Calibri"/>
                <w:b/>
                <w:bCs/>
                <w:sz w:val="24"/>
                <w:szCs w:val="24"/>
              </w:rPr>
            </w:pPr>
            <w:r w:rsidRPr="00AF69B7">
              <w:rPr>
                <w:rFonts w:ascii="Calibri" w:hAnsi="Calibri" w:cs="Calibri"/>
                <w:b/>
                <w:bCs/>
                <w:sz w:val="24"/>
                <w:szCs w:val="24"/>
              </w:rPr>
              <w:t>Phase</w:t>
            </w:r>
            <w:r w:rsidRPr="00AF69B7">
              <w:rPr>
                <w:rFonts w:ascii="Calibri" w:hAnsi="Calibri" w:cs="Calibri"/>
                <w:b/>
                <w:bCs/>
                <w:sz w:val="24"/>
                <w:szCs w:val="24"/>
              </w:rPr>
              <w:tab/>
            </w:r>
            <w:r w:rsidRPr="00AF69B7">
              <w:rPr>
                <w:rFonts w:ascii="Calibri" w:hAnsi="Calibri" w:cs="Calibri"/>
                <w:b/>
                <w:bCs/>
                <w:sz w:val="24"/>
                <w:szCs w:val="24"/>
              </w:rPr>
              <w:tab/>
            </w:r>
            <w:r w:rsidRPr="00AF69B7">
              <w:rPr>
                <w:rFonts w:ascii="Calibri" w:hAnsi="Calibri" w:cs="Calibri"/>
                <w:b/>
                <w:bCs/>
                <w:sz w:val="24"/>
                <w:szCs w:val="24"/>
              </w:rPr>
              <w:tab/>
            </w:r>
            <w:r w:rsidRPr="00AF69B7">
              <w:rPr>
                <w:rFonts w:ascii="Calibri" w:hAnsi="Calibri" w:cs="Calibri"/>
                <w:b/>
                <w:bCs/>
                <w:sz w:val="24"/>
                <w:szCs w:val="24"/>
              </w:rPr>
              <w:tab/>
            </w:r>
            <w:r w:rsidRPr="00AF69B7">
              <w:rPr>
                <w:rFonts w:ascii="Calibri" w:hAnsi="Calibri" w:cs="Calibri"/>
                <w:b/>
                <w:bCs/>
                <w:sz w:val="24"/>
                <w:szCs w:val="24"/>
              </w:rPr>
              <w:tab/>
            </w:r>
          </w:p>
        </w:tc>
        <w:tc>
          <w:tcPr>
            <w:tcW w:w="4672" w:type="dxa"/>
          </w:tcPr>
          <w:p w14:paraId="00794C3D" w14:textId="77777777" w:rsidR="00610553" w:rsidRPr="00AF69B7" w:rsidRDefault="00610553" w:rsidP="00AF69B7">
            <w:pPr>
              <w:rPr>
                <w:rFonts w:ascii="Calibri" w:hAnsi="Calibri" w:cs="Calibri"/>
                <w:b/>
                <w:bCs/>
                <w:sz w:val="24"/>
                <w:szCs w:val="24"/>
              </w:rPr>
            </w:pPr>
            <w:r w:rsidRPr="00AF69B7">
              <w:rPr>
                <w:rFonts w:ascii="Calibri" w:hAnsi="Calibri" w:cs="Calibri"/>
                <w:b/>
                <w:bCs/>
                <w:sz w:val="24"/>
                <w:szCs w:val="24"/>
              </w:rPr>
              <w:t>Description of the process</w:t>
            </w:r>
          </w:p>
        </w:tc>
      </w:tr>
      <w:tr w:rsidR="00610553" w:rsidRPr="00AF69B7" w14:paraId="5E4D80B9" w14:textId="77777777" w:rsidTr="008C3E20">
        <w:trPr>
          <w:trHeight w:val="495"/>
        </w:trPr>
        <w:tc>
          <w:tcPr>
            <w:tcW w:w="4372" w:type="dxa"/>
          </w:tcPr>
          <w:p w14:paraId="4D9C8550" w14:textId="77777777" w:rsidR="00610553" w:rsidRPr="0074619D" w:rsidRDefault="00610553" w:rsidP="00AF69B7">
            <w:pPr>
              <w:rPr>
                <w:rFonts w:ascii="Calibri" w:hAnsi="Calibri" w:cs="Calibri"/>
              </w:rPr>
            </w:pPr>
            <w:r w:rsidRPr="0074619D">
              <w:rPr>
                <w:rFonts w:ascii="Calibri" w:hAnsi="Calibri" w:cs="Calibri"/>
              </w:rPr>
              <w:t>1. Data set familiarisation</w:t>
            </w:r>
          </w:p>
        </w:tc>
        <w:tc>
          <w:tcPr>
            <w:tcW w:w="4672" w:type="dxa"/>
          </w:tcPr>
          <w:p w14:paraId="08B336E4" w14:textId="5FCDA465" w:rsidR="00610553" w:rsidRPr="0074619D" w:rsidRDefault="00610553" w:rsidP="00AF69B7">
            <w:pPr>
              <w:rPr>
                <w:rFonts w:ascii="Calibri" w:hAnsi="Calibri" w:cs="Calibri"/>
              </w:rPr>
            </w:pPr>
            <w:r w:rsidRPr="0074619D">
              <w:rPr>
                <w:rFonts w:ascii="Calibri" w:hAnsi="Calibri" w:cs="Calibri"/>
              </w:rPr>
              <w:t>Transcribing data, reading and re-reading data, noting down initial ideas</w:t>
            </w:r>
          </w:p>
        </w:tc>
      </w:tr>
      <w:tr w:rsidR="00610553" w:rsidRPr="00AF69B7" w14:paraId="15AE1517" w14:textId="77777777" w:rsidTr="008C3E20">
        <w:trPr>
          <w:trHeight w:val="737"/>
        </w:trPr>
        <w:tc>
          <w:tcPr>
            <w:tcW w:w="4372" w:type="dxa"/>
          </w:tcPr>
          <w:p w14:paraId="5E502660" w14:textId="13E4ACFC" w:rsidR="00610553" w:rsidRPr="0074619D" w:rsidRDefault="00610553" w:rsidP="00AF69B7">
            <w:pPr>
              <w:rPr>
                <w:rFonts w:ascii="Calibri" w:hAnsi="Calibri" w:cs="Calibri"/>
              </w:rPr>
            </w:pPr>
            <w:r w:rsidRPr="0074619D">
              <w:rPr>
                <w:rFonts w:ascii="Calibri" w:hAnsi="Calibri" w:cs="Calibri"/>
              </w:rPr>
              <w:t>2. Generating initial codes</w:t>
            </w:r>
          </w:p>
        </w:tc>
        <w:tc>
          <w:tcPr>
            <w:tcW w:w="4672" w:type="dxa"/>
          </w:tcPr>
          <w:p w14:paraId="43DD23AA" w14:textId="6F289CF7" w:rsidR="00610553" w:rsidRPr="0074619D" w:rsidRDefault="00610553" w:rsidP="00AF69B7">
            <w:pPr>
              <w:rPr>
                <w:rFonts w:ascii="Calibri" w:hAnsi="Calibri" w:cs="Calibri"/>
              </w:rPr>
            </w:pPr>
            <w:r w:rsidRPr="0074619D">
              <w:rPr>
                <w:rFonts w:ascii="Calibri" w:hAnsi="Calibri" w:cs="Calibri"/>
              </w:rPr>
              <w:t>Coding interesting features of the data in a systematic fashion across the entire data set, collating data relevant to each code</w:t>
            </w:r>
          </w:p>
        </w:tc>
      </w:tr>
      <w:tr w:rsidR="00610553" w:rsidRPr="00AF69B7" w14:paraId="70B1D4F9" w14:textId="77777777" w:rsidTr="008C3E20">
        <w:trPr>
          <w:trHeight w:val="483"/>
        </w:trPr>
        <w:tc>
          <w:tcPr>
            <w:tcW w:w="4372" w:type="dxa"/>
          </w:tcPr>
          <w:p w14:paraId="526BCF26" w14:textId="46AD47CE" w:rsidR="00610553" w:rsidRPr="0074619D" w:rsidRDefault="00610553" w:rsidP="005E0C25">
            <w:pPr>
              <w:ind w:left="720" w:hanging="720"/>
              <w:rPr>
                <w:rFonts w:ascii="Calibri" w:hAnsi="Calibri" w:cs="Calibri"/>
              </w:rPr>
            </w:pPr>
            <w:r w:rsidRPr="0074619D">
              <w:rPr>
                <w:rFonts w:ascii="Calibri" w:hAnsi="Calibri" w:cs="Calibri"/>
              </w:rPr>
              <w:t>3. Searching for themes-initial theme</w:t>
            </w:r>
            <w:r w:rsidR="00523F29">
              <w:rPr>
                <w:rFonts w:ascii="Calibri" w:hAnsi="Calibri" w:cs="Calibri"/>
              </w:rPr>
              <w:t xml:space="preserve"> </w:t>
            </w:r>
            <w:r w:rsidRPr="0074619D">
              <w:rPr>
                <w:rFonts w:ascii="Calibri" w:hAnsi="Calibri" w:cs="Calibri"/>
              </w:rPr>
              <w:t>generation</w:t>
            </w:r>
          </w:p>
        </w:tc>
        <w:tc>
          <w:tcPr>
            <w:tcW w:w="4672" w:type="dxa"/>
          </w:tcPr>
          <w:p w14:paraId="0CF6BCB3" w14:textId="041AAD9D" w:rsidR="00610553" w:rsidRPr="0074619D" w:rsidRDefault="00610553" w:rsidP="00AF69B7">
            <w:pPr>
              <w:rPr>
                <w:rFonts w:ascii="Calibri" w:hAnsi="Calibri" w:cs="Calibri"/>
              </w:rPr>
            </w:pPr>
            <w:r w:rsidRPr="0074619D">
              <w:rPr>
                <w:rFonts w:ascii="Calibri" w:hAnsi="Calibri" w:cs="Calibri"/>
              </w:rPr>
              <w:t>Collating codes into potential themes, gathering all data relevant to each potential theme</w:t>
            </w:r>
          </w:p>
        </w:tc>
      </w:tr>
      <w:tr w:rsidR="00610553" w:rsidRPr="00AF69B7" w14:paraId="6F4756C1" w14:textId="77777777" w:rsidTr="008C3E20">
        <w:trPr>
          <w:trHeight w:val="737"/>
        </w:trPr>
        <w:tc>
          <w:tcPr>
            <w:tcW w:w="4372" w:type="dxa"/>
          </w:tcPr>
          <w:p w14:paraId="71444C44" w14:textId="46CD0561" w:rsidR="00610553" w:rsidRPr="0074619D" w:rsidRDefault="00610553" w:rsidP="00AF69B7">
            <w:pPr>
              <w:rPr>
                <w:rFonts w:ascii="Calibri" w:hAnsi="Calibri" w:cs="Calibri"/>
              </w:rPr>
            </w:pPr>
            <w:r w:rsidRPr="0074619D">
              <w:rPr>
                <w:rFonts w:ascii="Calibri" w:hAnsi="Calibri" w:cs="Calibri"/>
              </w:rPr>
              <w:t>4. Reviewing and developing the themes</w:t>
            </w:r>
          </w:p>
        </w:tc>
        <w:tc>
          <w:tcPr>
            <w:tcW w:w="4672" w:type="dxa"/>
          </w:tcPr>
          <w:p w14:paraId="642EB7A0" w14:textId="0E831982" w:rsidR="00610553" w:rsidRPr="0074619D" w:rsidRDefault="00610553" w:rsidP="00AF69B7">
            <w:pPr>
              <w:rPr>
                <w:rFonts w:ascii="Calibri" w:hAnsi="Calibri" w:cs="Calibri"/>
              </w:rPr>
            </w:pPr>
            <w:r w:rsidRPr="0074619D">
              <w:rPr>
                <w:rFonts w:ascii="Calibri" w:hAnsi="Calibri" w:cs="Calibri"/>
              </w:rPr>
              <w:t>Checking if the themes work in relation to the coded extracts (level 1) and the entire data set (level 2), generating a thematic ‘map’ of the analysis</w:t>
            </w:r>
          </w:p>
        </w:tc>
      </w:tr>
      <w:tr w:rsidR="00610553" w:rsidRPr="00AF69B7" w14:paraId="38DE1341" w14:textId="77777777" w:rsidTr="008C3E20">
        <w:trPr>
          <w:trHeight w:val="737"/>
        </w:trPr>
        <w:tc>
          <w:tcPr>
            <w:tcW w:w="4372" w:type="dxa"/>
          </w:tcPr>
          <w:p w14:paraId="1ED81DF4" w14:textId="42543F2B" w:rsidR="00610553" w:rsidRPr="0074619D" w:rsidRDefault="00610553" w:rsidP="005E0C25">
            <w:pPr>
              <w:ind w:left="720" w:hanging="720"/>
              <w:rPr>
                <w:rFonts w:ascii="Calibri" w:hAnsi="Calibri" w:cs="Calibri"/>
              </w:rPr>
            </w:pPr>
            <w:r w:rsidRPr="0074619D">
              <w:rPr>
                <w:rFonts w:ascii="Calibri" w:hAnsi="Calibri" w:cs="Calibri"/>
              </w:rPr>
              <w:t>5. Theme defining and refining and a naming of the themes</w:t>
            </w:r>
          </w:p>
        </w:tc>
        <w:tc>
          <w:tcPr>
            <w:tcW w:w="4672" w:type="dxa"/>
          </w:tcPr>
          <w:p w14:paraId="6401EC96" w14:textId="56764FEA" w:rsidR="00610553" w:rsidRPr="0074619D" w:rsidRDefault="00610553" w:rsidP="00AF69B7">
            <w:pPr>
              <w:rPr>
                <w:rFonts w:ascii="Calibri" w:hAnsi="Calibri" w:cs="Calibri"/>
              </w:rPr>
            </w:pPr>
            <w:r w:rsidRPr="0074619D">
              <w:rPr>
                <w:rFonts w:ascii="Calibri" w:hAnsi="Calibri" w:cs="Calibri"/>
              </w:rPr>
              <w:t>Ongoing analysis to refine the specifics of each theme, and the overall story the data tells, generating clear definitions and names for each theme</w:t>
            </w:r>
          </w:p>
        </w:tc>
      </w:tr>
      <w:tr w:rsidR="00610553" w:rsidRPr="00AF69B7" w14:paraId="61F52D2B" w14:textId="77777777" w:rsidTr="0074619D">
        <w:trPr>
          <w:trHeight w:val="2364"/>
        </w:trPr>
        <w:tc>
          <w:tcPr>
            <w:tcW w:w="4372" w:type="dxa"/>
          </w:tcPr>
          <w:p w14:paraId="3A957982" w14:textId="6F104FAD" w:rsidR="00610553" w:rsidRPr="0074619D" w:rsidRDefault="00610553" w:rsidP="00AF69B7">
            <w:pPr>
              <w:rPr>
                <w:rFonts w:ascii="Calibri" w:hAnsi="Calibri" w:cs="Calibri"/>
              </w:rPr>
            </w:pPr>
            <w:r w:rsidRPr="0074619D">
              <w:rPr>
                <w:rFonts w:ascii="Calibri" w:hAnsi="Calibri" w:cs="Calibri"/>
              </w:rPr>
              <w:t>6. The writer and producing of the report</w:t>
            </w:r>
          </w:p>
        </w:tc>
        <w:tc>
          <w:tcPr>
            <w:tcW w:w="4672" w:type="dxa"/>
          </w:tcPr>
          <w:p w14:paraId="1363425A" w14:textId="350821CC" w:rsidR="0074619D" w:rsidRPr="0074619D" w:rsidRDefault="00610553" w:rsidP="00AF69B7">
            <w:pPr>
              <w:rPr>
                <w:rFonts w:ascii="Calibri" w:hAnsi="Calibri" w:cs="Calibri"/>
              </w:rPr>
            </w:pPr>
            <w:r w:rsidRPr="0074619D">
              <w:rPr>
                <w:rFonts w:ascii="Calibri" w:hAnsi="Calibri" w:cs="Calibri"/>
              </w:rPr>
              <w:t xml:space="preserve"> Selection of vivid, compelling extract examples, final analysis of selected extracts, relating back of the analysis to the research question and literature, producing a scholarly report of the analysis</w:t>
            </w:r>
          </w:p>
        </w:tc>
      </w:tr>
    </w:tbl>
    <w:p w14:paraId="15D2A67C" w14:textId="77777777" w:rsidR="00610553" w:rsidRDefault="00610553"/>
    <w:p w14:paraId="21D5A9D3" w14:textId="77777777" w:rsidR="00B356A4" w:rsidRPr="00CD1C12" w:rsidRDefault="00B356A4" w:rsidP="00CD1C12">
      <w:pPr>
        <w:rPr>
          <w:sz w:val="24"/>
          <w:szCs w:val="24"/>
        </w:rPr>
      </w:pPr>
    </w:p>
    <w:p w14:paraId="09530821" w14:textId="77777777" w:rsidR="00594474" w:rsidRDefault="00594474" w:rsidP="00A02C88">
      <w:pPr>
        <w:rPr>
          <w:rFonts w:ascii="Calibri" w:hAnsi="Calibri" w:cs="Calibri"/>
          <w:sz w:val="24"/>
          <w:szCs w:val="24"/>
        </w:rPr>
      </w:pPr>
    </w:p>
    <w:p w14:paraId="31529555" w14:textId="77777777" w:rsidR="008507D7" w:rsidRDefault="008507D7" w:rsidP="00A02C88">
      <w:pPr>
        <w:rPr>
          <w:rFonts w:ascii="Calibri" w:hAnsi="Calibri" w:cs="Calibri"/>
          <w:sz w:val="24"/>
          <w:szCs w:val="24"/>
        </w:rPr>
      </w:pPr>
    </w:p>
    <w:p w14:paraId="1B568D9D" w14:textId="77777777" w:rsidR="008507D7" w:rsidRDefault="008507D7" w:rsidP="00A02C88">
      <w:pPr>
        <w:rPr>
          <w:rFonts w:ascii="Calibri" w:hAnsi="Calibri" w:cs="Calibri"/>
          <w:sz w:val="24"/>
          <w:szCs w:val="24"/>
        </w:rPr>
      </w:pPr>
    </w:p>
    <w:p w14:paraId="6BF56C17" w14:textId="77777777" w:rsidR="008507D7" w:rsidRDefault="008507D7" w:rsidP="00A02C88">
      <w:pPr>
        <w:rPr>
          <w:rFonts w:ascii="Calibri" w:hAnsi="Calibri" w:cs="Calibri"/>
          <w:sz w:val="24"/>
          <w:szCs w:val="24"/>
        </w:rPr>
      </w:pPr>
    </w:p>
    <w:p w14:paraId="6761ADB2" w14:textId="77777777" w:rsidR="008507D7" w:rsidRDefault="008507D7" w:rsidP="00A02C88">
      <w:pPr>
        <w:rPr>
          <w:rFonts w:ascii="Calibri" w:hAnsi="Calibri" w:cs="Calibri"/>
          <w:sz w:val="24"/>
          <w:szCs w:val="24"/>
        </w:rPr>
      </w:pPr>
    </w:p>
    <w:p w14:paraId="33143AAA" w14:textId="77777777" w:rsidR="008507D7" w:rsidRDefault="008507D7" w:rsidP="00A02C88">
      <w:pPr>
        <w:rPr>
          <w:rFonts w:ascii="Calibri" w:hAnsi="Calibri" w:cs="Calibri"/>
          <w:sz w:val="24"/>
          <w:szCs w:val="24"/>
        </w:rPr>
      </w:pPr>
    </w:p>
    <w:p w14:paraId="75FBE86F" w14:textId="77777777" w:rsidR="008507D7" w:rsidRDefault="008507D7" w:rsidP="00A02C88">
      <w:pPr>
        <w:rPr>
          <w:rFonts w:ascii="Calibri" w:hAnsi="Calibri" w:cs="Calibri"/>
          <w:sz w:val="24"/>
          <w:szCs w:val="24"/>
        </w:rPr>
      </w:pPr>
    </w:p>
    <w:p w14:paraId="107229D3" w14:textId="77777777" w:rsidR="008507D7" w:rsidRDefault="008507D7" w:rsidP="00A02C88">
      <w:pPr>
        <w:rPr>
          <w:rFonts w:ascii="Calibri" w:hAnsi="Calibri" w:cs="Calibri"/>
          <w:sz w:val="24"/>
          <w:szCs w:val="24"/>
        </w:rPr>
      </w:pPr>
    </w:p>
    <w:p w14:paraId="301A7BBC" w14:textId="77777777" w:rsidR="00205BB2" w:rsidRDefault="00205BB2" w:rsidP="00205BB2">
      <w:pPr>
        <w:pStyle w:val="Title"/>
        <w:spacing w:before="360" w:after="200"/>
        <w:rPr>
          <w:rFonts w:asciiTheme="minorHAnsi" w:eastAsia="Google Sans" w:hAnsiTheme="minorHAnsi" w:cstheme="minorHAnsi"/>
          <w:b/>
          <w:bCs/>
          <w:color w:val="25272B"/>
          <w:sz w:val="24"/>
          <w:szCs w:val="24"/>
        </w:rPr>
      </w:pPr>
      <w:bookmarkStart w:id="116" w:name="_lspmucehfps2" w:colFirst="0" w:colLast="0"/>
      <w:bookmarkEnd w:id="116"/>
    </w:p>
    <w:p w14:paraId="23ADF176" w14:textId="77777777" w:rsidR="00205BB2" w:rsidRDefault="00205BB2" w:rsidP="00205BB2">
      <w:pPr>
        <w:pStyle w:val="Title"/>
        <w:spacing w:before="360" w:after="200"/>
        <w:rPr>
          <w:rFonts w:asciiTheme="minorHAnsi" w:eastAsia="Google Sans" w:hAnsiTheme="minorHAnsi" w:cstheme="minorHAnsi"/>
          <w:b/>
          <w:bCs/>
          <w:color w:val="25272B"/>
          <w:sz w:val="24"/>
          <w:szCs w:val="24"/>
        </w:rPr>
      </w:pPr>
    </w:p>
    <w:p w14:paraId="7984FC2D" w14:textId="0309A28F" w:rsidR="00EF3B0D" w:rsidRPr="00560C13" w:rsidRDefault="00EF3B0D" w:rsidP="00205BB2">
      <w:pPr>
        <w:pStyle w:val="Title"/>
        <w:spacing w:before="360" w:after="200"/>
        <w:ind w:left="2160" w:firstLine="720"/>
        <w:rPr>
          <w:rFonts w:asciiTheme="minorHAnsi" w:eastAsia="Google Sans" w:hAnsiTheme="minorHAnsi" w:cstheme="minorHAnsi"/>
          <w:b/>
          <w:bCs/>
          <w:color w:val="25272B"/>
          <w:sz w:val="24"/>
          <w:szCs w:val="24"/>
        </w:rPr>
      </w:pPr>
      <w:r w:rsidRPr="00560C13">
        <w:rPr>
          <w:rFonts w:asciiTheme="minorHAnsi" w:eastAsia="Google Sans" w:hAnsiTheme="minorHAnsi" w:cstheme="minorHAnsi"/>
          <w:b/>
          <w:bCs/>
          <w:color w:val="25272B"/>
          <w:sz w:val="24"/>
          <w:szCs w:val="24"/>
        </w:rPr>
        <w:lastRenderedPageBreak/>
        <w:t xml:space="preserve">Appendix </w:t>
      </w:r>
      <w:r w:rsidR="00560C13" w:rsidRPr="00560C13">
        <w:rPr>
          <w:rFonts w:asciiTheme="minorHAnsi" w:eastAsia="Google Sans" w:hAnsiTheme="minorHAnsi" w:cstheme="minorHAnsi"/>
          <w:b/>
          <w:bCs/>
          <w:color w:val="25272B"/>
          <w:sz w:val="24"/>
          <w:szCs w:val="24"/>
        </w:rPr>
        <w:t>K</w:t>
      </w:r>
      <w:r w:rsidR="008E6609" w:rsidRPr="00560C13">
        <w:rPr>
          <w:rFonts w:asciiTheme="minorHAnsi" w:eastAsia="Google Sans" w:hAnsiTheme="minorHAnsi" w:cstheme="minorHAnsi"/>
          <w:b/>
          <w:bCs/>
          <w:color w:val="25272B"/>
          <w:sz w:val="24"/>
          <w:szCs w:val="24"/>
        </w:rPr>
        <w:t>: Sample of a transcript</w:t>
      </w:r>
    </w:p>
    <w:p w14:paraId="19160944" w14:textId="77777777" w:rsidR="00EF3B0D" w:rsidRPr="00EF3B0D" w:rsidRDefault="00EF3B0D" w:rsidP="00EF3B0D"/>
    <w:p w14:paraId="27A36573" w14:textId="18C5DB91" w:rsidR="00EF3B0D" w:rsidRDefault="00EF3B0D">
      <w:pPr>
        <w:pStyle w:val="Title"/>
        <w:spacing w:before="360" w:after="200"/>
        <w:rPr>
          <w:rFonts w:ascii="Google Sans" w:eastAsia="Google Sans" w:hAnsi="Google Sans" w:cs="Google Sans"/>
          <w:b/>
          <w:bCs/>
          <w:color w:val="25272B"/>
          <w:sz w:val="36"/>
          <w:szCs w:val="36"/>
        </w:rPr>
      </w:pPr>
      <w:r>
        <w:rPr>
          <w:rFonts w:ascii="Google Sans" w:eastAsia="Google Sans" w:hAnsi="Google Sans" w:cs="Google Sans"/>
          <w:b/>
          <w:bCs/>
          <w:color w:val="25272B"/>
          <w:sz w:val="36"/>
          <w:szCs w:val="36"/>
        </w:rPr>
        <w:t>Mo / Suzanne D (2024-03-21 10:17 GMT) – Transcript</w:t>
      </w:r>
    </w:p>
    <w:p w14:paraId="4277B529" w14:textId="77777777" w:rsidR="00EF3B0D" w:rsidRDefault="00EF3B0D">
      <w:pPr>
        <w:pStyle w:val="Heading1"/>
        <w:spacing w:before="360" w:after="200"/>
        <w:rPr>
          <w:rFonts w:ascii="Google Sans" w:eastAsia="Google Sans" w:hAnsi="Google Sans" w:cs="Google Sans"/>
          <w:b/>
          <w:bCs/>
          <w:color w:val="25272B"/>
          <w:sz w:val="24"/>
          <w:szCs w:val="24"/>
        </w:rPr>
      </w:pPr>
      <w:bookmarkStart w:id="117" w:name="_h49mokq7cz53" w:colFirst="0" w:colLast="0"/>
      <w:bookmarkEnd w:id="117"/>
      <w:r>
        <w:rPr>
          <w:rFonts w:ascii="Google Sans" w:eastAsia="Google Sans" w:hAnsi="Google Sans" w:cs="Google Sans"/>
          <w:b/>
          <w:bCs/>
          <w:color w:val="25272B"/>
          <w:sz w:val="24"/>
          <w:szCs w:val="24"/>
        </w:rPr>
        <w:t>Attendees</w:t>
      </w:r>
    </w:p>
    <w:p w14:paraId="056DAB35" w14:textId="77777777" w:rsidR="00EF3B0D" w:rsidRDefault="00EF3B0D">
      <w:pPr>
        <w:rPr>
          <w:rFonts w:ascii="Roboto" w:eastAsia="Roboto" w:hAnsi="Roboto" w:cs="Roboto"/>
          <w:sz w:val="20"/>
          <w:szCs w:val="20"/>
        </w:rPr>
      </w:pPr>
      <w:r>
        <w:rPr>
          <w:rFonts w:ascii="Roboto" w:eastAsia="Roboto" w:hAnsi="Roboto" w:cs="Roboto"/>
          <w:sz w:val="20"/>
          <w:szCs w:val="20"/>
        </w:rPr>
        <w:t>Mo, Suzanne D Schultz</w:t>
      </w:r>
    </w:p>
    <w:p w14:paraId="5B4DC467" w14:textId="77777777" w:rsidR="00EF3B0D" w:rsidRDefault="00EF3B0D">
      <w:pPr>
        <w:pStyle w:val="Heading1"/>
        <w:spacing w:before="360"/>
        <w:rPr>
          <w:rFonts w:ascii="Google Sans" w:eastAsia="Google Sans" w:hAnsi="Google Sans" w:cs="Google Sans"/>
          <w:b/>
          <w:bCs/>
          <w:color w:val="25272B"/>
          <w:sz w:val="24"/>
          <w:szCs w:val="24"/>
        </w:rPr>
      </w:pPr>
      <w:bookmarkStart w:id="118" w:name="_v9jgxniqyqot" w:colFirst="0" w:colLast="0"/>
      <w:bookmarkEnd w:id="118"/>
      <w:r>
        <w:rPr>
          <w:rFonts w:ascii="Google Sans" w:eastAsia="Google Sans" w:hAnsi="Google Sans" w:cs="Google Sans"/>
          <w:b/>
          <w:bCs/>
          <w:color w:val="25272B"/>
          <w:sz w:val="24"/>
          <w:szCs w:val="24"/>
        </w:rPr>
        <w:t>Transcript</w:t>
      </w:r>
    </w:p>
    <w:p w14:paraId="51748D71" w14:textId="77777777" w:rsidR="00EF3B0D" w:rsidRDefault="00EF3B0D">
      <w:pPr>
        <w:rPr>
          <w:rFonts w:ascii="Google Sans" w:eastAsia="Google Sans" w:hAnsi="Google Sans" w:cs="Google Sans"/>
          <w:i/>
          <w:iCs/>
          <w:sz w:val="20"/>
          <w:szCs w:val="20"/>
          <w:shd w:val="clear" w:color="auto" w:fill="EFEFEF"/>
        </w:rPr>
      </w:pPr>
      <w:r>
        <w:rPr>
          <w:rFonts w:ascii="Google Sans" w:eastAsia="Google Sans" w:hAnsi="Google Sans" w:cs="Google Sans"/>
          <w:i/>
          <w:iCs/>
          <w:sz w:val="20"/>
          <w:szCs w:val="20"/>
          <w:shd w:val="clear" w:color="auto" w:fill="EFEFEF"/>
        </w:rPr>
        <w:t>This editable transcript was computer generated and might contain errors. People can also change the text after it was created.</w:t>
      </w:r>
    </w:p>
    <w:p w14:paraId="7F6302B6" w14:textId="1D27A442"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Right, so, thank you M</w:t>
      </w:r>
      <w:r w:rsidR="00F36266">
        <w:rPr>
          <w:rFonts w:ascii="Roboto" w:eastAsia="Roboto" w:hAnsi="Roboto" w:cs="Roboto"/>
          <w:color w:val="434343"/>
          <w:sz w:val="20"/>
          <w:szCs w:val="20"/>
        </w:rPr>
        <w:t>o</w:t>
      </w:r>
      <w:r>
        <w:rPr>
          <w:rFonts w:ascii="Roboto" w:eastAsia="Roboto" w:hAnsi="Roboto" w:cs="Roboto"/>
          <w:color w:val="434343"/>
          <w:sz w:val="20"/>
          <w:szCs w:val="20"/>
        </w:rPr>
        <w:t xml:space="preserve"> for agreeing to take part in the second interview, very grateful. Just to start with, have you had time to have a look at Winnicott’s model? And do you have any thoughts on that?</w:t>
      </w:r>
    </w:p>
    <w:p w14:paraId="146BF815" w14:textId="50F0D2D0"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 xml:space="preserve">Welcome. I'm afraid I </w:t>
      </w:r>
      <w:r w:rsidR="00F36266">
        <w:rPr>
          <w:rFonts w:ascii="Roboto" w:eastAsia="Roboto" w:hAnsi="Roboto" w:cs="Roboto"/>
          <w:color w:val="434343"/>
          <w:sz w:val="20"/>
          <w:szCs w:val="20"/>
        </w:rPr>
        <w:t>haven’t, so</w:t>
      </w:r>
      <w:r>
        <w:rPr>
          <w:rFonts w:ascii="Roboto" w:eastAsia="Roboto" w:hAnsi="Roboto" w:cs="Roboto"/>
          <w:color w:val="434343"/>
          <w:sz w:val="20"/>
          <w:szCs w:val="20"/>
        </w:rPr>
        <w:t xml:space="preserve"> I'm so sorry.</w:t>
      </w:r>
    </w:p>
    <w:p w14:paraId="0F596EB8" w14:textId="77777777" w:rsidR="00B3240C" w:rsidRDefault="003E200A">
      <w:pPr>
        <w:rPr>
          <w:rFonts w:ascii="Roboto" w:eastAsia="Roboto" w:hAnsi="Roboto" w:cs="Roboto"/>
          <w:color w:val="434343"/>
          <w:sz w:val="20"/>
          <w:szCs w:val="20"/>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67456" behindDoc="0" locked="0" layoutInCell="1" allowOverlap="1" wp14:anchorId="1C3B5F74" wp14:editId="7C91F1D2">
                <wp:simplePos x="0" y="0"/>
                <wp:positionH relativeFrom="rightMargin">
                  <wp:align>left</wp:align>
                </wp:positionH>
                <wp:positionV relativeFrom="paragraph">
                  <wp:posOffset>709930</wp:posOffset>
                </wp:positionV>
                <wp:extent cx="708660" cy="2324100"/>
                <wp:effectExtent l="0" t="0" r="15240" b="19050"/>
                <wp:wrapNone/>
                <wp:docPr id="188880435" name="Text Box 43"/>
                <wp:cNvGraphicFramePr/>
                <a:graphic xmlns:a="http://schemas.openxmlformats.org/drawingml/2006/main">
                  <a:graphicData uri="http://schemas.microsoft.com/office/word/2010/wordprocessingShape">
                    <wps:wsp>
                      <wps:cNvSpPr txBox="1"/>
                      <wps:spPr>
                        <a:xfrm>
                          <a:off x="0" y="0"/>
                          <a:ext cx="708660" cy="2324100"/>
                        </a:xfrm>
                        <a:prstGeom prst="rect">
                          <a:avLst/>
                        </a:prstGeom>
                        <a:solidFill>
                          <a:schemeClr val="lt1"/>
                        </a:solidFill>
                        <a:ln w="6350">
                          <a:solidFill>
                            <a:prstClr val="black"/>
                          </a:solidFill>
                        </a:ln>
                      </wps:spPr>
                      <wps:txbx>
                        <w:txbxContent>
                          <w:p w14:paraId="2DB54DDC" w14:textId="7AA6B4F0" w:rsidR="003E200A" w:rsidRDefault="00111887">
                            <w:pPr>
                              <w:rPr>
                                <w:sz w:val="16"/>
                                <w:szCs w:val="16"/>
                              </w:rPr>
                            </w:pPr>
                            <w:r>
                              <w:rPr>
                                <w:sz w:val="16"/>
                                <w:szCs w:val="16"/>
                              </w:rPr>
                              <w:t>Infantalising</w:t>
                            </w:r>
                          </w:p>
                          <w:p w14:paraId="6BD582F8" w14:textId="6E2FD267" w:rsidR="00111887" w:rsidRDefault="00A36D39">
                            <w:pPr>
                              <w:rPr>
                                <w:sz w:val="16"/>
                                <w:szCs w:val="16"/>
                              </w:rPr>
                            </w:pPr>
                            <w:r>
                              <w:rPr>
                                <w:sz w:val="16"/>
                                <w:szCs w:val="16"/>
                              </w:rPr>
                              <w:t>Refer back to previous literature</w:t>
                            </w:r>
                          </w:p>
                          <w:p w14:paraId="2B74E6ED" w14:textId="01CEC6A5" w:rsidR="00A36D39" w:rsidRDefault="00A36D39">
                            <w:pPr>
                              <w:rPr>
                                <w:sz w:val="16"/>
                                <w:szCs w:val="16"/>
                              </w:rPr>
                            </w:pPr>
                            <w:r>
                              <w:rPr>
                                <w:sz w:val="16"/>
                                <w:szCs w:val="16"/>
                              </w:rPr>
                              <w:t>Redrawing – add in Mo’s concept</w:t>
                            </w:r>
                            <w:r w:rsidR="008465FA">
                              <w:rPr>
                                <w:sz w:val="16"/>
                                <w:szCs w:val="16"/>
                              </w:rPr>
                              <w:t>/expand on this!!!</w:t>
                            </w:r>
                          </w:p>
                          <w:p w14:paraId="50C767F0" w14:textId="5CEEC360" w:rsidR="008465FA" w:rsidRPr="003E200A" w:rsidRDefault="008465FA">
                            <w:pPr>
                              <w:rPr>
                                <w:sz w:val="16"/>
                                <w:szCs w:val="16"/>
                              </w:rPr>
                            </w:pPr>
                            <w:r>
                              <w:rPr>
                                <w:sz w:val="16"/>
                                <w:szCs w:val="16"/>
                              </w:rPr>
                              <w:t>Mo “got” holding WITHOUT seeing the model!!! Wow!!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B5F74" id="Text Box 43" o:spid="_x0000_s1048" type="#_x0000_t202" style="position:absolute;margin-left:0;margin-top:55.9pt;width:55.8pt;height:183pt;z-index:25166745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" fillcolor="white [3201]" strokeweight=".5pt">
                <v:textbox>
                  <w:txbxContent>
                    <w:p w14:paraId="2DB54DDC" w14:textId="7AA6B4F0" w:rsidR="003E200A" w:rsidRDefault="00111887">
                      <w:pPr>
                        <w:rPr>
                          <w:sz w:val="16"/>
                          <w:szCs w:val="16"/>
                        </w:rPr>
                      </w:pPr>
                      <w:r>
                        <w:rPr>
                          <w:sz w:val="16"/>
                          <w:szCs w:val="16"/>
                        </w:rPr>
                        <w:t>Infantalising</w:t>
                      </w:r>
                    </w:p>
                    <w:p w14:paraId="6BD582F8" w14:textId="6E2FD267" w:rsidR="00111887" w:rsidRDefault="00A36D39">
                      <w:pPr>
                        <w:rPr>
                          <w:sz w:val="16"/>
                          <w:szCs w:val="16"/>
                        </w:rPr>
                      </w:pPr>
                      <w:r>
                        <w:rPr>
                          <w:sz w:val="16"/>
                          <w:szCs w:val="16"/>
                        </w:rPr>
                        <w:t>Refer back to previous literature</w:t>
                      </w:r>
                    </w:p>
                    <w:p w14:paraId="2B74E6ED" w14:textId="01CEC6A5" w:rsidR="00A36D39" w:rsidRDefault="00A36D39">
                      <w:pPr>
                        <w:rPr>
                          <w:sz w:val="16"/>
                          <w:szCs w:val="16"/>
                        </w:rPr>
                      </w:pPr>
                      <w:r>
                        <w:rPr>
                          <w:sz w:val="16"/>
                          <w:szCs w:val="16"/>
                        </w:rPr>
                        <w:t>Redrawing – add in Mo’s concept</w:t>
                      </w:r>
                      <w:r w:rsidR="008465FA">
                        <w:rPr>
                          <w:sz w:val="16"/>
                          <w:szCs w:val="16"/>
                        </w:rPr>
                        <w:t>/expand on this!!!</w:t>
                      </w:r>
                    </w:p>
                    <w:p w14:paraId="50C767F0" w14:textId="5CEEC360" w:rsidR="008465FA" w:rsidRPr="003E200A" w:rsidRDefault="008465FA">
                      <w:pPr>
                        <w:rPr>
                          <w:sz w:val="16"/>
                          <w:szCs w:val="16"/>
                        </w:rPr>
                      </w:pPr>
                      <w:r>
                        <w:rPr>
                          <w:sz w:val="16"/>
                          <w:szCs w:val="16"/>
                        </w:rPr>
                        <w:t>Mo “got” holding WITHOUT seeing the model!!! Wow!!</w:t>
                      </w:r>
                    </w:p>
                  </w:txbxContent>
                </v:textbox>
                <w10:wrap anchorx="margin"/>
              </v:shape>
            </w:pict>
          </mc:Fallback>
        </mc:AlternateContent>
      </w:r>
      <w:r w:rsidR="00F36266">
        <w:rPr>
          <w:rFonts w:ascii="Google Sans Medium" w:eastAsia="Google Sans Medium" w:hAnsi="Google Sans Medium" w:cs="Google Sans Medium"/>
          <w:noProof/>
          <w:sz w:val="20"/>
          <w:szCs w:val="20"/>
        </w:rPr>
        <mc:AlternateContent>
          <mc:Choice Requires="wpi">
            <w:drawing>
              <wp:anchor distT="0" distB="0" distL="114300" distR="114300" simplePos="0" relativeHeight="251666432" behindDoc="0" locked="0" layoutInCell="1" allowOverlap="1" wp14:anchorId="63FBCD96" wp14:editId="4C093902">
                <wp:simplePos x="0" y="0"/>
                <wp:positionH relativeFrom="column">
                  <wp:posOffset>4213800</wp:posOffset>
                </wp:positionH>
                <wp:positionV relativeFrom="paragraph">
                  <wp:posOffset>1296670</wp:posOffset>
                </wp:positionV>
                <wp:extent cx="1800" cy="360"/>
                <wp:effectExtent l="57150" t="57150" r="55880" b="57150"/>
                <wp:wrapNone/>
                <wp:docPr id="1766187246" name="Ink 40"/>
                <wp:cNvGraphicFramePr/>
                <a:graphic xmlns:a="http://schemas.openxmlformats.org/drawingml/2006/main">
                  <a:graphicData uri="http://schemas.microsoft.com/office/word/2010/wordprocessingInk">
                    <w14:contentPart bwMode="auto" r:id="rId523">
                      <w14:nvContentPartPr>
                        <w14:cNvContentPartPr/>
                      </w14:nvContentPartPr>
                      <w14:xfrm>
                        <a:off x="0" y="0"/>
                        <a:ext cx="1800" cy="360"/>
                      </w14:xfrm>
                    </w14:contentPart>
                  </a:graphicData>
                </a:graphic>
              </wp:anchor>
            </w:drawing>
          </mc:Choice>
          <mc:Fallback>
            <w:pict>
              <v:shape w14:anchorId="52B95B6A" id="Ink 40" o:spid="_x0000_s1026" type="#_x0000_t75" style="position:absolute;margin-left:331.1pt;margin-top:101.4pt;width:1.6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">
                <v:imagedata r:id="rId524" o:title=""/>
              </v:shape>
            </w:pict>
          </mc:Fallback>
        </mc:AlternateContent>
      </w:r>
      <w:r w:rsidR="00F36266">
        <w:rPr>
          <w:rFonts w:ascii="Google Sans Medium" w:eastAsia="Google Sans Medium" w:hAnsi="Google Sans Medium" w:cs="Google Sans Medium"/>
          <w:noProof/>
          <w:sz w:val="20"/>
          <w:szCs w:val="20"/>
        </w:rPr>
        <mc:AlternateContent>
          <mc:Choice Requires="wpi">
            <w:drawing>
              <wp:anchor distT="0" distB="0" distL="114300" distR="114300" simplePos="0" relativeHeight="251665408" behindDoc="0" locked="0" layoutInCell="1" allowOverlap="1" wp14:anchorId="60DF8F86" wp14:editId="620C8BC0">
                <wp:simplePos x="0" y="0"/>
                <wp:positionH relativeFrom="column">
                  <wp:posOffset>4229280</wp:posOffset>
                </wp:positionH>
                <wp:positionV relativeFrom="paragraph">
                  <wp:posOffset>1372990</wp:posOffset>
                </wp:positionV>
                <wp:extent cx="360" cy="360"/>
                <wp:effectExtent l="57150" t="57150" r="57150" b="57150"/>
                <wp:wrapNone/>
                <wp:docPr id="681034377" name="Ink 39"/>
                <wp:cNvGraphicFramePr/>
                <a:graphic xmlns:a="http://schemas.openxmlformats.org/drawingml/2006/main">
                  <a:graphicData uri="http://schemas.microsoft.com/office/word/2010/wordprocessingInk">
                    <w14:contentPart bwMode="auto" r:id="rId525">
                      <w14:nvContentPartPr>
                        <w14:cNvContentPartPr/>
                      </w14:nvContentPartPr>
                      <w14:xfrm>
                        <a:off x="0" y="0"/>
                        <a:ext cx="360" cy="360"/>
                      </w14:xfrm>
                    </w14:contentPart>
                  </a:graphicData>
                </a:graphic>
              </wp:anchor>
            </w:drawing>
          </mc:Choice>
          <mc:Fallback>
            <w:pict>
              <v:shape w14:anchorId="52ECA308" id="Ink 39" o:spid="_x0000_s1026" type="#_x0000_t75" style="position:absolute;margin-left:332.3pt;margin-top:107.4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B4aId3KAQAAkAQAABAAAAAAAAAAAAAAAAAA0AMA&#10;AGRycy9pbmsvaW5rMS54bWxQSwECLQAUAAYACAAAACEARvFvueEAAAALAQAADwAAAAAAAAAAAAAA&#10;AADIBQAAZHJzL2Rvd25yZXYueG1sUEsBAi0AFAAGAAgAAAAhAHkYvJ2/AAAAIQEAABkAAAAAAAAA&#10;AAAAAAAA1gYAAGRycy9fcmVscy9lMm9Eb2MueG1sLnJlbHNQSwUGAAAAAAYABgB4AQAAzAcAAAAA&#10;">
                <v:imagedata r:id="rId526" o:title=""/>
              </v:shape>
            </w:pict>
          </mc:Fallback>
        </mc:AlternateContent>
      </w:r>
      <w:r w:rsidR="00F36266">
        <w:rPr>
          <w:rFonts w:ascii="Google Sans Medium" w:eastAsia="Google Sans Medium" w:hAnsi="Google Sans Medium" w:cs="Google Sans Medium"/>
          <w:noProof/>
          <w:sz w:val="20"/>
          <w:szCs w:val="20"/>
        </w:rPr>
        <mc:AlternateContent>
          <mc:Choice Requires="wpi">
            <w:drawing>
              <wp:anchor distT="0" distB="0" distL="114300" distR="114300" simplePos="0" relativeHeight="251664384" behindDoc="0" locked="0" layoutInCell="1" allowOverlap="1" wp14:anchorId="7221EA68" wp14:editId="2A928DC9">
                <wp:simplePos x="0" y="0"/>
                <wp:positionH relativeFrom="column">
                  <wp:posOffset>2438280</wp:posOffset>
                </wp:positionH>
                <wp:positionV relativeFrom="paragraph">
                  <wp:posOffset>1205230</wp:posOffset>
                </wp:positionV>
                <wp:extent cx="360" cy="360"/>
                <wp:effectExtent l="57150" t="57150" r="57150" b="57150"/>
                <wp:wrapNone/>
                <wp:docPr id="1131994984" name="Ink 38"/>
                <wp:cNvGraphicFramePr/>
                <a:graphic xmlns:a="http://schemas.openxmlformats.org/drawingml/2006/main">
                  <a:graphicData uri="http://schemas.microsoft.com/office/word/2010/wordprocessingInk">
                    <w14:contentPart bwMode="auto" r:id="rId527">
                      <w14:nvContentPartPr>
                        <w14:cNvContentPartPr/>
                      </w14:nvContentPartPr>
                      <w14:xfrm>
                        <a:off x="0" y="0"/>
                        <a:ext cx="360" cy="360"/>
                      </w14:xfrm>
                    </w14:contentPart>
                  </a:graphicData>
                </a:graphic>
              </wp:anchor>
            </w:drawing>
          </mc:Choice>
          <mc:Fallback>
            <w:pict>
              <v:shape w14:anchorId="577109E4" id="Ink 38" o:spid="_x0000_s1026" type="#_x0000_t75" style="position:absolute;margin-left:191.3pt;margin-top:94.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DT1FZK1QEAAJsEAAAQAAAAAAAA&#10;AAAAAAAAANADAABkcnMvaW5rL2luazEueG1sUEsBAi0AFAAGAAgAAAAhAPfWsWHgAAAACwEAAA8A&#10;AAAAAAAAAAAAAAAA0wUAAGRycy9kb3ducmV2LnhtbFBLAQItABQABgAIAAAAIQB5GLydvwAAACEB&#10;AAAZAAAAAAAAAAAAAAAAAOAGAABkcnMvX3JlbHMvZTJvRG9jLnhtbC5yZWxzUEsFBgAAAAAGAAYA&#10;eAEAANYHAAAAAA==&#10;">
                <v:imagedata r:id="rId526" o:title=""/>
              </v:shape>
            </w:pict>
          </mc:Fallback>
        </mc:AlternateContent>
      </w:r>
      <w:r w:rsidR="00EF3B0D">
        <w:rPr>
          <w:rFonts w:ascii="Google Sans Medium" w:eastAsia="Google Sans Medium" w:hAnsi="Google Sans Medium" w:cs="Google Sans Medium"/>
          <w:sz w:val="20"/>
          <w:szCs w:val="20"/>
        </w:rPr>
        <w:t xml:space="preserve">Suzanne D Schultz: Okay. </w:t>
      </w:r>
      <w:r w:rsidR="00EF3B0D">
        <w:rPr>
          <w:rFonts w:ascii="Roboto" w:eastAsia="Roboto" w:hAnsi="Roboto" w:cs="Roboto"/>
          <w:color w:val="434343"/>
          <w:sz w:val="20"/>
          <w:szCs w:val="20"/>
        </w:rPr>
        <w:t xml:space="preserve">Essentially the model if I just describe it, in the first diagram there's a baby in the middle and a circle around it, the mother holding the baby, and then another circle around that the father holding the mother holding the baby, and then another circle where society is holding the father holding the mother holding the baby. And then in the second diagram, there's the student in the middle with the same principle, the teacher holding the student, and then the next circle is the Institute or establishment or University holding the teacher holding the student, and then a bigger picture of society holding the Institute holding the teacher holding the student, and if you just think about that  notion of the holding of the teacher. Do you have any immediate thoughts on that with relation to, say, the mother holding the baby, and that's just a principle, </w:t>
      </w:r>
      <w:r w:rsidR="00F36266">
        <w:rPr>
          <w:rFonts w:ascii="Roboto" w:eastAsia="Roboto" w:hAnsi="Roboto" w:cs="Roboto"/>
          <w:color w:val="434343"/>
          <w:sz w:val="20"/>
          <w:szCs w:val="20"/>
        </w:rPr>
        <w:t>it doesn’t</w:t>
      </w:r>
      <w:r w:rsidR="00EF3B0D">
        <w:rPr>
          <w:rFonts w:ascii="Roboto" w:eastAsia="Roboto" w:hAnsi="Roboto" w:cs="Roboto"/>
          <w:color w:val="434343"/>
          <w:sz w:val="20"/>
          <w:szCs w:val="20"/>
        </w:rPr>
        <w:t xml:space="preserve"> have </w:t>
      </w:r>
      <w:r w:rsidR="007B70FE">
        <w:rPr>
          <w:rFonts w:ascii="Roboto" w:eastAsia="Roboto" w:hAnsi="Roboto" w:cs="Roboto"/>
          <w:color w:val="434343"/>
          <w:sz w:val="20"/>
          <w:szCs w:val="20"/>
        </w:rPr>
        <w:t>to be</w:t>
      </w:r>
      <w:r w:rsidR="00EF3B0D">
        <w:rPr>
          <w:rFonts w:ascii="Roboto" w:eastAsia="Roboto" w:hAnsi="Roboto" w:cs="Roboto"/>
          <w:color w:val="434343"/>
          <w:sz w:val="20"/>
          <w:szCs w:val="20"/>
        </w:rPr>
        <w:t xml:space="preserve"> the mother…</w:t>
      </w:r>
    </w:p>
    <w:p w14:paraId="0FCCB728" w14:textId="3450805E" w:rsidR="00EF3B0D" w:rsidRDefault="00F36266">
      <w:pPr>
        <w:rPr>
          <w:rFonts w:ascii="Roboto" w:eastAsia="Roboto" w:hAnsi="Roboto" w:cs="Roboto"/>
          <w:color w:val="434343"/>
          <w:sz w:val="20"/>
          <w:szCs w:val="20"/>
        </w:rPr>
      </w:pPr>
      <w:r>
        <w:rPr>
          <w:rFonts w:ascii="Google Sans Medium" w:eastAsia="Google Sans Medium" w:hAnsi="Google Sans Medium" w:cs="Google Sans Medium"/>
          <w:noProof/>
          <w:sz w:val="20"/>
          <w:szCs w:val="20"/>
        </w:rPr>
        <mc:AlternateContent>
          <mc:Choice Requires="wpi">
            <w:drawing>
              <wp:anchor distT="0" distB="0" distL="114300" distR="114300" simplePos="0" relativeHeight="251663360" behindDoc="0" locked="0" layoutInCell="1" allowOverlap="1" wp14:anchorId="6F587466" wp14:editId="428833B0">
                <wp:simplePos x="0" y="0"/>
                <wp:positionH relativeFrom="column">
                  <wp:posOffset>2781000</wp:posOffset>
                </wp:positionH>
                <wp:positionV relativeFrom="paragraph">
                  <wp:posOffset>31570</wp:posOffset>
                </wp:positionV>
                <wp:extent cx="360" cy="360"/>
                <wp:effectExtent l="57150" t="57150" r="57150" b="57150"/>
                <wp:wrapNone/>
                <wp:docPr id="788534786" name="Ink 31"/>
                <wp:cNvGraphicFramePr/>
                <a:graphic xmlns:a="http://schemas.openxmlformats.org/drawingml/2006/main">
                  <a:graphicData uri="http://schemas.microsoft.com/office/word/2010/wordprocessingInk">
                    <w14:contentPart bwMode="auto" r:id="rId528">
                      <w14:nvContentPartPr>
                        <w14:cNvContentPartPr/>
                      </w14:nvContentPartPr>
                      <w14:xfrm>
                        <a:off x="0" y="0"/>
                        <a:ext cx="360" cy="360"/>
                      </w14:xfrm>
                    </w14:contentPart>
                  </a:graphicData>
                </a:graphic>
              </wp:anchor>
            </w:drawing>
          </mc:Choice>
          <mc:Fallback>
            <w:pict>
              <v:shape w14:anchorId="18DFE82D" id="Ink 31" o:spid="_x0000_s1026" type="#_x0000_t75" style="position:absolute;margin-left:218.3pt;margin-top:1.8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Epy6LdYBAACbBAAAEAAAAAAAAAAA&#10;AAAAAADQAwAAZHJzL2luay9pbmsxLnhtbFBLAQItABQABgAIAAAAIQCeqPCM3QAAAAcBAAAPAAAA&#10;AAAAAAAAAAAAANQFAABkcnMvZG93bnJldi54bWxQSwECLQAUAAYACAAAACEAeRi8nb8AAAAhAQAA&#10;GQAAAAAAAAAAAAAAAADeBgAAZHJzL19yZWxzL2Uyb0RvYy54bWwucmVsc1BLBQYAAAAABgAGAHgB&#10;AADUBwAAAAA=&#10;">
                <v:imagedata r:id="rId526" o:title=""/>
              </v:shape>
            </w:pict>
          </mc:Fallback>
        </mc:AlternateContent>
      </w:r>
      <w:r w:rsidR="00EF3B0D">
        <w:rPr>
          <w:rFonts w:ascii="Google Sans Medium" w:eastAsia="Google Sans Medium" w:hAnsi="Google Sans Medium" w:cs="Google Sans Medium"/>
          <w:sz w:val="20"/>
          <w:szCs w:val="20"/>
        </w:rPr>
        <w:t xml:space="preserve">Mo: </w:t>
      </w:r>
      <w:r w:rsidR="00EF3B0D">
        <w:rPr>
          <w:rFonts w:ascii="Roboto" w:eastAsia="Roboto" w:hAnsi="Roboto" w:cs="Roboto"/>
          <w:color w:val="434343"/>
          <w:sz w:val="20"/>
          <w:szCs w:val="20"/>
        </w:rPr>
        <w:t>Yes.</w:t>
      </w:r>
    </w:p>
    <w:p w14:paraId="3B9B40CA"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It could be grandmother, it could somebody else holding the baby.</w:t>
      </w:r>
    </w:p>
    <w:p w14:paraId="4E115541" w14:textId="25BEF55A" w:rsidR="00EF3B0D" w:rsidRDefault="00DB6786">
      <w:pPr>
        <w:rPr>
          <w:rFonts w:ascii="Roboto" w:eastAsia="Roboto" w:hAnsi="Roboto" w:cs="Roboto"/>
          <w:color w:val="434343"/>
          <w:sz w:val="20"/>
          <w:szCs w:val="20"/>
          <w:shd w:val="clear" w:color="auto" w:fill="F4CCCC"/>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68480" behindDoc="0" locked="0" layoutInCell="1" allowOverlap="1" wp14:anchorId="57207A51" wp14:editId="3EBFEE56">
                <wp:simplePos x="0" y="0"/>
                <wp:positionH relativeFrom="rightMargin">
                  <wp:align>left</wp:align>
                </wp:positionH>
                <wp:positionV relativeFrom="paragraph">
                  <wp:posOffset>1552575</wp:posOffset>
                </wp:positionV>
                <wp:extent cx="716280" cy="1798320"/>
                <wp:effectExtent l="0" t="0" r="26670" b="11430"/>
                <wp:wrapNone/>
                <wp:docPr id="655914267" name="Text Box 44"/>
                <wp:cNvGraphicFramePr/>
                <a:graphic xmlns:a="http://schemas.openxmlformats.org/drawingml/2006/main">
                  <a:graphicData uri="http://schemas.microsoft.com/office/word/2010/wordprocessingShape">
                    <wps:wsp>
                      <wps:cNvSpPr txBox="1"/>
                      <wps:spPr>
                        <a:xfrm>
                          <a:off x="0" y="0"/>
                          <a:ext cx="716280" cy="1798320"/>
                        </a:xfrm>
                        <a:prstGeom prst="rect">
                          <a:avLst/>
                        </a:prstGeom>
                        <a:solidFill>
                          <a:schemeClr val="lt1"/>
                        </a:solidFill>
                        <a:ln w="6350">
                          <a:solidFill>
                            <a:prstClr val="black"/>
                          </a:solidFill>
                        </a:ln>
                      </wps:spPr>
                      <wps:txbx>
                        <w:txbxContent>
                          <w:p w14:paraId="3EDE376D" w14:textId="2DC8DF05" w:rsidR="00DB6786" w:rsidRDefault="00DB6786">
                            <w:pPr>
                              <w:rPr>
                                <w:sz w:val="16"/>
                                <w:szCs w:val="16"/>
                              </w:rPr>
                            </w:pPr>
                            <w:r>
                              <w:rPr>
                                <w:sz w:val="16"/>
                                <w:szCs w:val="16"/>
                              </w:rPr>
                              <w:t>The ideal</w:t>
                            </w:r>
                            <w:r w:rsidR="00B434CB">
                              <w:rPr>
                                <w:sz w:val="16"/>
                                <w:szCs w:val="16"/>
                              </w:rPr>
                              <w:t>- changing/</w:t>
                            </w:r>
                            <w:r w:rsidR="00DA0E4E">
                              <w:rPr>
                                <w:sz w:val="16"/>
                                <w:szCs w:val="16"/>
                              </w:rPr>
                              <w:t xml:space="preserve"> </w:t>
                            </w:r>
                            <w:r w:rsidR="00B434CB">
                              <w:rPr>
                                <w:sz w:val="16"/>
                                <w:szCs w:val="16"/>
                              </w:rPr>
                              <w:t>adapting the current model</w:t>
                            </w:r>
                          </w:p>
                          <w:p w14:paraId="35A35BB7" w14:textId="77C77D72" w:rsidR="00B434CB" w:rsidRDefault="00594440">
                            <w:pPr>
                              <w:rPr>
                                <w:sz w:val="16"/>
                                <w:szCs w:val="16"/>
                              </w:rPr>
                            </w:pPr>
                            <w:r>
                              <w:rPr>
                                <w:sz w:val="16"/>
                                <w:szCs w:val="16"/>
                              </w:rPr>
                              <w:t xml:space="preserve">Her bestowing boons </w:t>
                            </w:r>
                            <w:r w:rsidR="00AF4275">
                              <w:rPr>
                                <w:sz w:val="16"/>
                                <w:szCs w:val="16"/>
                              </w:rPr>
                              <w:t>–</w:t>
                            </w:r>
                            <w:r>
                              <w:rPr>
                                <w:sz w:val="16"/>
                                <w:szCs w:val="16"/>
                              </w:rPr>
                              <w:t xml:space="preserve"> </w:t>
                            </w:r>
                          </w:p>
                          <w:p w14:paraId="2DD0F1CD" w14:textId="0F9595C6" w:rsidR="00AF4275" w:rsidRPr="00DB6786" w:rsidRDefault="00AF4275">
                            <w:pPr>
                              <w:rPr>
                                <w:sz w:val="16"/>
                                <w:szCs w:val="16"/>
                              </w:rPr>
                            </w:pPr>
                            <w:r>
                              <w:rPr>
                                <w:sz w:val="16"/>
                                <w:szCs w:val="16"/>
                              </w:rPr>
                              <w:t>Considered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7A51" id="Text Box 44" o:spid="_x0000_s1049" type="#_x0000_t202" style="position:absolute;margin-left:0;margin-top:122.25pt;width:56.4pt;height:141.6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" fillcolor="white [3201]" strokeweight=".5pt">
                <v:textbox>
                  <w:txbxContent>
                    <w:p w14:paraId="3EDE376D" w14:textId="2DC8DF05" w:rsidR="00DB6786" w:rsidRDefault="00DB6786">
                      <w:pPr>
                        <w:rPr>
                          <w:sz w:val="16"/>
                          <w:szCs w:val="16"/>
                        </w:rPr>
                      </w:pPr>
                      <w:r>
                        <w:rPr>
                          <w:sz w:val="16"/>
                          <w:szCs w:val="16"/>
                        </w:rPr>
                        <w:t>The ideal</w:t>
                      </w:r>
                      <w:r w:rsidR="00B434CB">
                        <w:rPr>
                          <w:sz w:val="16"/>
                          <w:szCs w:val="16"/>
                        </w:rPr>
                        <w:t>- changing/</w:t>
                      </w:r>
                      <w:r w:rsidR="00DA0E4E">
                        <w:rPr>
                          <w:sz w:val="16"/>
                          <w:szCs w:val="16"/>
                        </w:rPr>
                        <w:t xml:space="preserve"> </w:t>
                      </w:r>
                      <w:r w:rsidR="00B434CB">
                        <w:rPr>
                          <w:sz w:val="16"/>
                          <w:szCs w:val="16"/>
                        </w:rPr>
                        <w:t>adapting the current model</w:t>
                      </w:r>
                    </w:p>
                    <w:p w14:paraId="35A35BB7" w14:textId="77C77D72" w:rsidR="00B434CB" w:rsidRDefault="00594440">
                      <w:pPr>
                        <w:rPr>
                          <w:sz w:val="16"/>
                          <w:szCs w:val="16"/>
                        </w:rPr>
                      </w:pPr>
                      <w:r>
                        <w:rPr>
                          <w:sz w:val="16"/>
                          <w:szCs w:val="16"/>
                        </w:rPr>
                        <w:t xml:space="preserve">Her bestowing boons </w:t>
                      </w:r>
                      <w:r w:rsidR="00AF4275">
                        <w:rPr>
                          <w:sz w:val="16"/>
                          <w:szCs w:val="16"/>
                        </w:rPr>
                        <w:t>–</w:t>
                      </w:r>
                      <w:r>
                        <w:rPr>
                          <w:sz w:val="16"/>
                          <w:szCs w:val="16"/>
                        </w:rPr>
                        <w:t xml:space="preserve"> </w:t>
                      </w:r>
                    </w:p>
                    <w:p w14:paraId="2DD0F1CD" w14:textId="0F9595C6" w:rsidR="00AF4275" w:rsidRPr="00DB6786" w:rsidRDefault="00AF4275">
                      <w:pPr>
                        <w:rPr>
                          <w:sz w:val="16"/>
                          <w:szCs w:val="16"/>
                        </w:rPr>
                      </w:pPr>
                      <w:r>
                        <w:rPr>
                          <w:sz w:val="16"/>
                          <w:szCs w:val="16"/>
                        </w:rPr>
                        <w:t>Considered answer</w:t>
                      </w:r>
                    </w:p>
                  </w:txbxContent>
                </v:textbox>
                <w10:wrap anchorx="margin"/>
              </v:shape>
            </w:pict>
          </mc:Fallback>
        </mc:AlternateContent>
      </w:r>
      <w:r w:rsidR="00EF3B0D">
        <w:rPr>
          <w:rFonts w:ascii="Google Sans Medium" w:eastAsia="Google Sans Medium" w:hAnsi="Google Sans Medium" w:cs="Google Sans Medium"/>
          <w:sz w:val="20"/>
          <w:szCs w:val="20"/>
        </w:rPr>
        <w:t xml:space="preserve">Mo: </w:t>
      </w:r>
      <w:r w:rsidR="00EF3B0D">
        <w:rPr>
          <w:rFonts w:ascii="Roboto" w:eastAsia="Roboto" w:hAnsi="Roboto" w:cs="Roboto"/>
          <w:color w:val="434343"/>
          <w:sz w:val="20"/>
          <w:szCs w:val="20"/>
        </w:rPr>
        <w:t xml:space="preserve">I think just by what you're describing there, </w:t>
      </w:r>
      <w:r w:rsidR="00EF3B0D">
        <w:rPr>
          <w:rFonts w:ascii="Roboto" w:eastAsia="Roboto" w:hAnsi="Roboto" w:cs="Roboto"/>
          <w:color w:val="434343"/>
          <w:sz w:val="20"/>
          <w:szCs w:val="20"/>
          <w:shd w:val="clear" w:color="auto" w:fill="F4CCCC"/>
        </w:rPr>
        <w:t xml:space="preserve">I </w:t>
      </w:r>
      <w:r w:rsidR="000B1ADB">
        <w:rPr>
          <w:rFonts w:ascii="Roboto" w:eastAsia="Roboto" w:hAnsi="Roboto" w:cs="Roboto"/>
          <w:color w:val="434343"/>
          <w:sz w:val="20"/>
          <w:szCs w:val="20"/>
          <w:shd w:val="clear" w:color="auto" w:fill="F4CCCC"/>
        </w:rPr>
        <w:t>think these</w:t>
      </w:r>
      <w:r w:rsidR="00EF3B0D">
        <w:rPr>
          <w:rFonts w:ascii="Roboto" w:eastAsia="Roboto" w:hAnsi="Roboto" w:cs="Roboto"/>
          <w:color w:val="434343"/>
          <w:sz w:val="20"/>
          <w:szCs w:val="20"/>
          <w:shd w:val="clear" w:color="auto" w:fill="F4CCCC"/>
        </w:rPr>
        <w:t xml:space="preserve"> are ideals. I think just as in life that model isn't always replicated. I think in teacher education that model isn't always replicated, and I think a further difference between those two is that in the first model you're talking about a young dependent child, in the second model you're talking about an independent rather than a dependent child in the first one, an independent adult. </w:t>
      </w:r>
      <w:r w:rsidR="00CB2089">
        <w:rPr>
          <w:rFonts w:ascii="Roboto" w:eastAsia="Roboto" w:hAnsi="Roboto" w:cs="Roboto"/>
          <w:color w:val="434343"/>
          <w:sz w:val="20"/>
          <w:szCs w:val="20"/>
          <w:shd w:val="clear" w:color="auto" w:fill="F4CCCC"/>
        </w:rPr>
        <w:t>So,</w:t>
      </w:r>
      <w:r w:rsidR="00EF3B0D">
        <w:rPr>
          <w:rFonts w:ascii="Roboto" w:eastAsia="Roboto" w:hAnsi="Roboto" w:cs="Roboto"/>
          <w:color w:val="434343"/>
          <w:sz w:val="20"/>
          <w:szCs w:val="20"/>
          <w:shd w:val="clear" w:color="auto" w:fill="F4CCCC"/>
        </w:rPr>
        <w:t xml:space="preserve"> I think that concept of holding the students, if we're talking about teacher training, is going to be one that doesn't sit comfortably with many of those teachers who we are anticipating will hold the student teacher because they're receiving them as an adult into a professional training program. </w:t>
      </w:r>
      <w:r w:rsidR="003E200A">
        <w:rPr>
          <w:rFonts w:ascii="Roboto" w:eastAsia="Roboto" w:hAnsi="Roboto" w:cs="Roboto"/>
          <w:color w:val="434343"/>
          <w:sz w:val="20"/>
          <w:szCs w:val="20"/>
        </w:rPr>
        <w:t>So,</w:t>
      </w:r>
      <w:r w:rsidR="00EF3B0D">
        <w:rPr>
          <w:rFonts w:ascii="Roboto" w:eastAsia="Roboto" w:hAnsi="Roboto" w:cs="Roboto"/>
          <w:color w:val="434343"/>
          <w:sz w:val="20"/>
          <w:szCs w:val="20"/>
        </w:rPr>
        <w:t xml:space="preserve"> I think that that's problematic straightaway. A different model would be probably the student teacher standing alone in the circle with various people forming a circle immediately around them rather than concentric circles. </w:t>
      </w:r>
      <w:r w:rsidR="003E200A">
        <w:rPr>
          <w:rFonts w:ascii="Roboto" w:eastAsia="Roboto" w:hAnsi="Roboto" w:cs="Roboto"/>
          <w:color w:val="434343"/>
          <w:sz w:val="20"/>
          <w:szCs w:val="20"/>
        </w:rPr>
        <w:t>So,</w:t>
      </w:r>
      <w:r w:rsidR="00EF3B0D">
        <w:rPr>
          <w:rFonts w:ascii="Roboto" w:eastAsia="Roboto" w:hAnsi="Roboto" w:cs="Roboto"/>
          <w:color w:val="434343"/>
          <w:sz w:val="20"/>
          <w:szCs w:val="20"/>
        </w:rPr>
        <w:t xml:space="preserve"> it would be the school who receives the student teacher, it would be the teacher </w:t>
      </w:r>
      <w:r w:rsidR="00AF4275">
        <w:rPr>
          <w:rFonts w:ascii="Roboto" w:eastAsia="Roboto" w:hAnsi="Roboto" w:cs="Roboto"/>
          <w:color w:val="434343"/>
          <w:sz w:val="20"/>
          <w:szCs w:val="20"/>
        </w:rPr>
        <w:t>m</w:t>
      </w:r>
      <w:r w:rsidR="00EF3B0D">
        <w:rPr>
          <w:rFonts w:ascii="Roboto" w:eastAsia="Roboto" w:hAnsi="Roboto" w:cs="Roboto"/>
          <w:color w:val="434343"/>
          <w:sz w:val="20"/>
          <w:szCs w:val="20"/>
        </w:rPr>
        <w:t xml:space="preserve">entor who is assigned responsibility for them. It would be the University or the institution that has recruited them. All three of them are likely to be in the same circle surrounding the student. You may then have other people at play who have different roles within each of those supporting structures. </w:t>
      </w:r>
      <w:r w:rsidR="003E200A">
        <w:rPr>
          <w:rFonts w:ascii="Roboto" w:eastAsia="Roboto" w:hAnsi="Roboto" w:cs="Roboto"/>
          <w:color w:val="434343"/>
          <w:sz w:val="20"/>
          <w:szCs w:val="20"/>
        </w:rPr>
        <w:t>So,</w:t>
      </w:r>
      <w:r w:rsidR="00EF3B0D">
        <w:rPr>
          <w:rFonts w:ascii="Roboto" w:eastAsia="Roboto" w:hAnsi="Roboto" w:cs="Roboto"/>
          <w:color w:val="434343"/>
          <w:sz w:val="20"/>
          <w:szCs w:val="20"/>
        </w:rPr>
        <w:t xml:space="preserve"> within the school it’s not just the teacher mentor, there’s </w:t>
      </w:r>
      <w:r w:rsidR="008465FA">
        <w:rPr>
          <w:rFonts w:ascii="Roboto" w:eastAsia="Roboto" w:hAnsi="Roboto" w:cs="Roboto"/>
          <w:color w:val="434343"/>
          <w:sz w:val="20"/>
          <w:szCs w:val="20"/>
        </w:rPr>
        <w:t>the professional</w:t>
      </w:r>
      <w:r w:rsidR="00EF3B0D">
        <w:rPr>
          <w:rFonts w:ascii="Roboto" w:eastAsia="Roboto" w:hAnsi="Roboto" w:cs="Roboto"/>
          <w:color w:val="434343"/>
          <w:sz w:val="20"/>
          <w:szCs w:val="20"/>
        </w:rPr>
        <w:t xml:space="preserve"> mentor. Within the university it's not only the institution it will be the subject tutor or the one that is delivering the taught concept content to that student teacher. It might be a subject tutor. It might be well-being </w:t>
      </w:r>
      <w:r w:rsidR="00B434CB">
        <w:rPr>
          <w:rFonts w:ascii="Roboto" w:eastAsia="Roboto" w:hAnsi="Roboto" w:cs="Roboto"/>
          <w:color w:val="434343"/>
          <w:sz w:val="20"/>
          <w:szCs w:val="20"/>
        </w:rPr>
        <w:t>s</w:t>
      </w:r>
      <w:r w:rsidR="00EF3B0D">
        <w:rPr>
          <w:rFonts w:ascii="Roboto" w:eastAsia="Roboto" w:hAnsi="Roboto" w:cs="Roboto"/>
          <w:color w:val="434343"/>
          <w:sz w:val="20"/>
          <w:szCs w:val="20"/>
        </w:rPr>
        <w:t xml:space="preserve">ervices. It might be academic support services. </w:t>
      </w:r>
      <w:r w:rsidR="000B1ADB">
        <w:rPr>
          <w:rFonts w:ascii="Roboto" w:eastAsia="Roboto" w:hAnsi="Roboto" w:cs="Roboto"/>
          <w:color w:val="434343"/>
          <w:sz w:val="20"/>
          <w:szCs w:val="20"/>
          <w:shd w:val="clear" w:color="auto" w:fill="F4CCCC"/>
        </w:rPr>
        <w:t>So,</w:t>
      </w:r>
      <w:r w:rsidR="00EF3B0D">
        <w:rPr>
          <w:rFonts w:ascii="Roboto" w:eastAsia="Roboto" w:hAnsi="Roboto" w:cs="Roboto"/>
          <w:color w:val="434343"/>
          <w:sz w:val="20"/>
          <w:szCs w:val="20"/>
          <w:shd w:val="clear" w:color="auto" w:fill="F4CCCC"/>
        </w:rPr>
        <w:t xml:space="preserve"> I think the model is slightly different in reality to that ideal.</w:t>
      </w:r>
    </w:p>
    <w:p w14:paraId="0A009095"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Thank you. So, if you think about yourself when you were a student, and if you think about everything you've just said to me, was that on offer for you when you were a learner?</w:t>
      </w:r>
    </w:p>
    <w:p w14:paraId="52B7622B" w14:textId="344B1C02" w:rsidR="00EF3B0D" w:rsidRDefault="00D90FAC">
      <w:pPr>
        <w:rPr>
          <w:rFonts w:ascii="Roboto" w:eastAsia="Roboto" w:hAnsi="Roboto" w:cs="Roboto"/>
          <w:color w:val="434343"/>
          <w:sz w:val="20"/>
          <w:szCs w:val="20"/>
          <w:shd w:val="clear" w:color="auto" w:fill="F4CCCC"/>
        </w:rPr>
      </w:pPr>
      <w:r>
        <w:rPr>
          <w:rFonts w:ascii="Google Sans Medium" w:eastAsia="Google Sans Medium" w:hAnsi="Google Sans Medium" w:cs="Google Sans Medium"/>
          <w:noProof/>
          <w:sz w:val="20"/>
          <w:szCs w:val="20"/>
        </w:rPr>
        <w:lastRenderedPageBreak/>
        <mc:AlternateContent>
          <mc:Choice Requires="wps">
            <w:drawing>
              <wp:anchor distT="0" distB="0" distL="114300" distR="114300" simplePos="0" relativeHeight="251669504" behindDoc="0" locked="0" layoutInCell="1" allowOverlap="1" wp14:anchorId="407E3532" wp14:editId="14CDABDD">
                <wp:simplePos x="0" y="0"/>
                <wp:positionH relativeFrom="column">
                  <wp:posOffset>5455920</wp:posOffset>
                </wp:positionH>
                <wp:positionV relativeFrom="paragraph">
                  <wp:posOffset>-426720</wp:posOffset>
                </wp:positionV>
                <wp:extent cx="838200" cy="1424940"/>
                <wp:effectExtent l="0" t="0" r="19050" b="22860"/>
                <wp:wrapNone/>
                <wp:docPr id="1587512504" name="Text Box 45"/>
                <wp:cNvGraphicFramePr/>
                <a:graphic xmlns:a="http://schemas.openxmlformats.org/drawingml/2006/main">
                  <a:graphicData uri="http://schemas.microsoft.com/office/word/2010/wordprocessingShape">
                    <wps:wsp>
                      <wps:cNvSpPr txBox="1"/>
                      <wps:spPr>
                        <a:xfrm>
                          <a:off x="0" y="0"/>
                          <a:ext cx="838200" cy="1424940"/>
                        </a:xfrm>
                        <a:prstGeom prst="rect">
                          <a:avLst/>
                        </a:prstGeom>
                        <a:solidFill>
                          <a:schemeClr val="lt1"/>
                        </a:solidFill>
                        <a:ln w="6350">
                          <a:solidFill>
                            <a:prstClr val="black"/>
                          </a:solidFill>
                        </a:ln>
                      </wps:spPr>
                      <wps:txbx>
                        <w:txbxContent>
                          <w:p w14:paraId="15CE50F3" w14:textId="642C5760" w:rsidR="00D90FAC" w:rsidRDefault="001A3892">
                            <w:pPr>
                              <w:rPr>
                                <w:sz w:val="16"/>
                                <w:szCs w:val="16"/>
                              </w:rPr>
                            </w:pPr>
                            <w:r>
                              <w:rPr>
                                <w:sz w:val="16"/>
                                <w:szCs w:val="16"/>
                              </w:rPr>
                              <w:t>Person to person</w:t>
                            </w:r>
                          </w:p>
                          <w:p w14:paraId="4D815C50" w14:textId="08774063" w:rsidR="001A3892" w:rsidRDefault="001A3892">
                            <w:pPr>
                              <w:rPr>
                                <w:sz w:val="16"/>
                                <w:szCs w:val="16"/>
                              </w:rPr>
                            </w:pPr>
                            <w:r>
                              <w:rPr>
                                <w:sz w:val="16"/>
                                <w:szCs w:val="16"/>
                              </w:rPr>
                              <w:t xml:space="preserve">Link to </w:t>
                            </w:r>
                            <w:r w:rsidR="006B4E7C">
                              <w:rPr>
                                <w:sz w:val="16"/>
                                <w:szCs w:val="16"/>
                              </w:rPr>
                              <w:t>first</w:t>
                            </w:r>
                            <w:r>
                              <w:rPr>
                                <w:sz w:val="16"/>
                                <w:szCs w:val="16"/>
                              </w:rPr>
                              <w:t xml:space="preserve"> interview re moral duty</w:t>
                            </w:r>
                          </w:p>
                          <w:p w14:paraId="4924EA25" w14:textId="61869AC5" w:rsidR="001A3892" w:rsidRPr="00D90FAC" w:rsidRDefault="001A3892">
                            <w:pPr>
                              <w:rPr>
                                <w:sz w:val="16"/>
                                <w:szCs w:val="16"/>
                              </w:rPr>
                            </w:pPr>
                            <w:r>
                              <w:rPr>
                                <w:sz w:val="16"/>
                                <w:szCs w:val="16"/>
                              </w:rPr>
                              <w:t>What happens when support is missing?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E3532" id="Text Box 45" o:spid="_x0000_s1050" type="#_x0000_t202" style="position:absolute;margin-left:429.6pt;margin-top:-33.6pt;width:66pt;height:112.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" fillcolor="white [3201]" strokeweight=".5pt">
                <v:textbox>
                  <w:txbxContent>
                    <w:p w14:paraId="15CE50F3" w14:textId="642C5760" w:rsidR="00D90FAC" w:rsidRDefault="001A3892">
                      <w:pPr>
                        <w:rPr>
                          <w:sz w:val="16"/>
                          <w:szCs w:val="16"/>
                        </w:rPr>
                      </w:pPr>
                      <w:r>
                        <w:rPr>
                          <w:sz w:val="16"/>
                          <w:szCs w:val="16"/>
                        </w:rPr>
                        <w:t>Person to person</w:t>
                      </w:r>
                    </w:p>
                    <w:p w14:paraId="4D815C50" w14:textId="08774063" w:rsidR="001A3892" w:rsidRDefault="001A3892">
                      <w:pPr>
                        <w:rPr>
                          <w:sz w:val="16"/>
                          <w:szCs w:val="16"/>
                        </w:rPr>
                      </w:pPr>
                      <w:r>
                        <w:rPr>
                          <w:sz w:val="16"/>
                          <w:szCs w:val="16"/>
                        </w:rPr>
                        <w:t xml:space="preserve">Link to </w:t>
                      </w:r>
                      <w:r w:rsidR="006B4E7C">
                        <w:rPr>
                          <w:sz w:val="16"/>
                          <w:szCs w:val="16"/>
                        </w:rPr>
                        <w:t>first</w:t>
                      </w:r>
                      <w:r>
                        <w:rPr>
                          <w:sz w:val="16"/>
                          <w:szCs w:val="16"/>
                        </w:rPr>
                        <w:t xml:space="preserve"> interview re moral duty</w:t>
                      </w:r>
                    </w:p>
                    <w:p w14:paraId="4924EA25" w14:textId="61869AC5" w:rsidR="001A3892" w:rsidRPr="00D90FAC" w:rsidRDefault="001A3892">
                      <w:pPr>
                        <w:rPr>
                          <w:sz w:val="16"/>
                          <w:szCs w:val="16"/>
                        </w:rPr>
                      </w:pPr>
                      <w:r>
                        <w:rPr>
                          <w:sz w:val="16"/>
                          <w:szCs w:val="16"/>
                        </w:rPr>
                        <w:t>What happens when support is missing?</w:t>
                      </w:r>
                    </w:p>
                  </w:txbxContent>
                </v:textbox>
              </v:shape>
            </w:pict>
          </mc:Fallback>
        </mc:AlternateContent>
      </w:r>
      <w:r w:rsidR="00EF3B0D">
        <w:rPr>
          <w:rFonts w:ascii="Google Sans Medium" w:eastAsia="Google Sans Medium" w:hAnsi="Google Sans Medium" w:cs="Google Sans Medium"/>
          <w:sz w:val="20"/>
          <w:szCs w:val="20"/>
          <w:shd w:val="clear" w:color="auto" w:fill="F4CCCC"/>
        </w:rPr>
        <w:t xml:space="preserve">Mo: </w:t>
      </w:r>
      <w:r w:rsidR="00EF3B0D">
        <w:rPr>
          <w:rFonts w:ascii="Roboto" w:eastAsia="Roboto" w:hAnsi="Roboto" w:cs="Roboto"/>
          <w:color w:val="434343"/>
          <w:sz w:val="20"/>
          <w:szCs w:val="20"/>
          <w:shd w:val="clear" w:color="auto" w:fill="F4CCCC"/>
        </w:rPr>
        <w:t>No, I think I mentioned before that the difficulty I had in my particular program was it was a distance program which meant you didn't have that person to person social connection with the support group around you, and I think that it was the nature of the course. So around me</w:t>
      </w:r>
    </w:p>
    <w:p w14:paraId="603DF4BE" w14:textId="77777777" w:rsidR="00EF3B0D" w:rsidRDefault="00EF3B0D">
      <w:pPr>
        <w:rPr>
          <w:rFonts w:ascii="Google Sans" w:eastAsia="Google Sans" w:hAnsi="Google Sans" w:cs="Google Sans"/>
          <w:sz w:val="26"/>
          <w:szCs w:val="26"/>
          <w:shd w:val="clear" w:color="auto" w:fill="F4CCCC"/>
        </w:rPr>
      </w:pPr>
      <w:r>
        <w:rPr>
          <w:rFonts w:ascii="Google Sans" w:eastAsia="Google Sans" w:hAnsi="Google Sans" w:cs="Google Sans"/>
          <w:sz w:val="26"/>
          <w:szCs w:val="26"/>
          <w:shd w:val="clear" w:color="auto" w:fill="F4CCCC"/>
        </w:rPr>
        <w:t>00:05:00</w:t>
      </w:r>
    </w:p>
    <w:p w14:paraId="43E31728" w14:textId="768F994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shd w:val="clear" w:color="auto" w:fill="F4CCCC"/>
        </w:rPr>
        <w:t>M</w:t>
      </w:r>
      <w:r w:rsidR="00D90FAC">
        <w:rPr>
          <w:rFonts w:ascii="Google Sans Medium" w:eastAsia="Google Sans Medium" w:hAnsi="Google Sans Medium" w:cs="Google Sans Medium"/>
          <w:sz w:val="20"/>
          <w:szCs w:val="20"/>
          <w:shd w:val="clear" w:color="auto" w:fill="F4CCCC"/>
        </w:rPr>
        <w:t>o</w:t>
      </w:r>
      <w:r>
        <w:rPr>
          <w:rFonts w:ascii="Google Sans Medium" w:eastAsia="Google Sans Medium" w:hAnsi="Google Sans Medium" w:cs="Google Sans Medium"/>
          <w:sz w:val="20"/>
          <w:szCs w:val="20"/>
          <w:shd w:val="clear" w:color="auto" w:fill="F4CCCC"/>
        </w:rPr>
        <w:t xml:space="preserve">: </w:t>
      </w:r>
      <w:r>
        <w:rPr>
          <w:rFonts w:ascii="Roboto" w:eastAsia="Roboto" w:hAnsi="Roboto" w:cs="Roboto"/>
          <w:color w:val="434343"/>
          <w:sz w:val="20"/>
          <w:szCs w:val="20"/>
          <w:shd w:val="clear" w:color="auto" w:fill="F4CCCC"/>
        </w:rPr>
        <w:t>was the University but in a very dotted, hazy way rather than the solid circle. They were contactable by email if you needed them and the odd telephone call. And I think in education when we're talking about personal development that person to person support is so important</w:t>
      </w:r>
      <w:r>
        <w:rPr>
          <w:rFonts w:ascii="Roboto" w:eastAsia="Roboto" w:hAnsi="Roboto" w:cs="Roboto"/>
          <w:color w:val="434343"/>
          <w:sz w:val="20"/>
          <w:szCs w:val="20"/>
        </w:rPr>
        <w:t>. In the school environment yes, there was a teacher mentor, but I think they were pulled out of that circle by the demands of their own teaching and their own job. and their own personal commitments.</w:t>
      </w:r>
    </w:p>
    <w:p w14:paraId="79FC3637"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Okay, I understand. Thank you. Wow, a lot in that and…</w:t>
      </w:r>
    </w:p>
    <w:p w14:paraId="5BB8D045"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A lot of not yeah.</w:t>
      </w:r>
    </w:p>
    <w:p w14:paraId="5C1ABD4F" w14:textId="2C69F7DC" w:rsidR="00EF3B0D" w:rsidRDefault="00B65AD7">
      <w:pPr>
        <w:rPr>
          <w:rFonts w:ascii="Roboto" w:eastAsia="Roboto" w:hAnsi="Roboto" w:cs="Roboto"/>
          <w:color w:val="434343"/>
          <w:sz w:val="20"/>
          <w:szCs w:val="20"/>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70528" behindDoc="0" locked="0" layoutInCell="1" allowOverlap="1" wp14:anchorId="785683D7" wp14:editId="3C12D235">
                <wp:simplePos x="0" y="0"/>
                <wp:positionH relativeFrom="column">
                  <wp:posOffset>5715000</wp:posOffset>
                </wp:positionH>
                <wp:positionV relativeFrom="paragraph">
                  <wp:posOffset>356870</wp:posOffset>
                </wp:positionV>
                <wp:extent cx="701040" cy="3566160"/>
                <wp:effectExtent l="0" t="0" r="22860" b="15240"/>
                <wp:wrapNone/>
                <wp:docPr id="1224879820" name="Text Box 46"/>
                <wp:cNvGraphicFramePr/>
                <a:graphic xmlns:a="http://schemas.openxmlformats.org/drawingml/2006/main">
                  <a:graphicData uri="http://schemas.microsoft.com/office/word/2010/wordprocessingShape">
                    <wps:wsp>
                      <wps:cNvSpPr txBox="1"/>
                      <wps:spPr>
                        <a:xfrm>
                          <a:off x="0" y="0"/>
                          <a:ext cx="701040" cy="3566160"/>
                        </a:xfrm>
                        <a:prstGeom prst="rect">
                          <a:avLst/>
                        </a:prstGeom>
                        <a:solidFill>
                          <a:schemeClr val="lt1"/>
                        </a:solidFill>
                        <a:ln w="6350">
                          <a:solidFill>
                            <a:prstClr val="black"/>
                          </a:solidFill>
                        </a:ln>
                      </wps:spPr>
                      <wps:txbx>
                        <w:txbxContent>
                          <w:p w14:paraId="6E18EB26" w14:textId="116E0820" w:rsidR="00B65AD7" w:rsidRDefault="00945025">
                            <w:pPr>
                              <w:rPr>
                                <w:sz w:val="16"/>
                                <w:szCs w:val="16"/>
                              </w:rPr>
                            </w:pPr>
                            <w:r>
                              <w:rPr>
                                <w:sz w:val="16"/>
                                <w:szCs w:val="16"/>
                              </w:rPr>
                              <w:t>Still painful to recall</w:t>
                            </w:r>
                          </w:p>
                          <w:p w14:paraId="6D6C9849" w14:textId="28B10FF2" w:rsidR="00945025" w:rsidRDefault="008367EF">
                            <w:pPr>
                              <w:rPr>
                                <w:sz w:val="16"/>
                                <w:szCs w:val="16"/>
                              </w:rPr>
                            </w:pPr>
                            <w:r>
                              <w:rPr>
                                <w:sz w:val="16"/>
                                <w:szCs w:val="16"/>
                              </w:rPr>
                              <w:t>Interview prompted further thought about past, and how this has informed her positionality</w:t>
                            </w:r>
                          </w:p>
                          <w:p w14:paraId="720DFFAF" w14:textId="5EA7422D" w:rsidR="006E3708" w:rsidRDefault="006E3708">
                            <w:pPr>
                              <w:rPr>
                                <w:sz w:val="16"/>
                                <w:szCs w:val="16"/>
                              </w:rPr>
                            </w:pPr>
                            <w:r>
                              <w:rPr>
                                <w:sz w:val="16"/>
                                <w:szCs w:val="16"/>
                              </w:rPr>
                              <w:t>Makes her relate/ have more empathy</w:t>
                            </w:r>
                          </w:p>
                          <w:p w14:paraId="68C7016C" w14:textId="51D316EE" w:rsidR="006E3708" w:rsidRDefault="002E1D0A">
                            <w:pPr>
                              <w:rPr>
                                <w:sz w:val="16"/>
                                <w:szCs w:val="16"/>
                              </w:rPr>
                            </w:pPr>
                            <w:r>
                              <w:rPr>
                                <w:sz w:val="16"/>
                                <w:szCs w:val="16"/>
                              </w:rPr>
                              <w:t>Past biography informs future change</w:t>
                            </w:r>
                          </w:p>
                          <w:p w14:paraId="425AF061" w14:textId="2A4D1800" w:rsidR="002E1D0A" w:rsidRPr="00B65AD7" w:rsidRDefault="002E1D0A">
                            <w:pPr>
                              <w:rPr>
                                <w:sz w:val="16"/>
                                <w:szCs w:val="16"/>
                              </w:rPr>
                            </w:pPr>
                            <w:r>
                              <w:rPr>
                                <w:sz w:val="16"/>
                                <w:szCs w:val="16"/>
                              </w:rPr>
                              <w:t xml:space="preserve">A </w:t>
                            </w:r>
                            <w:r w:rsidR="00EF4299">
                              <w:rPr>
                                <w:sz w:val="16"/>
                                <w:szCs w:val="16"/>
                              </w:rPr>
                              <w:t xml:space="preserve">change in </w:t>
                            </w:r>
                            <w:r w:rsidR="00EF4299" w:rsidRPr="006B4E7C">
                              <w:rPr>
                                <w:b/>
                                <w:bCs/>
                                <w:sz w:val="16"/>
                                <w:szCs w:val="16"/>
                              </w:rPr>
                              <w:t>HER</w:t>
                            </w:r>
                            <w:r w:rsidR="006B4E7C">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83D7" id="Text Box 46" o:spid="_x0000_s1051" type="#_x0000_t202" style="position:absolute;margin-left:450pt;margin-top:28.1pt;width:55.2pt;height:28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" fillcolor="white [3201]" strokeweight=".5pt">
                <v:textbox>
                  <w:txbxContent>
                    <w:p w14:paraId="6E18EB26" w14:textId="116E0820" w:rsidR="00B65AD7" w:rsidRDefault="00945025">
                      <w:pPr>
                        <w:rPr>
                          <w:sz w:val="16"/>
                          <w:szCs w:val="16"/>
                        </w:rPr>
                      </w:pPr>
                      <w:r>
                        <w:rPr>
                          <w:sz w:val="16"/>
                          <w:szCs w:val="16"/>
                        </w:rPr>
                        <w:t>Still painful to recall</w:t>
                      </w:r>
                    </w:p>
                    <w:p w14:paraId="6D6C9849" w14:textId="28B10FF2" w:rsidR="00945025" w:rsidRDefault="008367EF">
                      <w:pPr>
                        <w:rPr>
                          <w:sz w:val="16"/>
                          <w:szCs w:val="16"/>
                        </w:rPr>
                      </w:pPr>
                      <w:r>
                        <w:rPr>
                          <w:sz w:val="16"/>
                          <w:szCs w:val="16"/>
                        </w:rPr>
                        <w:t>Interview prompted further thought about past, and how this has informed her positionality</w:t>
                      </w:r>
                    </w:p>
                    <w:p w14:paraId="720DFFAF" w14:textId="5EA7422D" w:rsidR="006E3708" w:rsidRDefault="006E3708">
                      <w:pPr>
                        <w:rPr>
                          <w:sz w:val="16"/>
                          <w:szCs w:val="16"/>
                        </w:rPr>
                      </w:pPr>
                      <w:r>
                        <w:rPr>
                          <w:sz w:val="16"/>
                          <w:szCs w:val="16"/>
                        </w:rPr>
                        <w:t>Makes her relate/ have more empathy</w:t>
                      </w:r>
                    </w:p>
                    <w:p w14:paraId="68C7016C" w14:textId="51D316EE" w:rsidR="006E3708" w:rsidRDefault="002E1D0A">
                      <w:pPr>
                        <w:rPr>
                          <w:sz w:val="16"/>
                          <w:szCs w:val="16"/>
                        </w:rPr>
                      </w:pPr>
                      <w:r>
                        <w:rPr>
                          <w:sz w:val="16"/>
                          <w:szCs w:val="16"/>
                        </w:rPr>
                        <w:t>Past biography informs future change</w:t>
                      </w:r>
                    </w:p>
                    <w:p w14:paraId="425AF061" w14:textId="2A4D1800" w:rsidR="002E1D0A" w:rsidRPr="00B65AD7" w:rsidRDefault="002E1D0A">
                      <w:pPr>
                        <w:rPr>
                          <w:sz w:val="16"/>
                          <w:szCs w:val="16"/>
                        </w:rPr>
                      </w:pPr>
                      <w:r>
                        <w:rPr>
                          <w:sz w:val="16"/>
                          <w:szCs w:val="16"/>
                        </w:rPr>
                        <w:t xml:space="preserve">A </w:t>
                      </w:r>
                      <w:r w:rsidR="00EF4299">
                        <w:rPr>
                          <w:sz w:val="16"/>
                          <w:szCs w:val="16"/>
                        </w:rPr>
                        <w:t xml:space="preserve">change in </w:t>
                      </w:r>
                      <w:r w:rsidR="00EF4299" w:rsidRPr="006B4E7C">
                        <w:rPr>
                          <w:b/>
                          <w:bCs/>
                          <w:sz w:val="16"/>
                          <w:szCs w:val="16"/>
                        </w:rPr>
                        <w:t>HER</w:t>
                      </w:r>
                      <w:r w:rsidR="006B4E7C">
                        <w:rPr>
                          <w:b/>
                          <w:bCs/>
                          <w:sz w:val="16"/>
                          <w:szCs w:val="16"/>
                        </w:rPr>
                        <w:t xml:space="preserve"> !!</w:t>
                      </w:r>
                    </w:p>
                  </w:txbxContent>
                </v:textbox>
              </v:shape>
            </w:pict>
          </mc:Fallback>
        </mc:AlternateContent>
      </w:r>
      <w:r w:rsidR="00EF3B0D">
        <w:rPr>
          <w:rFonts w:ascii="Google Sans Medium" w:eastAsia="Google Sans Medium" w:hAnsi="Google Sans Medium" w:cs="Google Sans Medium"/>
          <w:sz w:val="20"/>
          <w:szCs w:val="20"/>
        </w:rPr>
        <w:t xml:space="preserve">Suzanne D Schultz: </w:t>
      </w:r>
      <w:r w:rsidR="001A3892">
        <w:rPr>
          <w:rFonts w:ascii="Roboto" w:eastAsia="Roboto" w:hAnsi="Roboto" w:cs="Roboto"/>
          <w:color w:val="434343"/>
          <w:sz w:val="20"/>
          <w:szCs w:val="20"/>
        </w:rPr>
        <w:t>So,</w:t>
      </w:r>
      <w:r w:rsidR="00EF3B0D">
        <w:rPr>
          <w:rFonts w:ascii="Roboto" w:eastAsia="Roboto" w:hAnsi="Roboto" w:cs="Roboto"/>
          <w:color w:val="434343"/>
          <w:sz w:val="20"/>
          <w:szCs w:val="20"/>
        </w:rPr>
        <w:t xml:space="preserve"> to go on to the next question, if you like, if you think back to our first interview, which was a couple of weeks ago, do you have any reflections on the interview process that you went through with me?</w:t>
      </w:r>
    </w:p>
    <w:p w14:paraId="08DD5C2A" w14:textId="77777777" w:rsidR="00EF3B0D" w:rsidRDefault="00EF3B0D">
      <w:pPr>
        <w:rPr>
          <w:rFonts w:ascii="Roboto" w:eastAsia="Roboto" w:hAnsi="Roboto" w:cs="Roboto"/>
          <w:color w:val="434343"/>
          <w:sz w:val="20"/>
          <w:szCs w:val="20"/>
          <w:shd w:val="clear" w:color="auto" w:fill="F4CCCC"/>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No, not at all.</w:t>
      </w:r>
      <w:r>
        <w:rPr>
          <w:rFonts w:ascii="Roboto" w:eastAsia="Roboto" w:hAnsi="Roboto" w:cs="Roboto"/>
          <w:color w:val="434343"/>
          <w:sz w:val="20"/>
          <w:szCs w:val="20"/>
          <w:shd w:val="clear" w:color="auto" w:fill="F4CCCC"/>
        </w:rPr>
        <w:t xml:space="preserve"> I think it's a good opportunity to reflect back on things. I think the difficulty is though when you reflect back on things, you're always going to interpret your experiences with a heavy layer of emotion because recalling it brings back the emotion of that time, even though years have passed and even though I should have a much different and more mature view about it now, it's subjective, isn't it? It's what you experienced at the time.</w:t>
      </w:r>
    </w:p>
    <w:p w14:paraId="2F257048" w14:textId="419EB579"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 xml:space="preserve">Yes, so in a way, I think what you're describing, if I might paraphrase that, is that it stirred up some memories that had emotions attached to them. </w:t>
      </w:r>
      <w:r w:rsidR="00552878">
        <w:rPr>
          <w:rFonts w:ascii="Roboto" w:eastAsia="Roboto" w:hAnsi="Roboto" w:cs="Roboto"/>
          <w:color w:val="434343"/>
          <w:sz w:val="20"/>
          <w:szCs w:val="20"/>
        </w:rPr>
        <w:t>So,</w:t>
      </w:r>
      <w:r>
        <w:rPr>
          <w:rFonts w:ascii="Roboto" w:eastAsia="Roboto" w:hAnsi="Roboto" w:cs="Roboto"/>
          <w:color w:val="434343"/>
          <w:sz w:val="20"/>
          <w:szCs w:val="20"/>
        </w:rPr>
        <w:t xml:space="preserve"> the next question was: Has taking part in this research impacted you emotionally?</w:t>
      </w:r>
    </w:p>
    <w:p w14:paraId="4A513666" w14:textId="77777777" w:rsidR="00EF3B0D" w:rsidRDefault="00EF3B0D">
      <w:pPr>
        <w:rPr>
          <w:rFonts w:ascii="Roboto" w:eastAsia="Roboto" w:hAnsi="Roboto" w:cs="Roboto"/>
          <w:color w:val="434343"/>
          <w:sz w:val="20"/>
          <w:szCs w:val="20"/>
          <w:shd w:val="clear" w:color="auto" w:fill="F4CCCC"/>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shd w:val="clear" w:color="auto" w:fill="F4CCCC"/>
        </w:rPr>
        <w:t>I think it certainly made me think of experiences that I hadn't thought of before, or remembered,  or things I haven't thought about in a long time</w:t>
      </w:r>
      <w:r>
        <w:rPr>
          <w:rFonts w:ascii="Roboto" w:eastAsia="Roboto" w:hAnsi="Roboto" w:cs="Roboto"/>
          <w:color w:val="434343"/>
          <w:sz w:val="20"/>
          <w:szCs w:val="20"/>
        </w:rPr>
        <w:t>. Remember the part of my role now is going out t</w:t>
      </w:r>
      <w:r>
        <w:rPr>
          <w:rFonts w:ascii="Roboto" w:eastAsia="Roboto" w:hAnsi="Roboto" w:cs="Roboto"/>
          <w:color w:val="434343"/>
          <w:sz w:val="20"/>
          <w:szCs w:val="20"/>
          <w:shd w:val="clear" w:color="auto" w:fill="F4CCCC"/>
        </w:rPr>
        <w:t>o see these student teachers and I think it's beneficial before I go and see them to just recall, okay,  you do remember your own experience and it allows me or stimulates me to be a bit more empathetic when I'm going in to see them to understand the reality of their situation</w:t>
      </w:r>
      <w:r>
        <w:rPr>
          <w:rFonts w:ascii="Roboto" w:eastAsia="Roboto" w:hAnsi="Roboto" w:cs="Roboto"/>
          <w:color w:val="434343"/>
          <w:sz w:val="20"/>
          <w:szCs w:val="20"/>
        </w:rPr>
        <w:t xml:space="preserve">. In fact, I've had a call this morning from a trainee, who wanted to speak to me urgently because they are really unhappy with one of the relationships in her school placement and it is important that I'm really empathetic to her position, that I listen to what she says and </w:t>
      </w:r>
      <w:r>
        <w:rPr>
          <w:rFonts w:ascii="Roboto" w:eastAsia="Roboto" w:hAnsi="Roboto" w:cs="Roboto"/>
          <w:color w:val="434343"/>
          <w:sz w:val="20"/>
          <w:szCs w:val="20"/>
          <w:shd w:val="clear" w:color="auto" w:fill="F4CCCC"/>
        </w:rPr>
        <w:t>that if my experience can influence my current role positively then I think that's got to be a good thing.</w:t>
      </w:r>
    </w:p>
    <w:p w14:paraId="28A0C265" w14:textId="5CA4150D"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 xml:space="preserve">Wonderful, because that was my next question. You've </w:t>
      </w:r>
      <w:r w:rsidR="00104787">
        <w:rPr>
          <w:rFonts w:ascii="Roboto" w:eastAsia="Roboto" w:hAnsi="Roboto" w:cs="Roboto"/>
          <w:color w:val="434343"/>
          <w:sz w:val="20"/>
          <w:szCs w:val="20"/>
        </w:rPr>
        <w:t>pre-empted</w:t>
      </w:r>
      <w:r>
        <w:rPr>
          <w:rFonts w:ascii="Roboto" w:eastAsia="Roboto" w:hAnsi="Roboto" w:cs="Roboto"/>
          <w:color w:val="434343"/>
          <w:sz w:val="20"/>
          <w:szCs w:val="20"/>
        </w:rPr>
        <w:t xml:space="preserve"> it without realising it, which </w:t>
      </w:r>
      <w:r w:rsidR="00EF4299">
        <w:rPr>
          <w:rFonts w:ascii="Roboto" w:eastAsia="Roboto" w:hAnsi="Roboto" w:cs="Roboto"/>
          <w:color w:val="434343"/>
          <w:sz w:val="20"/>
          <w:szCs w:val="20"/>
        </w:rPr>
        <w:t>was: Has</w:t>
      </w:r>
      <w:r>
        <w:rPr>
          <w:rFonts w:ascii="Roboto" w:eastAsia="Roboto" w:hAnsi="Roboto" w:cs="Roboto"/>
          <w:color w:val="434343"/>
          <w:sz w:val="20"/>
          <w:szCs w:val="20"/>
        </w:rPr>
        <w:t xml:space="preserve"> your teaching practice or your praxis in the role you're in been impacted by taking part in this interview process? And I think, if I'm right, you have just explained how it has, that you're going to have a level of empathy for your students based on what you experienced and remembering that and reflecting upon that.</w:t>
      </w:r>
    </w:p>
    <w:p w14:paraId="3A4E6047"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Yes. Absolutely.</w:t>
      </w:r>
    </w:p>
    <w:p w14:paraId="6BD0577C" w14:textId="206530C3" w:rsidR="00EF3B0D" w:rsidRDefault="00202CBD">
      <w:pPr>
        <w:rPr>
          <w:rFonts w:ascii="Roboto" w:eastAsia="Roboto" w:hAnsi="Roboto" w:cs="Roboto"/>
          <w:color w:val="434343"/>
          <w:sz w:val="20"/>
          <w:szCs w:val="20"/>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71552" behindDoc="0" locked="0" layoutInCell="1" allowOverlap="1" wp14:anchorId="650C5D83" wp14:editId="605F005E">
                <wp:simplePos x="0" y="0"/>
                <wp:positionH relativeFrom="column">
                  <wp:posOffset>5768340</wp:posOffset>
                </wp:positionH>
                <wp:positionV relativeFrom="paragraph">
                  <wp:posOffset>119380</wp:posOffset>
                </wp:positionV>
                <wp:extent cx="609600" cy="1882140"/>
                <wp:effectExtent l="0" t="0" r="19050" b="22860"/>
                <wp:wrapNone/>
                <wp:docPr id="534133746" name="Text Box 47"/>
                <wp:cNvGraphicFramePr/>
                <a:graphic xmlns:a="http://schemas.openxmlformats.org/drawingml/2006/main">
                  <a:graphicData uri="http://schemas.microsoft.com/office/word/2010/wordprocessingShape">
                    <wps:wsp>
                      <wps:cNvSpPr txBox="1"/>
                      <wps:spPr>
                        <a:xfrm>
                          <a:off x="0" y="0"/>
                          <a:ext cx="609600" cy="1882140"/>
                        </a:xfrm>
                        <a:prstGeom prst="rect">
                          <a:avLst/>
                        </a:prstGeom>
                        <a:solidFill>
                          <a:schemeClr val="lt1"/>
                        </a:solidFill>
                        <a:ln w="6350">
                          <a:solidFill>
                            <a:prstClr val="black"/>
                          </a:solidFill>
                        </a:ln>
                      </wps:spPr>
                      <wps:txbx>
                        <w:txbxContent>
                          <w:p w14:paraId="0F12546E" w14:textId="2D07C58F" w:rsidR="00202CBD" w:rsidRDefault="00202CBD">
                            <w:pPr>
                              <w:rPr>
                                <w:sz w:val="16"/>
                                <w:szCs w:val="16"/>
                              </w:rPr>
                            </w:pPr>
                            <w:r>
                              <w:rPr>
                                <w:sz w:val="16"/>
                                <w:szCs w:val="16"/>
                              </w:rPr>
                              <w:t>The “human</w:t>
                            </w:r>
                            <w:r w:rsidR="00C85F3B">
                              <w:rPr>
                                <w:sz w:val="16"/>
                                <w:szCs w:val="16"/>
                              </w:rPr>
                              <w:t>” side</w:t>
                            </w:r>
                          </w:p>
                          <w:p w14:paraId="1C8BD366" w14:textId="68EF84E1" w:rsidR="00C85F3B" w:rsidRDefault="00C85F3B">
                            <w:pPr>
                              <w:rPr>
                                <w:sz w:val="16"/>
                                <w:szCs w:val="16"/>
                              </w:rPr>
                            </w:pPr>
                            <w:r>
                              <w:rPr>
                                <w:sz w:val="16"/>
                                <w:szCs w:val="16"/>
                              </w:rPr>
                              <w:t>(She said this in first interview)</w:t>
                            </w:r>
                          </w:p>
                          <w:p w14:paraId="1CAE270E" w14:textId="2D18A197" w:rsidR="00C85F3B" w:rsidRPr="00202CBD" w:rsidRDefault="00C85F3B">
                            <w:pPr>
                              <w:rPr>
                                <w:sz w:val="16"/>
                                <w:szCs w:val="16"/>
                              </w:rPr>
                            </w:pPr>
                            <w:r>
                              <w:rPr>
                                <w:sz w:val="16"/>
                                <w:szCs w:val="16"/>
                              </w:rPr>
                              <w:t>Links to others who said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5D83" id="Text Box 47" o:spid="_x0000_s1052" type="#_x0000_t202" style="position:absolute;margin-left:454.2pt;margin-top:9.4pt;width:48pt;height:14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" fillcolor="white [3201]" strokeweight=".5pt">
                <v:textbox>
                  <w:txbxContent>
                    <w:p w14:paraId="0F12546E" w14:textId="2D07C58F" w:rsidR="00202CBD" w:rsidRDefault="00202CBD">
                      <w:pPr>
                        <w:rPr>
                          <w:sz w:val="16"/>
                          <w:szCs w:val="16"/>
                        </w:rPr>
                      </w:pPr>
                      <w:r>
                        <w:rPr>
                          <w:sz w:val="16"/>
                          <w:szCs w:val="16"/>
                        </w:rPr>
                        <w:t>The “human</w:t>
                      </w:r>
                      <w:r w:rsidR="00C85F3B">
                        <w:rPr>
                          <w:sz w:val="16"/>
                          <w:szCs w:val="16"/>
                        </w:rPr>
                        <w:t>” side</w:t>
                      </w:r>
                    </w:p>
                    <w:p w14:paraId="1C8BD366" w14:textId="68EF84E1" w:rsidR="00C85F3B" w:rsidRDefault="00C85F3B">
                      <w:pPr>
                        <w:rPr>
                          <w:sz w:val="16"/>
                          <w:szCs w:val="16"/>
                        </w:rPr>
                      </w:pPr>
                      <w:r>
                        <w:rPr>
                          <w:sz w:val="16"/>
                          <w:szCs w:val="16"/>
                        </w:rPr>
                        <w:t>(She said this in first interview)</w:t>
                      </w:r>
                    </w:p>
                    <w:p w14:paraId="1CAE270E" w14:textId="2D18A197" w:rsidR="00C85F3B" w:rsidRPr="00202CBD" w:rsidRDefault="00C85F3B">
                      <w:pPr>
                        <w:rPr>
                          <w:sz w:val="16"/>
                          <w:szCs w:val="16"/>
                        </w:rPr>
                      </w:pPr>
                      <w:r>
                        <w:rPr>
                          <w:sz w:val="16"/>
                          <w:szCs w:val="16"/>
                        </w:rPr>
                        <w:t>Links to others who said the same??</w:t>
                      </w:r>
                    </w:p>
                  </w:txbxContent>
                </v:textbox>
              </v:shape>
            </w:pict>
          </mc:Fallback>
        </mc:AlternateContent>
      </w:r>
      <w:r w:rsidR="00EF3B0D">
        <w:rPr>
          <w:rFonts w:ascii="Google Sans Medium" w:eastAsia="Google Sans Medium" w:hAnsi="Google Sans Medium" w:cs="Google Sans Medium"/>
          <w:sz w:val="20"/>
          <w:szCs w:val="20"/>
        </w:rPr>
        <w:t xml:space="preserve">Suzanne D Schultz: That </w:t>
      </w:r>
      <w:r w:rsidR="00EF3B0D">
        <w:rPr>
          <w:rFonts w:ascii="Roboto" w:eastAsia="Roboto" w:hAnsi="Roboto" w:cs="Roboto"/>
          <w:color w:val="434343"/>
          <w:sz w:val="20"/>
          <w:szCs w:val="20"/>
        </w:rPr>
        <w:t>helps your engagement with your students in a more empathic way.</w:t>
      </w:r>
    </w:p>
    <w:p w14:paraId="32B92C21" w14:textId="77777777" w:rsidR="00EF3B0D" w:rsidRDefault="00EF3B0D">
      <w:pPr>
        <w:rPr>
          <w:rFonts w:ascii="Roboto" w:eastAsia="Roboto" w:hAnsi="Roboto" w:cs="Roboto"/>
          <w:color w:val="434343"/>
          <w:sz w:val="20"/>
          <w:szCs w:val="20"/>
          <w:shd w:val="clear" w:color="auto" w:fill="F4CCCC"/>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 xml:space="preserve">Yes. Yes, certainly. And I think that's a really important thing to remember, particularly when we work in institutions that are so driven by legislation, by frameworks, by statutory entitlements. </w:t>
      </w:r>
      <w:r>
        <w:rPr>
          <w:rFonts w:ascii="Roboto" w:eastAsia="Roboto" w:hAnsi="Roboto" w:cs="Roboto"/>
          <w:color w:val="434343"/>
          <w:sz w:val="20"/>
          <w:szCs w:val="20"/>
          <w:shd w:val="clear" w:color="auto" w:fill="F4CCCC"/>
        </w:rPr>
        <w:t>It's really important to remember that human side in there when we're talking about professional training.I was reading something the other day, which is part of something that I'm reading which said that no one enters teaching as a blank piece of paper. We all bring with us our experiences from our prior life so that kind of exemplifies that you can't just look at the legislation, statutory entitlement, what you should be doing for these students. Yes. That is totally important but the human side, our own experience, what we've been through it affects our knowledge and understanding of how things pan out and I think that's so important.</w:t>
      </w:r>
    </w:p>
    <w:p w14:paraId="04DEC00A" w14:textId="3C053D40" w:rsidR="00EF3B0D" w:rsidRDefault="0086362E">
      <w:pPr>
        <w:rPr>
          <w:rFonts w:ascii="Google Sans" w:eastAsia="Google Sans" w:hAnsi="Google Sans" w:cs="Google Sans"/>
          <w:sz w:val="26"/>
          <w:szCs w:val="26"/>
        </w:rPr>
      </w:pPr>
      <w:r>
        <w:rPr>
          <w:rFonts w:ascii="Google Sans" w:eastAsia="Google Sans" w:hAnsi="Google Sans" w:cs="Google Sans"/>
          <w:noProof/>
          <w:sz w:val="26"/>
          <w:szCs w:val="26"/>
        </w:rPr>
        <w:lastRenderedPageBreak/>
        <mc:AlternateContent>
          <mc:Choice Requires="wps">
            <w:drawing>
              <wp:anchor distT="0" distB="0" distL="114300" distR="114300" simplePos="0" relativeHeight="251673600" behindDoc="0" locked="0" layoutInCell="1" allowOverlap="1" wp14:anchorId="300B83E9" wp14:editId="3B994608">
                <wp:simplePos x="0" y="0"/>
                <wp:positionH relativeFrom="column">
                  <wp:posOffset>1257300</wp:posOffset>
                </wp:positionH>
                <wp:positionV relativeFrom="paragraph">
                  <wp:posOffset>-335280</wp:posOffset>
                </wp:positionV>
                <wp:extent cx="3497580" cy="624840"/>
                <wp:effectExtent l="0" t="0" r="26670" b="22860"/>
                <wp:wrapNone/>
                <wp:docPr id="1296642765" name="Text Box 50"/>
                <wp:cNvGraphicFramePr/>
                <a:graphic xmlns:a="http://schemas.openxmlformats.org/drawingml/2006/main">
                  <a:graphicData uri="http://schemas.microsoft.com/office/word/2010/wordprocessingShape">
                    <wps:wsp>
                      <wps:cNvSpPr txBox="1"/>
                      <wps:spPr>
                        <a:xfrm>
                          <a:off x="0" y="0"/>
                          <a:ext cx="3497580" cy="624840"/>
                        </a:xfrm>
                        <a:prstGeom prst="rect">
                          <a:avLst/>
                        </a:prstGeom>
                        <a:solidFill>
                          <a:schemeClr val="lt1"/>
                        </a:solidFill>
                        <a:ln w="6350">
                          <a:solidFill>
                            <a:prstClr val="black"/>
                          </a:solidFill>
                        </a:ln>
                      </wps:spPr>
                      <wps:txbx>
                        <w:txbxContent>
                          <w:p w14:paraId="1B817A08" w14:textId="57D6DE10" w:rsidR="0086362E" w:rsidRDefault="0086362E">
                            <w:pPr>
                              <w:rPr>
                                <w:sz w:val="18"/>
                                <w:szCs w:val="18"/>
                              </w:rPr>
                            </w:pPr>
                            <w:r>
                              <w:rPr>
                                <w:sz w:val="18"/>
                                <w:szCs w:val="18"/>
                              </w:rPr>
                              <w:t>I find Mo very relatable, open, honest, grounded</w:t>
                            </w:r>
                            <w:r w:rsidR="00190274">
                              <w:rPr>
                                <w:sz w:val="18"/>
                                <w:szCs w:val="18"/>
                              </w:rPr>
                              <w:t>, inspiring, engaging</w:t>
                            </w:r>
                          </w:p>
                          <w:p w14:paraId="7283BCB8" w14:textId="78D0D38F" w:rsidR="00190274" w:rsidRPr="0086362E" w:rsidRDefault="00BA5607">
                            <w:pPr>
                              <w:rPr>
                                <w:sz w:val="18"/>
                                <w:szCs w:val="18"/>
                              </w:rPr>
                            </w:pPr>
                            <w:r>
                              <w:rPr>
                                <w:sz w:val="18"/>
                                <w:szCs w:val="18"/>
                              </w:rPr>
                              <w:t>Think it is who she is – AND because of her “harrowing” experiences as a learner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B83E9" id="Text Box 50" o:spid="_x0000_s1053" type="#_x0000_t202" style="position:absolute;margin-left:99pt;margin-top:-26.4pt;width:275.4pt;height:49.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nrOwIAAIQ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" fillcolor="white [3201]" strokeweight=".5pt">
                <v:textbox>
                  <w:txbxContent>
                    <w:p w14:paraId="1B817A08" w14:textId="57D6DE10" w:rsidR="0086362E" w:rsidRDefault="0086362E">
                      <w:pPr>
                        <w:rPr>
                          <w:sz w:val="18"/>
                          <w:szCs w:val="18"/>
                        </w:rPr>
                      </w:pPr>
                      <w:r>
                        <w:rPr>
                          <w:sz w:val="18"/>
                          <w:szCs w:val="18"/>
                        </w:rPr>
                        <w:t>I find Mo very relatable, open, honest, grounded</w:t>
                      </w:r>
                      <w:r w:rsidR="00190274">
                        <w:rPr>
                          <w:sz w:val="18"/>
                          <w:szCs w:val="18"/>
                        </w:rPr>
                        <w:t>, inspiring, engaging</w:t>
                      </w:r>
                    </w:p>
                    <w:p w14:paraId="7283BCB8" w14:textId="78D0D38F" w:rsidR="00190274" w:rsidRPr="0086362E" w:rsidRDefault="00BA5607">
                      <w:pPr>
                        <w:rPr>
                          <w:sz w:val="18"/>
                          <w:szCs w:val="18"/>
                        </w:rPr>
                      </w:pPr>
                      <w:r>
                        <w:rPr>
                          <w:sz w:val="18"/>
                          <w:szCs w:val="18"/>
                        </w:rPr>
                        <w:t>Think it is who she is – AND because of her “harrowing” experiences as a learner</w:t>
                      </w:r>
                    </w:p>
                  </w:txbxContent>
                </v:textbox>
              </v:shape>
            </w:pict>
          </mc:Fallback>
        </mc:AlternateContent>
      </w:r>
      <w:r w:rsidR="000258D2">
        <w:rPr>
          <w:rFonts w:ascii="Google Sans" w:eastAsia="Google Sans" w:hAnsi="Google Sans" w:cs="Google Sans"/>
          <w:noProof/>
          <w:sz w:val="26"/>
          <w:szCs w:val="26"/>
        </w:rPr>
        <mc:AlternateContent>
          <mc:Choice Requires="wps">
            <w:drawing>
              <wp:anchor distT="0" distB="0" distL="114300" distR="114300" simplePos="0" relativeHeight="251672576" behindDoc="0" locked="0" layoutInCell="1" allowOverlap="1" wp14:anchorId="4F608B62" wp14:editId="4ED4367B">
                <wp:simplePos x="0" y="0"/>
                <wp:positionH relativeFrom="rightMargin">
                  <wp:align>left</wp:align>
                </wp:positionH>
                <wp:positionV relativeFrom="paragraph">
                  <wp:posOffset>-175260</wp:posOffset>
                </wp:positionV>
                <wp:extent cx="647700" cy="2735580"/>
                <wp:effectExtent l="0" t="0" r="19050" b="26670"/>
                <wp:wrapNone/>
                <wp:docPr id="1058168590" name="Text Box 48"/>
                <wp:cNvGraphicFramePr/>
                <a:graphic xmlns:a="http://schemas.openxmlformats.org/drawingml/2006/main">
                  <a:graphicData uri="http://schemas.microsoft.com/office/word/2010/wordprocessingShape">
                    <wps:wsp>
                      <wps:cNvSpPr txBox="1"/>
                      <wps:spPr>
                        <a:xfrm>
                          <a:off x="0" y="0"/>
                          <a:ext cx="647700" cy="2735580"/>
                        </a:xfrm>
                        <a:prstGeom prst="rect">
                          <a:avLst/>
                        </a:prstGeom>
                        <a:solidFill>
                          <a:schemeClr val="lt1"/>
                        </a:solidFill>
                        <a:ln w="6350">
                          <a:solidFill>
                            <a:prstClr val="black"/>
                          </a:solidFill>
                        </a:ln>
                      </wps:spPr>
                      <wps:txbx>
                        <w:txbxContent>
                          <w:p w14:paraId="7C83EE59" w14:textId="40831E19" w:rsidR="000258D2" w:rsidRDefault="00DC6C09">
                            <w:pPr>
                              <w:rPr>
                                <w:sz w:val="16"/>
                                <w:szCs w:val="16"/>
                              </w:rPr>
                            </w:pPr>
                            <w:r>
                              <w:rPr>
                                <w:sz w:val="16"/>
                                <w:szCs w:val="16"/>
                              </w:rPr>
                              <w:t>Wow!</w:t>
                            </w:r>
                          </w:p>
                          <w:p w14:paraId="3D86ADE8" w14:textId="5E09D154" w:rsidR="00DC6C09" w:rsidRDefault="00DC6C09">
                            <w:pPr>
                              <w:rPr>
                                <w:sz w:val="16"/>
                                <w:szCs w:val="16"/>
                              </w:rPr>
                            </w:pPr>
                            <w:r>
                              <w:rPr>
                                <w:sz w:val="16"/>
                                <w:szCs w:val="16"/>
                              </w:rPr>
                              <w:t>Back to the “human”</w:t>
                            </w:r>
                          </w:p>
                          <w:p w14:paraId="426C8A84" w14:textId="0232A4D7" w:rsidR="00DC6C09" w:rsidRDefault="00DC6C09">
                            <w:pPr>
                              <w:rPr>
                                <w:sz w:val="16"/>
                                <w:szCs w:val="16"/>
                              </w:rPr>
                            </w:pPr>
                            <w:r>
                              <w:rPr>
                                <w:sz w:val="16"/>
                                <w:szCs w:val="16"/>
                              </w:rPr>
                              <w:t>Drawing on the human</w:t>
                            </w:r>
                          </w:p>
                          <w:p w14:paraId="1F6C5A73" w14:textId="3B82113F" w:rsidR="00DC6C09" w:rsidRDefault="00DC6C09">
                            <w:pPr>
                              <w:rPr>
                                <w:sz w:val="16"/>
                                <w:szCs w:val="16"/>
                              </w:rPr>
                            </w:pPr>
                            <w:r>
                              <w:rPr>
                                <w:sz w:val="16"/>
                                <w:szCs w:val="16"/>
                              </w:rPr>
                              <w:t>Perceptual set</w:t>
                            </w:r>
                          </w:p>
                          <w:p w14:paraId="704FCA6D" w14:textId="5B20735F" w:rsidR="003768E9" w:rsidRDefault="003768E9">
                            <w:pPr>
                              <w:rPr>
                                <w:sz w:val="16"/>
                                <w:szCs w:val="16"/>
                              </w:rPr>
                            </w:pPr>
                            <w:r>
                              <w:rPr>
                                <w:sz w:val="16"/>
                                <w:szCs w:val="16"/>
                              </w:rPr>
                              <w:t>Human qualities</w:t>
                            </w:r>
                          </w:p>
                          <w:p w14:paraId="47883803" w14:textId="5D6C435B" w:rsidR="003768E9" w:rsidRDefault="003768E9">
                            <w:pPr>
                              <w:rPr>
                                <w:sz w:val="16"/>
                                <w:szCs w:val="16"/>
                              </w:rPr>
                            </w:pPr>
                            <w:r>
                              <w:rPr>
                                <w:sz w:val="16"/>
                                <w:szCs w:val="16"/>
                              </w:rPr>
                              <w:t>Relational</w:t>
                            </w:r>
                          </w:p>
                          <w:p w14:paraId="2A6B252A" w14:textId="5727DA1E" w:rsidR="003768E9" w:rsidRDefault="003768E9">
                            <w:pPr>
                              <w:rPr>
                                <w:sz w:val="16"/>
                                <w:szCs w:val="16"/>
                              </w:rPr>
                            </w:pPr>
                            <w:r>
                              <w:rPr>
                                <w:sz w:val="16"/>
                                <w:szCs w:val="16"/>
                              </w:rPr>
                              <w:t>Sensing</w:t>
                            </w:r>
                          </w:p>
                          <w:p w14:paraId="05ED0D60" w14:textId="4FD0CFBF" w:rsidR="003768E9" w:rsidRPr="000258D2" w:rsidRDefault="003768E9">
                            <w:pPr>
                              <w:rPr>
                                <w:sz w:val="16"/>
                                <w:szCs w:val="16"/>
                              </w:rPr>
                            </w:pPr>
                            <w:r>
                              <w:rPr>
                                <w:sz w:val="16"/>
                                <w:szCs w:val="16"/>
                              </w:rPr>
                              <w:t>Knowing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08B62" id="Text Box 48" o:spid="_x0000_s1054" type="#_x0000_t202" style="position:absolute;margin-left:0;margin-top:-13.8pt;width:51pt;height:215.4pt;z-index:25167257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zOwIAAIQ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" fillcolor="white [3201]" strokeweight=".5pt">
                <v:textbox>
                  <w:txbxContent>
                    <w:p w14:paraId="7C83EE59" w14:textId="40831E19" w:rsidR="000258D2" w:rsidRDefault="00DC6C09">
                      <w:pPr>
                        <w:rPr>
                          <w:sz w:val="16"/>
                          <w:szCs w:val="16"/>
                        </w:rPr>
                      </w:pPr>
                      <w:r>
                        <w:rPr>
                          <w:sz w:val="16"/>
                          <w:szCs w:val="16"/>
                        </w:rPr>
                        <w:t>Wow!</w:t>
                      </w:r>
                    </w:p>
                    <w:p w14:paraId="3D86ADE8" w14:textId="5E09D154" w:rsidR="00DC6C09" w:rsidRDefault="00DC6C09">
                      <w:pPr>
                        <w:rPr>
                          <w:sz w:val="16"/>
                          <w:szCs w:val="16"/>
                        </w:rPr>
                      </w:pPr>
                      <w:r>
                        <w:rPr>
                          <w:sz w:val="16"/>
                          <w:szCs w:val="16"/>
                        </w:rPr>
                        <w:t>Back to the “human”</w:t>
                      </w:r>
                    </w:p>
                    <w:p w14:paraId="426C8A84" w14:textId="0232A4D7" w:rsidR="00DC6C09" w:rsidRDefault="00DC6C09">
                      <w:pPr>
                        <w:rPr>
                          <w:sz w:val="16"/>
                          <w:szCs w:val="16"/>
                        </w:rPr>
                      </w:pPr>
                      <w:r>
                        <w:rPr>
                          <w:sz w:val="16"/>
                          <w:szCs w:val="16"/>
                        </w:rPr>
                        <w:t>Drawing on the human</w:t>
                      </w:r>
                    </w:p>
                    <w:p w14:paraId="1F6C5A73" w14:textId="3B82113F" w:rsidR="00DC6C09" w:rsidRDefault="00DC6C09">
                      <w:pPr>
                        <w:rPr>
                          <w:sz w:val="16"/>
                          <w:szCs w:val="16"/>
                        </w:rPr>
                      </w:pPr>
                      <w:r>
                        <w:rPr>
                          <w:sz w:val="16"/>
                          <w:szCs w:val="16"/>
                        </w:rPr>
                        <w:t>Perceptual set</w:t>
                      </w:r>
                    </w:p>
                    <w:p w14:paraId="704FCA6D" w14:textId="5B20735F" w:rsidR="003768E9" w:rsidRDefault="003768E9">
                      <w:pPr>
                        <w:rPr>
                          <w:sz w:val="16"/>
                          <w:szCs w:val="16"/>
                        </w:rPr>
                      </w:pPr>
                      <w:r>
                        <w:rPr>
                          <w:sz w:val="16"/>
                          <w:szCs w:val="16"/>
                        </w:rPr>
                        <w:t>Human qualities</w:t>
                      </w:r>
                    </w:p>
                    <w:p w14:paraId="47883803" w14:textId="5D6C435B" w:rsidR="003768E9" w:rsidRDefault="003768E9">
                      <w:pPr>
                        <w:rPr>
                          <w:sz w:val="16"/>
                          <w:szCs w:val="16"/>
                        </w:rPr>
                      </w:pPr>
                      <w:r>
                        <w:rPr>
                          <w:sz w:val="16"/>
                          <w:szCs w:val="16"/>
                        </w:rPr>
                        <w:t>Relational</w:t>
                      </w:r>
                    </w:p>
                    <w:p w14:paraId="2A6B252A" w14:textId="5727DA1E" w:rsidR="003768E9" w:rsidRDefault="003768E9">
                      <w:pPr>
                        <w:rPr>
                          <w:sz w:val="16"/>
                          <w:szCs w:val="16"/>
                        </w:rPr>
                      </w:pPr>
                      <w:r>
                        <w:rPr>
                          <w:sz w:val="16"/>
                          <w:szCs w:val="16"/>
                        </w:rPr>
                        <w:t>Sensing</w:t>
                      </w:r>
                    </w:p>
                    <w:p w14:paraId="05ED0D60" w14:textId="4FD0CFBF" w:rsidR="003768E9" w:rsidRPr="000258D2" w:rsidRDefault="003768E9">
                      <w:pPr>
                        <w:rPr>
                          <w:sz w:val="16"/>
                          <w:szCs w:val="16"/>
                        </w:rPr>
                      </w:pPr>
                      <w:r>
                        <w:rPr>
                          <w:sz w:val="16"/>
                          <w:szCs w:val="16"/>
                        </w:rPr>
                        <w:t>Knowing</w:t>
                      </w:r>
                    </w:p>
                  </w:txbxContent>
                </v:textbox>
                <w10:wrap anchorx="margin"/>
              </v:shape>
            </w:pict>
          </mc:Fallback>
        </mc:AlternateContent>
      </w:r>
      <w:r w:rsidR="00EF3B0D">
        <w:rPr>
          <w:rFonts w:ascii="Google Sans" w:eastAsia="Google Sans" w:hAnsi="Google Sans" w:cs="Google Sans"/>
          <w:sz w:val="26"/>
          <w:szCs w:val="26"/>
        </w:rPr>
        <w:t>00:10:00</w:t>
      </w:r>
    </w:p>
    <w:p w14:paraId="7079EF22"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Yes, so your biography becomes part of moving forward with your students and their biography.</w:t>
      </w:r>
    </w:p>
    <w:p w14:paraId="10D7F1B4" w14:textId="433475C0"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shd w:val="clear" w:color="auto" w:fill="F4CCCC"/>
        </w:rPr>
        <w:t xml:space="preserve">Yes, absolutely. You interpret things based on your own experience. If it were just the question of recruiting people to support students who could deliver frameworks and legislation, you wouldn't even need to interview people, would you, to come into University, you </w:t>
      </w:r>
      <w:r w:rsidR="00C85F3B">
        <w:rPr>
          <w:rFonts w:ascii="Roboto" w:eastAsia="Roboto" w:hAnsi="Roboto" w:cs="Roboto"/>
          <w:color w:val="434343"/>
          <w:sz w:val="20"/>
          <w:szCs w:val="20"/>
          <w:shd w:val="clear" w:color="auto" w:fill="F4CCCC"/>
        </w:rPr>
        <w:t>would just</w:t>
      </w:r>
      <w:r>
        <w:rPr>
          <w:rFonts w:ascii="Roboto" w:eastAsia="Roboto" w:hAnsi="Roboto" w:cs="Roboto"/>
          <w:color w:val="434343"/>
          <w:sz w:val="20"/>
          <w:szCs w:val="20"/>
          <w:shd w:val="clear" w:color="auto" w:fill="F4CCCC"/>
        </w:rPr>
        <w:t xml:space="preserve"> put their CVS into AI and say, do they have on paper what it takes to deliver this?</w:t>
      </w:r>
      <w:r>
        <w:rPr>
          <w:rFonts w:ascii="Roboto" w:eastAsia="Roboto" w:hAnsi="Roboto" w:cs="Roboto"/>
          <w:color w:val="434343"/>
          <w:sz w:val="20"/>
          <w:szCs w:val="20"/>
        </w:rPr>
        <w:t xml:space="preserve"> Yes, they do. Therefore, let's get them in. That human experience becomes really important when we're selecting people to work with new students. Yeah, and it is a powerful thing to draw on.</w:t>
      </w:r>
    </w:p>
    <w:p w14:paraId="47602DBA"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Wow. </w:t>
      </w:r>
      <w:r>
        <w:rPr>
          <w:rFonts w:ascii="Roboto" w:eastAsia="Roboto" w:hAnsi="Roboto" w:cs="Roboto"/>
          <w:color w:val="434343"/>
          <w:sz w:val="20"/>
          <w:szCs w:val="20"/>
        </w:rPr>
        <w:t>Thank you. We've come to the end of this second interview. I just want to confirm that you've had the list of resources I sent you.</w:t>
      </w:r>
    </w:p>
    <w:p w14:paraId="4FC72045"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Yes, I have.</w:t>
      </w:r>
    </w:p>
    <w:p w14:paraId="66239529" w14:textId="100DF63E"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Thank you</w:t>
      </w:r>
      <w:r w:rsidR="00523F29">
        <w:rPr>
          <w:rFonts w:ascii="Roboto" w:eastAsia="Roboto" w:hAnsi="Roboto" w:cs="Roboto"/>
          <w:color w:val="434343"/>
          <w:sz w:val="20"/>
          <w:szCs w:val="20"/>
        </w:rPr>
        <w:t>.</w:t>
      </w:r>
      <w:r>
        <w:rPr>
          <w:rFonts w:ascii="Google Sans Medium" w:eastAsia="Google Sans Medium" w:hAnsi="Google Sans Medium" w:cs="Google Sans Medium"/>
          <w:sz w:val="20"/>
          <w:szCs w:val="20"/>
        </w:rPr>
        <w:t xml:space="preserve"> </w:t>
      </w:r>
      <w:r>
        <w:rPr>
          <w:rFonts w:ascii="Roboto" w:eastAsia="Roboto" w:hAnsi="Roboto" w:cs="Roboto"/>
          <w:color w:val="434343"/>
          <w:sz w:val="20"/>
          <w:szCs w:val="20"/>
        </w:rPr>
        <w:t>Is there anything further you want to say or to ask me at all?</w:t>
      </w:r>
    </w:p>
    <w:p w14:paraId="7E1E38C2" w14:textId="36702BDE" w:rsidR="00EF3B0D" w:rsidRDefault="00B33208">
      <w:pPr>
        <w:rPr>
          <w:rFonts w:ascii="Roboto" w:eastAsia="Roboto" w:hAnsi="Roboto" w:cs="Roboto"/>
          <w:color w:val="434343"/>
          <w:sz w:val="20"/>
          <w:szCs w:val="20"/>
          <w:shd w:val="clear" w:color="auto" w:fill="F4CCCC"/>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74624" behindDoc="0" locked="0" layoutInCell="1" allowOverlap="1" wp14:anchorId="084FB3D3" wp14:editId="30ED75C2">
                <wp:simplePos x="0" y="0"/>
                <wp:positionH relativeFrom="column">
                  <wp:posOffset>5768340</wp:posOffset>
                </wp:positionH>
                <wp:positionV relativeFrom="paragraph">
                  <wp:posOffset>112395</wp:posOffset>
                </wp:positionV>
                <wp:extent cx="617220" cy="2103120"/>
                <wp:effectExtent l="0" t="0" r="11430" b="11430"/>
                <wp:wrapNone/>
                <wp:docPr id="1741698624" name="Text Box 52"/>
                <wp:cNvGraphicFramePr/>
                <a:graphic xmlns:a="http://schemas.openxmlformats.org/drawingml/2006/main">
                  <a:graphicData uri="http://schemas.microsoft.com/office/word/2010/wordprocessingShape">
                    <wps:wsp>
                      <wps:cNvSpPr txBox="1"/>
                      <wps:spPr>
                        <a:xfrm>
                          <a:off x="0" y="0"/>
                          <a:ext cx="617220" cy="2103120"/>
                        </a:xfrm>
                        <a:prstGeom prst="rect">
                          <a:avLst/>
                        </a:prstGeom>
                        <a:solidFill>
                          <a:schemeClr val="lt1"/>
                        </a:solidFill>
                        <a:ln w="6350">
                          <a:solidFill>
                            <a:prstClr val="black"/>
                          </a:solidFill>
                        </a:ln>
                      </wps:spPr>
                      <wps:txbx>
                        <w:txbxContent>
                          <w:p w14:paraId="2C582CE3" w14:textId="589BA5C0" w:rsidR="00B33208" w:rsidRDefault="00611C8A">
                            <w:pPr>
                              <w:rPr>
                                <w:sz w:val="16"/>
                                <w:szCs w:val="16"/>
                              </w:rPr>
                            </w:pPr>
                            <w:r>
                              <w:rPr>
                                <w:sz w:val="16"/>
                                <w:szCs w:val="16"/>
                              </w:rPr>
                              <w:t>The learning</w:t>
                            </w:r>
                          </w:p>
                          <w:p w14:paraId="3D54BD5B" w14:textId="4DECC1D6" w:rsidR="00611C8A" w:rsidRDefault="00611C8A">
                            <w:pPr>
                              <w:rPr>
                                <w:sz w:val="16"/>
                                <w:szCs w:val="16"/>
                              </w:rPr>
                            </w:pPr>
                            <w:r>
                              <w:rPr>
                                <w:sz w:val="16"/>
                                <w:szCs w:val="16"/>
                              </w:rPr>
                              <w:t xml:space="preserve">Value of </w:t>
                            </w:r>
                            <w:r w:rsidR="00DE2BDA">
                              <w:rPr>
                                <w:sz w:val="16"/>
                                <w:szCs w:val="16"/>
                              </w:rPr>
                              <w:t>the relational</w:t>
                            </w:r>
                          </w:p>
                          <w:p w14:paraId="53CC5F4E" w14:textId="64B13DF4" w:rsidR="00513303" w:rsidRPr="00611C8A" w:rsidRDefault="00DE2BDA">
                            <w:pPr>
                              <w:rPr>
                                <w:sz w:val="16"/>
                                <w:szCs w:val="16"/>
                              </w:rPr>
                            </w:pPr>
                            <w:r>
                              <w:rPr>
                                <w:sz w:val="16"/>
                                <w:szCs w:val="16"/>
                              </w:rPr>
                              <w:t>Animus</w:t>
                            </w:r>
                            <w:r w:rsidR="007E571F">
                              <w:rPr>
                                <w:sz w:val="16"/>
                                <w:szCs w:val="16"/>
                              </w:rPr>
                              <w:t>- that which can be measured</w:t>
                            </w:r>
                            <w:r w:rsidR="00C46A9C">
                              <w:rPr>
                                <w:sz w:val="16"/>
                                <w:szCs w:val="16"/>
                              </w:rPr>
                              <w:t>v</w:t>
                            </w:r>
                            <w:r w:rsidR="00513303">
                              <w:rPr>
                                <w:sz w:val="16"/>
                                <w:szCs w:val="16"/>
                              </w:rPr>
                              <w:t>ersus anima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B3D3" id="Text Box 52" o:spid="_x0000_s1055" type="#_x0000_t202" style="position:absolute;margin-left:454.2pt;margin-top:8.85pt;width:48.6pt;height:16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" fillcolor="white [3201]" strokeweight=".5pt">
                <v:textbox>
                  <w:txbxContent>
                    <w:p w14:paraId="2C582CE3" w14:textId="589BA5C0" w:rsidR="00B33208" w:rsidRDefault="00611C8A">
                      <w:pPr>
                        <w:rPr>
                          <w:sz w:val="16"/>
                          <w:szCs w:val="16"/>
                        </w:rPr>
                      </w:pPr>
                      <w:r>
                        <w:rPr>
                          <w:sz w:val="16"/>
                          <w:szCs w:val="16"/>
                        </w:rPr>
                        <w:t>The learning</w:t>
                      </w:r>
                    </w:p>
                    <w:p w14:paraId="3D54BD5B" w14:textId="4DECC1D6" w:rsidR="00611C8A" w:rsidRDefault="00611C8A">
                      <w:pPr>
                        <w:rPr>
                          <w:sz w:val="16"/>
                          <w:szCs w:val="16"/>
                        </w:rPr>
                      </w:pPr>
                      <w:r>
                        <w:rPr>
                          <w:sz w:val="16"/>
                          <w:szCs w:val="16"/>
                        </w:rPr>
                        <w:t xml:space="preserve">Value of </w:t>
                      </w:r>
                      <w:r w:rsidR="00DE2BDA">
                        <w:rPr>
                          <w:sz w:val="16"/>
                          <w:szCs w:val="16"/>
                        </w:rPr>
                        <w:t>the relational</w:t>
                      </w:r>
                    </w:p>
                    <w:p w14:paraId="53CC5F4E" w14:textId="64B13DF4" w:rsidR="00513303" w:rsidRPr="00611C8A" w:rsidRDefault="00DE2BDA">
                      <w:pPr>
                        <w:rPr>
                          <w:sz w:val="16"/>
                          <w:szCs w:val="16"/>
                        </w:rPr>
                      </w:pPr>
                      <w:r>
                        <w:rPr>
                          <w:sz w:val="16"/>
                          <w:szCs w:val="16"/>
                        </w:rPr>
                        <w:t>Animus</w:t>
                      </w:r>
                      <w:r w:rsidR="007E571F">
                        <w:rPr>
                          <w:sz w:val="16"/>
                          <w:szCs w:val="16"/>
                        </w:rPr>
                        <w:t>- that which can be measured</w:t>
                      </w:r>
                      <w:r w:rsidR="00C46A9C">
                        <w:rPr>
                          <w:sz w:val="16"/>
                          <w:szCs w:val="16"/>
                        </w:rPr>
                        <w:t>v</w:t>
                      </w:r>
                      <w:r w:rsidR="00513303">
                        <w:rPr>
                          <w:sz w:val="16"/>
                          <w:szCs w:val="16"/>
                        </w:rPr>
                        <w:t>ersus anima</w:t>
                      </w:r>
                    </w:p>
                  </w:txbxContent>
                </v:textbox>
              </v:shape>
            </w:pict>
          </mc:Fallback>
        </mc:AlternateContent>
      </w:r>
      <w:r w:rsidR="00EF3B0D">
        <w:rPr>
          <w:rFonts w:ascii="Google Sans Medium" w:eastAsia="Google Sans Medium" w:hAnsi="Google Sans Medium" w:cs="Google Sans Medium"/>
          <w:sz w:val="20"/>
          <w:szCs w:val="20"/>
        </w:rPr>
        <w:t xml:space="preserve">Mo: </w:t>
      </w:r>
      <w:r w:rsidR="00EF3B0D">
        <w:rPr>
          <w:rFonts w:ascii="Roboto" w:eastAsia="Roboto" w:hAnsi="Roboto" w:cs="Roboto"/>
          <w:color w:val="434343"/>
          <w:sz w:val="20"/>
          <w:szCs w:val="20"/>
        </w:rPr>
        <w:t xml:space="preserve">I'd be really interested to see your final research project when you finish it because I think it's a really interesting thing that you are doing, I think it’s very important. </w:t>
      </w:r>
      <w:r w:rsidR="00EF3B0D">
        <w:rPr>
          <w:rFonts w:ascii="Roboto" w:eastAsia="Roboto" w:hAnsi="Roboto" w:cs="Roboto"/>
          <w:color w:val="434343"/>
          <w:sz w:val="20"/>
          <w:szCs w:val="20"/>
          <w:shd w:val="clear" w:color="auto" w:fill="F4CCCC"/>
        </w:rPr>
        <w:t xml:space="preserve">We too often look at the statistical outcomes, the frameworks, how we have delivered versus what we were supposed to deliver. We very rarely look at the human experience in it, and the value of that and what we can learn from </w:t>
      </w:r>
      <w:r w:rsidR="003768E9">
        <w:rPr>
          <w:rFonts w:ascii="Roboto" w:eastAsia="Roboto" w:hAnsi="Roboto" w:cs="Roboto"/>
          <w:color w:val="434343"/>
          <w:sz w:val="20"/>
          <w:szCs w:val="20"/>
          <w:shd w:val="clear" w:color="auto" w:fill="F4CCCC"/>
        </w:rPr>
        <w:t>that,</w:t>
      </w:r>
      <w:r w:rsidR="00EF3B0D">
        <w:rPr>
          <w:rFonts w:ascii="Roboto" w:eastAsia="Roboto" w:hAnsi="Roboto" w:cs="Roboto"/>
          <w:color w:val="434343"/>
          <w:sz w:val="20"/>
          <w:szCs w:val="20"/>
          <w:shd w:val="clear" w:color="auto" w:fill="F4CCCC"/>
        </w:rPr>
        <w:t xml:space="preserve"> so I think it's a very important thing you're doing.</w:t>
      </w:r>
    </w:p>
    <w:p w14:paraId="687455C6" w14:textId="74029522"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 xml:space="preserve">Thank you. You've used the term human experience several times today. It has left me reflecting on that concept of the human </w:t>
      </w:r>
      <w:r w:rsidR="003768E9">
        <w:rPr>
          <w:rFonts w:ascii="Roboto" w:eastAsia="Roboto" w:hAnsi="Roboto" w:cs="Roboto"/>
          <w:color w:val="434343"/>
          <w:sz w:val="20"/>
          <w:szCs w:val="20"/>
        </w:rPr>
        <w:t>experience. Thank</w:t>
      </w:r>
      <w:r>
        <w:rPr>
          <w:rFonts w:ascii="Roboto" w:eastAsia="Roboto" w:hAnsi="Roboto" w:cs="Roboto"/>
          <w:color w:val="434343"/>
          <w:sz w:val="20"/>
          <w:szCs w:val="20"/>
        </w:rPr>
        <w:t xml:space="preserve"> you for that because I will reflect on that. And just to confirm that you can stay in touch with me by email for up to three months after we finish this second interview, and that I will send you the transcript which will very likely be tomorrow actually…</w:t>
      </w:r>
    </w:p>
    <w:p w14:paraId="520B6AF7" w14:textId="6F1F2FB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Mo: O</w:t>
      </w:r>
      <w:r w:rsidR="00C241FC">
        <w:rPr>
          <w:rFonts w:ascii="Google Sans Medium" w:eastAsia="Google Sans Medium" w:hAnsi="Google Sans Medium" w:cs="Google Sans Medium"/>
          <w:sz w:val="20"/>
          <w:szCs w:val="20"/>
        </w:rPr>
        <w:t>oo</w:t>
      </w:r>
      <w:r>
        <w:rPr>
          <w:rFonts w:ascii="Google Sans Medium" w:eastAsia="Google Sans Medium" w:hAnsi="Google Sans Medium" w:cs="Google Sans Medium"/>
          <w:sz w:val="20"/>
          <w:szCs w:val="20"/>
        </w:rPr>
        <w:t xml:space="preserve">h, you’re very quick. </w:t>
      </w:r>
      <w:r>
        <w:rPr>
          <w:rFonts w:ascii="Roboto" w:eastAsia="Roboto" w:hAnsi="Roboto" w:cs="Roboto"/>
          <w:color w:val="434343"/>
          <w:sz w:val="20"/>
          <w:szCs w:val="20"/>
        </w:rPr>
        <w:t>Yes. Yes.</w:t>
      </w:r>
    </w:p>
    <w:p w14:paraId="1B135E00"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For you to have a look at and correct if there are any corrections that need to be made, and I just want to thank you so much for your engagement with me and for taking part in this process.</w:t>
      </w:r>
    </w:p>
    <w:p w14:paraId="5109D86D" w14:textId="7F8598EC" w:rsidR="00EF3B0D" w:rsidRDefault="00EB57E0">
      <w:pPr>
        <w:rPr>
          <w:rFonts w:ascii="Roboto" w:eastAsia="Roboto" w:hAnsi="Roboto" w:cs="Roboto"/>
          <w:color w:val="434343"/>
          <w:sz w:val="20"/>
          <w:szCs w:val="20"/>
        </w:rPr>
      </w:pPr>
      <w:r>
        <w:rPr>
          <w:rFonts w:ascii="Google Sans Medium" w:eastAsia="Google Sans Medium" w:hAnsi="Google Sans Medium" w:cs="Google Sans Medium"/>
          <w:noProof/>
          <w:sz w:val="20"/>
          <w:szCs w:val="20"/>
        </w:rPr>
        <mc:AlternateContent>
          <mc:Choice Requires="wps">
            <w:drawing>
              <wp:anchor distT="0" distB="0" distL="114300" distR="114300" simplePos="0" relativeHeight="251651072" behindDoc="0" locked="0" layoutInCell="1" allowOverlap="1" wp14:anchorId="10C256DD" wp14:editId="4662BB7B">
                <wp:simplePos x="0" y="0"/>
                <wp:positionH relativeFrom="column">
                  <wp:posOffset>2987040</wp:posOffset>
                </wp:positionH>
                <wp:positionV relativeFrom="paragraph">
                  <wp:posOffset>165100</wp:posOffset>
                </wp:positionV>
                <wp:extent cx="2987040" cy="2529840"/>
                <wp:effectExtent l="0" t="0" r="22860" b="22860"/>
                <wp:wrapNone/>
                <wp:docPr id="238744496" name="Text Box 49"/>
                <wp:cNvGraphicFramePr/>
                <a:graphic xmlns:a="http://schemas.openxmlformats.org/drawingml/2006/main">
                  <a:graphicData uri="http://schemas.microsoft.com/office/word/2010/wordprocessingShape">
                    <wps:wsp>
                      <wps:cNvSpPr txBox="1"/>
                      <wps:spPr>
                        <a:xfrm>
                          <a:off x="0" y="0"/>
                          <a:ext cx="2987040" cy="2529840"/>
                        </a:xfrm>
                        <a:prstGeom prst="rect">
                          <a:avLst/>
                        </a:prstGeom>
                        <a:solidFill>
                          <a:schemeClr val="lt1"/>
                        </a:solidFill>
                        <a:ln w="6350">
                          <a:solidFill>
                            <a:prstClr val="black"/>
                          </a:solidFill>
                        </a:ln>
                      </wps:spPr>
                      <wps:txbx>
                        <w:txbxContent>
                          <w:p w14:paraId="6A41E88D" w14:textId="47C286A3" w:rsidR="00C241FC" w:rsidRPr="00AC4315" w:rsidRDefault="00B3025A">
                            <w:pPr>
                              <w:rPr>
                                <w:b/>
                                <w:bCs/>
                                <w:sz w:val="16"/>
                                <w:szCs w:val="16"/>
                              </w:rPr>
                            </w:pPr>
                            <w:r w:rsidRPr="00AC4315">
                              <w:rPr>
                                <w:b/>
                                <w:bCs/>
                                <w:sz w:val="16"/>
                                <w:szCs w:val="16"/>
                              </w:rPr>
                              <w:t>My own reflections</w:t>
                            </w:r>
                          </w:p>
                          <w:p w14:paraId="6EC16C46" w14:textId="2979C978" w:rsidR="00B3025A" w:rsidRPr="00EB57E0" w:rsidRDefault="00B3025A">
                            <w:pPr>
                              <w:rPr>
                                <w:sz w:val="18"/>
                                <w:szCs w:val="18"/>
                              </w:rPr>
                            </w:pPr>
                            <w:r w:rsidRPr="00EB57E0">
                              <w:rPr>
                                <w:sz w:val="18"/>
                                <w:szCs w:val="18"/>
                              </w:rPr>
                              <w:t>Adult returner/ the hero’s journey</w:t>
                            </w:r>
                            <w:r w:rsidR="008643F0" w:rsidRPr="00EB57E0">
                              <w:rPr>
                                <w:sz w:val="18"/>
                                <w:szCs w:val="18"/>
                              </w:rPr>
                              <w:t>/ determination to not repeat the past</w:t>
                            </w:r>
                          </w:p>
                          <w:p w14:paraId="5322F305" w14:textId="748F8C07" w:rsidR="00AC4315" w:rsidRPr="00EB57E0" w:rsidRDefault="00AC4315">
                            <w:pPr>
                              <w:rPr>
                                <w:sz w:val="18"/>
                                <w:szCs w:val="18"/>
                              </w:rPr>
                            </w:pPr>
                            <w:r w:rsidRPr="00EB57E0">
                              <w:rPr>
                                <w:sz w:val="18"/>
                                <w:szCs w:val="18"/>
                              </w:rPr>
                              <w:t>In the countertransference I felt sad, joyful, hopeful</w:t>
                            </w:r>
                            <w:r w:rsidR="001A7CC5" w:rsidRPr="00EB57E0">
                              <w:rPr>
                                <w:sz w:val="18"/>
                                <w:szCs w:val="18"/>
                              </w:rPr>
                              <w:t>, grateful, in awe of her courage shown</w:t>
                            </w:r>
                          </w:p>
                          <w:p w14:paraId="76329130" w14:textId="28DD396D" w:rsidR="008643F0" w:rsidRPr="00EB57E0" w:rsidRDefault="0003446B">
                            <w:pPr>
                              <w:rPr>
                                <w:sz w:val="18"/>
                                <w:szCs w:val="18"/>
                              </w:rPr>
                            </w:pPr>
                            <w:r w:rsidRPr="00EB57E0">
                              <w:rPr>
                                <w:sz w:val="18"/>
                                <w:szCs w:val="18"/>
                              </w:rPr>
                              <w:t xml:space="preserve">The “human” experience and feelings and morals were </w:t>
                            </w:r>
                            <w:r w:rsidR="009A38FE" w:rsidRPr="00EB57E0">
                              <w:rPr>
                                <w:sz w:val="18"/>
                                <w:szCs w:val="18"/>
                              </w:rPr>
                              <w:t>thought-provoking</w:t>
                            </w:r>
                          </w:p>
                          <w:p w14:paraId="2CB1A1D2" w14:textId="15508F1F" w:rsidR="009A38FE" w:rsidRPr="00EB57E0" w:rsidRDefault="009A38FE">
                            <w:pPr>
                              <w:rPr>
                                <w:sz w:val="18"/>
                                <w:szCs w:val="18"/>
                              </w:rPr>
                            </w:pPr>
                            <w:r w:rsidRPr="00EB57E0">
                              <w:rPr>
                                <w:sz w:val="18"/>
                                <w:szCs w:val="18"/>
                              </w:rPr>
                              <w:t>I think the “human” and the relational are aspects that all of the participants have referred to – some explicitly, all implicitly</w:t>
                            </w:r>
                          </w:p>
                          <w:p w14:paraId="693FB001" w14:textId="52FF3183" w:rsidR="0024517E" w:rsidRPr="00EB57E0" w:rsidRDefault="0024517E">
                            <w:pPr>
                              <w:rPr>
                                <w:sz w:val="18"/>
                                <w:szCs w:val="18"/>
                              </w:rPr>
                            </w:pPr>
                            <w:r w:rsidRPr="00EB57E0">
                              <w:rPr>
                                <w:sz w:val="18"/>
                                <w:szCs w:val="18"/>
                              </w:rPr>
                              <w:t>I am struck by the remembering of the journey, the affirm</w:t>
                            </w:r>
                            <w:r w:rsidR="0070595A" w:rsidRPr="00EB57E0">
                              <w:rPr>
                                <w:sz w:val="18"/>
                                <w:szCs w:val="18"/>
                              </w:rPr>
                              <w:t>ation that it had an impact, and the determination not to repeat</w:t>
                            </w:r>
                          </w:p>
                          <w:p w14:paraId="65B5F181" w14:textId="77777777" w:rsidR="00EF7825" w:rsidRPr="00C241FC" w:rsidRDefault="00EF782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256DD" id="Text Box 49" o:spid="_x0000_s1056" type="#_x0000_t202" style="position:absolute;margin-left:235.2pt;margin-top:13pt;width:235.2pt;height:199.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" fillcolor="white [3201]" strokeweight=".5pt">
                <v:textbox>
                  <w:txbxContent>
                    <w:p w14:paraId="6A41E88D" w14:textId="47C286A3" w:rsidR="00C241FC" w:rsidRPr="00AC4315" w:rsidRDefault="00B3025A">
                      <w:pPr>
                        <w:rPr>
                          <w:b/>
                          <w:bCs/>
                          <w:sz w:val="16"/>
                          <w:szCs w:val="16"/>
                        </w:rPr>
                      </w:pPr>
                      <w:r w:rsidRPr="00AC4315">
                        <w:rPr>
                          <w:b/>
                          <w:bCs/>
                          <w:sz w:val="16"/>
                          <w:szCs w:val="16"/>
                        </w:rPr>
                        <w:t>My own reflections</w:t>
                      </w:r>
                    </w:p>
                    <w:p w14:paraId="6EC16C46" w14:textId="2979C978" w:rsidR="00B3025A" w:rsidRPr="00EB57E0" w:rsidRDefault="00B3025A">
                      <w:pPr>
                        <w:rPr>
                          <w:sz w:val="18"/>
                          <w:szCs w:val="18"/>
                        </w:rPr>
                      </w:pPr>
                      <w:r w:rsidRPr="00EB57E0">
                        <w:rPr>
                          <w:sz w:val="18"/>
                          <w:szCs w:val="18"/>
                        </w:rPr>
                        <w:t>Adult returner/ the hero’s journey</w:t>
                      </w:r>
                      <w:r w:rsidR="008643F0" w:rsidRPr="00EB57E0">
                        <w:rPr>
                          <w:sz w:val="18"/>
                          <w:szCs w:val="18"/>
                        </w:rPr>
                        <w:t>/ determination to not repeat the past</w:t>
                      </w:r>
                    </w:p>
                    <w:p w14:paraId="5322F305" w14:textId="748F8C07" w:rsidR="00AC4315" w:rsidRPr="00EB57E0" w:rsidRDefault="00AC4315">
                      <w:pPr>
                        <w:rPr>
                          <w:sz w:val="18"/>
                          <w:szCs w:val="18"/>
                        </w:rPr>
                      </w:pPr>
                      <w:r w:rsidRPr="00EB57E0">
                        <w:rPr>
                          <w:sz w:val="18"/>
                          <w:szCs w:val="18"/>
                        </w:rPr>
                        <w:t>In the countertransference I felt sad, joyful, hopeful</w:t>
                      </w:r>
                      <w:r w:rsidR="001A7CC5" w:rsidRPr="00EB57E0">
                        <w:rPr>
                          <w:sz w:val="18"/>
                          <w:szCs w:val="18"/>
                        </w:rPr>
                        <w:t>, grateful, in awe of her courage shown</w:t>
                      </w:r>
                    </w:p>
                    <w:p w14:paraId="76329130" w14:textId="28DD396D" w:rsidR="008643F0" w:rsidRPr="00EB57E0" w:rsidRDefault="0003446B">
                      <w:pPr>
                        <w:rPr>
                          <w:sz w:val="18"/>
                          <w:szCs w:val="18"/>
                        </w:rPr>
                      </w:pPr>
                      <w:r w:rsidRPr="00EB57E0">
                        <w:rPr>
                          <w:sz w:val="18"/>
                          <w:szCs w:val="18"/>
                        </w:rPr>
                        <w:t xml:space="preserve">The “human” experience and feelings and morals were </w:t>
                      </w:r>
                      <w:r w:rsidR="009A38FE" w:rsidRPr="00EB57E0">
                        <w:rPr>
                          <w:sz w:val="18"/>
                          <w:szCs w:val="18"/>
                        </w:rPr>
                        <w:t>thought-provoking</w:t>
                      </w:r>
                    </w:p>
                    <w:p w14:paraId="2CB1A1D2" w14:textId="15508F1F" w:rsidR="009A38FE" w:rsidRPr="00EB57E0" w:rsidRDefault="009A38FE">
                      <w:pPr>
                        <w:rPr>
                          <w:sz w:val="18"/>
                          <w:szCs w:val="18"/>
                        </w:rPr>
                      </w:pPr>
                      <w:r w:rsidRPr="00EB57E0">
                        <w:rPr>
                          <w:sz w:val="18"/>
                          <w:szCs w:val="18"/>
                        </w:rPr>
                        <w:t>I think the “human” and the relational are aspects that all of the participants have referred to – some explicitly, all implicitly</w:t>
                      </w:r>
                    </w:p>
                    <w:p w14:paraId="693FB001" w14:textId="52FF3183" w:rsidR="0024517E" w:rsidRPr="00EB57E0" w:rsidRDefault="0024517E">
                      <w:pPr>
                        <w:rPr>
                          <w:sz w:val="18"/>
                          <w:szCs w:val="18"/>
                        </w:rPr>
                      </w:pPr>
                      <w:r w:rsidRPr="00EB57E0">
                        <w:rPr>
                          <w:sz w:val="18"/>
                          <w:szCs w:val="18"/>
                        </w:rPr>
                        <w:t>I am struck by the remembering of the journey, the affirm</w:t>
                      </w:r>
                      <w:r w:rsidR="0070595A" w:rsidRPr="00EB57E0">
                        <w:rPr>
                          <w:sz w:val="18"/>
                          <w:szCs w:val="18"/>
                        </w:rPr>
                        <w:t>ation that it had an impact, and the determination not to repeat</w:t>
                      </w:r>
                    </w:p>
                    <w:p w14:paraId="65B5F181" w14:textId="77777777" w:rsidR="00EF7825" w:rsidRPr="00C241FC" w:rsidRDefault="00EF7825">
                      <w:pPr>
                        <w:rPr>
                          <w:sz w:val="16"/>
                          <w:szCs w:val="16"/>
                        </w:rPr>
                      </w:pPr>
                    </w:p>
                  </w:txbxContent>
                </v:textbox>
              </v:shape>
            </w:pict>
          </mc:Fallback>
        </mc:AlternateContent>
      </w:r>
      <w:r w:rsidR="00EF3B0D">
        <w:rPr>
          <w:rFonts w:ascii="Google Sans Medium" w:eastAsia="Google Sans Medium" w:hAnsi="Google Sans Medium" w:cs="Google Sans Medium"/>
          <w:sz w:val="20"/>
          <w:szCs w:val="20"/>
        </w:rPr>
        <w:t xml:space="preserve">Suzanne D Schultz: </w:t>
      </w:r>
      <w:r w:rsidR="00EF3B0D">
        <w:rPr>
          <w:rFonts w:ascii="Roboto" w:eastAsia="Roboto" w:hAnsi="Roboto" w:cs="Roboto"/>
          <w:color w:val="434343"/>
          <w:sz w:val="20"/>
          <w:szCs w:val="20"/>
        </w:rPr>
        <w:t>Shall I stop the recording now, if you’re okay with that?</w:t>
      </w:r>
    </w:p>
    <w:p w14:paraId="01C0B0CF" w14:textId="0B05FB4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Mo: </w:t>
      </w:r>
      <w:r>
        <w:rPr>
          <w:rFonts w:ascii="Roboto" w:eastAsia="Roboto" w:hAnsi="Roboto" w:cs="Roboto"/>
          <w:color w:val="434343"/>
          <w:sz w:val="20"/>
          <w:szCs w:val="20"/>
        </w:rPr>
        <w:t>Yes. That's fine.</w:t>
      </w:r>
    </w:p>
    <w:p w14:paraId="584B9531" w14:textId="77777777" w:rsidR="00EF3B0D" w:rsidRDefault="00EF3B0D">
      <w:pPr>
        <w:rPr>
          <w:rFonts w:ascii="Roboto" w:eastAsia="Roboto" w:hAnsi="Roboto" w:cs="Roboto"/>
          <w:color w:val="434343"/>
          <w:sz w:val="20"/>
          <w:szCs w:val="20"/>
        </w:rPr>
      </w:pPr>
      <w:r>
        <w:rPr>
          <w:rFonts w:ascii="Google Sans Medium" w:eastAsia="Google Sans Medium" w:hAnsi="Google Sans Medium" w:cs="Google Sans Medium"/>
          <w:sz w:val="20"/>
          <w:szCs w:val="20"/>
        </w:rPr>
        <w:t xml:space="preserve">Suzanne D Schultz: </w:t>
      </w:r>
      <w:r>
        <w:rPr>
          <w:rFonts w:ascii="Roboto" w:eastAsia="Roboto" w:hAnsi="Roboto" w:cs="Roboto"/>
          <w:color w:val="434343"/>
          <w:sz w:val="20"/>
          <w:szCs w:val="20"/>
        </w:rPr>
        <w:t>Okay. Thank you.</w:t>
      </w:r>
    </w:p>
    <w:p w14:paraId="66A76825" w14:textId="41C0C16A" w:rsidR="00EF3B0D" w:rsidRDefault="007B70FE">
      <w:pPr>
        <w:spacing w:before="160" w:after="160"/>
        <w:rPr>
          <w:rFonts w:ascii="Google Sans" w:eastAsia="Google Sans" w:hAnsi="Google Sans" w:cs="Google Sans"/>
          <w:sz w:val="28"/>
          <w:szCs w:val="28"/>
        </w:rPr>
      </w:pPr>
      <w:r>
        <w:rPr>
          <w:rFonts w:ascii="Calibri" w:hAnsi="Calibri" w:cs="Calibri"/>
          <w:noProof/>
          <w:sz w:val="24"/>
          <w:szCs w:val="24"/>
        </w:rPr>
        <mc:AlternateContent>
          <mc:Choice Requires="wps">
            <w:drawing>
              <wp:anchor distT="0" distB="0" distL="114300" distR="114300" simplePos="0" relativeHeight="251652096" behindDoc="0" locked="0" layoutInCell="1" allowOverlap="1" wp14:anchorId="02993D78" wp14:editId="6E9CFC26">
                <wp:simplePos x="0" y="0"/>
                <wp:positionH relativeFrom="column">
                  <wp:posOffset>-152400</wp:posOffset>
                </wp:positionH>
                <wp:positionV relativeFrom="paragraph">
                  <wp:posOffset>287020</wp:posOffset>
                </wp:positionV>
                <wp:extent cx="2278380" cy="2072640"/>
                <wp:effectExtent l="0" t="0" r="26670" b="22860"/>
                <wp:wrapNone/>
                <wp:docPr id="506438151" name="Text Box 51"/>
                <wp:cNvGraphicFramePr/>
                <a:graphic xmlns:a="http://schemas.openxmlformats.org/drawingml/2006/main">
                  <a:graphicData uri="http://schemas.microsoft.com/office/word/2010/wordprocessingShape">
                    <wps:wsp>
                      <wps:cNvSpPr txBox="1"/>
                      <wps:spPr>
                        <a:xfrm>
                          <a:off x="0" y="0"/>
                          <a:ext cx="2278380" cy="2072640"/>
                        </a:xfrm>
                        <a:prstGeom prst="rect">
                          <a:avLst/>
                        </a:prstGeom>
                        <a:solidFill>
                          <a:srgbClr val="EE0000"/>
                        </a:solidFill>
                        <a:ln w="6350">
                          <a:solidFill>
                            <a:prstClr val="black"/>
                          </a:solidFill>
                        </a:ln>
                      </wps:spPr>
                      <wps:txbx>
                        <w:txbxContent>
                          <w:p w14:paraId="2705A0D6" w14:textId="72A1F47B" w:rsidR="0046586C" w:rsidRPr="00DF0779" w:rsidRDefault="00DB2D93">
                            <w:pPr>
                              <w:rPr>
                                <w:b/>
                                <w:sz w:val="24"/>
                                <w:szCs w:val="24"/>
                                <w14:textOutline w14:w="11112" w14:cap="flat" w14:cmpd="sng" w14:algn="ctr">
                                  <w14:solidFill>
                                    <w14:schemeClr w14:val="accent2"/>
                                  </w14:solidFill>
                                  <w14:prstDash w14:val="solid"/>
                                  <w14:round/>
                                </w14:textOutline>
                              </w:rPr>
                            </w:pPr>
                            <w:r w:rsidRPr="00DF0779">
                              <w:rPr>
                                <w:b/>
                                <w:sz w:val="24"/>
                                <w:szCs w:val="24"/>
                                <w14:textOutline w14:w="11112" w14:cap="flat" w14:cmpd="sng" w14:algn="ctr">
                                  <w14:solidFill>
                                    <w14:schemeClr w14:val="accent2"/>
                                  </w14:solidFill>
                                  <w14:prstDash w14:val="solid"/>
                                  <w14:round/>
                                </w14:textOutline>
                              </w:rPr>
                              <w:t>Re</w:t>
                            </w:r>
                            <w:r w:rsidR="007039F2" w:rsidRPr="00DF0779">
                              <w:rPr>
                                <w:b/>
                                <w:sz w:val="24"/>
                                <w:szCs w:val="24"/>
                                <w14:textOutline w14:w="11112" w14:cap="flat" w14:cmpd="sng" w14:algn="ctr">
                                  <w14:solidFill>
                                    <w14:schemeClr w14:val="accent2"/>
                                  </w14:solidFill>
                                  <w14:prstDash w14:val="solid"/>
                                  <w14:round/>
                                </w14:textOutline>
                              </w:rPr>
                              <w:t>minded her of the list of resources should she need support (brief chat after the interview)</w:t>
                            </w:r>
                          </w:p>
                          <w:p w14:paraId="170B053E" w14:textId="4A5D3D45" w:rsidR="0056216F" w:rsidRDefault="0056216F">
                            <w:pPr>
                              <w:rPr>
                                <w:b/>
                                <w:sz w:val="24"/>
                                <w:szCs w:val="24"/>
                                <w14:textOutline w14:w="11112" w14:cap="flat" w14:cmpd="sng" w14:algn="ctr">
                                  <w14:solidFill>
                                    <w14:schemeClr w14:val="accent2"/>
                                  </w14:solidFill>
                                  <w14:prstDash w14:val="solid"/>
                                  <w14:round/>
                                </w14:textOutline>
                              </w:rPr>
                            </w:pPr>
                            <w:r w:rsidRPr="00DF0779">
                              <w:rPr>
                                <w:b/>
                                <w:sz w:val="24"/>
                                <w:szCs w:val="24"/>
                                <w14:textOutline w14:w="11112" w14:cap="flat" w14:cmpd="sng" w14:algn="ctr">
                                  <w14:solidFill>
                                    <w14:schemeClr w14:val="accent2"/>
                                  </w14:solidFill>
                                  <w14:prstDash w14:val="solid"/>
                                  <w14:round/>
                                </w14:textOutline>
                              </w:rPr>
                              <w:t xml:space="preserve">Note: Links to </w:t>
                            </w:r>
                            <w:r w:rsidR="00E32AC8" w:rsidRPr="00DF0779">
                              <w:rPr>
                                <w:b/>
                                <w:sz w:val="24"/>
                                <w:szCs w:val="24"/>
                                <w14:textOutline w14:w="11112" w14:cap="flat" w14:cmpd="sng" w14:algn="ctr">
                                  <w14:solidFill>
                                    <w14:schemeClr w14:val="accent2"/>
                                  </w14:solidFill>
                                  <w14:prstDash w14:val="solid"/>
                                  <w14:round/>
                                </w14:textOutline>
                              </w:rPr>
                              <w:t>other participants re “human”/ moral/ experiences???</w:t>
                            </w:r>
                          </w:p>
                          <w:p w14:paraId="25AEA3DC" w14:textId="6B0B3D43" w:rsidR="007B70FE" w:rsidRPr="00DF0779" w:rsidRDefault="007B70FE">
                            <w:pPr>
                              <w:rPr>
                                <w:b/>
                                <w:sz w:val="24"/>
                                <w:szCs w:val="24"/>
                                <w14:textOutline w14:w="11112" w14:cap="flat" w14:cmpd="sng" w14:algn="ctr">
                                  <w14:solidFill>
                                    <w14:schemeClr w14:val="accent2"/>
                                  </w14:solidFill>
                                  <w14:prstDash w14:val="solid"/>
                                  <w14:round/>
                                </w14:textOutline>
                              </w:rPr>
                            </w:pPr>
                            <w:r>
                              <w:rPr>
                                <w:b/>
                                <w:sz w:val="24"/>
                                <w:szCs w:val="24"/>
                                <w14:textOutline w14:w="11112" w14:cap="flat" w14:cmpd="sng" w14:algn="ctr">
                                  <w14:solidFill>
                                    <w14:schemeClr w14:val="accent2"/>
                                  </w14:solidFill>
                                  <w14:prstDash w14:val="solid"/>
                                  <w14:round/>
                                </w14:textOutline>
                              </w:rPr>
                              <w:t>Send her</w:t>
                            </w:r>
                            <w:r w:rsidR="00817E28">
                              <w:rPr>
                                <w:b/>
                                <w:sz w:val="24"/>
                                <w:szCs w:val="24"/>
                                <w14:textOutline w14:w="11112" w14:cap="flat" w14:cmpd="sng" w14:algn="ctr">
                                  <w14:solidFill>
                                    <w14:schemeClr w14:val="accent2"/>
                                  </w14:solidFill>
                                  <w14:prstDash w14:val="solid"/>
                                  <w14:round/>
                                </w14:textOutline>
                              </w:rPr>
                              <w:t xml:space="preserve"> conclusion chapter in the future??? Ask Tim or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93D78" id="Text Box 51" o:spid="_x0000_s1057" type="#_x0000_t202" style="position:absolute;margin-left:-12pt;margin-top:22.6pt;width:179.4pt;height:163.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" fillcolor="#e00" strokeweight=".5pt">
                <v:textbox>
                  <w:txbxContent>
                    <w:p w14:paraId="2705A0D6" w14:textId="72A1F47B" w:rsidR="0046586C" w:rsidRPr="00DF0779" w:rsidRDefault="00DB2D93">
                      <w:pPr>
                        <w:rPr>
                          <w:b/>
                          <w:sz w:val="24"/>
                          <w:szCs w:val="24"/>
                          <w14:textOutline w14:w="11112" w14:cap="flat" w14:cmpd="sng" w14:algn="ctr">
                            <w14:solidFill>
                              <w14:schemeClr w14:val="accent2"/>
                            </w14:solidFill>
                            <w14:prstDash w14:val="solid"/>
                            <w14:round/>
                          </w14:textOutline>
                        </w:rPr>
                      </w:pPr>
                      <w:r w:rsidRPr="00DF0779">
                        <w:rPr>
                          <w:b/>
                          <w:sz w:val="24"/>
                          <w:szCs w:val="24"/>
                          <w14:textOutline w14:w="11112" w14:cap="flat" w14:cmpd="sng" w14:algn="ctr">
                            <w14:solidFill>
                              <w14:schemeClr w14:val="accent2"/>
                            </w14:solidFill>
                            <w14:prstDash w14:val="solid"/>
                            <w14:round/>
                          </w14:textOutline>
                        </w:rPr>
                        <w:t>Re</w:t>
                      </w:r>
                      <w:r w:rsidR="007039F2" w:rsidRPr="00DF0779">
                        <w:rPr>
                          <w:b/>
                          <w:sz w:val="24"/>
                          <w:szCs w:val="24"/>
                          <w14:textOutline w14:w="11112" w14:cap="flat" w14:cmpd="sng" w14:algn="ctr">
                            <w14:solidFill>
                              <w14:schemeClr w14:val="accent2"/>
                            </w14:solidFill>
                            <w14:prstDash w14:val="solid"/>
                            <w14:round/>
                          </w14:textOutline>
                        </w:rPr>
                        <w:t>minded her of the list of resources should she need support (brief chat after the interview)</w:t>
                      </w:r>
                    </w:p>
                    <w:p w14:paraId="170B053E" w14:textId="4A5D3D45" w:rsidR="0056216F" w:rsidRDefault="0056216F">
                      <w:pPr>
                        <w:rPr>
                          <w:b/>
                          <w:sz w:val="24"/>
                          <w:szCs w:val="24"/>
                          <w14:textOutline w14:w="11112" w14:cap="flat" w14:cmpd="sng" w14:algn="ctr">
                            <w14:solidFill>
                              <w14:schemeClr w14:val="accent2"/>
                            </w14:solidFill>
                            <w14:prstDash w14:val="solid"/>
                            <w14:round/>
                          </w14:textOutline>
                        </w:rPr>
                      </w:pPr>
                      <w:r w:rsidRPr="00DF0779">
                        <w:rPr>
                          <w:b/>
                          <w:sz w:val="24"/>
                          <w:szCs w:val="24"/>
                          <w14:textOutline w14:w="11112" w14:cap="flat" w14:cmpd="sng" w14:algn="ctr">
                            <w14:solidFill>
                              <w14:schemeClr w14:val="accent2"/>
                            </w14:solidFill>
                            <w14:prstDash w14:val="solid"/>
                            <w14:round/>
                          </w14:textOutline>
                        </w:rPr>
                        <w:t xml:space="preserve">Note: Links to </w:t>
                      </w:r>
                      <w:r w:rsidR="00E32AC8" w:rsidRPr="00DF0779">
                        <w:rPr>
                          <w:b/>
                          <w:sz w:val="24"/>
                          <w:szCs w:val="24"/>
                          <w14:textOutline w14:w="11112" w14:cap="flat" w14:cmpd="sng" w14:algn="ctr">
                            <w14:solidFill>
                              <w14:schemeClr w14:val="accent2"/>
                            </w14:solidFill>
                            <w14:prstDash w14:val="solid"/>
                            <w14:round/>
                          </w14:textOutline>
                        </w:rPr>
                        <w:t>other participants re “human”/ moral/ experiences???</w:t>
                      </w:r>
                    </w:p>
                    <w:p w14:paraId="25AEA3DC" w14:textId="6B0B3D43" w:rsidR="007B70FE" w:rsidRPr="00DF0779" w:rsidRDefault="007B70FE">
                      <w:pPr>
                        <w:rPr>
                          <w:b/>
                          <w:sz w:val="24"/>
                          <w:szCs w:val="24"/>
                          <w14:textOutline w14:w="11112" w14:cap="flat" w14:cmpd="sng" w14:algn="ctr">
                            <w14:solidFill>
                              <w14:schemeClr w14:val="accent2"/>
                            </w14:solidFill>
                            <w14:prstDash w14:val="solid"/>
                            <w14:round/>
                          </w14:textOutline>
                        </w:rPr>
                      </w:pPr>
                      <w:r>
                        <w:rPr>
                          <w:b/>
                          <w:sz w:val="24"/>
                          <w:szCs w:val="24"/>
                          <w14:textOutline w14:w="11112" w14:cap="flat" w14:cmpd="sng" w14:algn="ctr">
                            <w14:solidFill>
                              <w14:schemeClr w14:val="accent2"/>
                            </w14:solidFill>
                            <w14:prstDash w14:val="solid"/>
                            <w14:round/>
                          </w14:textOutline>
                        </w:rPr>
                        <w:t>Send her</w:t>
                      </w:r>
                      <w:r w:rsidR="00817E28">
                        <w:rPr>
                          <w:b/>
                          <w:sz w:val="24"/>
                          <w:szCs w:val="24"/>
                          <w14:textOutline w14:w="11112" w14:cap="flat" w14:cmpd="sng" w14:algn="ctr">
                            <w14:solidFill>
                              <w14:schemeClr w14:val="accent2"/>
                            </w14:solidFill>
                            <w14:prstDash w14:val="solid"/>
                            <w14:round/>
                          </w14:textOutline>
                        </w:rPr>
                        <w:t xml:space="preserve"> conclusion chapter in the future??? Ask Tim or Dan</w:t>
                      </w:r>
                    </w:p>
                  </w:txbxContent>
                </v:textbox>
              </v:shape>
            </w:pict>
          </mc:Fallback>
        </mc:AlternateContent>
      </w:r>
      <w:r w:rsidR="00EF3B0D">
        <w:rPr>
          <w:rFonts w:ascii="Google Sans" w:eastAsia="Google Sans" w:hAnsi="Google Sans" w:cs="Google Sans"/>
          <w:sz w:val="28"/>
          <w:szCs w:val="28"/>
        </w:rPr>
        <w:t>Meeting ended after 00:13:14 👋</w:t>
      </w:r>
    </w:p>
    <w:p w14:paraId="3F534123" w14:textId="4FEDF8A3" w:rsidR="00EF3B0D" w:rsidRDefault="00EF3B0D"/>
    <w:p w14:paraId="67BFEBCA" w14:textId="3B763AF6" w:rsidR="008507D7" w:rsidRDefault="008507D7" w:rsidP="00A02C88">
      <w:pPr>
        <w:rPr>
          <w:rFonts w:ascii="Calibri" w:hAnsi="Calibri" w:cs="Calibri"/>
          <w:sz w:val="24"/>
          <w:szCs w:val="24"/>
        </w:rPr>
      </w:pPr>
    </w:p>
    <w:p w14:paraId="5299102D" w14:textId="77777777" w:rsidR="00560C13" w:rsidRDefault="00560C13" w:rsidP="00341F3D">
      <w:pPr>
        <w:ind w:left="1440" w:firstLine="720"/>
        <w:rPr>
          <w:rFonts w:ascii="Calibri" w:hAnsi="Calibri" w:cs="Calibri"/>
          <w:sz w:val="24"/>
          <w:szCs w:val="24"/>
        </w:rPr>
      </w:pPr>
    </w:p>
    <w:p w14:paraId="268316CF" w14:textId="77777777" w:rsidR="00560C13" w:rsidRDefault="00560C13" w:rsidP="00341F3D">
      <w:pPr>
        <w:ind w:left="1440" w:firstLine="720"/>
        <w:rPr>
          <w:rFonts w:ascii="Calibri" w:hAnsi="Calibri" w:cs="Calibri"/>
          <w:sz w:val="24"/>
          <w:szCs w:val="24"/>
        </w:rPr>
      </w:pPr>
    </w:p>
    <w:p w14:paraId="6637F45F" w14:textId="77777777" w:rsidR="00560C13" w:rsidRDefault="00560C13" w:rsidP="00341F3D">
      <w:pPr>
        <w:ind w:left="1440" w:firstLine="720"/>
        <w:rPr>
          <w:rFonts w:ascii="Calibri" w:hAnsi="Calibri" w:cs="Calibri"/>
          <w:sz w:val="24"/>
          <w:szCs w:val="24"/>
        </w:rPr>
      </w:pPr>
    </w:p>
    <w:p w14:paraId="4C59A339" w14:textId="0E0EBB66" w:rsidR="00275E03" w:rsidRPr="00560C13" w:rsidRDefault="00275E03" w:rsidP="00341F3D">
      <w:pPr>
        <w:ind w:left="1440" w:firstLine="720"/>
        <w:rPr>
          <w:rFonts w:ascii="Calibri" w:hAnsi="Calibri" w:cs="Calibri"/>
          <w:b/>
          <w:bCs/>
          <w:sz w:val="24"/>
          <w:szCs w:val="24"/>
        </w:rPr>
      </w:pPr>
      <w:r w:rsidRPr="00560C13">
        <w:rPr>
          <w:rFonts w:ascii="Calibri" w:hAnsi="Calibri" w:cs="Calibri"/>
          <w:b/>
          <w:bCs/>
          <w:sz w:val="24"/>
          <w:szCs w:val="24"/>
        </w:rPr>
        <w:t xml:space="preserve">Appendix </w:t>
      </w:r>
      <w:r w:rsidR="00006DD5" w:rsidRPr="00560C13">
        <w:rPr>
          <w:rFonts w:ascii="Calibri" w:hAnsi="Calibri" w:cs="Calibri"/>
          <w:b/>
          <w:bCs/>
          <w:sz w:val="24"/>
          <w:szCs w:val="24"/>
        </w:rPr>
        <w:t>L</w:t>
      </w:r>
      <w:r w:rsidRPr="00560C13">
        <w:rPr>
          <w:rFonts w:ascii="Calibri" w:hAnsi="Calibri" w:cs="Calibri"/>
          <w:b/>
          <w:bCs/>
          <w:sz w:val="24"/>
          <w:szCs w:val="24"/>
        </w:rPr>
        <w:t>: Iterations of the coding process</w:t>
      </w:r>
    </w:p>
    <w:p w14:paraId="25D7A391" w14:textId="77777777" w:rsidR="00275E03" w:rsidRDefault="00275E03">
      <w:pPr>
        <w:rPr>
          <w:rFonts w:ascii="Calibri" w:hAnsi="Calibri" w:cs="Calibri"/>
          <w:noProof/>
          <w:sz w:val="24"/>
          <w:szCs w:val="24"/>
        </w:rPr>
      </w:pPr>
      <w:r w:rsidRPr="001D47E5">
        <w:rPr>
          <w:rFonts w:ascii="Calibri" w:eastAsia="Aptos" w:hAnsi="Calibri" w:cs="Calibri"/>
          <w:noProof/>
          <w:sz w:val="24"/>
          <w:szCs w:val="24"/>
        </w:rPr>
        <w:lastRenderedPageBreak/>
        <w:drawing>
          <wp:inline distT="0" distB="0" distL="0" distR="0" wp14:anchorId="0F02D5E8" wp14:editId="250FDBFD">
            <wp:extent cx="5731510" cy="8068945"/>
            <wp:effectExtent l="0" t="0" r="40640" b="8255"/>
            <wp:docPr id="205420195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9" r:lo="rId530" r:qs="rId531" r:cs="rId532"/>
              </a:graphicData>
            </a:graphic>
          </wp:inline>
        </w:drawing>
      </w:r>
    </w:p>
    <w:p w14:paraId="5CAAADB1" w14:textId="5BF11E20" w:rsidR="00275E03" w:rsidRPr="00A23964" w:rsidRDefault="00275E03" w:rsidP="00D0116A">
      <w:pPr>
        <w:ind w:left="1440" w:firstLine="720"/>
        <w:rPr>
          <w:rFonts w:ascii="Calibri" w:hAnsi="Calibri" w:cs="Calibri"/>
          <w:i/>
          <w:iCs/>
          <w:noProof/>
          <w:sz w:val="24"/>
          <w:szCs w:val="24"/>
        </w:rPr>
      </w:pPr>
      <w:r w:rsidRPr="00A23964">
        <w:rPr>
          <w:rFonts w:ascii="Calibri" w:hAnsi="Calibri" w:cs="Calibri"/>
          <w:i/>
          <w:iCs/>
          <w:noProof/>
          <w:sz w:val="24"/>
          <w:szCs w:val="24"/>
        </w:rPr>
        <w:t xml:space="preserve">Figure </w:t>
      </w:r>
      <w:r w:rsidR="007B4015">
        <w:rPr>
          <w:rFonts w:ascii="Calibri" w:hAnsi="Calibri" w:cs="Calibri"/>
          <w:i/>
          <w:iCs/>
          <w:noProof/>
          <w:sz w:val="24"/>
          <w:szCs w:val="24"/>
        </w:rPr>
        <w:t>14</w:t>
      </w:r>
      <w:r w:rsidRPr="00A23964">
        <w:rPr>
          <w:rFonts w:ascii="Calibri" w:hAnsi="Calibri" w:cs="Calibri"/>
          <w:i/>
          <w:iCs/>
          <w:noProof/>
          <w:sz w:val="24"/>
          <w:szCs w:val="24"/>
        </w:rPr>
        <w:t>: The data analysis process</w:t>
      </w:r>
    </w:p>
    <w:p w14:paraId="1FC9DD08" w14:textId="155C460F" w:rsidR="00BF1859" w:rsidRDefault="00275E03" w:rsidP="00BE5A88">
      <w:pPr>
        <w:spacing w:line="360" w:lineRule="auto"/>
        <w:rPr>
          <w:rFonts w:ascii="Calibri" w:hAnsi="Calibri" w:cs="Calibri"/>
          <w:sz w:val="24"/>
          <w:szCs w:val="24"/>
        </w:rPr>
      </w:pPr>
      <w:r>
        <w:rPr>
          <w:rFonts w:ascii="Calibri" w:hAnsi="Calibri" w:cs="Calibri"/>
          <w:sz w:val="24"/>
          <w:szCs w:val="24"/>
        </w:rPr>
        <w:lastRenderedPageBreak/>
        <w:t xml:space="preserve">Initially I felt the coding of the date fell naturally into the categories of Cashdan’s (1999) </w:t>
      </w:r>
      <w:r w:rsidRPr="00017FDD">
        <w:rPr>
          <w:rFonts w:ascii="Calibri" w:hAnsi="Calibri" w:cs="Calibri"/>
          <w:i/>
          <w:iCs/>
          <w:sz w:val="24"/>
          <w:szCs w:val="24"/>
        </w:rPr>
        <w:t xml:space="preserve">The Crossing, The Encounter, The Conquest </w:t>
      </w:r>
      <w:r>
        <w:rPr>
          <w:rFonts w:ascii="Calibri" w:hAnsi="Calibri" w:cs="Calibri"/>
          <w:sz w:val="24"/>
          <w:szCs w:val="24"/>
        </w:rPr>
        <w:t xml:space="preserve">and </w:t>
      </w:r>
      <w:r w:rsidRPr="00017FDD">
        <w:rPr>
          <w:rFonts w:ascii="Calibri" w:hAnsi="Calibri" w:cs="Calibri"/>
          <w:i/>
          <w:iCs/>
          <w:sz w:val="24"/>
          <w:szCs w:val="24"/>
        </w:rPr>
        <w:t>The Celebration</w:t>
      </w:r>
      <w:r>
        <w:rPr>
          <w:rFonts w:ascii="Calibri" w:hAnsi="Calibri" w:cs="Calibri"/>
          <w:sz w:val="24"/>
          <w:szCs w:val="24"/>
        </w:rPr>
        <w:t>. Although considered convenient by one supervisor, and confusing by the other, I felt the categories for the coding were following a rhythm of the tales participants were telling. In hindsight I can understand how the coding that followed a waystation (</w:t>
      </w:r>
      <w:r w:rsidR="00AB1ADC">
        <w:rPr>
          <w:rFonts w:ascii="Calibri" w:hAnsi="Calibri" w:cs="Calibri"/>
          <w:sz w:val="24"/>
          <w:szCs w:val="24"/>
        </w:rPr>
        <w:t>ibid.</w:t>
      </w:r>
      <w:r>
        <w:rPr>
          <w:rFonts w:ascii="Calibri" w:hAnsi="Calibri" w:cs="Calibri"/>
          <w:sz w:val="24"/>
          <w:szCs w:val="24"/>
        </w:rPr>
        <w:t xml:space="preserve">) remit might be seen as a lazy way of transferring an overarching holding mechanism for the thesis onto the data and would represent an imposed bias. I can also see why this coding model could be read in a confusing way, particularly as the subsequent themes identified were metaphorical and archetypal in nature and might overwhelm the reader. In addition, upon reflection, the indicative interview schedule and questions contained within </w:t>
      </w:r>
      <w:r w:rsidR="00346E3F">
        <w:rPr>
          <w:rFonts w:ascii="Calibri" w:hAnsi="Calibri" w:cs="Calibri"/>
          <w:sz w:val="24"/>
          <w:szCs w:val="24"/>
        </w:rPr>
        <w:t>them,</w:t>
      </w:r>
      <w:r>
        <w:rPr>
          <w:rFonts w:ascii="Calibri" w:hAnsi="Calibri" w:cs="Calibri"/>
          <w:sz w:val="24"/>
          <w:szCs w:val="24"/>
        </w:rPr>
        <w:t xml:space="preserve"> although naturally following the rhythm of a journey</w:t>
      </w:r>
      <w:r w:rsidR="00934A93">
        <w:rPr>
          <w:rFonts w:ascii="Calibri" w:hAnsi="Calibri" w:cs="Calibri"/>
          <w:sz w:val="24"/>
          <w:szCs w:val="24"/>
        </w:rPr>
        <w:t xml:space="preserve"> (</w:t>
      </w:r>
      <w:r>
        <w:rPr>
          <w:rFonts w:ascii="Calibri" w:hAnsi="Calibri" w:cs="Calibri"/>
          <w:sz w:val="24"/>
          <w:szCs w:val="24"/>
        </w:rPr>
        <w:t>the entry point, what was met during the journey, what tools teachers gathered on their journey and what or who helped them embody and celebrate who they had becom</w:t>
      </w:r>
      <w:r w:rsidR="00934A93">
        <w:rPr>
          <w:rFonts w:ascii="Calibri" w:hAnsi="Calibri" w:cs="Calibri"/>
          <w:sz w:val="24"/>
          <w:szCs w:val="24"/>
        </w:rPr>
        <w:t>e),</w:t>
      </w:r>
      <w:r>
        <w:rPr>
          <w:rFonts w:ascii="Calibri" w:hAnsi="Calibri" w:cs="Calibri"/>
          <w:sz w:val="24"/>
          <w:szCs w:val="24"/>
        </w:rPr>
        <w:t xml:space="preserve"> they could be considered as my directing the participants towards a coding of the waystation, even though consciously that was not my original intent. </w:t>
      </w:r>
    </w:p>
    <w:p w14:paraId="1AD64C19" w14:textId="5514F362" w:rsidR="00275E03" w:rsidRDefault="00275E03" w:rsidP="00BE5A88">
      <w:pPr>
        <w:spacing w:line="360" w:lineRule="auto"/>
        <w:rPr>
          <w:rFonts w:ascii="Calibri" w:hAnsi="Calibri" w:cs="Calibri"/>
          <w:sz w:val="24"/>
          <w:szCs w:val="24"/>
        </w:rPr>
      </w:pPr>
      <w:r>
        <w:rPr>
          <w:rFonts w:ascii="Calibri" w:hAnsi="Calibri" w:cs="Calibri"/>
          <w:sz w:val="24"/>
          <w:szCs w:val="24"/>
        </w:rPr>
        <w:t xml:space="preserve">There is an overlap between my positionality, the nature of tales and stories, what I was seeking to discover, how I probed the participants, what methods were utilised and the desire as a researcher to achieve and actualise the aims. I recognise that neutrality, impartiality and objectivity, a position of purist observer in research is very difficult, if not nigh on impossible to achieve, and that my own bias cannot be wholly eliminated. It was reflection on the coding using iterative cycles that resulted in a final capturing of both the coding and the themes. </w:t>
      </w:r>
    </w:p>
    <w:p w14:paraId="6FAF44D5" w14:textId="6E0E1DB3" w:rsidR="00970371" w:rsidRDefault="00275E03" w:rsidP="007F5515">
      <w:pPr>
        <w:spacing w:line="360" w:lineRule="auto"/>
        <w:rPr>
          <w:rFonts w:ascii="Calibri" w:hAnsi="Calibri" w:cs="Calibri"/>
          <w:sz w:val="24"/>
          <w:szCs w:val="24"/>
        </w:rPr>
      </w:pPr>
      <w:r>
        <w:rPr>
          <w:rFonts w:ascii="Calibri" w:hAnsi="Calibri" w:cs="Calibri"/>
          <w:sz w:val="24"/>
          <w:szCs w:val="24"/>
        </w:rPr>
        <w:t>I begin by demonstrating the iterative process of considering other coding categories that were discarded.</w:t>
      </w:r>
    </w:p>
    <w:p w14:paraId="057E96CF" w14:textId="77777777" w:rsidR="00C659CD" w:rsidRDefault="00275E03" w:rsidP="00C659CD">
      <w:pPr>
        <w:rPr>
          <w:rFonts w:ascii="Calibri" w:hAnsi="Calibri" w:cs="Calibri"/>
          <w:sz w:val="24"/>
          <w:szCs w:val="24"/>
        </w:rPr>
      </w:pPr>
      <w:r>
        <w:rPr>
          <w:rFonts w:ascii="Calibri" w:hAnsi="Calibri" w:cs="Calibri"/>
          <w:noProof/>
          <w:sz w:val="24"/>
          <w:szCs w:val="24"/>
        </w:rPr>
        <w:lastRenderedPageBreak/>
        <w:drawing>
          <wp:inline distT="0" distB="0" distL="0" distR="0" wp14:anchorId="5141CB05" wp14:editId="6CD0C9BD">
            <wp:extent cx="5486400" cy="2324100"/>
            <wp:effectExtent l="0" t="0" r="76200" b="0"/>
            <wp:docPr id="13703833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4" r:lo="rId535" r:qs="rId536" r:cs="rId537"/>
              </a:graphicData>
            </a:graphic>
          </wp:inline>
        </w:drawing>
      </w:r>
    </w:p>
    <w:p w14:paraId="4417BC9A" w14:textId="2B9D2C94" w:rsidR="00275E03" w:rsidRPr="007B4015" w:rsidRDefault="00275E03" w:rsidP="00C659CD">
      <w:pPr>
        <w:ind w:firstLine="720"/>
        <w:rPr>
          <w:rFonts w:ascii="Calibri" w:hAnsi="Calibri" w:cs="Calibri"/>
          <w:i/>
          <w:iCs/>
          <w:sz w:val="24"/>
          <w:szCs w:val="24"/>
        </w:rPr>
      </w:pPr>
      <w:r w:rsidRPr="007B4015">
        <w:rPr>
          <w:rFonts w:ascii="Calibri" w:hAnsi="Calibri" w:cs="Calibri"/>
          <w:i/>
          <w:iCs/>
          <w:sz w:val="24"/>
          <w:szCs w:val="24"/>
        </w:rPr>
        <w:t xml:space="preserve">Figure </w:t>
      </w:r>
      <w:r w:rsidR="007B4015" w:rsidRPr="007B4015">
        <w:rPr>
          <w:rFonts w:ascii="Calibri" w:hAnsi="Calibri" w:cs="Calibri"/>
          <w:i/>
          <w:iCs/>
          <w:sz w:val="24"/>
          <w:szCs w:val="24"/>
        </w:rPr>
        <w:t>15</w:t>
      </w:r>
      <w:r w:rsidRPr="007B4015">
        <w:rPr>
          <w:rFonts w:ascii="Calibri" w:hAnsi="Calibri" w:cs="Calibri"/>
          <w:i/>
          <w:iCs/>
          <w:sz w:val="24"/>
          <w:szCs w:val="24"/>
        </w:rPr>
        <w:t>: Coding based on remembering the lived experience story</w:t>
      </w:r>
    </w:p>
    <w:p w14:paraId="29FA2E0A" w14:textId="77777777" w:rsidR="00C659CD" w:rsidRDefault="00C659CD" w:rsidP="00FC54A2">
      <w:pPr>
        <w:spacing w:line="360" w:lineRule="auto"/>
        <w:rPr>
          <w:rFonts w:ascii="Calibri" w:hAnsi="Calibri" w:cs="Calibri"/>
          <w:sz w:val="24"/>
          <w:szCs w:val="24"/>
        </w:rPr>
      </w:pPr>
    </w:p>
    <w:p w14:paraId="0B0CC8BC" w14:textId="6377B028" w:rsidR="00D32A09" w:rsidRDefault="00275E03" w:rsidP="00FC54A2">
      <w:pPr>
        <w:spacing w:line="360" w:lineRule="auto"/>
        <w:rPr>
          <w:rFonts w:ascii="Calibri" w:hAnsi="Calibri" w:cs="Calibri"/>
          <w:sz w:val="24"/>
          <w:szCs w:val="24"/>
        </w:rPr>
      </w:pPr>
      <w:r>
        <w:rPr>
          <w:rFonts w:ascii="Calibri" w:hAnsi="Calibri" w:cs="Calibri"/>
          <w:sz w:val="24"/>
          <w:szCs w:val="24"/>
        </w:rPr>
        <w:t>When exploring this coding</w:t>
      </w:r>
      <w:r w:rsidR="007B4015">
        <w:rPr>
          <w:rFonts w:ascii="Calibri" w:hAnsi="Calibri" w:cs="Calibri"/>
          <w:sz w:val="24"/>
          <w:szCs w:val="24"/>
        </w:rPr>
        <w:t xml:space="preserve"> (Figure 15</w:t>
      </w:r>
      <w:r w:rsidR="00ED79E0">
        <w:rPr>
          <w:rFonts w:ascii="Calibri" w:hAnsi="Calibri" w:cs="Calibri"/>
          <w:sz w:val="24"/>
          <w:szCs w:val="24"/>
        </w:rPr>
        <w:t>),</w:t>
      </w:r>
      <w:r>
        <w:rPr>
          <w:rFonts w:ascii="Calibri" w:hAnsi="Calibri" w:cs="Calibri"/>
          <w:sz w:val="24"/>
          <w:szCs w:val="24"/>
        </w:rPr>
        <w:t xml:space="preserve"> I was considering that the </w:t>
      </w:r>
      <w:r w:rsidR="002073D6">
        <w:rPr>
          <w:rFonts w:ascii="Calibri" w:hAnsi="Calibri" w:cs="Calibri"/>
          <w:sz w:val="24"/>
          <w:szCs w:val="24"/>
        </w:rPr>
        <w:t>participant’s</w:t>
      </w:r>
      <w:r w:rsidR="003F5E1D">
        <w:rPr>
          <w:rFonts w:ascii="Calibri" w:hAnsi="Calibri" w:cs="Calibri"/>
          <w:sz w:val="24"/>
          <w:szCs w:val="24"/>
        </w:rPr>
        <w:t xml:space="preserve"> </w:t>
      </w:r>
      <w:r>
        <w:rPr>
          <w:rFonts w:ascii="Calibri" w:hAnsi="Calibri" w:cs="Calibri"/>
          <w:sz w:val="24"/>
          <w:szCs w:val="24"/>
        </w:rPr>
        <w:t>lived experienc</w:t>
      </w:r>
      <w:r w:rsidR="003F5E1D">
        <w:rPr>
          <w:rFonts w:ascii="Calibri" w:hAnsi="Calibri" w:cs="Calibri"/>
          <w:sz w:val="24"/>
          <w:szCs w:val="24"/>
        </w:rPr>
        <w:t xml:space="preserve">es </w:t>
      </w:r>
      <w:r w:rsidR="005D495C">
        <w:rPr>
          <w:rFonts w:ascii="Calibri" w:hAnsi="Calibri" w:cs="Calibri"/>
          <w:sz w:val="24"/>
          <w:szCs w:val="24"/>
        </w:rPr>
        <w:t>required</w:t>
      </w:r>
      <w:r w:rsidR="009D597D">
        <w:rPr>
          <w:rFonts w:ascii="Calibri" w:hAnsi="Calibri" w:cs="Calibri"/>
          <w:sz w:val="24"/>
          <w:szCs w:val="24"/>
        </w:rPr>
        <w:t xml:space="preserve"> a </w:t>
      </w:r>
      <w:r w:rsidR="002073D6">
        <w:rPr>
          <w:rFonts w:ascii="Calibri" w:hAnsi="Calibri" w:cs="Calibri"/>
          <w:sz w:val="24"/>
          <w:szCs w:val="24"/>
        </w:rPr>
        <w:t xml:space="preserve">neat </w:t>
      </w:r>
      <w:r w:rsidR="009D597D">
        <w:rPr>
          <w:rFonts w:ascii="Calibri" w:hAnsi="Calibri" w:cs="Calibri"/>
          <w:sz w:val="24"/>
          <w:szCs w:val="24"/>
        </w:rPr>
        <w:t>frame</w:t>
      </w:r>
      <w:r>
        <w:rPr>
          <w:rFonts w:ascii="Calibri" w:hAnsi="Calibri" w:cs="Calibri"/>
          <w:sz w:val="24"/>
          <w:szCs w:val="24"/>
        </w:rPr>
        <w:t xml:space="preserve">. I initially felt the interviews and data were delineating a process of professional life review, which in part they were. The concept of the life review stems from research conducted </w:t>
      </w:r>
      <w:r w:rsidR="008C7A88">
        <w:rPr>
          <w:rFonts w:ascii="Calibri" w:hAnsi="Calibri" w:cs="Calibri"/>
          <w:sz w:val="24"/>
          <w:szCs w:val="24"/>
        </w:rPr>
        <w:t xml:space="preserve">with the </w:t>
      </w:r>
      <w:r w:rsidR="005D495C">
        <w:rPr>
          <w:rFonts w:ascii="Calibri" w:hAnsi="Calibri" w:cs="Calibri"/>
          <w:sz w:val="24"/>
          <w:szCs w:val="24"/>
        </w:rPr>
        <w:t>elderly (</w:t>
      </w:r>
      <w:r>
        <w:rPr>
          <w:rFonts w:ascii="Calibri" w:hAnsi="Calibri" w:cs="Calibri"/>
          <w:sz w:val="24"/>
          <w:szCs w:val="24"/>
        </w:rPr>
        <w:t>Butler</w:t>
      </w:r>
      <w:r w:rsidR="008C7A88">
        <w:rPr>
          <w:rFonts w:ascii="Calibri" w:hAnsi="Calibri" w:cs="Calibri"/>
          <w:sz w:val="24"/>
          <w:szCs w:val="24"/>
        </w:rPr>
        <w:t xml:space="preserve">, </w:t>
      </w:r>
      <w:r>
        <w:rPr>
          <w:rFonts w:ascii="Calibri" w:hAnsi="Calibri" w:cs="Calibri"/>
          <w:sz w:val="24"/>
          <w:szCs w:val="24"/>
        </w:rPr>
        <w:t>1963</w:t>
      </w:r>
      <w:r w:rsidR="001D214C">
        <w:rPr>
          <w:rFonts w:ascii="Calibri" w:hAnsi="Calibri" w:cs="Calibri"/>
          <w:sz w:val="24"/>
          <w:szCs w:val="24"/>
        </w:rPr>
        <w:t>) intended</w:t>
      </w:r>
      <w:r>
        <w:rPr>
          <w:rFonts w:ascii="Calibri" w:hAnsi="Calibri" w:cs="Calibri"/>
          <w:sz w:val="24"/>
          <w:szCs w:val="24"/>
        </w:rPr>
        <w:t xml:space="preserve"> to help them </w:t>
      </w:r>
      <w:r w:rsidR="001D214C">
        <w:rPr>
          <w:rFonts w:ascii="Calibri" w:hAnsi="Calibri" w:cs="Calibri"/>
          <w:sz w:val="24"/>
          <w:szCs w:val="24"/>
        </w:rPr>
        <w:t>discover and rediscover</w:t>
      </w:r>
      <w:r>
        <w:rPr>
          <w:rFonts w:ascii="Calibri" w:hAnsi="Calibri" w:cs="Calibri"/>
          <w:sz w:val="24"/>
          <w:szCs w:val="24"/>
        </w:rPr>
        <w:t xml:space="preserve"> a personal sense and meaning of their </w:t>
      </w:r>
      <w:r w:rsidR="001D214C">
        <w:rPr>
          <w:rFonts w:ascii="Calibri" w:hAnsi="Calibri" w:cs="Calibri"/>
          <w:sz w:val="24"/>
          <w:szCs w:val="24"/>
        </w:rPr>
        <w:t>lives and</w:t>
      </w:r>
      <w:r>
        <w:rPr>
          <w:rFonts w:ascii="Calibri" w:hAnsi="Calibri" w:cs="Calibri"/>
          <w:sz w:val="24"/>
          <w:szCs w:val="24"/>
        </w:rPr>
        <w:t xml:space="preserve"> bring to consciousness past experiences and unresolved conflicts. Sounding somewhat therapeutic in nature, I discarded the term </w:t>
      </w:r>
      <w:r w:rsidR="001D214C">
        <w:rPr>
          <w:rFonts w:ascii="Calibri" w:hAnsi="Calibri" w:cs="Calibri"/>
          <w:sz w:val="24"/>
          <w:szCs w:val="24"/>
        </w:rPr>
        <w:t>“</w:t>
      </w:r>
      <w:r>
        <w:rPr>
          <w:rFonts w:ascii="Calibri" w:hAnsi="Calibri" w:cs="Calibri"/>
          <w:sz w:val="24"/>
          <w:szCs w:val="24"/>
        </w:rPr>
        <w:t>life review</w:t>
      </w:r>
      <w:r w:rsidR="001D214C">
        <w:rPr>
          <w:rFonts w:ascii="Calibri" w:hAnsi="Calibri" w:cs="Calibri"/>
          <w:sz w:val="24"/>
          <w:szCs w:val="24"/>
        </w:rPr>
        <w:t>”</w:t>
      </w:r>
      <w:r>
        <w:rPr>
          <w:rFonts w:ascii="Calibri" w:hAnsi="Calibri" w:cs="Calibri"/>
          <w:sz w:val="24"/>
          <w:szCs w:val="24"/>
        </w:rPr>
        <w:t xml:space="preserve"> as I was not seeking to focus on any unresolved conflicts. The intention of my research was to explore experiences and to capture the thoughts and feelings of my participants about their experiences as trainee teachers and during their current teaching practices</w:t>
      </w:r>
      <w:r w:rsidR="00110204">
        <w:rPr>
          <w:rFonts w:ascii="Calibri" w:hAnsi="Calibri" w:cs="Calibri"/>
          <w:sz w:val="24"/>
          <w:szCs w:val="24"/>
        </w:rPr>
        <w:t xml:space="preserve">, and </w:t>
      </w:r>
      <w:r>
        <w:rPr>
          <w:rFonts w:ascii="Calibri" w:hAnsi="Calibri" w:cs="Calibri"/>
          <w:sz w:val="24"/>
          <w:szCs w:val="24"/>
        </w:rPr>
        <w:t xml:space="preserve">conflict resolution </w:t>
      </w:r>
      <w:r w:rsidR="00D16869">
        <w:rPr>
          <w:rFonts w:ascii="Calibri" w:hAnsi="Calibri" w:cs="Calibri"/>
          <w:sz w:val="24"/>
          <w:szCs w:val="24"/>
        </w:rPr>
        <w:t>was not a prime focus</w:t>
      </w:r>
      <w:r>
        <w:rPr>
          <w:rFonts w:ascii="Calibri" w:hAnsi="Calibri" w:cs="Calibri"/>
          <w:sz w:val="24"/>
          <w:szCs w:val="24"/>
        </w:rPr>
        <w:t>. I wished to take some experiential still photographs, not record a whole film and the coding of professional life review felt too wide</w:t>
      </w:r>
      <w:r w:rsidR="007D684B">
        <w:rPr>
          <w:rFonts w:ascii="Calibri" w:hAnsi="Calibri" w:cs="Calibri"/>
          <w:sz w:val="24"/>
          <w:szCs w:val="24"/>
        </w:rPr>
        <w:t>,</w:t>
      </w:r>
      <w:r>
        <w:rPr>
          <w:rFonts w:ascii="Calibri" w:hAnsi="Calibri" w:cs="Calibri"/>
          <w:sz w:val="24"/>
          <w:szCs w:val="24"/>
        </w:rPr>
        <w:t xml:space="preserve"> and too particular. Similarly, the coding of analytical reminiscence denotes a deep scrutiny with the hope of some resolution. Although recognising that the learning and future learning</w:t>
      </w:r>
      <w:r w:rsidR="008F2E7C">
        <w:rPr>
          <w:rFonts w:ascii="Calibri" w:hAnsi="Calibri" w:cs="Calibri"/>
          <w:sz w:val="24"/>
          <w:szCs w:val="24"/>
        </w:rPr>
        <w:t xml:space="preserve"> coding</w:t>
      </w:r>
      <w:r>
        <w:rPr>
          <w:rFonts w:ascii="Calibri" w:hAnsi="Calibri" w:cs="Calibri"/>
          <w:sz w:val="24"/>
          <w:szCs w:val="24"/>
        </w:rPr>
        <w:t xml:space="preserve"> that the participant can reflect on as a consequence of telling their training and teaching stories was likely to be a consequence of taking part in my study, it is not an aspect that is a given. A participant could simply take part</w:t>
      </w:r>
      <w:r w:rsidR="00BB3B16">
        <w:rPr>
          <w:rFonts w:ascii="Calibri" w:hAnsi="Calibri" w:cs="Calibri"/>
          <w:sz w:val="24"/>
          <w:szCs w:val="24"/>
        </w:rPr>
        <w:t xml:space="preserve">, tell their story </w:t>
      </w:r>
      <w:r>
        <w:rPr>
          <w:rFonts w:ascii="Calibri" w:hAnsi="Calibri" w:cs="Calibri"/>
          <w:sz w:val="24"/>
          <w:szCs w:val="24"/>
        </w:rPr>
        <w:t>and leave unchanged</w:t>
      </w:r>
      <w:r w:rsidR="00BB3B16">
        <w:rPr>
          <w:rFonts w:ascii="Calibri" w:hAnsi="Calibri" w:cs="Calibri"/>
          <w:sz w:val="24"/>
          <w:szCs w:val="24"/>
        </w:rPr>
        <w:t>.</w:t>
      </w:r>
    </w:p>
    <w:p w14:paraId="5CBDA065" w14:textId="77777777" w:rsidR="00D32A09" w:rsidRDefault="00D32A09">
      <w:pPr>
        <w:rPr>
          <w:rFonts w:ascii="Calibri" w:hAnsi="Calibri" w:cs="Calibri"/>
          <w:sz w:val="24"/>
          <w:szCs w:val="24"/>
        </w:rPr>
      </w:pPr>
    </w:p>
    <w:p w14:paraId="3049351B" w14:textId="77777777" w:rsidR="00970371" w:rsidRDefault="00275E03" w:rsidP="00970371">
      <w:pPr>
        <w:rPr>
          <w:rFonts w:ascii="Calibri" w:hAnsi="Calibri" w:cs="Calibri"/>
          <w:sz w:val="24"/>
          <w:szCs w:val="24"/>
        </w:rPr>
      </w:pPr>
      <w:r>
        <w:rPr>
          <w:rFonts w:ascii="Calibri" w:hAnsi="Calibri" w:cs="Calibri"/>
          <w:noProof/>
          <w:sz w:val="24"/>
          <w:szCs w:val="24"/>
        </w:rPr>
        <w:lastRenderedPageBreak/>
        <w:drawing>
          <wp:inline distT="0" distB="0" distL="0" distR="0" wp14:anchorId="4A4DDFF1" wp14:editId="587C255C">
            <wp:extent cx="5722620" cy="2377440"/>
            <wp:effectExtent l="0" t="0" r="11430" b="0"/>
            <wp:docPr id="12776807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9" r:lo="rId540" r:qs="rId541" r:cs="rId542"/>
              </a:graphicData>
            </a:graphic>
          </wp:inline>
        </w:drawing>
      </w:r>
    </w:p>
    <w:p w14:paraId="5DAB4971" w14:textId="79A7B58B" w:rsidR="00275E03" w:rsidRDefault="00275E03" w:rsidP="00970371">
      <w:pPr>
        <w:ind w:firstLine="720"/>
        <w:rPr>
          <w:rFonts w:ascii="Calibri" w:hAnsi="Calibri" w:cs="Calibri"/>
          <w:sz w:val="24"/>
          <w:szCs w:val="24"/>
        </w:rPr>
      </w:pPr>
      <w:r w:rsidRPr="00970371">
        <w:rPr>
          <w:rFonts w:ascii="Calibri" w:hAnsi="Calibri" w:cs="Calibri"/>
          <w:sz w:val="24"/>
          <w:szCs w:val="24"/>
        </w:rPr>
        <w:t xml:space="preserve">Figure </w:t>
      </w:r>
      <w:r w:rsidR="00ED79E0">
        <w:rPr>
          <w:rFonts w:ascii="Calibri" w:hAnsi="Calibri" w:cs="Calibri"/>
          <w:sz w:val="24"/>
          <w:szCs w:val="24"/>
        </w:rPr>
        <w:t>16</w:t>
      </w:r>
      <w:r w:rsidRPr="00970371">
        <w:rPr>
          <w:rFonts w:ascii="Calibri" w:hAnsi="Calibri" w:cs="Calibri"/>
          <w:sz w:val="24"/>
          <w:szCs w:val="24"/>
        </w:rPr>
        <w:t>: Cashdan’s (1999) waystation model drawn from fairytale lore.</w:t>
      </w:r>
    </w:p>
    <w:p w14:paraId="0F2D6AAA" w14:textId="77777777" w:rsidR="00275E03" w:rsidRDefault="00275E03">
      <w:pPr>
        <w:rPr>
          <w:rFonts w:ascii="Calibri" w:hAnsi="Calibri" w:cs="Calibri"/>
          <w:sz w:val="24"/>
          <w:szCs w:val="24"/>
        </w:rPr>
      </w:pPr>
      <w:r>
        <w:rPr>
          <w:rFonts w:ascii="Calibri" w:hAnsi="Calibri" w:cs="Calibri"/>
          <w:noProof/>
          <w:sz w:val="24"/>
          <w:szCs w:val="24"/>
        </w:rPr>
        <w:drawing>
          <wp:inline distT="0" distB="0" distL="0" distR="0" wp14:anchorId="76CF5A91" wp14:editId="0BD258CD">
            <wp:extent cx="5486400" cy="3200400"/>
            <wp:effectExtent l="0" t="0" r="0" b="0"/>
            <wp:docPr id="119757679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4" r:lo="rId545" r:qs="rId546" r:cs="rId547"/>
              </a:graphicData>
            </a:graphic>
          </wp:inline>
        </w:drawing>
      </w:r>
    </w:p>
    <w:p w14:paraId="5C61C3D6" w14:textId="747F54B3" w:rsidR="00275E03" w:rsidRPr="00F16545" w:rsidRDefault="00275E03" w:rsidP="005D6910">
      <w:pPr>
        <w:ind w:left="720" w:firstLine="720"/>
        <w:rPr>
          <w:rFonts w:ascii="Calibri" w:hAnsi="Calibri" w:cs="Calibri"/>
          <w:i/>
          <w:iCs/>
          <w:sz w:val="24"/>
          <w:szCs w:val="24"/>
        </w:rPr>
      </w:pPr>
      <w:r w:rsidRPr="00F16545">
        <w:rPr>
          <w:rFonts w:ascii="Calibri" w:hAnsi="Calibri" w:cs="Calibri"/>
          <w:i/>
          <w:iCs/>
          <w:sz w:val="24"/>
          <w:szCs w:val="24"/>
        </w:rPr>
        <w:t xml:space="preserve">Figure </w:t>
      </w:r>
      <w:r w:rsidR="00F16545" w:rsidRPr="00F16545">
        <w:rPr>
          <w:rFonts w:ascii="Calibri" w:hAnsi="Calibri" w:cs="Calibri"/>
          <w:i/>
          <w:iCs/>
          <w:sz w:val="24"/>
          <w:szCs w:val="24"/>
        </w:rPr>
        <w:t>17:</w:t>
      </w:r>
      <w:r w:rsidRPr="00F16545">
        <w:rPr>
          <w:rFonts w:ascii="Calibri" w:hAnsi="Calibri" w:cs="Calibri"/>
          <w:i/>
          <w:iCs/>
          <w:sz w:val="24"/>
          <w:szCs w:val="24"/>
        </w:rPr>
        <w:t xml:space="preserve"> A coding based on lived experience (Schultz, 2025)</w:t>
      </w:r>
    </w:p>
    <w:p w14:paraId="30282CEA" w14:textId="77777777" w:rsidR="00943AD8" w:rsidRDefault="00943AD8" w:rsidP="00FC54A2">
      <w:pPr>
        <w:spacing w:line="360" w:lineRule="auto"/>
        <w:rPr>
          <w:rFonts w:ascii="Calibri" w:hAnsi="Calibri" w:cs="Calibri"/>
          <w:sz w:val="24"/>
          <w:szCs w:val="24"/>
        </w:rPr>
      </w:pPr>
    </w:p>
    <w:p w14:paraId="2DA2DEE8" w14:textId="29E09B1C" w:rsidR="00275E03" w:rsidRDefault="00275E03" w:rsidP="00FC54A2">
      <w:pPr>
        <w:spacing w:line="360" w:lineRule="auto"/>
        <w:rPr>
          <w:rFonts w:ascii="Calibri" w:hAnsi="Calibri" w:cs="Calibri"/>
          <w:sz w:val="24"/>
          <w:szCs w:val="24"/>
        </w:rPr>
      </w:pPr>
      <w:r>
        <w:rPr>
          <w:rFonts w:ascii="Calibri" w:hAnsi="Calibri" w:cs="Calibri"/>
          <w:sz w:val="24"/>
          <w:szCs w:val="24"/>
        </w:rPr>
        <w:t xml:space="preserve">I found </w:t>
      </w:r>
      <w:r w:rsidR="00506277">
        <w:rPr>
          <w:rFonts w:ascii="Calibri" w:hAnsi="Calibri" w:cs="Calibri"/>
          <w:sz w:val="24"/>
          <w:szCs w:val="24"/>
        </w:rPr>
        <w:t xml:space="preserve">the </w:t>
      </w:r>
      <w:r>
        <w:rPr>
          <w:rFonts w:ascii="Calibri" w:hAnsi="Calibri" w:cs="Calibri"/>
          <w:sz w:val="24"/>
          <w:szCs w:val="24"/>
        </w:rPr>
        <w:t xml:space="preserve">coding </w:t>
      </w:r>
      <w:r w:rsidR="000E01D8">
        <w:rPr>
          <w:rFonts w:ascii="Calibri" w:hAnsi="Calibri" w:cs="Calibri"/>
          <w:sz w:val="24"/>
          <w:szCs w:val="24"/>
        </w:rPr>
        <w:t xml:space="preserve">in Figures 16 and 17 </w:t>
      </w:r>
      <w:r>
        <w:rPr>
          <w:rFonts w:ascii="Calibri" w:hAnsi="Calibri" w:cs="Calibri"/>
          <w:sz w:val="24"/>
          <w:szCs w:val="24"/>
        </w:rPr>
        <w:t xml:space="preserve">to be too </w:t>
      </w:r>
      <w:r w:rsidR="00F16545">
        <w:rPr>
          <w:rFonts w:ascii="Calibri" w:hAnsi="Calibri" w:cs="Calibri"/>
          <w:sz w:val="24"/>
          <w:szCs w:val="24"/>
        </w:rPr>
        <w:t>simpl</w:t>
      </w:r>
      <w:r w:rsidR="00950449">
        <w:rPr>
          <w:rFonts w:ascii="Calibri" w:hAnsi="Calibri" w:cs="Calibri"/>
          <w:sz w:val="24"/>
          <w:szCs w:val="24"/>
        </w:rPr>
        <w:t>istic</w:t>
      </w:r>
      <w:r w:rsidR="00F16545">
        <w:rPr>
          <w:rFonts w:ascii="Calibri" w:hAnsi="Calibri" w:cs="Calibri"/>
          <w:sz w:val="24"/>
          <w:szCs w:val="24"/>
        </w:rPr>
        <w:t>,</w:t>
      </w:r>
      <w:r>
        <w:rPr>
          <w:rFonts w:ascii="Calibri" w:hAnsi="Calibri" w:cs="Calibri"/>
          <w:sz w:val="24"/>
          <w:szCs w:val="24"/>
        </w:rPr>
        <w:t xml:space="preserve"> and </w:t>
      </w:r>
      <w:r w:rsidR="00943AD8">
        <w:rPr>
          <w:rFonts w:ascii="Calibri" w:hAnsi="Calibri" w:cs="Calibri"/>
          <w:sz w:val="24"/>
          <w:szCs w:val="24"/>
        </w:rPr>
        <w:t>neither model</w:t>
      </w:r>
      <w:r>
        <w:rPr>
          <w:rFonts w:ascii="Calibri" w:hAnsi="Calibri" w:cs="Calibri"/>
          <w:sz w:val="24"/>
          <w:szCs w:val="24"/>
        </w:rPr>
        <w:t xml:space="preserve"> captur</w:t>
      </w:r>
      <w:r w:rsidR="00943AD8">
        <w:rPr>
          <w:rFonts w:ascii="Calibri" w:hAnsi="Calibri" w:cs="Calibri"/>
          <w:sz w:val="24"/>
          <w:szCs w:val="24"/>
        </w:rPr>
        <w:t>ed</w:t>
      </w:r>
      <w:r>
        <w:rPr>
          <w:rFonts w:ascii="Calibri" w:hAnsi="Calibri" w:cs="Calibri"/>
          <w:sz w:val="24"/>
          <w:szCs w:val="24"/>
        </w:rPr>
        <w:t xml:space="preserve"> the essence of the transitions and what information, help and support was acquired during the journey. The nature of remembering, reminiscing, gathering, learning and processing, the lived experience journey in its totality is not evident enough in th</w:t>
      </w:r>
      <w:r w:rsidR="00943AD8">
        <w:rPr>
          <w:rFonts w:ascii="Calibri" w:hAnsi="Calibri" w:cs="Calibri"/>
          <w:sz w:val="24"/>
          <w:szCs w:val="24"/>
        </w:rPr>
        <w:t>ese</w:t>
      </w:r>
      <w:r>
        <w:rPr>
          <w:rFonts w:ascii="Calibri" w:hAnsi="Calibri" w:cs="Calibri"/>
          <w:sz w:val="24"/>
          <w:szCs w:val="24"/>
        </w:rPr>
        <w:t xml:space="preserve"> model</w:t>
      </w:r>
      <w:r w:rsidR="00943AD8">
        <w:rPr>
          <w:rFonts w:ascii="Calibri" w:hAnsi="Calibri" w:cs="Calibri"/>
          <w:sz w:val="24"/>
          <w:szCs w:val="24"/>
        </w:rPr>
        <w:t>s</w:t>
      </w:r>
      <w:r>
        <w:rPr>
          <w:rFonts w:ascii="Calibri" w:hAnsi="Calibri" w:cs="Calibri"/>
          <w:sz w:val="24"/>
          <w:szCs w:val="24"/>
        </w:rPr>
        <w:t>.</w:t>
      </w:r>
    </w:p>
    <w:p w14:paraId="2B195831" w14:textId="77777777" w:rsidR="005A641D" w:rsidRDefault="005A641D" w:rsidP="00FC54A2">
      <w:pPr>
        <w:spacing w:line="360" w:lineRule="auto"/>
        <w:rPr>
          <w:rFonts w:ascii="Calibri" w:hAnsi="Calibri" w:cs="Calibri"/>
          <w:sz w:val="24"/>
          <w:szCs w:val="24"/>
        </w:rPr>
      </w:pPr>
    </w:p>
    <w:p w14:paraId="21A5B809" w14:textId="77777777" w:rsidR="005A641D" w:rsidRDefault="005A641D" w:rsidP="00FC54A2">
      <w:pPr>
        <w:spacing w:line="360" w:lineRule="auto"/>
        <w:rPr>
          <w:rFonts w:ascii="Calibri" w:hAnsi="Calibri" w:cs="Calibri"/>
          <w:sz w:val="24"/>
          <w:szCs w:val="24"/>
        </w:rPr>
      </w:pPr>
    </w:p>
    <w:p w14:paraId="11184407" w14:textId="07A70178" w:rsidR="005A641D" w:rsidRDefault="005A641D" w:rsidP="00FC54A2">
      <w:pPr>
        <w:spacing w:line="360" w:lineRule="auto"/>
        <w:rPr>
          <w:rFonts w:ascii="Calibri" w:hAnsi="Calibri" w:cs="Calibri"/>
          <w:sz w:val="24"/>
          <w:szCs w:val="24"/>
        </w:rPr>
      </w:pPr>
      <w:r w:rsidRPr="005A641D">
        <w:rPr>
          <w:rFonts w:ascii="Calibri" w:hAnsi="Calibri" w:cs="Calibri"/>
          <w:sz w:val="24"/>
          <w:szCs w:val="24"/>
        </w:rPr>
        <w:lastRenderedPageBreak/>
        <w:t xml:space="preserve">The Driscoll model of reflection (1994) comprises three distinct phases (Figure 18): </w:t>
      </w:r>
    </w:p>
    <w:p w14:paraId="18B1F254" w14:textId="77777777" w:rsidR="005D6910" w:rsidRDefault="00275E03" w:rsidP="00014B1E">
      <w:pPr>
        <w:ind w:left="720"/>
        <w:rPr>
          <w:rFonts w:ascii="Calibri" w:hAnsi="Calibri" w:cs="Calibri"/>
          <w:sz w:val="24"/>
          <w:szCs w:val="24"/>
        </w:rPr>
      </w:pPr>
      <w:r>
        <w:rPr>
          <w:rFonts w:ascii="Calibri" w:hAnsi="Calibri" w:cs="Calibri"/>
          <w:noProof/>
          <w:sz w:val="24"/>
          <w:szCs w:val="24"/>
        </w:rPr>
        <w:drawing>
          <wp:inline distT="0" distB="0" distL="0" distR="0" wp14:anchorId="1FA56826" wp14:editId="5D2CE98A">
            <wp:extent cx="4648200" cy="2735580"/>
            <wp:effectExtent l="0" t="0" r="0" b="0"/>
            <wp:docPr id="1222149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648200" cy="2735580"/>
                    </a:xfrm>
                    <a:prstGeom prst="rect">
                      <a:avLst/>
                    </a:prstGeom>
                    <a:noFill/>
                  </pic:spPr>
                </pic:pic>
              </a:graphicData>
            </a:graphic>
          </wp:inline>
        </w:drawing>
      </w:r>
    </w:p>
    <w:p w14:paraId="5C4E2EEA" w14:textId="0AE19BC0" w:rsidR="00275E03" w:rsidRPr="00416D78" w:rsidRDefault="00275E03" w:rsidP="00014B1E">
      <w:pPr>
        <w:ind w:left="720"/>
        <w:rPr>
          <w:rFonts w:ascii="Calibri" w:hAnsi="Calibri" w:cs="Calibri"/>
          <w:i/>
          <w:iCs/>
          <w:sz w:val="24"/>
          <w:szCs w:val="24"/>
        </w:rPr>
      </w:pPr>
      <w:r w:rsidRPr="00416D78">
        <w:rPr>
          <w:rFonts w:ascii="Calibri" w:hAnsi="Calibri" w:cs="Calibri"/>
          <w:i/>
          <w:iCs/>
          <w:sz w:val="24"/>
          <w:szCs w:val="24"/>
        </w:rPr>
        <w:t xml:space="preserve">Figure </w:t>
      </w:r>
      <w:r w:rsidR="00353C6D">
        <w:rPr>
          <w:rFonts w:ascii="Calibri" w:hAnsi="Calibri" w:cs="Calibri"/>
          <w:i/>
          <w:iCs/>
          <w:sz w:val="24"/>
          <w:szCs w:val="24"/>
        </w:rPr>
        <w:t>18</w:t>
      </w:r>
      <w:r w:rsidRPr="00416D78">
        <w:rPr>
          <w:rFonts w:ascii="Calibri" w:hAnsi="Calibri" w:cs="Calibri"/>
          <w:i/>
          <w:iCs/>
          <w:sz w:val="24"/>
          <w:szCs w:val="24"/>
        </w:rPr>
        <w:t>: The Driscoll (1994) model of reflection (based on Borton, 1970)</w:t>
      </w:r>
    </w:p>
    <w:p w14:paraId="7A023357" w14:textId="77777777" w:rsidR="0010262C" w:rsidRDefault="0010262C" w:rsidP="00FC54A2">
      <w:pPr>
        <w:spacing w:line="360" w:lineRule="auto"/>
        <w:rPr>
          <w:rFonts w:ascii="Calibri" w:hAnsi="Calibri" w:cs="Calibri"/>
          <w:sz w:val="24"/>
          <w:szCs w:val="24"/>
        </w:rPr>
      </w:pPr>
    </w:p>
    <w:p w14:paraId="3E6AAF88" w14:textId="5EE45E4A" w:rsidR="00275E03" w:rsidRPr="00163DC4" w:rsidRDefault="00275E03" w:rsidP="00FC54A2">
      <w:pPr>
        <w:spacing w:line="360" w:lineRule="auto"/>
        <w:rPr>
          <w:rFonts w:ascii="Calibri" w:hAnsi="Calibri" w:cs="Calibri"/>
          <w:b/>
          <w:bCs/>
          <w:sz w:val="24"/>
          <w:szCs w:val="24"/>
        </w:rPr>
      </w:pPr>
      <w:r w:rsidRPr="00163DC4">
        <w:rPr>
          <w:rFonts w:ascii="Calibri" w:hAnsi="Calibri" w:cs="Calibri"/>
          <w:b/>
          <w:bCs/>
          <w:sz w:val="24"/>
          <w:szCs w:val="24"/>
        </w:rPr>
        <w:t>The “What”?</w:t>
      </w:r>
    </w:p>
    <w:p w14:paraId="1DDCDD29" w14:textId="4C78DFD0" w:rsidR="00275E03" w:rsidRDefault="0010262C" w:rsidP="00FC54A2">
      <w:pPr>
        <w:spacing w:line="360" w:lineRule="auto"/>
        <w:rPr>
          <w:rFonts w:ascii="Calibri" w:hAnsi="Calibri" w:cs="Calibri"/>
          <w:sz w:val="24"/>
          <w:szCs w:val="24"/>
        </w:rPr>
      </w:pPr>
      <w:r>
        <w:rPr>
          <w:rFonts w:ascii="Calibri" w:hAnsi="Calibri" w:cs="Calibri"/>
          <w:sz w:val="24"/>
          <w:szCs w:val="24"/>
        </w:rPr>
        <w:t>This stage c</w:t>
      </w:r>
      <w:r w:rsidR="00275E03">
        <w:rPr>
          <w:rFonts w:ascii="Calibri" w:hAnsi="Calibri" w:cs="Calibri"/>
          <w:sz w:val="24"/>
          <w:szCs w:val="24"/>
        </w:rPr>
        <w:t>aptures the experience of the situation and considers the context, the problem, the achievement goal, the outcome, the main protagonists’ role, the role of the other players, the feelings it evoked in all concerned, the consequences and whether the situation was good or bad.</w:t>
      </w:r>
    </w:p>
    <w:p w14:paraId="3D1D1ED3" w14:textId="77777777" w:rsidR="00275E03" w:rsidRPr="00163DC4" w:rsidRDefault="00275E03" w:rsidP="00FC54A2">
      <w:pPr>
        <w:spacing w:line="360" w:lineRule="auto"/>
        <w:rPr>
          <w:rFonts w:ascii="Calibri" w:hAnsi="Calibri" w:cs="Calibri"/>
          <w:b/>
          <w:bCs/>
          <w:sz w:val="24"/>
          <w:szCs w:val="24"/>
        </w:rPr>
      </w:pPr>
      <w:r w:rsidRPr="00163DC4">
        <w:rPr>
          <w:rFonts w:ascii="Calibri" w:hAnsi="Calibri" w:cs="Calibri"/>
          <w:b/>
          <w:bCs/>
          <w:sz w:val="24"/>
          <w:szCs w:val="24"/>
        </w:rPr>
        <w:t>The “So What”?</w:t>
      </w:r>
    </w:p>
    <w:p w14:paraId="21344F95" w14:textId="5E6CB07C" w:rsidR="00275E03" w:rsidRDefault="00275E03" w:rsidP="00FC54A2">
      <w:pPr>
        <w:spacing w:line="360" w:lineRule="auto"/>
        <w:rPr>
          <w:rFonts w:ascii="Calibri" w:hAnsi="Calibri" w:cs="Calibri"/>
          <w:sz w:val="24"/>
          <w:szCs w:val="24"/>
        </w:rPr>
      </w:pPr>
      <w:r>
        <w:rPr>
          <w:rFonts w:ascii="Calibri" w:hAnsi="Calibri" w:cs="Calibri"/>
          <w:sz w:val="24"/>
          <w:szCs w:val="24"/>
        </w:rPr>
        <w:t xml:space="preserve">This stage considers the implications of the named situation and examines in more depth what shaped the reflector’s thoughts and what can supplement knowledge and thoughts such as </w:t>
      </w:r>
      <w:r w:rsidR="00E00DB0">
        <w:rPr>
          <w:rFonts w:ascii="Calibri" w:hAnsi="Calibri" w:cs="Calibri"/>
          <w:sz w:val="24"/>
          <w:szCs w:val="24"/>
        </w:rPr>
        <w:t>individual</w:t>
      </w:r>
      <w:r>
        <w:rPr>
          <w:rFonts w:ascii="Calibri" w:hAnsi="Calibri" w:cs="Calibri"/>
          <w:sz w:val="24"/>
          <w:szCs w:val="24"/>
        </w:rPr>
        <w:t xml:space="preserve"> ideas, references and theories. The positionality of the reflector is expanded beyond the self but includes the self. Exploring the event or situation from an attitudinal, practice and problem situating perspective, the reflector examines their thoughts, decisions, assumptions and actions and uses the perspectives gained from further information to help understand it more. Past behaviours and decisions are analysed, a change in attitude and behaviour considered and a new understanding about the self and practice is achieved.</w:t>
      </w:r>
    </w:p>
    <w:p w14:paraId="6EDDD32E" w14:textId="77777777" w:rsidR="00275E03" w:rsidRPr="00163DC4" w:rsidRDefault="00275E03" w:rsidP="00FC54A2">
      <w:pPr>
        <w:spacing w:line="360" w:lineRule="auto"/>
        <w:rPr>
          <w:rFonts w:ascii="Calibri" w:hAnsi="Calibri" w:cs="Calibri"/>
          <w:b/>
          <w:bCs/>
          <w:sz w:val="24"/>
          <w:szCs w:val="24"/>
        </w:rPr>
      </w:pPr>
      <w:r w:rsidRPr="00163DC4">
        <w:rPr>
          <w:rFonts w:ascii="Calibri" w:hAnsi="Calibri" w:cs="Calibri"/>
          <w:b/>
          <w:bCs/>
          <w:sz w:val="24"/>
          <w:szCs w:val="24"/>
        </w:rPr>
        <w:lastRenderedPageBreak/>
        <w:t>The “Now What”?</w:t>
      </w:r>
    </w:p>
    <w:p w14:paraId="4EFB7390" w14:textId="204A78F3" w:rsidR="00275E03" w:rsidRDefault="00275E03" w:rsidP="00FC54A2">
      <w:pPr>
        <w:spacing w:line="360" w:lineRule="auto"/>
        <w:rPr>
          <w:rFonts w:ascii="Calibri" w:hAnsi="Calibri" w:cs="Calibri"/>
          <w:sz w:val="24"/>
          <w:szCs w:val="24"/>
        </w:rPr>
      </w:pPr>
      <w:r>
        <w:rPr>
          <w:rFonts w:ascii="Calibri" w:hAnsi="Calibri" w:cs="Calibri"/>
          <w:sz w:val="24"/>
          <w:szCs w:val="24"/>
        </w:rPr>
        <w:t xml:space="preserve">Having gathered from the previous two stages, the reflector creates a concrete plan which includes what the reflector wants to do now moving forward and how they will operationalise their newly formed plan of action. A change in personal behaviour and attitude is considered in the plan to ensure that any new learning has been incorporated and embodied. Very much a place of doing, actions </w:t>
      </w:r>
      <w:r w:rsidR="00295197">
        <w:rPr>
          <w:rFonts w:ascii="Calibri" w:hAnsi="Calibri" w:cs="Calibri"/>
          <w:sz w:val="24"/>
          <w:szCs w:val="24"/>
        </w:rPr>
        <w:t xml:space="preserve">are </w:t>
      </w:r>
      <w:r w:rsidR="006764C9">
        <w:rPr>
          <w:rFonts w:ascii="Calibri" w:hAnsi="Calibri" w:cs="Calibri"/>
          <w:sz w:val="24"/>
          <w:szCs w:val="24"/>
        </w:rPr>
        <w:t xml:space="preserve">taken </w:t>
      </w:r>
      <w:r>
        <w:rPr>
          <w:rFonts w:ascii="Calibri" w:hAnsi="Calibri" w:cs="Calibri"/>
          <w:sz w:val="24"/>
          <w:szCs w:val="24"/>
        </w:rPr>
        <w:t>to ensure there is a different outcome and how and with whom to operationalise a new direction of practice travel.</w:t>
      </w:r>
    </w:p>
    <w:p w14:paraId="1F8D2BDD" w14:textId="727826A6" w:rsidR="00275E03" w:rsidRDefault="00275E03" w:rsidP="00FC54A2">
      <w:pPr>
        <w:spacing w:line="360" w:lineRule="auto"/>
        <w:rPr>
          <w:rFonts w:ascii="Calibri" w:hAnsi="Calibri" w:cs="Calibri"/>
          <w:sz w:val="24"/>
          <w:szCs w:val="24"/>
        </w:rPr>
      </w:pPr>
      <w:r>
        <w:rPr>
          <w:rFonts w:ascii="Calibri" w:hAnsi="Calibri" w:cs="Calibri"/>
          <w:sz w:val="24"/>
          <w:szCs w:val="24"/>
        </w:rPr>
        <w:t xml:space="preserve">The data gathered from my participants fell into the categories of </w:t>
      </w:r>
      <w:r w:rsidR="00FC54A2">
        <w:rPr>
          <w:rFonts w:ascii="Calibri" w:hAnsi="Calibri" w:cs="Calibri"/>
          <w:sz w:val="24"/>
          <w:szCs w:val="24"/>
        </w:rPr>
        <w:t>“</w:t>
      </w:r>
      <w:r>
        <w:rPr>
          <w:rFonts w:ascii="Calibri" w:hAnsi="Calibri" w:cs="Calibri"/>
          <w:sz w:val="24"/>
          <w:szCs w:val="24"/>
        </w:rPr>
        <w:t>what?</w:t>
      </w:r>
      <w:r w:rsidR="00FC54A2">
        <w:rPr>
          <w:rFonts w:ascii="Calibri" w:hAnsi="Calibri" w:cs="Calibri"/>
          <w:sz w:val="24"/>
          <w:szCs w:val="24"/>
        </w:rPr>
        <w:t>”</w:t>
      </w:r>
      <w:r>
        <w:rPr>
          <w:rFonts w:ascii="Calibri" w:hAnsi="Calibri" w:cs="Calibri"/>
          <w:sz w:val="24"/>
          <w:szCs w:val="24"/>
        </w:rPr>
        <w:t xml:space="preserve">, </w:t>
      </w:r>
      <w:r w:rsidR="00FC54A2">
        <w:rPr>
          <w:rFonts w:ascii="Calibri" w:hAnsi="Calibri" w:cs="Calibri"/>
          <w:sz w:val="24"/>
          <w:szCs w:val="24"/>
        </w:rPr>
        <w:t>“</w:t>
      </w:r>
      <w:r>
        <w:rPr>
          <w:rFonts w:ascii="Calibri" w:hAnsi="Calibri" w:cs="Calibri"/>
          <w:sz w:val="24"/>
          <w:szCs w:val="24"/>
        </w:rPr>
        <w:t>so what</w:t>
      </w:r>
      <w:r w:rsidR="00FC54A2">
        <w:rPr>
          <w:rFonts w:ascii="Calibri" w:hAnsi="Calibri" w:cs="Calibri"/>
          <w:sz w:val="24"/>
          <w:szCs w:val="24"/>
        </w:rPr>
        <w:t>”</w:t>
      </w:r>
      <w:r>
        <w:rPr>
          <w:rFonts w:ascii="Calibri" w:hAnsi="Calibri" w:cs="Calibri"/>
          <w:sz w:val="24"/>
          <w:szCs w:val="24"/>
        </w:rPr>
        <w:t xml:space="preserve"> and </w:t>
      </w:r>
      <w:r w:rsidR="00FC54A2">
        <w:rPr>
          <w:rFonts w:ascii="Calibri" w:hAnsi="Calibri" w:cs="Calibri"/>
          <w:sz w:val="24"/>
          <w:szCs w:val="24"/>
        </w:rPr>
        <w:t>“</w:t>
      </w:r>
      <w:r>
        <w:rPr>
          <w:rFonts w:ascii="Calibri" w:hAnsi="Calibri" w:cs="Calibri"/>
          <w:sz w:val="24"/>
          <w:szCs w:val="24"/>
        </w:rPr>
        <w:t>now what?</w:t>
      </w:r>
      <w:r w:rsidR="00FC54A2">
        <w:rPr>
          <w:rFonts w:ascii="Calibri" w:hAnsi="Calibri" w:cs="Calibri"/>
          <w:sz w:val="24"/>
          <w:szCs w:val="24"/>
        </w:rPr>
        <w:t>”</w:t>
      </w:r>
      <w:r>
        <w:rPr>
          <w:rFonts w:ascii="Calibri" w:hAnsi="Calibri" w:cs="Calibri"/>
          <w:sz w:val="24"/>
          <w:szCs w:val="24"/>
        </w:rPr>
        <w:t>, however there were some elements missing in this coding in particular the notion of lived experience, and the specifics of their personal experience of having told their stories during the interviews. The Driscoll (1994) model is specifically a model and tool to be used for reflection, not for interviewing participants. Although participants were reflecting, the aim of my study was n</w:t>
      </w:r>
      <w:r w:rsidR="004D1EF6">
        <w:rPr>
          <w:rFonts w:ascii="Calibri" w:hAnsi="Calibri" w:cs="Calibri"/>
          <w:sz w:val="24"/>
          <w:szCs w:val="24"/>
        </w:rPr>
        <w:t xml:space="preserve">either </w:t>
      </w:r>
      <w:r>
        <w:rPr>
          <w:rFonts w:ascii="Calibri" w:hAnsi="Calibri" w:cs="Calibri"/>
          <w:sz w:val="24"/>
          <w:szCs w:val="24"/>
        </w:rPr>
        <w:t>to bring about change in practice</w:t>
      </w:r>
      <w:r w:rsidR="00663F1E">
        <w:rPr>
          <w:rFonts w:ascii="Calibri" w:hAnsi="Calibri" w:cs="Calibri"/>
          <w:sz w:val="24"/>
          <w:szCs w:val="24"/>
        </w:rPr>
        <w:t>,</w:t>
      </w:r>
      <w:r>
        <w:rPr>
          <w:rFonts w:ascii="Calibri" w:hAnsi="Calibri" w:cs="Calibri"/>
          <w:sz w:val="24"/>
          <w:szCs w:val="24"/>
        </w:rPr>
        <w:t xml:space="preserve"> </w:t>
      </w:r>
      <w:r w:rsidR="004D1EF6">
        <w:rPr>
          <w:rFonts w:ascii="Calibri" w:hAnsi="Calibri" w:cs="Calibri"/>
          <w:sz w:val="24"/>
          <w:szCs w:val="24"/>
        </w:rPr>
        <w:t xml:space="preserve">nor </w:t>
      </w:r>
      <w:r>
        <w:rPr>
          <w:rFonts w:ascii="Calibri" w:hAnsi="Calibri" w:cs="Calibri"/>
          <w:sz w:val="24"/>
          <w:szCs w:val="24"/>
        </w:rPr>
        <w:t xml:space="preserve">for them to focus on how they might change their practice. That said, the data was based on experience and </w:t>
      </w:r>
      <w:r w:rsidR="007073E4">
        <w:rPr>
          <w:rFonts w:ascii="Calibri" w:hAnsi="Calibri" w:cs="Calibri"/>
          <w:sz w:val="24"/>
          <w:szCs w:val="24"/>
        </w:rPr>
        <w:t>process,</w:t>
      </w:r>
      <w:r>
        <w:rPr>
          <w:rFonts w:ascii="Calibri" w:hAnsi="Calibri" w:cs="Calibri"/>
          <w:sz w:val="24"/>
          <w:szCs w:val="24"/>
        </w:rPr>
        <w:t xml:space="preserve"> and some elements of the Driscoll model were present. </w:t>
      </w:r>
    </w:p>
    <w:p w14:paraId="5CEEC90D" w14:textId="19BAE954" w:rsidR="00275E03" w:rsidRDefault="00275E03" w:rsidP="00FC54A2">
      <w:pPr>
        <w:spacing w:line="360" w:lineRule="auto"/>
        <w:rPr>
          <w:rFonts w:ascii="Calibri" w:hAnsi="Calibri" w:cs="Calibri"/>
          <w:sz w:val="24"/>
          <w:szCs w:val="24"/>
        </w:rPr>
      </w:pPr>
      <w:r>
        <w:rPr>
          <w:rFonts w:ascii="Calibri" w:hAnsi="Calibri" w:cs="Calibri"/>
          <w:sz w:val="24"/>
          <w:szCs w:val="24"/>
        </w:rPr>
        <w:t>A final coding template came together only when I had reflected on the data many times, and the patterns that were emerging from</w:t>
      </w:r>
      <w:r w:rsidR="00663F1E">
        <w:rPr>
          <w:rFonts w:ascii="Calibri" w:hAnsi="Calibri" w:cs="Calibri"/>
          <w:sz w:val="24"/>
          <w:szCs w:val="24"/>
        </w:rPr>
        <w:t>,</w:t>
      </w:r>
      <w:r>
        <w:rPr>
          <w:rFonts w:ascii="Calibri" w:hAnsi="Calibri" w:cs="Calibri"/>
          <w:sz w:val="24"/>
          <w:szCs w:val="24"/>
        </w:rPr>
        <w:t xml:space="preserve"> and present in the data. The finalised coding template was not only drawn from the data but needed to capture the complexity and nuances of the overarching patterns. I therefore composed a composite coding template to reflect the categories, patterns and temporal essence of the data </w:t>
      </w:r>
      <w:r w:rsidR="001B118C">
        <w:rPr>
          <w:rFonts w:ascii="Calibri" w:hAnsi="Calibri" w:cs="Calibri"/>
          <w:sz w:val="24"/>
          <w:szCs w:val="24"/>
        </w:rPr>
        <w:t>(Figure 19)</w:t>
      </w:r>
      <w:r>
        <w:rPr>
          <w:rFonts w:ascii="Calibri" w:hAnsi="Calibri" w:cs="Calibri"/>
          <w:sz w:val="24"/>
          <w:szCs w:val="24"/>
        </w:rPr>
        <w:t>:</w:t>
      </w:r>
    </w:p>
    <w:p w14:paraId="53D8FFD3" w14:textId="3EB984F2" w:rsidR="005363E8" w:rsidRDefault="00B50527" w:rsidP="00EA4022">
      <w:pPr>
        <w:ind w:left="720"/>
        <w:rPr>
          <w:rFonts w:ascii="Calibri" w:hAnsi="Calibri" w:cs="Calibri"/>
          <w:sz w:val="24"/>
          <w:szCs w:val="24"/>
        </w:rPr>
      </w:pPr>
      <w:r>
        <w:rPr>
          <w:rFonts w:ascii="Calibri" w:hAnsi="Calibri" w:cs="Calibri"/>
          <w:noProof/>
          <w:sz w:val="24"/>
          <w:szCs w:val="24"/>
        </w:rPr>
        <w:drawing>
          <wp:inline distT="0" distB="0" distL="0" distR="0" wp14:anchorId="65D3A6E4" wp14:editId="50EEFEEA">
            <wp:extent cx="4811395" cy="2453640"/>
            <wp:effectExtent l="0" t="0" r="0" b="0"/>
            <wp:docPr id="19426479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828859" cy="2462546"/>
                    </a:xfrm>
                    <a:prstGeom prst="rect">
                      <a:avLst/>
                    </a:prstGeom>
                    <a:noFill/>
                  </pic:spPr>
                </pic:pic>
              </a:graphicData>
            </a:graphic>
          </wp:inline>
        </w:drawing>
      </w:r>
    </w:p>
    <w:p w14:paraId="4FA3E438" w14:textId="29E5C683" w:rsidR="00275E03" w:rsidRPr="001B118C" w:rsidRDefault="00275E03" w:rsidP="005363E8">
      <w:pPr>
        <w:ind w:left="1440" w:firstLine="720"/>
        <w:rPr>
          <w:rFonts w:ascii="Calibri" w:hAnsi="Calibri" w:cs="Calibri"/>
          <w:i/>
          <w:iCs/>
        </w:rPr>
      </w:pPr>
      <w:r w:rsidRPr="001B118C">
        <w:rPr>
          <w:rFonts w:ascii="Calibri" w:hAnsi="Calibri" w:cs="Calibri"/>
          <w:i/>
          <w:iCs/>
          <w:sz w:val="24"/>
          <w:szCs w:val="24"/>
        </w:rPr>
        <w:t xml:space="preserve">Figure </w:t>
      </w:r>
      <w:r w:rsidR="001B118C" w:rsidRPr="001B118C">
        <w:rPr>
          <w:rFonts w:ascii="Calibri" w:hAnsi="Calibri" w:cs="Calibri"/>
          <w:i/>
          <w:iCs/>
          <w:sz w:val="24"/>
          <w:szCs w:val="24"/>
        </w:rPr>
        <w:t>19</w:t>
      </w:r>
      <w:r w:rsidRPr="001B118C">
        <w:rPr>
          <w:rFonts w:ascii="Calibri" w:hAnsi="Calibri" w:cs="Calibri"/>
          <w:i/>
          <w:iCs/>
          <w:sz w:val="24"/>
          <w:szCs w:val="24"/>
        </w:rPr>
        <w:t>: Final coding template</w:t>
      </w:r>
    </w:p>
    <w:p w14:paraId="5D7712C8" w14:textId="1C05C764" w:rsidR="00275E03" w:rsidRDefault="00275E03" w:rsidP="00854B04">
      <w:pPr>
        <w:spacing w:line="360" w:lineRule="auto"/>
        <w:rPr>
          <w:rFonts w:ascii="Calibri" w:hAnsi="Calibri" w:cs="Calibri"/>
          <w:sz w:val="24"/>
          <w:szCs w:val="24"/>
        </w:rPr>
      </w:pPr>
      <w:r w:rsidRPr="0007569E">
        <w:rPr>
          <w:rFonts w:ascii="Calibri" w:hAnsi="Calibri" w:cs="Calibri"/>
          <w:sz w:val="24"/>
          <w:szCs w:val="24"/>
        </w:rPr>
        <w:lastRenderedPageBreak/>
        <w:t xml:space="preserve">This coding template encapsulates the processes and process journeys of the research participants and is </w:t>
      </w:r>
      <w:r>
        <w:rPr>
          <w:rFonts w:ascii="Calibri" w:hAnsi="Calibri" w:cs="Calibri"/>
          <w:sz w:val="24"/>
          <w:szCs w:val="24"/>
        </w:rPr>
        <w:t xml:space="preserve">open to and inclusive of both the events of the past, and the shaping and learning that may have been gathered during both the course of their historical travels as they reflect, and the interview process. The term </w:t>
      </w:r>
      <w:r w:rsidR="00663F1E">
        <w:rPr>
          <w:rFonts w:ascii="Calibri" w:hAnsi="Calibri" w:cs="Calibri"/>
          <w:sz w:val="24"/>
          <w:szCs w:val="24"/>
        </w:rPr>
        <w:t>“</w:t>
      </w:r>
      <w:r>
        <w:rPr>
          <w:rFonts w:ascii="Calibri" w:hAnsi="Calibri" w:cs="Calibri"/>
          <w:sz w:val="24"/>
          <w:szCs w:val="24"/>
        </w:rPr>
        <w:t>temporal curiosity</w:t>
      </w:r>
      <w:r w:rsidR="00663F1E">
        <w:rPr>
          <w:rFonts w:ascii="Calibri" w:hAnsi="Calibri" w:cs="Calibri"/>
          <w:sz w:val="24"/>
          <w:szCs w:val="24"/>
        </w:rPr>
        <w:t>”</w:t>
      </w:r>
      <w:r>
        <w:rPr>
          <w:rFonts w:ascii="Calibri" w:hAnsi="Calibri" w:cs="Calibri"/>
          <w:sz w:val="24"/>
          <w:szCs w:val="24"/>
        </w:rPr>
        <w:t xml:space="preserve"> (Le Cunff, 2024</w:t>
      </w:r>
      <w:r w:rsidR="007073E4">
        <w:rPr>
          <w:rFonts w:ascii="Calibri" w:hAnsi="Calibri" w:cs="Calibri"/>
          <w:sz w:val="24"/>
          <w:szCs w:val="24"/>
        </w:rPr>
        <w:t>;</w:t>
      </w:r>
      <w:r w:rsidR="007073E4" w:rsidRPr="007073E4">
        <w:rPr>
          <w:rFonts w:ascii="Calibri" w:hAnsi="Calibri" w:cs="Calibri"/>
          <w:sz w:val="24"/>
          <w:szCs w:val="24"/>
        </w:rPr>
        <w:t xml:space="preserve"> Shipp </w:t>
      </w:r>
      <w:r w:rsidR="007073E4" w:rsidRPr="007073E4">
        <w:rPr>
          <w:rFonts w:ascii="Calibri" w:hAnsi="Calibri" w:cs="Calibri"/>
          <w:i/>
          <w:sz w:val="24"/>
          <w:szCs w:val="24"/>
        </w:rPr>
        <w:t>et al.</w:t>
      </w:r>
      <w:r w:rsidR="007073E4" w:rsidRPr="007073E4">
        <w:rPr>
          <w:rFonts w:ascii="Calibri" w:hAnsi="Calibri" w:cs="Calibri"/>
          <w:sz w:val="24"/>
          <w:szCs w:val="24"/>
        </w:rPr>
        <w:t>, 2009</w:t>
      </w:r>
      <w:r>
        <w:rPr>
          <w:rFonts w:ascii="Calibri" w:hAnsi="Calibri" w:cs="Calibri"/>
          <w:sz w:val="24"/>
          <w:szCs w:val="24"/>
        </w:rPr>
        <w:t xml:space="preserve">) </w:t>
      </w:r>
      <w:r w:rsidR="004B2C79">
        <w:rPr>
          <w:rFonts w:ascii="Calibri" w:hAnsi="Calibri" w:cs="Calibri"/>
          <w:sz w:val="24"/>
          <w:szCs w:val="24"/>
        </w:rPr>
        <w:t>weaves together</w:t>
      </w:r>
      <w:r>
        <w:rPr>
          <w:rFonts w:ascii="Calibri" w:hAnsi="Calibri" w:cs="Calibri"/>
          <w:sz w:val="24"/>
          <w:szCs w:val="24"/>
        </w:rPr>
        <w:t xml:space="preserve"> subjective experience </w:t>
      </w:r>
      <w:r w:rsidR="00A33010">
        <w:rPr>
          <w:rFonts w:ascii="Calibri" w:hAnsi="Calibri" w:cs="Calibri"/>
          <w:sz w:val="24"/>
          <w:szCs w:val="24"/>
        </w:rPr>
        <w:t xml:space="preserve">rooted in </w:t>
      </w:r>
      <w:r>
        <w:rPr>
          <w:rFonts w:ascii="Calibri" w:hAnsi="Calibri" w:cs="Calibri"/>
          <w:sz w:val="24"/>
          <w:szCs w:val="24"/>
        </w:rPr>
        <w:t xml:space="preserve">the past, present and future. The process not only incorporates affect but also considers and reflects upon the effect of processing the timeline of a life, be it personal or professional. The self, the past, present and future, emotions and reflections were all present in the data, and formed part of the methodology, aims and research questions. </w:t>
      </w:r>
      <w:r w:rsidR="008F25F5">
        <w:rPr>
          <w:rFonts w:ascii="Calibri" w:hAnsi="Calibri" w:cs="Calibri"/>
          <w:sz w:val="24"/>
          <w:szCs w:val="24"/>
        </w:rPr>
        <w:t>T</w:t>
      </w:r>
      <w:r w:rsidR="004A7CBB">
        <w:rPr>
          <w:rFonts w:ascii="Calibri" w:hAnsi="Calibri" w:cs="Calibri"/>
          <w:sz w:val="24"/>
          <w:szCs w:val="24"/>
        </w:rPr>
        <w:t xml:space="preserve">emporal </w:t>
      </w:r>
      <w:r w:rsidR="004F1A2C">
        <w:rPr>
          <w:rFonts w:ascii="Calibri" w:hAnsi="Calibri" w:cs="Calibri"/>
          <w:sz w:val="24"/>
          <w:szCs w:val="24"/>
        </w:rPr>
        <w:t>curiosity</w:t>
      </w:r>
      <w:r w:rsidR="008F25F5">
        <w:rPr>
          <w:rFonts w:ascii="Calibri" w:hAnsi="Calibri" w:cs="Calibri"/>
          <w:sz w:val="24"/>
          <w:szCs w:val="24"/>
        </w:rPr>
        <w:t xml:space="preserve"> was therefore approp</w:t>
      </w:r>
      <w:r w:rsidR="004A7CBB">
        <w:rPr>
          <w:rFonts w:ascii="Calibri" w:hAnsi="Calibri" w:cs="Calibri"/>
          <w:sz w:val="24"/>
          <w:szCs w:val="24"/>
        </w:rPr>
        <w:t xml:space="preserve">riate to utilise in the data analysis process of this study. </w:t>
      </w:r>
    </w:p>
    <w:p w14:paraId="7C51A7F0" w14:textId="61F9B05C" w:rsidR="008476C1" w:rsidRDefault="008476C1" w:rsidP="00854B04">
      <w:pPr>
        <w:spacing w:line="360" w:lineRule="auto"/>
        <w:rPr>
          <w:rFonts w:ascii="Calibri" w:hAnsi="Calibri" w:cs="Calibri"/>
          <w:b/>
          <w:bCs/>
          <w:sz w:val="24"/>
          <w:szCs w:val="24"/>
        </w:rPr>
      </w:pPr>
      <w:r w:rsidRPr="008476C1">
        <w:rPr>
          <w:rFonts w:ascii="Calibri" w:hAnsi="Calibri" w:cs="Calibri"/>
          <w:b/>
          <w:bCs/>
          <w:sz w:val="24"/>
          <w:szCs w:val="24"/>
        </w:rPr>
        <w:t>Ethical matters</w:t>
      </w:r>
    </w:p>
    <w:p w14:paraId="1E791887" w14:textId="5BD1F301" w:rsidR="00F3029F" w:rsidRPr="00F3029F" w:rsidRDefault="00F3029F" w:rsidP="00854B04">
      <w:pPr>
        <w:spacing w:line="360" w:lineRule="auto"/>
        <w:rPr>
          <w:rFonts w:ascii="Calibri" w:hAnsi="Calibri" w:cs="Calibri"/>
          <w:sz w:val="24"/>
          <w:szCs w:val="24"/>
        </w:rPr>
      </w:pPr>
      <w:r>
        <w:rPr>
          <w:rFonts w:ascii="Calibri" w:hAnsi="Calibri" w:cs="Calibri"/>
          <w:sz w:val="24"/>
          <w:szCs w:val="24"/>
        </w:rPr>
        <w:t xml:space="preserve">The matter of confidentiality was </w:t>
      </w:r>
      <w:r w:rsidR="003B197F">
        <w:rPr>
          <w:rFonts w:ascii="Calibri" w:hAnsi="Calibri" w:cs="Calibri"/>
          <w:sz w:val="24"/>
          <w:szCs w:val="24"/>
        </w:rPr>
        <w:t>of prime importance to me as a researcher and</w:t>
      </w:r>
      <w:r w:rsidR="00007883">
        <w:rPr>
          <w:rFonts w:ascii="Calibri" w:hAnsi="Calibri" w:cs="Calibri"/>
          <w:sz w:val="24"/>
          <w:szCs w:val="24"/>
        </w:rPr>
        <w:t>,</w:t>
      </w:r>
      <w:r w:rsidR="003B197F">
        <w:rPr>
          <w:rFonts w:ascii="Calibri" w:hAnsi="Calibri" w:cs="Calibri"/>
          <w:sz w:val="24"/>
          <w:szCs w:val="24"/>
        </w:rPr>
        <w:t xml:space="preserve"> perhaps based on my professional positionality as a psychotherapist </w:t>
      </w:r>
      <w:r w:rsidR="006F7C7D">
        <w:rPr>
          <w:rFonts w:ascii="Calibri" w:hAnsi="Calibri" w:cs="Calibri"/>
          <w:sz w:val="24"/>
          <w:szCs w:val="24"/>
        </w:rPr>
        <w:t>where confidentiality is a professional rosary (Yalom</w:t>
      </w:r>
      <w:r w:rsidR="00C40AA1">
        <w:rPr>
          <w:rFonts w:ascii="Calibri" w:hAnsi="Calibri" w:cs="Calibri"/>
          <w:sz w:val="24"/>
          <w:szCs w:val="24"/>
        </w:rPr>
        <w:t>, 1989)</w:t>
      </w:r>
      <w:r w:rsidR="00007883">
        <w:rPr>
          <w:rFonts w:ascii="Calibri" w:hAnsi="Calibri" w:cs="Calibri"/>
          <w:sz w:val="24"/>
          <w:szCs w:val="24"/>
        </w:rPr>
        <w:t xml:space="preserve">, </w:t>
      </w:r>
      <w:r w:rsidR="00290D7F">
        <w:rPr>
          <w:rFonts w:ascii="Calibri" w:hAnsi="Calibri" w:cs="Calibri"/>
          <w:sz w:val="24"/>
          <w:szCs w:val="24"/>
        </w:rPr>
        <w:t>I was concerned about some of the wording in the participant information sheet</w:t>
      </w:r>
      <w:r w:rsidR="0043570E">
        <w:rPr>
          <w:rFonts w:ascii="Calibri" w:hAnsi="Calibri" w:cs="Calibri"/>
          <w:sz w:val="24"/>
          <w:szCs w:val="24"/>
        </w:rPr>
        <w:t xml:space="preserve">. For example, the matter of </w:t>
      </w:r>
      <w:r w:rsidR="00DF2ADE">
        <w:rPr>
          <w:rFonts w:ascii="Calibri" w:hAnsi="Calibri" w:cs="Calibri"/>
          <w:sz w:val="24"/>
          <w:szCs w:val="24"/>
        </w:rPr>
        <w:t xml:space="preserve">anonymisation </w:t>
      </w:r>
      <w:r w:rsidR="00DC1520">
        <w:rPr>
          <w:rFonts w:ascii="Calibri" w:hAnsi="Calibri" w:cs="Calibri"/>
          <w:sz w:val="24"/>
          <w:szCs w:val="24"/>
        </w:rPr>
        <w:t>and confidentiality</w:t>
      </w:r>
      <w:r w:rsidR="00F16DF7">
        <w:rPr>
          <w:rFonts w:ascii="Calibri" w:hAnsi="Calibri" w:cs="Calibri"/>
          <w:sz w:val="24"/>
          <w:szCs w:val="24"/>
        </w:rPr>
        <w:t xml:space="preserve"> </w:t>
      </w:r>
      <w:r w:rsidR="00B919AB">
        <w:rPr>
          <w:rFonts w:ascii="Calibri" w:hAnsi="Calibri" w:cs="Calibri"/>
          <w:sz w:val="24"/>
          <w:szCs w:val="24"/>
        </w:rPr>
        <w:t xml:space="preserve">guarantees </w:t>
      </w:r>
      <w:r w:rsidR="00DF2ADE">
        <w:rPr>
          <w:rFonts w:ascii="Calibri" w:hAnsi="Calibri" w:cs="Calibri"/>
          <w:sz w:val="24"/>
          <w:szCs w:val="24"/>
        </w:rPr>
        <w:t>seem</w:t>
      </w:r>
      <w:r w:rsidR="00F16DF7">
        <w:rPr>
          <w:rFonts w:ascii="Calibri" w:hAnsi="Calibri" w:cs="Calibri"/>
          <w:sz w:val="24"/>
          <w:szCs w:val="24"/>
        </w:rPr>
        <w:t xml:space="preserve"> </w:t>
      </w:r>
      <w:r w:rsidR="00DF2ADE">
        <w:rPr>
          <w:rFonts w:ascii="Calibri" w:hAnsi="Calibri" w:cs="Calibri"/>
          <w:sz w:val="24"/>
          <w:szCs w:val="24"/>
        </w:rPr>
        <w:t xml:space="preserve">somewhat </w:t>
      </w:r>
      <w:r w:rsidR="00092AFC">
        <w:rPr>
          <w:rFonts w:ascii="Calibri" w:hAnsi="Calibri" w:cs="Calibri"/>
          <w:sz w:val="24"/>
          <w:szCs w:val="24"/>
        </w:rPr>
        <w:t>casual</w:t>
      </w:r>
      <w:r w:rsidR="00DF2ADE">
        <w:rPr>
          <w:rFonts w:ascii="Calibri" w:hAnsi="Calibri" w:cs="Calibri"/>
          <w:sz w:val="24"/>
          <w:szCs w:val="24"/>
        </w:rPr>
        <w:t>:</w:t>
      </w:r>
    </w:p>
    <w:p w14:paraId="7127F833" w14:textId="39DCA79C" w:rsidR="000C577A" w:rsidRDefault="00F3029F" w:rsidP="00DF2ADE">
      <w:pPr>
        <w:spacing w:line="360" w:lineRule="auto"/>
        <w:ind w:left="720"/>
        <w:rPr>
          <w:rFonts w:ascii="Calibri" w:hAnsi="Calibri" w:cs="Calibri"/>
          <w:sz w:val="24"/>
          <w:szCs w:val="24"/>
        </w:rPr>
      </w:pPr>
      <w:r w:rsidRPr="00B063CD">
        <w:rPr>
          <w:rFonts w:ascii="Calibri" w:hAnsi="Calibri" w:cs="Calibri"/>
          <w:i/>
          <w:iCs/>
          <w:sz w:val="24"/>
          <w:szCs w:val="24"/>
        </w:rPr>
        <w:t>Anonymized findings from the research will be shared in the impending thesis. No other use will be made of original data without your written permission, and no one outside this research project will be allowed access to the original recordings</w:t>
      </w:r>
      <w:r w:rsidR="00DF2ADE" w:rsidRPr="00B063CD">
        <w:rPr>
          <w:rFonts w:ascii="Calibri" w:hAnsi="Calibri" w:cs="Calibri"/>
          <w:i/>
          <w:iCs/>
          <w:sz w:val="24"/>
          <w:szCs w:val="24"/>
        </w:rPr>
        <w:t>.</w:t>
      </w:r>
      <w:r w:rsidR="003E5BA7">
        <w:rPr>
          <w:rFonts w:ascii="Calibri" w:hAnsi="Calibri" w:cs="Calibri"/>
          <w:sz w:val="24"/>
          <w:szCs w:val="24"/>
        </w:rPr>
        <w:t xml:space="preserve"> (</w:t>
      </w:r>
      <w:r w:rsidR="007536BB">
        <w:rPr>
          <w:rFonts w:ascii="Calibri" w:hAnsi="Calibri" w:cs="Calibri"/>
          <w:sz w:val="24"/>
          <w:szCs w:val="24"/>
        </w:rPr>
        <w:t xml:space="preserve">Appendix D, </w:t>
      </w:r>
      <w:r w:rsidR="003E5BA7">
        <w:rPr>
          <w:rFonts w:ascii="Calibri" w:hAnsi="Calibri" w:cs="Calibri"/>
          <w:sz w:val="24"/>
          <w:szCs w:val="24"/>
        </w:rPr>
        <w:t>Point 5, p.</w:t>
      </w:r>
      <w:r w:rsidR="00A13A59">
        <w:rPr>
          <w:rFonts w:ascii="Calibri" w:hAnsi="Calibri" w:cs="Calibri"/>
          <w:sz w:val="24"/>
          <w:szCs w:val="24"/>
        </w:rPr>
        <w:t>32</w:t>
      </w:r>
      <w:r w:rsidR="00C704D8">
        <w:rPr>
          <w:rFonts w:ascii="Calibri" w:hAnsi="Calibri" w:cs="Calibri"/>
          <w:sz w:val="24"/>
          <w:szCs w:val="24"/>
        </w:rPr>
        <w:t>1</w:t>
      </w:r>
      <w:r w:rsidR="003E5BA7">
        <w:rPr>
          <w:rFonts w:ascii="Calibri" w:hAnsi="Calibri" w:cs="Calibri"/>
          <w:sz w:val="24"/>
          <w:szCs w:val="24"/>
        </w:rPr>
        <w:t>)</w:t>
      </w:r>
    </w:p>
    <w:p w14:paraId="76FD9685" w14:textId="5898CD47" w:rsidR="003E5BA7" w:rsidRDefault="003E5BA7" w:rsidP="003E5BA7">
      <w:pPr>
        <w:spacing w:line="360" w:lineRule="auto"/>
        <w:rPr>
          <w:rFonts w:ascii="Calibri" w:hAnsi="Calibri" w:cs="Calibri"/>
          <w:i/>
          <w:iCs/>
          <w:sz w:val="24"/>
          <w:szCs w:val="24"/>
        </w:rPr>
      </w:pPr>
      <w:r>
        <w:rPr>
          <w:rFonts w:ascii="Calibri" w:hAnsi="Calibri" w:cs="Calibri"/>
          <w:i/>
          <w:iCs/>
          <w:sz w:val="24"/>
          <w:szCs w:val="24"/>
        </w:rPr>
        <w:t>And:</w:t>
      </w:r>
    </w:p>
    <w:p w14:paraId="36D9AD26" w14:textId="47109D05" w:rsidR="00F16DF7" w:rsidRDefault="003E5BA7" w:rsidP="00F16DF7">
      <w:pPr>
        <w:spacing w:line="360" w:lineRule="auto"/>
        <w:ind w:left="720"/>
        <w:rPr>
          <w:rFonts w:ascii="Calibri" w:hAnsi="Calibri" w:cs="Calibri"/>
          <w:sz w:val="24"/>
          <w:szCs w:val="24"/>
        </w:rPr>
      </w:pPr>
      <w:r w:rsidRPr="003E5BA7">
        <w:rPr>
          <w:rFonts w:ascii="Calibri" w:hAnsi="Calibri" w:cs="Calibri"/>
          <w:i/>
          <w:iCs/>
          <w:sz w:val="24"/>
          <w:szCs w:val="24"/>
        </w:rPr>
        <w:t xml:space="preserve">All the information collected about you during this research will be kept strictly confidential and will only be accessible to myself and my research supervisors. You will not be able to be identified in any reports of publications. If you agree to sharing the information you provide with other researchers, then your personal details will not be </w:t>
      </w:r>
      <w:r w:rsidR="00F16DF7" w:rsidRPr="003E5BA7">
        <w:rPr>
          <w:rFonts w:ascii="Calibri" w:hAnsi="Calibri" w:cs="Calibri"/>
          <w:i/>
          <w:iCs/>
          <w:sz w:val="24"/>
          <w:szCs w:val="24"/>
        </w:rPr>
        <w:t>included.</w:t>
      </w:r>
      <w:r w:rsidR="00F16DF7">
        <w:rPr>
          <w:rFonts w:ascii="Calibri" w:hAnsi="Calibri" w:cs="Calibri"/>
          <w:sz w:val="24"/>
          <w:szCs w:val="24"/>
        </w:rPr>
        <w:t xml:space="preserve"> (</w:t>
      </w:r>
      <w:r w:rsidR="007536BB">
        <w:rPr>
          <w:rFonts w:ascii="Calibri" w:hAnsi="Calibri" w:cs="Calibri"/>
          <w:sz w:val="24"/>
          <w:szCs w:val="24"/>
        </w:rPr>
        <w:t xml:space="preserve">Appendix D, </w:t>
      </w:r>
      <w:r w:rsidR="00DC1520">
        <w:rPr>
          <w:rFonts w:ascii="Calibri" w:hAnsi="Calibri" w:cs="Calibri"/>
          <w:sz w:val="24"/>
          <w:szCs w:val="24"/>
        </w:rPr>
        <w:t>Point 8, p.</w:t>
      </w:r>
      <w:r w:rsidR="00A66676">
        <w:rPr>
          <w:rFonts w:ascii="Calibri" w:hAnsi="Calibri" w:cs="Calibri"/>
          <w:sz w:val="24"/>
          <w:szCs w:val="24"/>
        </w:rPr>
        <w:t>3</w:t>
      </w:r>
      <w:r w:rsidR="00A13A59">
        <w:rPr>
          <w:rFonts w:ascii="Calibri" w:hAnsi="Calibri" w:cs="Calibri"/>
          <w:sz w:val="24"/>
          <w:szCs w:val="24"/>
        </w:rPr>
        <w:t>2</w:t>
      </w:r>
      <w:r w:rsidR="00C704D8">
        <w:rPr>
          <w:rFonts w:ascii="Calibri" w:hAnsi="Calibri" w:cs="Calibri"/>
          <w:sz w:val="24"/>
          <w:szCs w:val="24"/>
        </w:rPr>
        <w:t>2</w:t>
      </w:r>
      <w:r w:rsidR="00DC1520">
        <w:rPr>
          <w:rFonts w:ascii="Calibri" w:hAnsi="Calibri" w:cs="Calibri"/>
          <w:sz w:val="24"/>
          <w:szCs w:val="24"/>
        </w:rPr>
        <w:t>)</w:t>
      </w:r>
    </w:p>
    <w:p w14:paraId="4176EE4A" w14:textId="2E1E3162" w:rsidR="00092AFC" w:rsidRDefault="00092AFC" w:rsidP="00092AFC">
      <w:pPr>
        <w:spacing w:line="360" w:lineRule="auto"/>
        <w:rPr>
          <w:rFonts w:ascii="Calibri" w:hAnsi="Calibri" w:cs="Calibri"/>
          <w:sz w:val="24"/>
          <w:szCs w:val="24"/>
        </w:rPr>
      </w:pPr>
      <w:r>
        <w:rPr>
          <w:rFonts w:ascii="Calibri" w:hAnsi="Calibri" w:cs="Calibri"/>
          <w:sz w:val="24"/>
          <w:szCs w:val="24"/>
        </w:rPr>
        <w:t>By casual</w:t>
      </w:r>
      <w:r w:rsidR="005F26AD">
        <w:rPr>
          <w:rFonts w:ascii="Calibri" w:hAnsi="Calibri" w:cs="Calibri"/>
          <w:sz w:val="24"/>
          <w:szCs w:val="24"/>
        </w:rPr>
        <w:t xml:space="preserve"> I mean the notion of identifiability</w:t>
      </w:r>
      <w:r w:rsidR="00D215B3">
        <w:rPr>
          <w:rFonts w:ascii="Calibri" w:hAnsi="Calibri" w:cs="Calibri"/>
          <w:sz w:val="24"/>
          <w:szCs w:val="24"/>
        </w:rPr>
        <w:t>, and</w:t>
      </w:r>
      <w:r w:rsidR="00CE3C1F">
        <w:rPr>
          <w:rFonts w:ascii="Calibri" w:hAnsi="Calibri" w:cs="Calibri"/>
          <w:sz w:val="24"/>
          <w:szCs w:val="24"/>
        </w:rPr>
        <w:t>,</w:t>
      </w:r>
      <w:r w:rsidR="00D215B3">
        <w:rPr>
          <w:rFonts w:ascii="Calibri" w:hAnsi="Calibri" w:cs="Calibri"/>
          <w:sz w:val="24"/>
          <w:szCs w:val="24"/>
        </w:rPr>
        <w:t xml:space="preserve"> once I had </w:t>
      </w:r>
      <w:r w:rsidR="000C58C5">
        <w:rPr>
          <w:rFonts w:ascii="Calibri" w:hAnsi="Calibri" w:cs="Calibri"/>
          <w:sz w:val="24"/>
          <w:szCs w:val="24"/>
        </w:rPr>
        <w:t>completed the thesis I was uncertain about attaching a transcript</w:t>
      </w:r>
      <w:r w:rsidR="005231E7">
        <w:rPr>
          <w:rFonts w:ascii="Calibri" w:hAnsi="Calibri" w:cs="Calibri"/>
          <w:sz w:val="24"/>
          <w:szCs w:val="24"/>
        </w:rPr>
        <w:t xml:space="preserve"> due to the potential of a participant being identified. </w:t>
      </w:r>
      <w:r w:rsidR="00AF1010">
        <w:rPr>
          <w:rFonts w:ascii="Calibri" w:hAnsi="Calibri" w:cs="Calibri"/>
          <w:sz w:val="24"/>
          <w:szCs w:val="24"/>
        </w:rPr>
        <w:t xml:space="preserve">I contacted my research supervisor to ask if </w:t>
      </w:r>
      <w:r w:rsidR="0001409F">
        <w:rPr>
          <w:rFonts w:ascii="Calibri" w:hAnsi="Calibri" w:cs="Calibri"/>
          <w:sz w:val="24"/>
          <w:szCs w:val="24"/>
        </w:rPr>
        <w:t xml:space="preserve">transcripts needed to be attached and it was </w:t>
      </w:r>
      <w:r w:rsidR="0001409F">
        <w:rPr>
          <w:rFonts w:ascii="Calibri" w:hAnsi="Calibri" w:cs="Calibri"/>
          <w:sz w:val="24"/>
          <w:szCs w:val="24"/>
        </w:rPr>
        <w:lastRenderedPageBreak/>
        <w:t>suggested I attach a singular transcript.</w:t>
      </w:r>
      <w:r w:rsidR="00FA1E31">
        <w:rPr>
          <w:rFonts w:ascii="Calibri" w:hAnsi="Calibri" w:cs="Calibri"/>
          <w:sz w:val="24"/>
          <w:szCs w:val="24"/>
        </w:rPr>
        <w:t xml:space="preserve"> </w:t>
      </w:r>
      <w:r w:rsidR="0087638B">
        <w:rPr>
          <w:rFonts w:ascii="Calibri" w:hAnsi="Calibri" w:cs="Calibri"/>
          <w:sz w:val="24"/>
          <w:szCs w:val="24"/>
        </w:rPr>
        <w:t>In choosing which transcript to include, I notice how heavily redacted they all became a</w:t>
      </w:r>
      <w:r w:rsidR="00EC767F">
        <w:rPr>
          <w:rFonts w:ascii="Calibri" w:hAnsi="Calibri" w:cs="Calibri"/>
          <w:sz w:val="24"/>
          <w:szCs w:val="24"/>
        </w:rPr>
        <w:t xml:space="preserve">nd more </w:t>
      </w:r>
      <w:r w:rsidR="00605AFA">
        <w:rPr>
          <w:rFonts w:ascii="Calibri" w:hAnsi="Calibri" w:cs="Calibri"/>
          <w:sz w:val="24"/>
          <w:szCs w:val="24"/>
        </w:rPr>
        <w:t xml:space="preserve">than half of the </w:t>
      </w:r>
      <w:r w:rsidR="00EC767F">
        <w:rPr>
          <w:rFonts w:ascii="Calibri" w:hAnsi="Calibri" w:cs="Calibri"/>
          <w:sz w:val="24"/>
          <w:szCs w:val="24"/>
        </w:rPr>
        <w:t xml:space="preserve">words were blanked out </w:t>
      </w:r>
      <w:r w:rsidR="00605AFA">
        <w:rPr>
          <w:rFonts w:ascii="Calibri" w:hAnsi="Calibri" w:cs="Calibri"/>
          <w:sz w:val="24"/>
          <w:szCs w:val="24"/>
        </w:rPr>
        <w:t xml:space="preserve">in the process. </w:t>
      </w:r>
      <w:r w:rsidR="00FD0308">
        <w:rPr>
          <w:rFonts w:ascii="Calibri" w:hAnsi="Calibri" w:cs="Calibri"/>
          <w:sz w:val="24"/>
          <w:szCs w:val="24"/>
        </w:rPr>
        <w:t>From my perspective s</w:t>
      </w:r>
      <w:r w:rsidR="00030618">
        <w:rPr>
          <w:rFonts w:ascii="Calibri" w:hAnsi="Calibri" w:cs="Calibri"/>
          <w:sz w:val="24"/>
          <w:szCs w:val="24"/>
        </w:rPr>
        <w:t xml:space="preserve">eemingly benign information such as </w:t>
      </w:r>
      <w:r w:rsidR="00392F6D">
        <w:rPr>
          <w:rFonts w:ascii="Calibri" w:hAnsi="Calibri" w:cs="Calibri"/>
          <w:sz w:val="24"/>
          <w:szCs w:val="24"/>
        </w:rPr>
        <w:t xml:space="preserve">the </w:t>
      </w:r>
      <w:r w:rsidR="00083145">
        <w:rPr>
          <w:rFonts w:ascii="Calibri" w:hAnsi="Calibri" w:cs="Calibri"/>
          <w:sz w:val="24"/>
          <w:szCs w:val="24"/>
        </w:rPr>
        <w:t xml:space="preserve">academic age + current career + subject taught + </w:t>
      </w:r>
      <w:r w:rsidR="008A017D">
        <w:rPr>
          <w:rFonts w:ascii="Calibri" w:hAnsi="Calibri" w:cs="Calibri"/>
          <w:sz w:val="24"/>
          <w:szCs w:val="24"/>
        </w:rPr>
        <w:t xml:space="preserve">previous teacher training + </w:t>
      </w:r>
      <w:r w:rsidR="00BD56CD">
        <w:rPr>
          <w:rFonts w:ascii="Calibri" w:hAnsi="Calibri" w:cs="Calibri"/>
          <w:sz w:val="24"/>
          <w:szCs w:val="24"/>
        </w:rPr>
        <w:t>research interests</w:t>
      </w:r>
      <w:r w:rsidR="00392F6D">
        <w:rPr>
          <w:rFonts w:ascii="Calibri" w:hAnsi="Calibri" w:cs="Calibri"/>
          <w:sz w:val="24"/>
          <w:szCs w:val="24"/>
        </w:rPr>
        <w:t xml:space="preserve"> </w:t>
      </w:r>
      <w:r w:rsidR="00973B36">
        <w:rPr>
          <w:rFonts w:ascii="Calibri" w:hAnsi="Calibri" w:cs="Calibri"/>
          <w:sz w:val="24"/>
          <w:szCs w:val="24"/>
        </w:rPr>
        <w:t xml:space="preserve">+ </w:t>
      </w:r>
      <w:r w:rsidR="00BD56CD">
        <w:rPr>
          <w:rFonts w:ascii="Calibri" w:hAnsi="Calibri" w:cs="Calibri"/>
          <w:sz w:val="24"/>
          <w:szCs w:val="24"/>
        </w:rPr>
        <w:t xml:space="preserve">data gathered </w:t>
      </w:r>
      <w:r w:rsidR="00E21F01">
        <w:rPr>
          <w:rFonts w:ascii="Calibri" w:hAnsi="Calibri" w:cs="Calibri"/>
          <w:sz w:val="24"/>
          <w:szCs w:val="24"/>
        </w:rPr>
        <w:t xml:space="preserve">and presented </w:t>
      </w:r>
      <w:r w:rsidR="00BD56CD">
        <w:rPr>
          <w:rFonts w:ascii="Calibri" w:hAnsi="Calibri" w:cs="Calibri"/>
          <w:sz w:val="24"/>
          <w:szCs w:val="24"/>
        </w:rPr>
        <w:t>during this project</w:t>
      </w:r>
      <w:r w:rsidR="00973B36">
        <w:rPr>
          <w:rFonts w:ascii="Calibri" w:hAnsi="Calibri" w:cs="Calibri"/>
          <w:sz w:val="24"/>
          <w:szCs w:val="24"/>
        </w:rPr>
        <w:t xml:space="preserve"> = a reader in the field of pedagogy might be able to put </w:t>
      </w:r>
      <w:r w:rsidR="00B579E6">
        <w:rPr>
          <w:rFonts w:ascii="Calibri" w:hAnsi="Calibri" w:cs="Calibri"/>
          <w:sz w:val="24"/>
          <w:szCs w:val="24"/>
        </w:rPr>
        <w:t>two and two</w:t>
      </w:r>
      <w:r w:rsidR="00973B36">
        <w:rPr>
          <w:rFonts w:ascii="Calibri" w:hAnsi="Calibri" w:cs="Calibri"/>
          <w:sz w:val="24"/>
          <w:szCs w:val="24"/>
        </w:rPr>
        <w:t xml:space="preserve"> together</w:t>
      </w:r>
      <w:r w:rsidR="004F6C09">
        <w:rPr>
          <w:rFonts w:ascii="Calibri" w:hAnsi="Calibri" w:cs="Calibri"/>
          <w:sz w:val="24"/>
          <w:szCs w:val="24"/>
        </w:rPr>
        <w:t xml:space="preserve"> if they had the transcripts available to them.</w:t>
      </w:r>
      <w:r w:rsidR="009E371A">
        <w:rPr>
          <w:rFonts w:ascii="Calibri" w:hAnsi="Calibri" w:cs="Calibri"/>
          <w:sz w:val="24"/>
          <w:szCs w:val="24"/>
        </w:rPr>
        <w:t xml:space="preserve"> Confidentiality, transparency and anonymisation are thus compromised and not as secure</w:t>
      </w:r>
      <w:r w:rsidR="00AB322F">
        <w:rPr>
          <w:rFonts w:ascii="Calibri" w:hAnsi="Calibri" w:cs="Calibri"/>
          <w:sz w:val="24"/>
          <w:szCs w:val="24"/>
        </w:rPr>
        <w:t xml:space="preserve"> as they ought to be.</w:t>
      </w:r>
      <w:r w:rsidR="004F6C09">
        <w:rPr>
          <w:rFonts w:ascii="Calibri" w:hAnsi="Calibri" w:cs="Calibri"/>
          <w:sz w:val="24"/>
          <w:szCs w:val="24"/>
        </w:rPr>
        <w:t xml:space="preserve"> </w:t>
      </w:r>
      <w:r w:rsidR="007D5902">
        <w:rPr>
          <w:rFonts w:ascii="Calibri" w:hAnsi="Calibri" w:cs="Calibri"/>
          <w:sz w:val="24"/>
          <w:szCs w:val="24"/>
        </w:rPr>
        <w:t xml:space="preserve">In addition, I note in neither the participant information sheet (authored by </w:t>
      </w:r>
      <w:r w:rsidR="00B83A91">
        <w:rPr>
          <w:rFonts w:ascii="Calibri" w:hAnsi="Calibri" w:cs="Calibri"/>
          <w:sz w:val="24"/>
          <w:szCs w:val="24"/>
        </w:rPr>
        <w:t>myself but</w:t>
      </w:r>
      <w:r w:rsidR="007D5902">
        <w:rPr>
          <w:rFonts w:ascii="Calibri" w:hAnsi="Calibri" w:cs="Calibri"/>
          <w:sz w:val="24"/>
          <w:szCs w:val="24"/>
        </w:rPr>
        <w:t xml:space="preserve"> based on extensive reading </w:t>
      </w:r>
      <w:r w:rsidR="00B25360">
        <w:rPr>
          <w:rFonts w:ascii="Calibri" w:hAnsi="Calibri" w:cs="Calibri"/>
          <w:sz w:val="24"/>
          <w:szCs w:val="24"/>
        </w:rPr>
        <w:t xml:space="preserve">of and research into other projects) </w:t>
      </w:r>
      <w:r w:rsidR="0043635F">
        <w:rPr>
          <w:rFonts w:ascii="Calibri" w:hAnsi="Calibri" w:cs="Calibri"/>
          <w:sz w:val="24"/>
          <w:szCs w:val="24"/>
        </w:rPr>
        <w:t>nor the GRIP (2022) policy documents</w:t>
      </w:r>
      <w:r w:rsidR="00B83A91">
        <w:rPr>
          <w:rFonts w:ascii="Calibri" w:hAnsi="Calibri" w:cs="Calibri"/>
          <w:sz w:val="24"/>
          <w:szCs w:val="24"/>
        </w:rPr>
        <w:t xml:space="preserve"> </w:t>
      </w:r>
      <w:r w:rsidR="00F50E89">
        <w:rPr>
          <w:rFonts w:ascii="Calibri" w:hAnsi="Calibri" w:cs="Calibri"/>
          <w:sz w:val="24"/>
          <w:szCs w:val="24"/>
        </w:rPr>
        <w:t>were</w:t>
      </w:r>
      <w:r w:rsidR="00B83A91">
        <w:rPr>
          <w:rFonts w:ascii="Calibri" w:hAnsi="Calibri" w:cs="Calibri"/>
          <w:sz w:val="24"/>
          <w:szCs w:val="24"/>
        </w:rPr>
        <w:t xml:space="preserve"> there </w:t>
      </w:r>
      <w:r w:rsidR="00A66676">
        <w:rPr>
          <w:rFonts w:ascii="Calibri" w:hAnsi="Calibri" w:cs="Calibri"/>
          <w:sz w:val="24"/>
          <w:szCs w:val="24"/>
        </w:rPr>
        <w:t xml:space="preserve">any </w:t>
      </w:r>
      <w:r w:rsidR="00992FA0">
        <w:rPr>
          <w:rFonts w:ascii="Calibri" w:hAnsi="Calibri" w:cs="Calibri"/>
          <w:sz w:val="24"/>
          <w:szCs w:val="24"/>
        </w:rPr>
        <w:t xml:space="preserve">definitive </w:t>
      </w:r>
      <w:r w:rsidR="00B83A91">
        <w:rPr>
          <w:rFonts w:ascii="Calibri" w:hAnsi="Calibri" w:cs="Calibri"/>
          <w:sz w:val="24"/>
          <w:szCs w:val="24"/>
        </w:rPr>
        <w:t>information for the participant regarding the attachment of their transcripts to the appendices of a research project. Furthermore, written permission ought to be sought</w:t>
      </w:r>
      <w:r w:rsidR="008544B2">
        <w:rPr>
          <w:rFonts w:ascii="Calibri" w:hAnsi="Calibri" w:cs="Calibri"/>
          <w:sz w:val="24"/>
          <w:szCs w:val="24"/>
        </w:rPr>
        <w:t xml:space="preserve"> (Appendix D</w:t>
      </w:r>
      <w:r w:rsidR="000D09D8">
        <w:rPr>
          <w:rFonts w:ascii="Calibri" w:hAnsi="Calibri" w:cs="Calibri"/>
          <w:sz w:val="24"/>
          <w:szCs w:val="24"/>
        </w:rPr>
        <w:t>)</w:t>
      </w:r>
      <w:r w:rsidR="007536BB">
        <w:rPr>
          <w:rFonts w:ascii="Calibri" w:hAnsi="Calibri" w:cs="Calibri"/>
          <w:sz w:val="24"/>
          <w:szCs w:val="24"/>
        </w:rPr>
        <w:t>.</w:t>
      </w:r>
    </w:p>
    <w:p w14:paraId="1CA8FD41" w14:textId="41D40171" w:rsidR="001C3586" w:rsidRPr="00092AFC" w:rsidRDefault="0009489E" w:rsidP="00092AFC">
      <w:pPr>
        <w:spacing w:line="360" w:lineRule="auto"/>
        <w:rPr>
          <w:rFonts w:ascii="Calibri" w:hAnsi="Calibri" w:cs="Calibri"/>
          <w:sz w:val="24"/>
          <w:szCs w:val="24"/>
        </w:rPr>
      </w:pPr>
      <w:r>
        <w:rPr>
          <w:rFonts w:ascii="Calibri" w:hAnsi="Calibri" w:cs="Calibri"/>
          <w:sz w:val="24"/>
          <w:szCs w:val="24"/>
        </w:rPr>
        <w:t>Reflecting on confidentiality, i</w:t>
      </w:r>
      <w:r w:rsidR="001C3586">
        <w:rPr>
          <w:rFonts w:ascii="Calibri" w:hAnsi="Calibri" w:cs="Calibri"/>
          <w:sz w:val="24"/>
          <w:szCs w:val="24"/>
        </w:rPr>
        <w:t>n attaching one transcript I was mindful to choose one that</w:t>
      </w:r>
      <w:r w:rsidR="008544B2">
        <w:rPr>
          <w:rFonts w:ascii="Calibri" w:hAnsi="Calibri" w:cs="Calibri"/>
          <w:sz w:val="24"/>
          <w:szCs w:val="24"/>
        </w:rPr>
        <w:t xml:space="preserve"> contained no identifiable information. </w:t>
      </w:r>
      <w:r w:rsidR="0047168D">
        <w:rPr>
          <w:rFonts w:ascii="Calibri" w:hAnsi="Calibri" w:cs="Calibri"/>
          <w:sz w:val="24"/>
          <w:szCs w:val="24"/>
        </w:rPr>
        <w:t xml:space="preserve">This matter </w:t>
      </w:r>
      <w:r w:rsidR="006C2A6E">
        <w:rPr>
          <w:rFonts w:ascii="Calibri" w:hAnsi="Calibri" w:cs="Calibri"/>
          <w:sz w:val="24"/>
          <w:szCs w:val="24"/>
        </w:rPr>
        <w:t xml:space="preserve">of confidentiality concerns </w:t>
      </w:r>
      <w:r w:rsidR="0047168D">
        <w:rPr>
          <w:rFonts w:ascii="Calibri" w:hAnsi="Calibri" w:cs="Calibri"/>
          <w:sz w:val="24"/>
          <w:szCs w:val="24"/>
        </w:rPr>
        <w:t>highlighted, and confirmed</w:t>
      </w:r>
      <w:r w:rsidR="00931A95">
        <w:rPr>
          <w:rFonts w:ascii="Calibri" w:hAnsi="Calibri" w:cs="Calibri"/>
          <w:sz w:val="24"/>
          <w:szCs w:val="24"/>
        </w:rPr>
        <w:t xml:space="preserve"> </w:t>
      </w:r>
      <w:r w:rsidR="0047168D">
        <w:rPr>
          <w:rFonts w:ascii="Calibri" w:hAnsi="Calibri" w:cs="Calibri"/>
          <w:sz w:val="24"/>
          <w:szCs w:val="24"/>
        </w:rPr>
        <w:t>my positionality regarding ethics in research</w:t>
      </w:r>
      <w:r w:rsidR="005270E4">
        <w:rPr>
          <w:rFonts w:ascii="Calibri" w:hAnsi="Calibri" w:cs="Calibri"/>
          <w:sz w:val="24"/>
          <w:szCs w:val="24"/>
        </w:rPr>
        <w:t>,</w:t>
      </w:r>
      <w:r w:rsidR="0047168D">
        <w:rPr>
          <w:rFonts w:ascii="Calibri" w:hAnsi="Calibri" w:cs="Calibri"/>
          <w:sz w:val="24"/>
          <w:szCs w:val="24"/>
        </w:rPr>
        <w:t xml:space="preserve"> the lack of training for researchers</w:t>
      </w:r>
      <w:r w:rsidR="00931A95">
        <w:rPr>
          <w:rFonts w:ascii="Calibri" w:hAnsi="Calibri" w:cs="Calibri"/>
          <w:sz w:val="24"/>
          <w:szCs w:val="24"/>
        </w:rPr>
        <w:t xml:space="preserve"> and concerns about the lack of attention to </w:t>
      </w:r>
      <w:r w:rsidR="00892ACD">
        <w:rPr>
          <w:rFonts w:ascii="Calibri" w:hAnsi="Calibri" w:cs="Calibri"/>
          <w:sz w:val="24"/>
          <w:szCs w:val="24"/>
        </w:rPr>
        <w:t xml:space="preserve">safeguarding </w:t>
      </w:r>
      <w:r w:rsidR="005270E4">
        <w:rPr>
          <w:rFonts w:ascii="Calibri" w:hAnsi="Calibri" w:cs="Calibri"/>
          <w:sz w:val="24"/>
          <w:szCs w:val="24"/>
        </w:rPr>
        <w:t xml:space="preserve">sensitive information. </w:t>
      </w:r>
      <w:r w:rsidR="00F25DB2">
        <w:rPr>
          <w:rFonts w:ascii="Calibri" w:hAnsi="Calibri" w:cs="Calibri"/>
          <w:sz w:val="24"/>
          <w:szCs w:val="24"/>
        </w:rPr>
        <w:t xml:space="preserve">I am hoping that revisions to research policy documents and </w:t>
      </w:r>
      <w:r w:rsidR="003C69EB">
        <w:rPr>
          <w:rFonts w:ascii="Calibri" w:hAnsi="Calibri" w:cs="Calibri"/>
          <w:sz w:val="24"/>
          <w:szCs w:val="24"/>
        </w:rPr>
        <w:t xml:space="preserve">researcher ethics training </w:t>
      </w:r>
      <w:r w:rsidR="005C4D71">
        <w:rPr>
          <w:rFonts w:ascii="Calibri" w:hAnsi="Calibri" w:cs="Calibri"/>
          <w:sz w:val="24"/>
          <w:szCs w:val="24"/>
        </w:rPr>
        <w:t xml:space="preserve">might be considered as a consequence. If not, I </w:t>
      </w:r>
      <w:r w:rsidR="00CA44D0">
        <w:rPr>
          <w:rFonts w:ascii="Calibri" w:hAnsi="Calibri" w:cs="Calibri"/>
          <w:sz w:val="24"/>
          <w:szCs w:val="24"/>
        </w:rPr>
        <w:t xml:space="preserve">may take it upon myself to </w:t>
      </w:r>
      <w:r w:rsidR="00E94B4A">
        <w:rPr>
          <w:rFonts w:ascii="Calibri" w:hAnsi="Calibri" w:cs="Calibri"/>
          <w:sz w:val="24"/>
          <w:szCs w:val="24"/>
        </w:rPr>
        <w:t xml:space="preserve">issue </w:t>
      </w:r>
      <w:r w:rsidR="00976963">
        <w:rPr>
          <w:rFonts w:ascii="Calibri" w:hAnsi="Calibri" w:cs="Calibri"/>
          <w:sz w:val="24"/>
          <w:szCs w:val="24"/>
        </w:rPr>
        <w:t xml:space="preserve">and address </w:t>
      </w:r>
      <w:r w:rsidR="00CA44D0">
        <w:rPr>
          <w:rFonts w:ascii="Calibri" w:hAnsi="Calibri" w:cs="Calibri"/>
          <w:sz w:val="24"/>
          <w:szCs w:val="24"/>
        </w:rPr>
        <w:t xml:space="preserve">this </w:t>
      </w:r>
      <w:r w:rsidR="00976963">
        <w:rPr>
          <w:rFonts w:ascii="Calibri" w:hAnsi="Calibri" w:cs="Calibri"/>
          <w:sz w:val="24"/>
          <w:szCs w:val="24"/>
        </w:rPr>
        <w:t xml:space="preserve">lack </w:t>
      </w:r>
      <w:r w:rsidR="00CA44D0">
        <w:rPr>
          <w:rFonts w:ascii="Calibri" w:hAnsi="Calibri" w:cs="Calibri"/>
          <w:sz w:val="24"/>
          <w:szCs w:val="24"/>
        </w:rPr>
        <w:t>a personal and professional clarion call in the future.</w:t>
      </w:r>
    </w:p>
    <w:p w14:paraId="4B692038" w14:textId="77777777" w:rsidR="00F16DF7" w:rsidRPr="00F16DF7" w:rsidRDefault="00F16DF7" w:rsidP="00F16DF7">
      <w:pPr>
        <w:spacing w:line="360" w:lineRule="auto"/>
        <w:rPr>
          <w:rFonts w:ascii="Calibri" w:hAnsi="Calibri" w:cs="Calibri"/>
          <w:sz w:val="24"/>
          <w:szCs w:val="24"/>
        </w:rPr>
      </w:pPr>
    </w:p>
    <w:p w14:paraId="4200715A" w14:textId="5EFE517F" w:rsidR="003E5BA7" w:rsidRPr="00572A98" w:rsidRDefault="003E5BA7" w:rsidP="003E5BA7">
      <w:pPr>
        <w:spacing w:line="360" w:lineRule="auto"/>
        <w:rPr>
          <w:rFonts w:ascii="Calibri" w:hAnsi="Calibri" w:cs="Calibri"/>
          <w:sz w:val="24"/>
          <w:szCs w:val="24"/>
        </w:rPr>
      </w:pPr>
    </w:p>
    <w:p w14:paraId="01242723" w14:textId="77777777" w:rsidR="008476C1" w:rsidRPr="008476C1" w:rsidRDefault="008476C1" w:rsidP="00854B04">
      <w:pPr>
        <w:spacing w:line="360" w:lineRule="auto"/>
        <w:rPr>
          <w:rFonts w:ascii="Calibri" w:hAnsi="Calibri" w:cs="Calibri"/>
          <w:sz w:val="24"/>
          <w:szCs w:val="24"/>
        </w:rPr>
      </w:pPr>
    </w:p>
    <w:p w14:paraId="3C1865B6" w14:textId="77777777" w:rsidR="00275E03" w:rsidRPr="00017FDD" w:rsidRDefault="00275E03">
      <w:pPr>
        <w:rPr>
          <w:rFonts w:ascii="Calibri" w:hAnsi="Calibri" w:cs="Calibri"/>
          <w:sz w:val="24"/>
          <w:szCs w:val="24"/>
        </w:rPr>
      </w:pPr>
    </w:p>
    <w:p w14:paraId="7C96A449" w14:textId="77777777" w:rsidR="00C84CA8" w:rsidRDefault="00C84CA8" w:rsidP="00A02C88">
      <w:pPr>
        <w:rPr>
          <w:rFonts w:ascii="Calibri" w:hAnsi="Calibri" w:cs="Calibri"/>
          <w:sz w:val="24"/>
          <w:szCs w:val="24"/>
        </w:rPr>
      </w:pPr>
    </w:p>
    <w:p w14:paraId="7AAFBE56" w14:textId="77777777" w:rsidR="00CA44D0" w:rsidRDefault="00CA44D0" w:rsidP="00A02C88">
      <w:pPr>
        <w:rPr>
          <w:rFonts w:ascii="Calibri" w:hAnsi="Calibri" w:cs="Calibri"/>
          <w:sz w:val="24"/>
          <w:szCs w:val="24"/>
        </w:rPr>
      </w:pPr>
    </w:p>
    <w:p w14:paraId="441C2BE8" w14:textId="77777777" w:rsidR="00C84CA8" w:rsidRDefault="00C84CA8" w:rsidP="00A02C88">
      <w:pPr>
        <w:rPr>
          <w:rFonts w:ascii="Calibri" w:hAnsi="Calibri" w:cs="Calibri"/>
          <w:sz w:val="24"/>
          <w:szCs w:val="24"/>
        </w:rPr>
      </w:pPr>
    </w:p>
    <w:p w14:paraId="0A0B99EC" w14:textId="77777777" w:rsidR="00854B04" w:rsidRDefault="00854B04" w:rsidP="00A02C88">
      <w:pPr>
        <w:rPr>
          <w:rFonts w:ascii="Calibri" w:hAnsi="Calibri" w:cs="Calibri"/>
          <w:sz w:val="24"/>
          <w:szCs w:val="24"/>
        </w:rPr>
      </w:pPr>
    </w:p>
    <w:p w14:paraId="65363C62" w14:textId="77777777" w:rsidR="00C84CA8" w:rsidRDefault="00C84CA8" w:rsidP="00A02C88">
      <w:pPr>
        <w:rPr>
          <w:rFonts w:ascii="Calibri" w:hAnsi="Calibri" w:cs="Calibri"/>
          <w:sz w:val="24"/>
          <w:szCs w:val="24"/>
        </w:rPr>
      </w:pPr>
    </w:p>
    <w:p w14:paraId="53E7B899" w14:textId="77777777" w:rsidR="00C84CA8" w:rsidRDefault="00C84CA8" w:rsidP="00A02C88">
      <w:pPr>
        <w:rPr>
          <w:rFonts w:ascii="Calibri" w:hAnsi="Calibri" w:cs="Calibri"/>
          <w:sz w:val="24"/>
          <w:szCs w:val="24"/>
        </w:rPr>
      </w:pPr>
    </w:p>
    <w:p w14:paraId="05DAF417" w14:textId="74C4E01D" w:rsidR="00BB5FEF" w:rsidRDefault="00BB5FEF" w:rsidP="005066F1">
      <w:pPr>
        <w:spacing w:line="360" w:lineRule="auto"/>
        <w:ind w:left="1440" w:firstLine="720"/>
        <w:rPr>
          <w:rFonts w:ascii="Calibri" w:eastAsia="Calibri" w:hAnsi="Calibri" w:cs="Calibri"/>
          <w:b/>
          <w:bCs/>
          <w:sz w:val="24"/>
          <w:szCs w:val="24"/>
        </w:rPr>
      </w:pPr>
      <w:bookmarkStart w:id="119" w:name="_Hlk203478723"/>
      <w:r w:rsidRPr="00BC7152">
        <w:rPr>
          <w:rFonts w:ascii="Calibri" w:eastAsia="Calibri" w:hAnsi="Calibri" w:cs="Calibri"/>
          <w:b/>
          <w:bCs/>
          <w:sz w:val="24"/>
          <w:szCs w:val="24"/>
        </w:rPr>
        <w:lastRenderedPageBreak/>
        <w:t xml:space="preserve">Appendix </w:t>
      </w:r>
      <w:r w:rsidR="007F1058">
        <w:rPr>
          <w:rFonts w:ascii="Calibri" w:eastAsia="Calibri" w:hAnsi="Calibri" w:cs="Calibri"/>
          <w:b/>
          <w:bCs/>
          <w:sz w:val="24"/>
          <w:szCs w:val="24"/>
        </w:rPr>
        <w:t>M</w:t>
      </w:r>
      <w:r w:rsidRPr="00BC7152">
        <w:rPr>
          <w:rFonts w:ascii="Calibri" w:eastAsia="Calibri" w:hAnsi="Calibri" w:cs="Calibri"/>
          <w:b/>
          <w:bCs/>
          <w:sz w:val="24"/>
          <w:szCs w:val="24"/>
        </w:rPr>
        <w:t xml:space="preserve">: </w:t>
      </w:r>
      <w:r w:rsidR="005066F1" w:rsidRPr="00BC7152">
        <w:rPr>
          <w:rFonts w:ascii="Calibri" w:eastAsia="Calibri" w:hAnsi="Calibri" w:cs="Calibri"/>
          <w:b/>
          <w:bCs/>
          <w:sz w:val="24"/>
          <w:szCs w:val="24"/>
        </w:rPr>
        <w:t>Samples</w:t>
      </w:r>
      <w:r w:rsidR="00EF7B74" w:rsidRPr="00BC7152">
        <w:rPr>
          <w:rFonts w:ascii="Calibri" w:eastAsia="Calibri" w:hAnsi="Calibri" w:cs="Calibri"/>
          <w:b/>
          <w:bCs/>
          <w:sz w:val="24"/>
          <w:szCs w:val="24"/>
        </w:rPr>
        <w:t xml:space="preserve"> of Supervision Trainings</w:t>
      </w:r>
    </w:p>
    <w:p w14:paraId="0D6FFEBD" w14:textId="3C589441" w:rsidR="005378FF" w:rsidRPr="002731C6" w:rsidRDefault="005C1DC7" w:rsidP="002731C6">
      <w:pPr>
        <w:spacing w:line="360" w:lineRule="auto"/>
        <w:ind w:left="2160" w:firstLine="720"/>
        <w:rPr>
          <w:rFonts w:ascii="Calibri" w:eastAsia="Calibri" w:hAnsi="Calibri" w:cs="Calibri"/>
          <w:i/>
          <w:iCs/>
          <w:sz w:val="24"/>
          <w:szCs w:val="24"/>
        </w:rPr>
      </w:pPr>
      <w:r w:rsidRPr="002731C6">
        <w:rPr>
          <w:rFonts w:ascii="Calibri" w:eastAsia="Calibri" w:hAnsi="Calibri" w:cs="Calibri"/>
          <w:i/>
          <w:iCs/>
          <w:sz w:val="24"/>
          <w:szCs w:val="24"/>
        </w:rPr>
        <w:t xml:space="preserve">Table 22: </w:t>
      </w:r>
      <w:r w:rsidR="002731C6" w:rsidRPr="002731C6">
        <w:rPr>
          <w:rFonts w:ascii="Calibri" w:eastAsia="Calibri" w:hAnsi="Calibri" w:cs="Calibri"/>
          <w:i/>
          <w:iCs/>
          <w:sz w:val="24"/>
          <w:szCs w:val="24"/>
        </w:rPr>
        <w:t>Supervision trainings</w:t>
      </w:r>
    </w:p>
    <w:tbl>
      <w:tblPr>
        <w:tblStyle w:val="TableGrid1"/>
        <w:tblW w:w="0" w:type="auto"/>
        <w:tblLook w:val="04A0" w:firstRow="1" w:lastRow="0" w:firstColumn="1" w:lastColumn="0" w:noHBand="0" w:noVBand="1"/>
      </w:tblPr>
      <w:tblGrid>
        <w:gridCol w:w="3720"/>
        <w:gridCol w:w="5296"/>
      </w:tblGrid>
      <w:tr w:rsidR="00BB5FEF" w:rsidRPr="00634BFC" w14:paraId="1844749F" w14:textId="77777777" w:rsidTr="00EB3D03">
        <w:tc>
          <w:tcPr>
            <w:tcW w:w="3764" w:type="dxa"/>
          </w:tcPr>
          <w:p w14:paraId="3BD2D5D2" w14:textId="77777777" w:rsidR="00BB5FEF" w:rsidRPr="00634BFC" w:rsidRDefault="00BB5FEF" w:rsidP="00634BFC">
            <w:pPr>
              <w:rPr>
                <w:rFonts w:ascii="Calibri" w:eastAsia="Calibri" w:hAnsi="Calibri" w:cs="Calibri"/>
                <w:sz w:val="24"/>
                <w:szCs w:val="24"/>
              </w:rPr>
            </w:pPr>
            <w:r w:rsidRPr="00634BFC">
              <w:rPr>
                <w:rFonts w:ascii="Calibri" w:eastAsia="Calibri" w:hAnsi="Calibri" w:cs="Calibri"/>
                <w:sz w:val="24"/>
                <w:szCs w:val="24"/>
              </w:rPr>
              <w:t>Training Provider</w:t>
            </w:r>
          </w:p>
        </w:tc>
        <w:tc>
          <w:tcPr>
            <w:tcW w:w="5252" w:type="dxa"/>
          </w:tcPr>
          <w:p w14:paraId="2261AD5C" w14:textId="77777777" w:rsidR="00BB5FEF" w:rsidRPr="00634BFC" w:rsidRDefault="00BB5FEF" w:rsidP="00634BFC">
            <w:pPr>
              <w:rPr>
                <w:rFonts w:ascii="Calibri" w:eastAsia="Calibri" w:hAnsi="Calibri" w:cs="Calibri"/>
                <w:sz w:val="24"/>
                <w:szCs w:val="24"/>
              </w:rPr>
            </w:pPr>
            <w:r w:rsidRPr="00634BFC">
              <w:rPr>
                <w:rFonts w:ascii="Calibri" w:eastAsia="Calibri" w:hAnsi="Calibri" w:cs="Calibri"/>
                <w:sz w:val="24"/>
                <w:szCs w:val="24"/>
              </w:rPr>
              <w:t>Course title</w:t>
            </w:r>
          </w:p>
        </w:tc>
      </w:tr>
      <w:tr w:rsidR="00BB5FEF" w:rsidRPr="00634BFC" w14:paraId="6103448F" w14:textId="77777777" w:rsidTr="00EB3D03">
        <w:tc>
          <w:tcPr>
            <w:tcW w:w="3764" w:type="dxa"/>
          </w:tcPr>
          <w:p w14:paraId="153AB535" w14:textId="77777777" w:rsidR="00BB5FEF" w:rsidRPr="00014B1E" w:rsidRDefault="00BB5FEF" w:rsidP="00634BFC">
            <w:pPr>
              <w:rPr>
                <w:rFonts w:ascii="Calibri" w:eastAsia="Calibri" w:hAnsi="Calibri" w:cs="Calibri"/>
              </w:rPr>
            </w:pPr>
            <w:r w:rsidRPr="00014B1E">
              <w:rPr>
                <w:rFonts w:ascii="Calibri" w:eastAsia="Calibri" w:hAnsi="Calibri" w:cs="Calibri"/>
              </w:rPr>
              <w:t>Centre for Supervision Training and Development (CSTD Bath)</w:t>
            </w:r>
          </w:p>
        </w:tc>
        <w:tc>
          <w:tcPr>
            <w:tcW w:w="5252" w:type="dxa"/>
          </w:tcPr>
          <w:p w14:paraId="084663A3" w14:textId="77777777" w:rsidR="00BB5FEF" w:rsidRPr="00014B1E" w:rsidRDefault="00BB5FEF" w:rsidP="00634BFC">
            <w:pPr>
              <w:rPr>
                <w:rFonts w:ascii="Calibri" w:eastAsia="Calibri" w:hAnsi="Calibri" w:cs="Calibri"/>
              </w:rPr>
            </w:pPr>
            <w:r w:rsidRPr="00014B1E">
              <w:rPr>
                <w:rFonts w:ascii="Calibri" w:eastAsia="Calibri" w:hAnsi="Calibri" w:cs="Calibri"/>
              </w:rPr>
              <w:t>Diploma/Certificate in Reflective Supervision in Education (applicable to Primary, Secondary, FE and HE teaching staff)</w:t>
            </w:r>
          </w:p>
          <w:p w14:paraId="0F690C3B" w14:textId="77777777" w:rsidR="00BB5FEF" w:rsidRPr="00014B1E" w:rsidRDefault="00BB5FEF" w:rsidP="00634BFC">
            <w:pPr>
              <w:rPr>
                <w:rFonts w:ascii="Calibri" w:eastAsia="Calibri" w:hAnsi="Calibri" w:cs="Arial"/>
              </w:rPr>
            </w:pPr>
            <w:hyperlink r:id="rId551" w:history="1">
              <w:r w:rsidRPr="00014B1E">
                <w:rPr>
                  <w:rFonts w:ascii="Calibri" w:eastAsia="Calibri" w:hAnsi="Calibri" w:cs="Calibri"/>
                  <w:color w:val="0000FF"/>
                  <w:u w:val="single"/>
                </w:rPr>
                <w:t>https://www.cstdbath.co.uk/supervision-training/diploma-certificate-in-reflective-supervision-in-education/</w:t>
              </w:r>
            </w:hyperlink>
          </w:p>
          <w:p w14:paraId="4C06E6C2" w14:textId="77777777" w:rsidR="00BB5FEF" w:rsidRPr="00014B1E" w:rsidRDefault="00BB5FEF" w:rsidP="00634BFC">
            <w:pPr>
              <w:rPr>
                <w:rFonts w:ascii="Calibri" w:eastAsia="Calibri" w:hAnsi="Calibri" w:cs="Calibri"/>
              </w:rPr>
            </w:pPr>
            <w:r w:rsidRPr="00014B1E">
              <w:rPr>
                <w:rFonts w:ascii="Calibri" w:eastAsia="Calibri" w:hAnsi="Calibri" w:cs="Calibri"/>
              </w:rPr>
              <w:t xml:space="preserve">Diploma/Certificate in Supervision </w:t>
            </w:r>
          </w:p>
          <w:p w14:paraId="3FCF8A93" w14:textId="77777777" w:rsidR="00BB5FEF" w:rsidRPr="00014B1E" w:rsidRDefault="00BB5FEF" w:rsidP="00634BFC">
            <w:pPr>
              <w:rPr>
                <w:rFonts w:ascii="Calibri" w:eastAsia="Calibri" w:hAnsi="Calibri" w:cs="Calibri"/>
              </w:rPr>
            </w:pPr>
            <w:r w:rsidRPr="00014B1E">
              <w:rPr>
                <w:rFonts w:ascii="Calibri" w:eastAsia="Calibri" w:hAnsi="Calibri" w:cs="Calibri"/>
              </w:rPr>
              <w:t xml:space="preserve">(applicable to therapists and counsellors and those working in the field of mental health) </w:t>
            </w:r>
          </w:p>
          <w:p w14:paraId="18040B09" w14:textId="77777777" w:rsidR="00BB5FEF" w:rsidRPr="00014B1E" w:rsidRDefault="00BB5FEF" w:rsidP="00634BFC">
            <w:pPr>
              <w:rPr>
                <w:rFonts w:ascii="Calibri" w:eastAsia="Calibri" w:hAnsi="Calibri" w:cs="Calibri"/>
              </w:rPr>
            </w:pPr>
            <w:hyperlink r:id="rId552" w:history="1">
              <w:r w:rsidRPr="00014B1E">
                <w:rPr>
                  <w:rFonts w:ascii="Calibri" w:eastAsia="Calibri" w:hAnsi="Calibri" w:cs="Calibri"/>
                  <w:color w:val="0000FF"/>
                  <w:u w:val="single"/>
                </w:rPr>
                <w:t>https://www.cstdbath.co.uk/supervision-training/diploma-certificate-in-supervision/</w:t>
              </w:r>
            </w:hyperlink>
          </w:p>
          <w:p w14:paraId="6E2825BE" w14:textId="77777777" w:rsidR="00BB5FEF" w:rsidRPr="00014B1E" w:rsidRDefault="00BB5FEF" w:rsidP="00634BFC">
            <w:pPr>
              <w:rPr>
                <w:rFonts w:ascii="Calibri" w:eastAsia="Calibri" w:hAnsi="Calibri" w:cs="Calibri"/>
              </w:rPr>
            </w:pPr>
            <w:r w:rsidRPr="00014B1E">
              <w:rPr>
                <w:rFonts w:ascii="Calibri" w:eastAsia="Calibri" w:hAnsi="Calibri" w:cs="Calibri"/>
              </w:rPr>
              <w:t>Bespoke workshops in supervision</w:t>
            </w:r>
          </w:p>
          <w:p w14:paraId="153CE32F" w14:textId="77777777" w:rsidR="00BB5FEF" w:rsidRPr="00014B1E" w:rsidRDefault="00BB5FEF" w:rsidP="00634BFC">
            <w:pPr>
              <w:rPr>
                <w:rFonts w:ascii="Calibri" w:eastAsia="Calibri" w:hAnsi="Calibri" w:cs="Calibri"/>
              </w:rPr>
            </w:pPr>
            <w:hyperlink r:id="rId553" w:history="1">
              <w:r w:rsidRPr="00014B1E">
                <w:rPr>
                  <w:rFonts w:ascii="Calibri" w:eastAsia="Calibri" w:hAnsi="Calibri" w:cs="Calibri"/>
                  <w:color w:val="0000FF"/>
                  <w:u w:val="single"/>
                </w:rPr>
                <w:t>https://www.cstdbath.co.uk/cpd-courses-workshops/developing-your-supervision-practice-for-education-settings/</w:t>
              </w:r>
            </w:hyperlink>
          </w:p>
          <w:p w14:paraId="5BE450F9" w14:textId="77777777" w:rsidR="00BB5FEF" w:rsidRPr="00014B1E" w:rsidRDefault="00BB5FEF" w:rsidP="00634BFC">
            <w:pPr>
              <w:rPr>
                <w:rFonts w:ascii="Calibri" w:eastAsia="Calibri" w:hAnsi="Calibri" w:cs="Calibri"/>
              </w:rPr>
            </w:pPr>
          </w:p>
        </w:tc>
      </w:tr>
      <w:tr w:rsidR="00BB5FEF" w:rsidRPr="00634BFC" w14:paraId="368A8B8C" w14:textId="77777777" w:rsidTr="00EB3D03">
        <w:tc>
          <w:tcPr>
            <w:tcW w:w="3764" w:type="dxa"/>
          </w:tcPr>
          <w:p w14:paraId="556A1590" w14:textId="77777777" w:rsidR="00BB5FEF" w:rsidRPr="00014B1E" w:rsidRDefault="00BB5FEF" w:rsidP="00634BFC">
            <w:pPr>
              <w:rPr>
                <w:rFonts w:ascii="Calibri" w:eastAsia="Calibri" w:hAnsi="Calibri" w:cs="Calibri"/>
              </w:rPr>
            </w:pPr>
            <w:r w:rsidRPr="00014B1E">
              <w:rPr>
                <w:rFonts w:ascii="Calibri" w:eastAsia="Calibri" w:hAnsi="Calibri" w:cs="Calibri"/>
              </w:rPr>
              <w:t>The Mulberry Bush School</w:t>
            </w:r>
            <w:r w:rsidRPr="00014B1E">
              <w:rPr>
                <w:rFonts w:ascii="Calibri" w:eastAsia="Calibri" w:hAnsi="Calibri" w:cs="Calibri"/>
              </w:rPr>
              <w:br/>
              <w:t>Witney, Oxfordshire</w:t>
            </w:r>
          </w:p>
        </w:tc>
        <w:tc>
          <w:tcPr>
            <w:tcW w:w="5252" w:type="dxa"/>
          </w:tcPr>
          <w:p w14:paraId="61CA1991" w14:textId="77777777" w:rsidR="00BB5FEF" w:rsidRPr="00014B1E" w:rsidRDefault="00BB5FEF" w:rsidP="00634BFC">
            <w:pPr>
              <w:rPr>
                <w:rFonts w:ascii="Calibri" w:eastAsia="Calibri" w:hAnsi="Calibri" w:cs="Calibri"/>
              </w:rPr>
            </w:pPr>
            <w:r w:rsidRPr="00014B1E">
              <w:rPr>
                <w:rFonts w:ascii="Calibri" w:eastAsia="Calibri" w:hAnsi="Calibri" w:cs="Calibri"/>
              </w:rPr>
              <w:t>The Mulberry Bush’s Reflective Supervision training (two-day course based on a psychodynamically informed supervision structure to support a culture of organisational well-being).</w:t>
            </w:r>
          </w:p>
          <w:p w14:paraId="2143AADE" w14:textId="77777777" w:rsidR="00BB5FEF" w:rsidRPr="00014B1E" w:rsidRDefault="00BB5FEF" w:rsidP="00634BFC">
            <w:pPr>
              <w:rPr>
                <w:rFonts w:ascii="Calibri" w:eastAsia="Calibri" w:hAnsi="Calibri" w:cs="Calibri"/>
              </w:rPr>
            </w:pPr>
            <w:hyperlink r:id="rId554" w:history="1">
              <w:r w:rsidRPr="00014B1E">
                <w:rPr>
                  <w:rFonts w:ascii="Calibri" w:eastAsia="Calibri" w:hAnsi="Calibri" w:cs="Calibri"/>
                  <w:color w:val="0000FF"/>
                  <w:u w:val="single"/>
                </w:rPr>
                <w:t>https://mulberrybush.org.uk/eventstraining/reflective-supervision-training/</w:t>
              </w:r>
            </w:hyperlink>
          </w:p>
          <w:p w14:paraId="3BFEBC4C" w14:textId="77777777" w:rsidR="00BB5FEF" w:rsidRPr="00014B1E" w:rsidRDefault="00BB5FEF" w:rsidP="00634BFC">
            <w:pPr>
              <w:rPr>
                <w:rFonts w:ascii="Calibri" w:eastAsia="Calibri" w:hAnsi="Calibri" w:cs="Calibri"/>
              </w:rPr>
            </w:pPr>
          </w:p>
        </w:tc>
      </w:tr>
      <w:tr w:rsidR="00BB5FEF" w:rsidRPr="00634BFC" w14:paraId="15583902" w14:textId="77777777" w:rsidTr="00EB3D03">
        <w:tc>
          <w:tcPr>
            <w:tcW w:w="3764" w:type="dxa"/>
          </w:tcPr>
          <w:p w14:paraId="7C184ED3" w14:textId="77777777" w:rsidR="00BB5FEF" w:rsidRPr="00014B1E" w:rsidRDefault="00BB5FEF" w:rsidP="00634BFC">
            <w:pPr>
              <w:rPr>
                <w:rFonts w:ascii="Calibri" w:eastAsia="Calibri" w:hAnsi="Calibri" w:cs="Calibri"/>
                <w:color w:val="EE0000"/>
              </w:rPr>
            </w:pPr>
            <w:r w:rsidRPr="00014B1E">
              <w:rPr>
                <w:rFonts w:ascii="Calibri" w:eastAsia="Calibri" w:hAnsi="Calibri" w:cs="Calibri"/>
              </w:rPr>
              <w:t>St Mary’s, Twickenham</w:t>
            </w:r>
          </w:p>
        </w:tc>
        <w:tc>
          <w:tcPr>
            <w:tcW w:w="5252" w:type="dxa"/>
          </w:tcPr>
          <w:p w14:paraId="4B94F41B" w14:textId="77777777" w:rsidR="00BB5FEF" w:rsidRPr="00014B1E" w:rsidRDefault="00BB5FEF" w:rsidP="00634BFC">
            <w:pPr>
              <w:rPr>
                <w:rFonts w:ascii="Calibri" w:eastAsia="Calibri" w:hAnsi="Calibri" w:cs="Calibri"/>
              </w:rPr>
            </w:pPr>
            <w:r w:rsidRPr="00014B1E">
              <w:rPr>
                <w:rFonts w:ascii="Calibri" w:eastAsia="Calibri" w:hAnsi="Calibri" w:cs="Calibri"/>
              </w:rPr>
              <w:t xml:space="preserve">The PG Cert Supervision in Education Supervision </w:t>
            </w:r>
          </w:p>
          <w:p w14:paraId="2C65889A" w14:textId="77777777" w:rsidR="00BB5FEF" w:rsidRPr="00014B1E" w:rsidRDefault="00BB5FEF" w:rsidP="00634BFC">
            <w:pPr>
              <w:rPr>
                <w:rFonts w:ascii="Calibri" w:eastAsia="Calibri" w:hAnsi="Calibri" w:cs="Calibri"/>
              </w:rPr>
            </w:pPr>
            <w:r w:rsidRPr="00014B1E">
              <w:rPr>
                <w:rFonts w:ascii="Calibri" w:eastAsia="Calibri" w:hAnsi="Calibri" w:cs="Calibri"/>
              </w:rPr>
              <w:t xml:space="preserve">(applicable to Primary and Secondary teaching staff and aims to provide a reflective space that supports the supervisee’s practice, development and wellbeing) </w:t>
            </w:r>
          </w:p>
          <w:p w14:paraId="4E3638C9" w14:textId="77777777" w:rsidR="00BB5FEF" w:rsidRPr="00014B1E" w:rsidRDefault="00BB5FEF" w:rsidP="00634BFC">
            <w:pPr>
              <w:rPr>
                <w:rFonts w:ascii="Calibri" w:eastAsia="Calibri" w:hAnsi="Calibri" w:cs="Calibri"/>
              </w:rPr>
            </w:pPr>
            <w:hyperlink r:id="rId555" w:history="1">
              <w:r w:rsidRPr="00014B1E">
                <w:rPr>
                  <w:rFonts w:ascii="Calibri" w:eastAsia="Calibri" w:hAnsi="Calibri" w:cs="Calibri"/>
                  <w:color w:val="0000FF"/>
                  <w:u w:val="single"/>
                </w:rPr>
                <w:t>https://www.educatly.com/program/630911/education-supervision-in-education-pgcert</w:t>
              </w:r>
            </w:hyperlink>
          </w:p>
          <w:p w14:paraId="112D63BE" w14:textId="77777777" w:rsidR="00BB5FEF" w:rsidRPr="00014B1E" w:rsidRDefault="00BB5FEF" w:rsidP="00634BFC">
            <w:pPr>
              <w:rPr>
                <w:rFonts w:ascii="Calibri" w:eastAsia="Calibri" w:hAnsi="Calibri" w:cs="Calibri"/>
                <w:color w:val="EE0000"/>
              </w:rPr>
            </w:pPr>
          </w:p>
        </w:tc>
      </w:tr>
      <w:tr w:rsidR="00BB5FEF" w:rsidRPr="006654D8" w14:paraId="33B273D6" w14:textId="77777777" w:rsidTr="00EB3D03">
        <w:tc>
          <w:tcPr>
            <w:tcW w:w="3764" w:type="dxa"/>
          </w:tcPr>
          <w:p w14:paraId="748FB20D" w14:textId="77777777" w:rsidR="00BB5FEF" w:rsidRPr="00014B1E" w:rsidRDefault="00BB5FEF" w:rsidP="00634BFC">
            <w:pPr>
              <w:rPr>
                <w:rFonts w:ascii="Calibri" w:eastAsia="Calibri" w:hAnsi="Calibri" w:cs="Calibri"/>
                <w:color w:val="EE0000"/>
              </w:rPr>
            </w:pPr>
            <w:r w:rsidRPr="00014B1E">
              <w:rPr>
                <w:rFonts w:ascii="Calibri" w:eastAsia="Calibri" w:hAnsi="Calibri" w:cs="Calibri"/>
              </w:rPr>
              <w:t>Tavistock and Portman Centre, London</w:t>
            </w:r>
          </w:p>
        </w:tc>
        <w:tc>
          <w:tcPr>
            <w:tcW w:w="5252" w:type="dxa"/>
          </w:tcPr>
          <w:p w14:paraId="47AEA2FE" w14:textId="77777777" w:rsidR="00BB5FEF" w:rsidRPr="00014B1E" w:rsidRDefault="00BB5FEF" w:rsidP="00634BFC">
            <w:pPr>
              <w:rPr>
                <w:rFonts w:ascii="Calibri" w:eastAsia="Calibri" w:hAnsi="Calibri" w:cs="Calibri"/>
              </w:rPr>
            </w:pPr>
            <w:r w:rsidRPr="00014B1E">
              <w:rPr>
                <w:rFonts w:ascii="Calibri" w:eastAsia="Calibri" w:hAnsi="Calibri" w:cs="Calibri"/>
              </w:rPr>
              <w:t>Supervision for staff working in schools and community contexts: working relationally and reflectively five-day CPD course</w:t>
            </w:r>
          </w:p>
          <w:p w14:paraId="11AFD74C" w14:textId="77777777" w:rsidR="00BB5FEF" w:rsidRPr="00014B1E" w:rsidRDefault="00BB5FEF" w:rsidP="00634BFC">
            <w:pPr>
              <w:rPr>
                <w:rFonts w:ascii="Calibri" w:eastAsia="Calibri" w:hAnsi="Calibri" w:cs="Calibri"/>
              </w:rPr>
            </w:pPr>
            <w:r w:rsidRPr="00014B1E">
              <w:rPr>
                <w:rFonts w:ascii="Calibri" w:eastAsia="Calibri" w:hAnsi="Calibri" w:cs="Calibri"/>
              </w:rPr>
              <w:t>(teachers and senior staff working in schools, children’s services, or other care or educational contexts; applied psychologists engaging in supervisory practice in local government, public sector, child, family and adult services and alternative contexts e.g. social enterprises, voluntary and independent private practice)</w:t>
            </w:r>
          </w:p>
          <w:p w14:paraId="21E33D1A" w14:textId="77777777" w:rsidR="00BB5FEF" w:rsidRPr="00014B1E" w:rsidRDefault="00BB5FEF" w:rsidP="00634BFC">
            <w:pPr>
              <w:rPr>
                <w:rFonts w:ascii="Calibri" w:eastAsia="Calibri" w:hAnsi="Calibri" w:cs="Calibri"/>
              </w:rPr>
            </w:pPr>
            <w:hyperlink r:id="rId556" w:history="1">
              <w:r w:rsidRPr="00014B1E">
                <w:rPr>
                  <w:rFonts w:ascii="Calibri" w:eastAsia="Calibri" w:hAnsi="Calibri" w:cs="Calibri"/>
                  <w:color w:val="0000FF"/>
                  <w:u w:val="single"/>
                </w:rPr>
                <w:t>https://tavistockandportman.ac.uk/courses/supervision-for-staff-working-in-schools-and-community-contexts-working-relationally-and-reflectively-cpd32/</w:t>
              </w:r>
            </w:hyperlink>
          </w:p>
          <w:p w14:paraId="25ABD4A8" w14:textId="77777777" w:rsidR="00BB5FEF" w:rsidRPr="00014B1E" w:rsidRDefault="00BB5FEF" w:rsidP="00634BFC">
            <w:pPr>
              <w:rPr>
                <w:rFonts w:ascii="Calibri" w:eastAsia="Calibri" w:hAnsi="Calibri" w:cs="Calibri"/>
              </w:rPr>
            </w:pPr>
          </w:p>
          <w:p w14:paraId="4C09EC13" w14:textId="77777777" w:rsidR="00BB5FEF" w:rsidRPr="00014B1E" w:rsidRDefault="00BB5FEF" w:rsidP="00634BFC">
            <w:pPr>
              <w:rPr>
                <w:rFonts w:ascii="Calibri" w:eastAsia="Calibri" w:hAnsi="Calibri" w:cs="Calibri"/>
                <w:color w:val="EE0000"/>
              </w:rPr>
            </w:pPr>
          </w:p>
        </w:tc>
      </w:tr>
      <w:bookmarkEnd w:id="119"/>
    </w:tbl>
    <w:p w14:paraId="0170CF4B" w14:textId="77777777" w:rsidR="00C84CA8" w:rsidRPr="00254269" w:rsidRDefault="00C84CA8" w:rsidP="00A02C88">
      <w:pPr>
        <w:rPr>
          <w:rFonts w:ascii="Calibri" w:hAnsi="Calibri" w:cs="Calibri"/>
          <w:sz w:val="24"/>
          <w:szCs w:val="24"/>
        </w:rPr>
      </w:pPr>
    </w:p>
    <w:sectPr w:rsidR="00C84CA8" w:rsidRPr="00254269" w:rsidSect="00F275C0">
      <w:headerReference w:type="default" r:id="rId557"/>
      <w:footerReference w:type="default" r:id="rId55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0FEB5" w14:textId="77777777" w:rsidR="005E4533" w:rsidRDefault="005E4533" w:rsidP="004D76C9">
      <w:pPr>
        <w:spacing w:after="0"/>
      </w:pPr>
      <w:r>
        <w:separator/>
      </w:r>
    </w:p>
  </w:endnote>
  <w:endnote w:type="continuationSeparator" w:id="0">
    <w:p w14:paraId="6C4D4F49" w14:textId="77777777" w:rsidR="005E4533" w:rsidRDefault="005E4533" w:rsidP="004D7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f6">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Noto Sans">
    <w:charset w:val="00"/>
    <w:family w:val="swiss"/>
    <w:pitch w:val="variable"/>
    <w:sig w:usb0="E00082FF" w:usb1="400078FF" w:usb2="00000021" w:usb3="00000000" w:csb0="0000019F" w:csb1="00000000"/>
  </w:font>
  <w:font w:name="Merriweather Sans">
    <w:charset w:val="00"/>
    <w:family w:val="auto"/>
    <w:pitch w:val="variable"/>
    <w:sig w:usb0="A00004FF" w:usb1="4000207B" w:usb2="00000000" w:usb3="00000000" w:csb0="00000193" w:csb1="00000000"/>
  </w:font>
  <w:font w:name="TUOS Blake">
    <w:altName w:val="Calibri"/>
    <w:charset w:val="00"/>
    <w:family w:val="swiss"/>
    <w:pitch w:val="variable"/>
    <w:sig w:usb0="8000002F" w:usb1="4000004A" w:usb2="00000000" w:usb3="00000000" w:csb0="00000011" w:csb1="00000000"/>
  </w:font>
  <w:font w:name="Google Sans">
    <w:altName w:val="Calibri"/>
    <w:charset w:val="00"/>
    <w:family w:val="auto"/>
    <w:pitch w:val="default"/>
  </w:font>
  <w:font w:name="Google Sans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6B47" w14:textId="77777777" w:rsidR="00CB43EF" w:rsidRDefault="00CB43E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F083C3C" w14:textId="77777777" w:rsidR="004D76C9" w:rsidRDefault="004D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0D3A" w14:textId="77777777" w:rsidR="00561B66" w:rsidRDefault="00561B6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5914BC7" w14:textId="77777777" w:rsidR="00561B66" w:rsidRDefault="00561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1A8E7" w14:textId="77777777" w:rsidR="005E4533" w:rsidRDefault="005E4533" w:rsidP="004D76C9">
      <w:pPr>
        <w:spacing w:after="0"/>
      </w:pPr>
      <w:r>
        <w:separator/>
      </w:r>
    </w:p>
  </w:footnote>
  <w:footnote w:type="continuationSeparator" w:id="0">
    <w:p w14:paraId="47325F86" w14:textId="77777777" w:rsidR="005E4533" w:rsidRDefault="005E4533" w:rsidP="004D7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303F" w14:textId="116A9C86" w:rsidR="00223998" w:rsidRPr="0062398F" w:rsidRDefault="0062398F">
    <w:pPr>
      <w:pStyle w:val="Header"/>
      <w:rPr>
        <w:sz w:val="24"/>
        <w:szCs w:val="24"/>
      </w:rPr>
    </w:pPr>
    <w:r>
      <w:rPr>
        <w:sz w:val="24"/>
        <w:szCs w:val="24"/>
      </w:rPr>
      <w:tab/>
    </w:r>
    <w:r>
      <w:rPr>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4BFA" w14:textId="77777777" w:rsidR="006A1823" w:rsidRDefault="006A1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ACD"/>
    <w:multiLevelType w:val="hybridMultilevel"/>
    <w:tmpl w:val="C4F8182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B168EA"/>
    <w:multiLevelType w:val="hybridMultilevel"/>
    <w:tmpl w:val="3E9C5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B6B5D"/>
    <w:multiLevelType w:val="hybridMultilevel"/>
    <w:tmpl w:val="F4029E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30839"/>
    <w:multiLevelType w:val="hybridMultilevel"/>
    <w:tmpl w:val="5E86A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26A30"/>
    <w:multiLevelType w:val="hybridMultilevel"/>
    <w:tmpl w:val="DD709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62A73"/>
    <w:multiLevelType w:val="hybridMultilevel"/>
    <w:tmpl w:val="34EE1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A0B58"/>
    <w:multiLevelType w:val="hybridMultilevel"/>
    <w:tmpl w:val="24B21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C7B9A"/>
    <w:multiLevelType w:val="hybridMultilevel"/>
    <w:tmpl w:val="8E54C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523C5"/>
    <w:multiLevelType w:val="hybridMultilevel"/>
    <w:tmpl w:val="20107FD6"/>
    <w:lvl w:ilvl="0" w:tplc="A01AAC5E">
      <w:start w:val="1"/>
      <w:numFmt w:val="decimal"/>
      <w:lvlText w:val="%1."/>
      <w:lvlJc w:val="left"/>
      <w:pPr>
        <w:ind w:left="360" w:hanging="360"/>
      </w:pPr>
      <w:rPr>
        <w:rFonts w:eastAsia="Calibri"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8511F8"/>
    <w:multiLevelType w:val="hybridMultilevel"/>
    <w:tmpl w:val="48A670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036737"/>
    <w:multiLevelType w:val="hybridMultilevel"/>
    <w:tmpl w:val="CFD00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3D2502"/>
    <w:multiLevelType w:val="hybridMultilevel"/>
    <w:tmpl w:val="4BBE0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8F1342"/>
    <w:multiLevelType w:val="hybridMultilevel"/>
    <w:tmpl w:val="8AF2D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840555"/>
    <w:multiLevelType w:val="hybridMultilevel"/>
    <w:tmpl w:val="48A67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3D0425"/>
    <w:multiLevelType w:val="hybridMultilevel"/>
    <w:tmpl w:val="8C38C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04FE1"/>
    <w:multiLevelType w:val="hybridMultilevel"/>
    <w:tmpl w:val="22B6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B17648"/>
    <w:multiLevelType w:val="multilevel"/>
    <w:tmpl w:val="D0CA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8750DF"/>
    <w:multiLevelType w:val="hybridMultilevel"/>
    <w:tmpl w:val="A18CE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E60B0F"/>
    <w:multiLevelType w:val="hybridMultilevel"/>
    <w:tmpl w:val="B4989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2E4033"/>
    <w:multiLevelType w:val="hybridMultilevel"/>
    <w:tmpl w:val="6B5E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91031D"/>
    <w:multiLevelType w:val="hybridMultilevel"/>
    <w:tmpl w:val="D2DC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AA1DA4"/>
    <w:multiLevelType w:val="hybridMultilevel"/>
    <w:tmpl w:val="7F788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6F2D3D"/>
    <w:multiLevelType w:val="hybridMultilevel"/>
    <w:tmpl w:val="A18CE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86195D"/>
    <w:multiLevelType w:val="hybridMultilevel"/>
    <w:tmpl w:val="E8EE7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F0134F"/>
    <w:multiLevelType w:val="hybridMultilevel"/>
    <w:tmpl w:val="A5D68028"/>
    <w:lvl w:ilvl="0" w:tplc="86DC1B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362AC"/>
    <w:multiLevelType w:val="hybridMultilevel"/>
    <w:tmpl w:val="F0BCF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736A06"/>
    <w:multiLevelType w:val="hybridMultilevel"/>
    <w:tmpl w:val="A18CE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8543642">
    <w:abstractNumId w:val="8"/>
  </w:num>
  <w:num w:numId="2" w16cid:durableId="961887452">
    <w:abstractNumId w:val="15"/>
  </w:num>
  <w:num w:numId="3" w16cid:durableId="852038290">
    <w:abstractNumId w:val="17"/>
  </w:num>
  <w:num w:numId="4" w16cid:durableId="587467003">
    <w:abstractNumId w:val="13"/>
  </w:num>
  <w:num w:numId="5" w16cid:durableId="216279197">
    <w:abstractNumId w:val="9"/>
  </w:num>
  <w:num w:numId="6" w16cid:durableId="1819760687">
    <w:abstractNumId w:val="14"/>
  </w:num>
  <w:num w:numId="7" w16cid:durableId="1877084944">
    <w:abstractNumId w:val="11"/>
  </w:num>
  <w:num w:numId="8" w16cid:durableId="545797493">
    <w:abstractNumId w:val="6"/>
  </w:num>
  <w:num w:numId="9" w16cid:durableId="1878009287">
    <w:abstractNumId w:val="4"/>
  </w:num>
  <w:num w:numId="10" w16cid:durableId="1108039460">
    <w:abstractNumId w:val="18"/>
  </w:num>
  <w:num w:numId="11" w16cid:durableId="1502509125">
    <w:abstractNumId w:val="3"/>
  </w:num>
  <w:num w:numId="12" w16cid:durableId="257520319">
    <w:abstractNumId w:val="7"/>
  </w:num>
  <w:num w:numId="13" w16cid:durableId="1475679579">
    <w:abstractNumId w:val="25"/>
  </w:num>
  <w:num w:numId="14" w16cid:durableId="1190219821">
    <w:abstractNumId w:val="5"/>
  </w:num>
  <w:num w:numId="15" w16cid:durableId="1954899880">
    <w:abstractNumId w:val="23"/>
  </w:num>
  <w:num w:numId="16" w16cid:durableId="1198658768">
    <w:abstractNumId w:val="1"/>
  </w:num>
  <w:num w:numId="17" w16cid:durableId="29033209">
    <w:abstractNumId w:val="12"/>
  </w:num>
  <w:num w:numId="18" w16cid:durableId="1607157220">
    <w:abstractNumId w:val="16"/>
  </w:num>
  <w:num w:numId="19" w16cid:durableId="379017373">
    <w:abstractNumId w:val="24"/>
  </w:num>
  <w:num w:numId="20" w16cid:durableId="565265180">
    <w:abstractNumId w:val="21"/>
  </w:num>
  <w:num w:numId="21" w16cid:durableId="1326057214">
    <w:abstractNumId w:val="2"/>
  </w:num>
  <w:num w:numId="22" w16cid:durableId="1672639818">
    <w:abstractNumId w:val="10"/>
  </w:num>
  <w:num w:numId="23" w16cid:durableId="771972278">
    <w:abstractNumId w:val="20"/>
  </w:num>
  <w:num w:numId="24" w16cid:durableId="1634402886">
    <w:abstractNumId w:val="0"/>
  </w:num>
  <w:num w:numId="25" w16cid:durableId="1129779171">
    <w:abstractNumId w:val="26"/>
  </w:num>
  <w:num w:numId="26" w16cid:durableId="1103771189">
    <w:abstractNumId w:val="22"/>
  </w:num>
  <w:num w:numId="27" w16cid:durableId="201375615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FE"/>
    <w:rsid w:val="000004B9"/>
    <w:rsid w:val="00000BA0"/>
    <w:rsid w:val="00000F63"/>
    <w:rsid w:val="00001F1C"/>
    <w:rsid w:val="0000210E"/>
    <w:rsid w:val="000023A3"/>
    <w:rsid w:val="0000260E"/>
    <w:rsid w:val="000030C2"/>
    <w:rsid w:val="0000359C"/>
    <w:rsid w:val="000039D9"/>
    <w:rsid w:val="00003F07"/>
    <w:rsid w:val="000040B0"/>
    <w:rsid w:val="00004D76"/>
    <w:rsid w:val="00004ECA"/>
    <w:rsid w:val="00004F6F"/>
    <w:rsid w:val="000057D3"/>
    <w:rsid w:val="00005AE0"/>
    <w:rsid w:val="00006686"/>
    <w:rsid w:val="00006DD5"/>
    <w:rsid w:val="00006F8C"/>
    <w:rsid w:val="000076A0"/>
    <w:rsid w:val="00007883"/>
    <w:rsid w:val="0001043C"/>
    <w:rsid w:val="000106B8"/>
    <w:rsid w:val="00010F1B"/>
    <w:rsid w:val="000114C4"/>
    <w:rsid w:val="000123BB"/>
    <w:rsid w:val="00012A13"/>
    <w:rsid w:val="00013942"/>
    <w:rsid w:val="0001403E"/>
    <w:rsid w:val="0001409F"/>
    <w:rsid w:val="000144AE"/>
    <w:rsid w:val="00014B1E"/>
    <w:rsid w:val="00014D24"/>
    <w:rsid w:val="000153C9"/>
    <w:rsid w:val="00015B0B"/>
    <w:rsid w:val="0001658F"/>
    <w:rsid w:val="00016A75"/>
    <w:rsid w:val="00016D19"/>
    <w:rsid w:val="000171E2"/>
    <w:rsid w:val="00017F4B"/>
    <w:rsid w:val="000200E3"/>
    <w:rsid w:val="0002055A"/>
    <w:rsid w:val="0002087F"/>
    <w:rsid w:val="00020D88"/>
    <w:rsid w:val="00021FE4"/>
    <w:rsid w:val="000224B9"/>
    <w:rsid w:val="0002294E"/>
    <w:rsid w:val="00023BDA"/>
    <w:rsid w:val="00023C9C"/>
    <w:rsid w:val="00023F4E"/>
    <w:rsid w:val="0002438A"/>
    <w:rsid w:val="00024826"/>
    <w:rsid w:val="0002583D"/>
    <w:rsid w:val="000258D2"/>
    <w:rsid w:val="00025D04"/>
    <w:rsid w:val="00025D61"/>
    <w:rsid w:val="000260E9"/>
    <w:rsid w:val="00026594"/>
    <w:rsid w:val="00027F0D"/>
    <w:rsid w:val="00030346"/>
    <w:rsid w:val="00030618"/>
    <w:rsid w:val="00030A66"/>
    <w:rsid w:val="00030E2D"/>
    <w:rsid w:val="000321E1"/>
    <w:rsid w:val="0003226E"/>
    <w:rsid w:val="00033321"/>
    <w:rsid w:val="000333C4"/>
    <w:rsid w:val="000333DD"/>
    <w:rsid w:val="0003446B"/>
    <w:rsid w:val="0003453A"/>
    <w:rsid w:val="00035901"/>
    <w:rsid w:val="00035AF1"/>
    <w:rsid w:val="00035C66"/>
    <w:rsid w:val="000367A0"/>
    <w:rsid w:val="000368C0"/>
    <w:rsid w:val="00036C6B"/>
    <w:rsid w:val="000370DE"/>
    <w:rsid w:val="000370E9"/>
    <w:rsid w:val="00037C6D"/>
    <w:rsid w:val="000409D8"/>
    <w:rsid w:val="000412AA"/>
    <w:rsid w:val="000423CA"/>
    <w:rsid w:val="00042523"/>
    <w:rsid w:val="00042887"/>
    <w:rsid w:val="0004337C"/>
    <w:rsid w:val="000433C9"/>
    <w:rsid w:val="0004358D"/>
    <w:rsid w:val="00043D0E"/>
    <w:rsid w:val="00044212"/>
    <w:rsid w:val="000449F0"/>
    <w:rsid w:val="00044A94"/>
    <w:rsid w:val="000454D2"/>
    <w:rsid w:val="00045B54"/>
    <w:rsid w:val="00045C9C"/>
    <w:rsid w:val="00045D05"/>
    <w:rsid w:val="000466CC"/>
    <w:rsid w:val="00047070"/>
    <w:rsid w:val="00047339"/>
    <w:rsid w:val="000473F1"/>
    <w:rsid w:val="00047514"/>
    <w:rsid w:val="00047733"/>
    <w:rsid w:val="0005083D"/>
    <w:rsid w:val="00050CE5"/>
    <w:rsid w:val="00051258"/>
    <w:rsid w:val="00051393"/>
    <w:rsid w:val="000513F9"/>
    <w:rsid w:val="000514F6"/>
    <w:rsid w:val="000514F8"/>
    <w:rsid w:val="00051AE6"/>
    <w:rsid w:val="000524FC"/>
    <w:rsid w:val="00052C53"/>
    <w:rsid w:val="000530BC"/>
    <w:rsid w:val="000552DE"/>
    <w:rsid w:val="000553F6"/>
    <w:rsid w:val="00055410"/>
    <w:rsid w:val="00055821"/>
    <w:rsid w:val="00055C94"/>
    <w:rsid w:val="0005686D"/>
    <w:rsid w:val="00056AFD"/>
    <w:rsid w:val="00056BF4"/>
    <w:rsid w:val="0005731D"/>
    <w:rsid w:val="000574F2"/>
    <w:rsid w:val="00057614"/>
    <w:rsid w:val="00060225"/>
    <w:rsid w:val="00062F8E"/>
    <w:rsid w:val="000631F8"/>
    <w:rsid w:val="00063A86"/>
    <w:rsid w:val="00063A89"/>
    <w:rsid w:val="000641CD"/>
    <w:rsid w:val="00064E38"/>
    <w:rsid w:val="0006561B"/>
    <w:rsid w:val="000656A8"/>
    <w:rsid w:val="00065C50"/>
    <w:rsid w:val="00065DAD"/>
    <w:rsid w:val="00066199"/>
    <w:rsid w:val="000663FA"/>
    <w:rsid w:val="000667E0"/>
    <w:rsid w:val="00067243"/>
    <w:rsid w:val="000672E2"/>
    <w:rsid w:val="00067809"/>
    <w:rsid w:val="00067BDF"/>
    <w:rsid w:val="000700AD"/>
    <w:rsid w:val="000704C1"/>
    <w:rsid w:val="000706D4"/>
    <w:rsid w:val="000710FE"/>
    <w:rsid w:val="00071B9D"/>
    <w:rsid w:val="000720D9"/>
    <w:rsid w:val="00072343"/>
    <w:rsid w:val="00072511"/>
    <w:rsid w:val="000729F6"/>
    <w:rsid w:val="00072B39"/>
    <w:rsid w:val="00072B6A"/>
    <w:rsid w:val="00072CA9"/>
    <w:rsid w:val="00073C45"/>
    <w:rsid w:val="0007495F"/>
    <w:rsid w:val="00074B46"/>
    <w:rsid w:val="00074E1E"/>
    <w:rsid w:val="0007529D"/>
    <w:rsid w:val="00075389"/>
    <w:rsid w:val="00075C4D"/>
    <w:rsid w:val="00075D34"/>
    <w:rsid w:val="00076A0F"/>
    <w:rsid w:val="00076C54"/>
    <w:rsid w:val="00077209"/>
    <w:rsid w:val="0007799D"/>
    <w:rsid w:val="00077EE6"/>
    <w:rsid w:val="000801C0"/>
    <w:rsid w:val="000806A1"/>
    <w:rsid w:val="0008071C"/>
    <w:rsid w:val="00080CC2"/>
    <w:rsid w:val="00080CE5"/>
    <w:rsid w:val="00081818"/>
    <w:rsid w:val="00081E9D"/>
    <w:rsid w:val="00083145"/>
    <w:rsid w:val="000834AE"/>
    <w:rsid w:val="00084130"/>
    <w:rsid w:val="00084362"/>
    <w:rsid w:val="00084472"/>
    <w:rsid w:val="000859F0"/>
    <w:rsid w:val="0008635D"/>
    <w:rsid w:val="000863EF"/>
    <w:rsid w:val="00086A07"/>
    <w:rsid w:val="00086F0E"/>
    <w:rsid w:val="000900C1"/>
    <w:rsid w:val="0009055E"/>
    <w:rsid w:val="00090F94"/>
    <w:rsid w:val="00090FC1"/>
    <w:rsid w:val="000910A6"/>
    <w:rsid w:val="00091146"/>
    <w:rsid w:val="00091B8A"/>
    <w:rsid w:val="0009224C"/>
    <w:rsid w:val="00092AFC"/>
    <w:rsid w:val="00093083"/>
    <w:rsid w:val="0009422A"/>
    <w:rsid w:val="00094814"/>
    <w:rsid w:val="0009489E"/>
    <w:rsid w:val="000949A1"/>
    <w:rsid w:val="000949A7"/>
    <w:rsid w:val="00096204"/>
    <w:rsid w:val="0009627C"/>
    <w:rsid w:val="00096319"/>
    <w:rsid w:val="0009682B"/>
    <w:rsid w:val="000968B4"/>
    <w:rsid w:val="0009769E"/>
    <w:rsid w:val="000977AF"/>
    <w:rsid w:val="00097FED"/>
    <w:rsid w:val="000A10EC"/>
    <w:rsid w:val="000A21D4"/>
    <w:rsid w:val="000A227B"/>
    <w:rsid w:val="000A23B5"/>
    <w:rsid w:val="000A33FD"/>
    <w:rsid w:val="000A3557"/>
    <w:rsid w:val="000A47DC"/>
    <w:rsid w:val="000A487A"/>
    <w:rsid w:val="000A59EC"/>
    <w:rsid w:val="000A5B1E"/>
    <w:rsid w:val="000A5C15"/>
    <w:rsid w:val="000A6328"/>
    <w:rsid w:val="000A68FF"/>
    <w:rsid w:val="000A71B1"/>
    <w:rsid w:val="000A7432"/>
    <w:rsid w:val="000A750E"/>
    <w:rsid w:val="000A7776"/>
    <w:rsid w:val="000A7B6F"/>
    <w:rsid w:val="000B0670"/>
    <w:rsid w:val="000B15DB"/>
    <w:rsid w:val="000B1ADB"/>
    <w:rsid w:val="000B1C04"/>
    <w:rsid w:val="000B1DB8"/>
    <w:rsid w:val="000B1DD9"/>
    <w:rsid w:val="000B257A"/>
    <w:rsid w:val="000B3176"/>
    <w:rsid w:val="000B3B86"/>
    <w:rsid w:val="000B3E55"/>
    <w:rsid w:val="000B4549"/>
    <w:rsid w:val="000B4B3B"/>
    <w:rsid w:val="000B5A1A"/>
    <w:rsid w:val="000B5AC3"/>
    <w:rsid w:val="000B5BD7"/>
    <w:rsid w:val="000B6146"/>
    <w:rsid w:val="000B67D1"/>
    <w:rsid w:val="000B6F7A"/>
    <w:rsid w:val="000B778A"/>
    <w:rsid w:val="000C0106"/>
    <w:rsid w:val="000C04A4"/>
    <w:rsid w:val="000C0B7D"/>
    <w:rsid w:val="000C0C09"/>
    <w:rsid w:val="000C1383"/>
    <w:rsid w:val="000C1AB4"/>
    <w:rsid w:val="000C1C36"/>
    <w:rsid w:val="000C23F6"/>
    <w:rsid w:val="000C2979"/>
    <w:rsid w:val="000C2A8E"/>
    <w:rsid w:val="000C2CDF"/>
    <w:rsid w:val="000C439A"/>
    <w:rsid w:val="000C463B"/>
    <w:rsid w:val="000C4683"/>
    <w:rsid w:val="000C55A8"/>
    <w:rsid w:val="000C55BA"/>
    <w:rsid w:val="000C577A"/>
    <w:rsid w:val="000C58C5"/>
    <w:rsid w:val="000C5BA0"/>
    <w:rsid w:val="000C5EA1"/>
    <w:rsid w:val="000C6DBE"/>
    <w:rsid w:val="000C72D8"/>
    <w:rsid w:val="000C7A46"/>
    <w:rsid w:val="000C7AAE"/>
    <w:rsid w:val="000C7B9D"/>
    <w:rsid w:val="000C7BFF"/>
    <w:rsid w:val="000C7E58"/>
    <w:rsid w:val="000D000B"/>
    <w:rsid w:val="000D002F"/>
    <w:rsid w:val="000D09D8"/>
    <w:rsid w:val="000D09EF"/>
    <w:rsid w:val="000D0AD1"/>
    <w:rsid w:val="000D1086"/>
    <w:rsid w:val="000D1212"/>
    <w:rsid w:val="000D17EF"/>
    <w:rsid w:val="000D1C65"/>
    <w:rsid w:val="000D1D7A"/>
    <w:rsid w:val="000D2088"/>
    <w:rsid w:val="000D23F0"/>
    <w:rsid w:val="000D2ECE"/>
    <w:rsid w:val="000D3067"/>
    <w:rsid w:val="000D3234"/>
    <w:rsid w:val="000D359E"/>
    <w:rsid w:val="000D37A3"/>
    <w:rsid w:val="000D3B73"/>
    <w:rsid w:val="000D420E"/>
    <w:rsid w:val="000D44D7"/>
    <w:rsid w:val="000D525D"/>
    <w:rsid w:val="000D5BAE"/>
    <w:rsid w:val="000D5BBF"/>
    <w:rsid w:val="000D5F93"/>
    <w:rsid w:val="000D6C18"/>
    <w:rsid w:val="000D7349"/>
    <w:rsid w:val="000D77F6"/>
    <w:rsid w:val="000D7BAD"/>
    <w:rsid w:val="000E01D8"/>
    <w:rsid w:val="000E04D2"/>
    <w:rsid w:val="000E10B0"/>
    <w:rsid w:val="000E1A7B"/>
    <w:rsid w:val="000E1D99"/>
    <w:rsid w:val="000E22D1"/>
    <w:rsid w:val="000E2BF6"/>
    <w:rsid w:val="000E35FF"/>
    <w:rsid w:val="000E3B12"/>
    <w:rsid w:val="000E45D2"/>
    <w:rsid w:val="000E52D5"/>
    <w:rsid w:val="000E537D"/>
    <w:rsid w:val="000E5D8C"/>
    <w:rsid w:val="000E5D9A"/>
    <w:rsid w:val="000E5E60"/>
    <w:rsid w:val="000E5FE5"/>
    <w:rsid w:val="000E6118"/>
    <w:rsid w:val="000E7ECF"/>
    <w:rsid w:val="000F0058"/>
    <w:rsid w:val="000F036B"/>
    <w:rsid w:val="000F03AD"/>
    <w:rsid w:val="000F06F4"/>
    <w:rsid w:val="000F07A5"/>
    <w:rsid w:val="000F0EEA"/>
    <w:rsid w:val="000F0FB4"/>
    <w:rsid w:val="000F1F33"/>
    <w:rsid w:val="000F230B"/>
    <w:rsid w:val="000F2C0C"/>
    <w:rsid w:val="000F2CB8"/>
    <w:rsid w:val="000F365D"/>
    <w:rsid w:val="000F5916"/>
    <w:rsid w:val="000F5B2A"/>
    <w:rsid w:val="000F5F0C"/>
    <w:rsid w:val="000F6D32"/>
    <w:rsid w:val="000F6D7A"/>
    <w:rsid w:val="000F7BD3"/>
    <w:rsid w:val="000F7EC7"/>
    <w:rsid w:val="0010082C"/>
    <w:rsid w:val="00100B83"/>
    <w:rsid w:val="00100C88"/>
    <w:rsid w:val="00100F45"/>
    <w:rsid w:val="00101662"/>
    <w:rsid w:val="00102057"/>
    <w:rsid w:val="0010248C"/>
    <w:rsid w:val="0010262C"/>
    <w:rsid w:val="00102B78"/>
    <w:rsid w:val="00102ED3"/>
    <w:rsid w:val="00103105"/>
    <w:rsid w:val="0010325B"/>
    <w:rsid w:val="001032C0"/>
    <w:rsid w:val="001034B5"/>
    <w:rsid w:val="00103BCE"/>
    <w:rsid w:val="00104300"/>
    <w:rsid w:val="00104674"/>
    <w:rsid w:val="00104787"/>
    <w:rsid w:val="001047AB"/>
    <w:rsid w:val="00104C59"/>
    <w:rsid w:val="00104E3C"/>
    <w:rsid w:val="00105067"/>
    <w:rsid w:val="00105EE4"/>
    <w:rsid w:val="00105FCD"/>
    <w:rsid w:val="00106007"/>
    <w:rsid w:val="00106E6A"/>
    <w:rsid w:val="0010755D"/>
    <w:rsid w:val="00110204"/>
    <w:rsid w:val="0011095C"/>
    <w:rsid w:val="001111D5"/>
    <w:rsid w:val="00111232"/>
    <w:rsid w:val="00111887"/>
    <w:rsid w:val="001118C7"/>
    <w:rsid w:val="00112100"/>
    <w:rsid w:val="0011221E"/>
    <w:rsid w:val="001127F1"/>
    <w:rsid w:val="00112931"/>
    <w:rsid w:val="00112F11"/>
    <w:rsid w:val="0011321F"/>
    <w:rsid w:val="00113983"/>
    <w:rsid w:val="00113C09"/>
    <w:rsid w:val="00114234"/>
    <w:rsid w:val="00114698"/>
    <w:rsid w:val="00115314"/>
    <w:rsid w:val="00115344"/>
    <w:rsid w:val="00115A6D"/>
    <w:rsid w:val="00115A80"/>
    <w:rsid w:val="001165ED"/>
    <w:rsid w:val="00116C85"/>
    <w:rsid w:val="00117A2E"/>
    <w:rsid w:val="00117CC8"/>
    <w:rsid w:val="0012105D"/>
    <w:rsid w:val="001226FA"/>
    <w:rsid w:val="001229DD"/>
    <w:rsid w:val="00122FA8"/>
    <w:rsid w:val="001235CD"/>
    <w:rsid w:val="00123622"/>
    <w:rsid w:val="00123935"/>
    <w:rsid w:val="00126052"/>
    <w:rsid w:val="00126147"/>
    <w:rsid w:val="00126629"/>
    <w:rsid w:val="00126CCC"/>
    <w:rsid w:val="00126EE6"/>
    <w:rsid w:val="00127354"/>
    <w:rsid w:val="00127503"/>
    <w:rsid w:val="00130302"/>
    <w:rsid w:val="00130829"/>
    <w:rsid w:val="00130D34"/>
    <w:rsid w:val="00130D70"/>
    <w:rsid w:val="00130FC8"/>
    <w:rsid w:val="0013116F"/>
    <w:rsid w:val="001329B1"/>
    <w:rsid w:val="0013302C"/>
    <w:rsid w:val="00133151"/>
    <w:rsid w:val="00133CDB"/>
    <w:rsid w:val="00133E28"/>
    <w:rsid w:val="001344BF"/>
    <w:rsid w:val="00134A1F"/>
    <w:rsid w:val="00134C84"/>
    <w:rsid w:val="001358A5"/>
    <w:rsid w:val="001358C8"/>
    <w:rsid w:val="0013628A"/>
    <w:rsid w:val="00136324"/>
    <w:rsid w:val="00136597"/>
    <w:rsid w:val="00136AB4"/>
    <w:rsid w:val="00137709"/>
    <w:rsid w:val="0013780D"/>
    <w:rsid w:val="00137925"/>
    <w:rsid w:val="00137957"/>
    <w:rsid w:val="00137CEF"/>
    <w:rsid w:val="00140988"/>
    <w:rsid w:val="00140F01"/>
    <w:rsid w:val="00140F33"/>
    <w:rsid w:val="00141766"/>
    <w:rsid w:val="001423E7"/>
    <w:rsid w:val="00142463"/>
    <w:rsid w:val="001427D0"/>
    <w:rsid w:val="00142B70"/>
    <w:rsid w:val="00143107"/>
    <w:rsid w:val="0014320E"/>
    <w:rsid w:val="00143527"/>
    <w:rsid w:val="0014365F"/>
    <w:rsid w:val="00143975"/>
    <w:rsid w:val="00143F56"/>
    <w:rsid w:val="001450D0"/>
    <w:rsid w:val="00145BF1"/>
    <w:rsid w:val="00145BFC"/>
    <w:rsid w:val="00145D94"/>
    <w:rsid w:val="001461CE"/>
    <w:rsid w:val="001502F1"/>
    <w:rsid w:val="001506A5"/>
    <w:rsid w:val="0015138F"/>
    <w:rsid w:val="00151CAF"/>
    <w:rsid w:val="00151FB8"/>
    <w:rsid w:val="001524EA"/>
    <w:rsid w:val="00152607"/>
    <w:rsid w:val="00152C4E"/>
    <w:rsid w:val="00153590"/>
    <w:rsid w:val="00153782"/>
    <w:rsid w:val="00153A82"/>
    <w:rsid w:val="00153B84"/>
    <w:rsid w:val="00153BAD"/>
    <w:rsid w:val="00154F4D"/>
    <w:rsid w:val="00156784"/>
    <w:rsid w:val="001569F1"/>
    <w:rsid w:val="001576E3"/>
    <w:rsid w:val="00157825"/>
    <w:rsid w:val="00157C28"/>
    <w:rsid w:val="001602FB"/>
    <w:rsid w:val="0016040B"/>
    <w:rsid w:val="0016072F"/>
    <w:rsid w:val="001609D0"/>
    <w:rsid w:val="00160B68"/>
    <w:rsid w:val="001616B1"/>
    <w:rsid w:val="00162777"/>
    <w:rsid w:val="00162D16"/>
    <w:rsid w:val="00162FCA"/>
    <w:rsid w:val="00163143"/>
    <w:rsid w:val="00163DC4"/>
    <w:rsid w:val="00164344"/>
    <w:rsid w:val="00164742"/>
    <w:rsid w:val="00165C8D"/>
    <w:rsid w:val="00165D1B"/>
    <w:rsid w:val="00166FAF"/>
    <w:rsid w:val="0016709E"/>
    <w:rsid w:val="00167BE1"/>
    <w:rsid w:val="00170079"/>
    <w:rsid w:val="00170217"/>
    <w:rsid w:val="0017081E"/>
    <w:rsid w:val="0017197E"/>
    <w:rsid w:val="00171AAD"/>
    <w:rsid w:val="00171EBB"/>
    <w:rsid w:val="0017272A"/>
    <w:rsid w:val="00173434"/>
    <w:rsid w:val="00173CBF"/>
    <w:rsid w:val="00174022"/>
    <w:rsid w:val="001743C6"/>
    <w:rsid w:val="00174AAF"/>
    <w:rsid w:val="00174AED"/>
    <w:rsid w:val="00175686"/>
    <w:rsid w:val="00175AAB"/>
    <w:rsid w:val="00175D44"/>
    <w:rsid w:val="00175D4E"/>
    <w:rsid w:val="001761C3"/>
    <w:rsid w:val="00176845"/>
    <w:rsid w:val="00176851"/>
    <w:rsid w:val="00176D8A"/>
    <w:rsid w:val="001775E0"/>
    <w:rsid w:val="00177A1A"/>
    <w:rsid w:val="00177AB6"/>
    <w:rsid w:val="00177F64"/>
    <w:rsid w:val="001801F4"/>
    <w:rsid w:val="00180C9B"/>
    <w:rsid w:val="00181066"/>
    <w:rsid w:val="001811D7"/>
    <w:rsid w:val="001814E9"/>
    <w:rsid w:val="001815DA"/>
    <w:rsid w:val="00181C39"/>
    <w:rsid w:val="00181E73"/>
    <w:rsid w:val="001822CA"/>
    <w:rsid w:val="001829E6"/>
    <w:rsid w:val="00182C0E"/>
    <w:rsid w:val="00183040"/>
    <w:rsid w:val="0018361C"/>
    <w:rsid w:val="00183A68"/>
    <w:rsid w:val="00184420"/>
    <w:rsid w:val="00184708"/>
    <w:rsid w:val="00184A22"/>
    <w:rsid w:val="00184AC2"/>
    <w:rsid w:val="00184BAD"/>
    <w:rsid w:val="001851B8"/>
    <w:rsid w:val="00185DF5"/>
    <w:rsid w:val="00186180"/>
    <w:rsid w:val="001865DB"/>
    <w:rsid w:val="001872B0"/>
    <w:rsid w:val="0018774E"/>
    <w:rsid w:val="00187F6D"/>
    <w:rsid w:val="00190274"/>
    <w:rsid w:val="001911FE"/>
    <w:rsid w:val="0019204F"/>
    <w:rsid w:val="001924C8"/>
    <w:rsid w:val="00193E1F"/>
    <w:rsid w:val="00194096"/>
    <w:rsid w:val="00194A0F"/>
    <w:rsid w:val="001953CA"/>
    <w:rsid w:val="00195736"/>
    <w:rsid w:val="00195BAD"/>
    <w:rsid w:val="00195C04"/>
    <w:rsid w:val="00196315"/>
    <w:rsid w:val="001964FF"/>
    <w:rsid w:val="0019651F"/>
    <w:rsid w:val="00196FAC"/>
    <w:rsid w:val="001977E7"/>
    <w:rsid w:val="001A015A"/>
    <w:rsid w:val="001A0E0F"/>
    <w:rsid w:val="001A1042"/>
    <w:rsid w:val="001A108A"/>
    <w:rsid w:val="001A15BD"/>
    <w:rsid w:val="001A1685"/>
    <w:rsid w:val="001A2AEE"/>
    <w:rsid w:val="001A2B65"/>
    <w:rsid w:val="001A33D4"/>
    <w:rsid w:val="001A3892"/>
    <w:rsid w:val="001A3DAF"/>
    <w:rsid w:val="001A3F46"/>
    <w:rsid w:val="001A4038"/>
    <w:rsid w:val="001A4047"/>
    <w:rsid w:val="001A4616"/>
    <w:rsid w:val="001A469D"/>
    <w:rsid w:val="001A47DF"/>
    <w:rsid w:val="001A4F2B"/>
    <w:rsid w:val="001A4F64"/>
    <w:rsid w:val="001A5664"/>
    <w:rsid w:val="001A5FDA"/>
    <w:rsid w:val="001A6DA0"/>
    <w:rsid w:val="001A76E6"/>
    <w:rsid w:val="001A77D5"/>
    <w:rsid w:val="001A78C5"/>
    <w:rsid w:val="001A7CC5"/>
    <w:rsid w:val="001A7F05"/>
    <w:rsid w:val="001B01EE"/>
    <w:rsid w:val="001B118C"/>
    <w:rsid w:val="001B1224"/>
    <w:rsid w:val="001B12C7"/>
    <w:rsid w:val="001B133E"/>
    <w:rsid w:val="001B160A"/>
    <w:rsid w:val="001B1687"/>
    <w:rsid w:val="001B1D95"/>
    <w:rsid w:val="001B1FA9"/>
    <w:rsid w:val="001B2377"/>
    <w:rsid w:val="001B30D1"/>
    <w:rsid w:val="001B52A6"/>
    <w:rsid w:val="001B53D7"/>
    <w:rsid w:val="001B6E8E"/>
    <w:rsid w:val="001B7930"/>
    <w:rsid w:val="001C041E"/>
    <w:rsid w:val="001C04A8"/>
    <w:rsid w:val="001C0F6A"/>
    <w:rsid w:val="001C1032"/>
    <w:rsid w:val="001C14E8"/>
    <w:rsid w:val="001C1C02"/>
    <w:rsid w:val="001C1CAF"/>
    <w:rsid w:val="001C1EDB"/>
    <w:rsid w:val="001C2C71"/>
    <w:rsid w:val="001C2F2F"/>
    <w:rsid w:val="001C2F8A"/>
    <w:rsid w:val="001C3032"/>
    <w:rsid w:val="001C3330"/>
    <w:rsid w:val="001C3586"/>
    <w:rsid w:val="001C4008"/>
    <w:rsid w:val="001C423E"/>
    <w:rsid w:val="001C4622"/>
    <w:rsid w:val="001C4E77"/>
    <w:rsid w:val="001C5079"/>
    <w:rsid w:val="001C52F0"/>
    <w:rsid w:val="001C5CAF"/>
    <w:rsid w:val="001C7232"/>
    <w:rsid w:val="001C79A1"/>
    <w:rsid w:val="001C7B32"/>
    <w:rsid w:val="001C7C55"/>
    <w:rsid w:val="001C7CA5"/>
    <w:rsid w:val="001C7E1B"/>
    <w:rsid w:val="001D0234"/>
    <w:rsid w:val="001D080B"/>
    <w:rsid w:val="001D0AA4"/>
    <w:rsid w:val="001D1450"/>
    <w:rsid w:val="001D1606"/>
    <w:rsid w:val="001D18ED"/>
    <w:rsid w:val="001D214C"/>
    <w:rsid w:val="001D28CA"/>
    <w:rsid w:val="001D28F8"/>
    <w:rsid w:val="001D2BBB"/>
    <w:rsid w:val="001D2FBD"/>
    <w:rsid w:val="001D318C"/>
    <w:rsid w:val="001D36B7"/>
    <w:rsid w:val="001D3BF3"/>
    <w:rsid w:val="001D3CFA"/>
    <w:rsid w:val="001D4157"/>
    <w:rsid w:val="001D456C"/>
    <w:rsid w:val="001D4725"/>
    <w:rsid w:val="001D5A46"/>
    <w:rsid w:val="001D608C"/>
    <w:rsid w:val="001D65CF"/>
    <w:rsid w:val="001D76BD"/>
    <w:rsid w:val="001D7953"/>
    <w:rsid w:val="001E0180"/>
    <w:rsid w:val="001E0DAA"/>
    <w:rsid w:val="001E250A"/>
    <w:rsid w:val="001E250D"/>
    <w:rsid w:val="001E2E10"/>
    <w:rsid w:val="001E313A"/>
    <w:rsid w:val="001E37E1"/>
    <w:rsid w:val="001E3DB4"/>
    <w:rsid w:val="001E42EE"/>
    <w:rsid w:val="001E45F9"/>
    <w:rsid w:val="001E4957"/>
    <w:rsid w:val="001E4F93"/>
    <w:rsid w:val="001E57E3"/>
    <w:rsid w:val="001E622C"/>
    <w:rsid w:val="001E6400"/>
    <w:rsid w:val="001E646E"/>
    <w:rsid w:val="001E65C4"/>
    <w:rsid w:val="001E6675"/>
    <w:rsid w:val="001E681E"/>
    <w:rsid w:val="001E692B"/>
    <w:rsid w:val="001E6E71"/>
    <w:rsid w:val="001E7474"/>
    <w:rsid w:val="001E7C75"/>
    <w:rsid w:val="001E7E4A"/>
    <w:rsid w:val="001F0C7B"/>
    <w:rsid w:val="001F0DBF"/>
    <w:rsid w:val="001F0FFB"/>
    <w:rsid w:val="001F12A0"/>
    <w:rsid w:val="001F1501"/>
    <w:rsid w:val="001F1BF9"/>
    <w:rsid w:val="001F1DD5"/>
    <w:rsid w:val="001F1F7C"/>
    <w:rsid w:val="001F227C"/>
    <w:rsid w:val="001F2508"/>
    <w:rsid w:val="001F2E52"/>
    <w:rsid w:val="001F2F48"/>
    <w:rsid w:val="001F36AE"/>
    <w:rsid w:val="001F3967"/>
    <w:rsid w:val="001F39D9"/>
    <w:rsid w:val="001F39ED"/>
    <w:rsid w:val="001F4028"/>
    <w:rsid w:val="001F47F5"/>
    <w:rsid w:val="001F57D9"/>
    <w:rsid w:val="001F5822"/>
    <w:rsid w:val="001F586B"/>
    <w:rsid w:val="001F5B4B"/>
    <w:rsid w:val="001F658E"/>
    <w:rsid w:val="001F696A"/>
    <w:rsid w:val="001F74B8"/>
    <w:rsid w:val="001F7E20"/>
    <w:rsid w:val="00200057"/>
    <w:rsid w:val="00200D53"/>
    <w:rsid w:val="00200E9B"/>
    <w:rsid w:val="00200F2E"/>
    <w:rsid w:val="002010A2"/>
    <w:rsid w:val="002017B8"/>
    <w:rsid w:val="00201A0A"/>
    <w:rsid w:val="00201A5E"/>
    <w:rsid w:val="00201BFA"/>
    <w:rsid w:val="00201CA0"/>
    <w:rsid w:val="00201DDA"/>
    <w:rsid w:val="00202CBD"/>
    <w:rsid w:val="00202E40"/>
    <w:rsid w:val="00204866"/>
    <w:rsid w:val="00204AA8"/>
    <w:rsid w:val="00204AD3"/>
    <w:rsid w:val="00204E38"/>
    <w:rsid w:val="00205BB2"/>
    <w:rsid w:val="00206952"/>
    <w:rsid w:val="00206E5E"/>
    <w:rsid w:val="00206E9A"/>
    <w:rsid w:val="002073D6"/>
    <w:rsid w:val="002074EC"/>
    <w:rsid w:val="002078DC"/>
    <w:rsid w:val="00207BB8"/>
    <w:rsid w:val="0021024E"/>
    <w:rsid w:val="002106E3"/>
    <w:rsid w:val="0021119F"/>
    <w:rsid w:val="00211795"/>
    <w:rsid w:val="00211A14"/>
    <w:rsid w:val="00212672"/>
    <w:rsid w:val="002126B2"/>
    <w:rsid w:val="002126B5"/>
    <w:rsid w:val="002129DE"/>
    <w:rsid w:val="00212AD7"/>
    <w:rsid w:val="00212C0D"/>
    <w:rsid w:val="00213F2A"/>
    <w:rsid w:val="00214109"/>
    <w:rsid w:val="00214167"/>
    <w:rsid w:val="00214618"/>
    <w:rsid w:val="002146BF"/>
    <w:rsid w:val="00214B7E"/>
    <w:rsid w:val="00214D25"/>
    <w:rsid w:val="00214E92"/>
    <w:rsid w:val="002159A5"/>
    <w:rsid w:val="00215D42"/>
    <w:rsid w:val="00216B4B"/>
    <w:rsid w:val="00220444"/>
    <w:rsid w:val="00220649"/>
    <w:rsid w:val="00220A6A"/>
    <w:rsid w:val="00220D7D"/>
    <w:rsid w:val="0022107A"/>
    <w:rsid w:val="002219A2"/>
    <w:rsid w:val="00221D35"/>
    <w:rsid w:val="0022206B"/>
    <w:rsid w:val="002234F9"/>
    <w:rsid w:val="00223998"/>
    <w:rsid w:val="00223BDB"/>
    <w:rsid w:val="00224D6C"/>
    <w:rsid w:val="00225114"/>
    <w:rsid w:val="00225419"/>
    <w:rsid w:val="002254C1"/>
    <w:rsid w:val="002255AE"/>
    <w:rsid w:val="0022623D"/>
    <w:rsid w:val="0022679E"/>
    <w:rsid w:val="00226E4F"/>
    <w:rsid w:val="002270F0"/>
    <w:rsid w:val="0022787E"/>
    <w:rsid w:val="00227A4C"/>
    <w:rsid w:val="002312A4"/>
    <w:rsid w:val="0023141C"/>
    <w:rsid w:val="00231A31"/>
    <w:rsid w:val="00231E33"/>
    <w:rsid w:val="002333D0"/>
    <w:rsid w:val="002346FA"/>
    <w:rsid w:val="00234BE7"/>
    <w:rsid w:val="00234C24"/>
    <w:rsid w:val="002355B2"/>
    <w:rsid w:val="00235FF3"/>
    <w:rsid w:val="0023646A"/>
    <w:rsid w:val="002369C4"/>
    <w:rsid w:val="002373B8"/>
    <w:rsid w:val="0023760D"/>
    <w:rsid w:val="00237711"/>
    <w:rsid w:val="00237BA3"/>
    <w:rsid w:val="0024099E"/>
    <w:rsid w:val="00240D06"/>
    <w:rsid w:val="00241068"/>
    <w:rsid w:val="0024137B"/>
    <w:rsid w:val="002413C0"/>
    <w:rsid w:val="00241EB5"/>
    <w:rsid w:val="00243747"/>
    <w:rsid w:val="002437A5"/>
    <w:rsid w:val="00243877"/>
    <w:rsid w:val="002443AF"/>
    <w:rsid w:val="0024517E"/>
    <w:rsid w:val="002454E7"/>
    <w:rsid w:val="00245C5A"/>
    <w:rsid w:val="00245CB5"/>
    <w:rsid w:val="00245E7A"/>
    <w:rsid w:val="0024631F"/>
    <w:rsid w:val="002463A4"/>
    <w:rsid w:val="00246698"/>
    <w:rsid w:val="002467CF"/>
    <w:rsid w:val="00246B4A"/>
    <w:rsid w:val="002470E9"/>
    <w:rsid w:val="00247988"/>
    <w:rsid w:val="00247E4B"/>
    <w:rsid w:val="00250836"/>
    <w:rsid w:val="0025158B"/>
    <w:rsid w:val="002515D2"/>
    <w:rsid w:val="0025168F"/>
    <w:rsid w:val="002518E4"/>
    <w:rsid w:val="00252341"/>
    <w:rsid w:val="002538AA"/>
    <w:rsid w:val="00254269"/>
    <w:rsid w:val="002549E2"/>
    <w:rsid w:val="00254EBD"/>
    <w:rsid w:val="00255450"/>
    <w:rsid w:val="00255488"/>
    <w:rsid w:val="00255D81"/>
    <w:rsid w:val="002561A9"/>
    <w:rsid w:val="002569FE"/>
    <w:rsid w:val="00256DEA"/>
    <w:rsid w:val="002571D4"/>
    <w:rsid w:val="002602D4"/>
    <w:rsid w:val="00260769"/>
    <w:rsid w:val="00260B95"/>
    <w:rsid w:val="00261AF6"/>
    <w:rsid w:val="00261BB3"/>
    <w:rsid w:val="0026457D"/>
    <w:rsid w:val="002647E8"/>
    <w:rsid w:val="00264BE9"/>
    <w:rsid w:val="00264D0C"/>
    <w:rsid w:val="00264DB4"/>
    <w:rsid w:val="00265227"/>
    <w:rsid w:val="002661E9"/>
    <w:rsid w:val="0026672C"/>
    <w:rsid w:val="0026672E"/>
    <w:rsid w:val="002669F0"/>
    <w:rsid w:val="00266E88"/>
    <w:rsid w:val="002670A5"/>
    <w:rsid w:val="00267231"/>
    <w:rsid w:val="00267511"/>
    <w:rsid w:val="00270381"/>
    <w:rsid w:val="002704C0"/>
    <w:rsid w:val="00270582"/>
    <w:rsid w:val="0027083B"/>
    <w:rsid w:val="00270DD3"/>
    <w:rsid w:val="00271767"/>
    <w:rsid w:val="00272095"/>
    <w:rsid w:val="002721CB"/>
    <w:rsid w:val="002725D0"/>
    <w:rsid w:val="002731C6"/>
    <w:rsid w:val="002734D1"/>
    <w:rsid w:val="00273760"/>
    <w:rsid w:val="002739A8"/>
    <w:rsid w:val="00274022"/>
    <w:rsid w:val="002742DF"/>
    <w:rsid w:val="0027472D"/>
    <w:rsid w:val="002749B3"/>
    <w:rsid w:val="00275E03"/>
    <w:rsid w:val="00276CE7"/>
    <w:rsid w:val="002770D3"/>
    <w:rsid w:val="002774DF"/>
    <w:rsid w:val="002801A5"/>
    <w:rsid w:val="00280215"/>
    <w:rsid w:val="00280433"/>
    <w:rsid w:val="00280731"/>
    <w:rsid w:val="00280F6F"/>
    <w:rsid w:val="0028108B"/>
    <w:rsid w:val="00281B79"/>
    <w:rsid w:val="00282321"/>
    <w:rsid w:val="002825CE"/>
    <w:rsid w:val="002827B2"/>
    <w:rsid w:val="00283029"/>
    <w:rsid w:val="00283596"/>
    <w:rsid w:val="002838CD"/>
    <w:rsid w:val="00283AF5"/>
    <w:rsid w:val="00283E0E"/>
    <w:rsid w:val="00284227"/>
    <w:rsid w:val="00284B83"/>
    <w:rsid w:val="00284DF7"/>
    <w:rsid w:val="00285A85"/>
    <w:rsid w:val="00285D8B"/>
    <w:rsid w:val="00285E3B"/>
    <w:rsid w:val="00286B61"/>
    <w:rsid w:val="00286D77"/>
    <w:rsid w:val="0028726E"/>
    <w:rsid w:val="002875F0"/>
    <w:rsid w:val="00287D1F"/>
    <w:rsid w:val="00290341"/>
    <w:rsid w:val="00290457"/>
    <w:rsid w:val="00290D7F"/>
    <w:rsid w:val="002912A7"/>
    <w:rsid w:val="00291C0E"/>
    <w:rsid w:val="00292CC4"/>
    <w:rsid w:val="00293BA5"/>
    <w:rsid w:val="00293BD1"/>
    <w:rsid w:val="00294232"/>
    <w:rsid w:val="00294805"/>
    <w:rsid w:val="00294BDD"/>
    <w:rsid w:val="00295197"/>
    <w:rsid w:val="002956D9"/>
    <w:rsid w:val="00295D66"/>
    <w:rsid w:val="002962BA"/>
    <w:rsid w:val="00296337"/>
    <w:rsid w:val="00296563"/>
    <w:rsid w:val="00297BB7"/>
    <w:rsid w:val="00297CF0"/>
    <w:rsid w:val="00297E73"/>
    <w:rsid w:val="00297E83"/>
    <w:rsid w:val="00297F74"/>
    <w:rsid w:val="002A0081"/>
    <w:rsid w:val="002A041F"/>
    <w:rsid w:val="002A042B"/>
    <w:rsid w:val="002A09B9"/>
    <w:rsid w:val="002A11CA"/>
    <w:rsid w:val="002A1387"/>
    <w:rsid w:val="002A1715"/>
    <w:rsid w:val="002A174C"/>
    <w:rsid w:val="002A292E"/>
    <w:rsid w:val="002A3047"/>
    <w:rsid w:val="002A31D6"/>
    <w:rsid w:val="002A3313"/>
    <w:rsid w:val="002A3314"/>
    <w:rsid w:val="002A37F4"/>
    <w:rsid w:val="002A3A66"/>
    <w:rsid w:val="002A4111"/>
    <w:rsid w:val="002A4552"/>
    <w:rsid w:val="002A46F1"/>
    <w:rsid w:val="002A4891"/>
    <w:rsid w:val="002A51F7"/>
    <w:rsid w:val="002A5496"/>
    <w:rsid w:val="002A5A63"/>
    <w:rsid w:val="002A5CDD"/>
    <w:rsid w:val="002A5F54"/>
    <w:rsid w:val="002A68BF"/>
    <w:rsid w:val="002A6EBD"/>
    <w:rsid w:val="002A7BB6"/>
    <w:rsid w:val="002B0C96"/>
    <w:rsid w:val="002B1269"/>
    <w:rsid w:val="002B1712"/>
    <w:rsid w:val="002B1807"/>
    <w:rsid w:val="002B1B42"/>
    <w:rsid w:val="002B1E15"/>
    <w:rsid w:val="002B20A8"/>
    <w:rsid w:val="002B211E"/>
    <w:rsid w:val="002B23DF"/>
    <w:rsid w:val="002B2DC1"/>
    <w:rsid w:val="002B2F1F"/>
    <w:rsid w:val="002B34E7"/>
    <w:rsid w:val="002B3CFC"/>
    <w:rsid w:val="002B4318"/>
    <w:rsid w:val="002B44E5"/>
    <w:rsid w:val="002B5239"/>
    <w:rsid w:val="002B5636"/>
    <w:rsid w:val="002B582A"/>
    <w:rsid w:val="002B5A6E"/>
    <w:rsid w:val="002B5B0C"/>
    <w:rsid w:val="002B6A44"/>
    <w:rsid w:val="002B7569"/>
    <w:rsid w:val="002B7AA7"/>
    <w:rsid w:val="002B7C76"/>
    <w:rsid w:val="002C0A1E"/>
    <w:rsid w:val="002C0C47"/>
    <w:rsid w:val="002C0EA5"/>
    <w:rsid w:val="002C123B"/>
    <w:rsid w:val="002C1565"/>
    <w:rsid w:val="002C1B28"/>
    <w:rsid w:val="002C243B"/>
    <w:rsid w:val="002C2A23"/>
    <w:rsid w:val="002C2AB6"/>
    <w:rsid w:val="002C2D55"/>
    <w:rsid w:val="002C2E60"/>
    <w:rsid w:val="002C37CC"/>
    <w:rsid w:val="002C3CD8"/>
    <w:rsid w:val="002C4A65"/>
    <w:rsid w:val="002C4ACA"/>
    <w:rsid w:val="002C4F36"/>
    <w:rsid w:val="002C53BC"/>
    <w:rsid w:val="002C5792"/>
    <w:rsid w:val="002C5B1F"/>
    <w:rsid w:val="002C6A5C"/>
    <w:rsid w:val="002C7202"/>
    <w:rsid w:val="002C7562"/>
    <w:rsid w:val="002D02D9"/>
    <w:rsid w:val="002D069E"/>
    <w:rsid w:val="002D0848"/>
    <w:rsid w:val="002D0B08"/>
    <w:rsid w:val="002D1489"/>
    <w:rsid w:val="002D1D64"/>
    <w:rsid w:val="002D21A3"/>
    <w:rsid w:val="002D24FA"/>
    <w:rsid w:val="002D2956"/>
    <w:rsid w:val="002D2A24"/>
    <w:rsid w:val="002D307D"/>
    <w:rsid w:val="002D3611"/>
    <w:rsid w:val="002D3AE9"/>
    <w:rsid w:val="002D3AEC"/>
    <w:rsid w:val="002D41DF"/>
    <w:rsid w:val="002D499E"/>
    <w:rsid w:val="002D49C9"/>
    <w:rsid w:val="002D4AC8"/>
    <w:rsid w:val="002D6DA2"/>
    <w:rsid w:val="002D760D"/>
    <w:rsid w:val="002D76A3"/>
    <w:rsid w:val="002D7AA5"/>
    <w:rsid w:val="002D7E3B"/>
    <w:rsid w:val="002E01FD"/>
    <w:rsid w:val="002E020C"/>
    <w:rsid w:val="002E0D3E"/>
    <w:rsid w:val="002E11A4"/>
    <w:rsid w:val="002E124F"/>
    <w:rsid w:val="002E160A"/>
    <w:rsid w:val="002E1C3C"/>
    <w:rsid w:val="002E1D0A"/>
    <w:rsid w:val="002E201D"/>
    <w:rsid w:val="002E2356"/>
    <w:rsid w:val="002E254F"/>
    <w:rsid w:val="002E2ABD"/>
    <w:rsid w:val="002E2CFA"/>
    <w:rsid w:val="002E3269"/>
    <w:rsid w:val="002E3337"/>
    <w:rsid w:val="002E375C"/>
    <w:rsid w:val="002E3A99"/>
    <w:rsid w:val="002E3F49"/>
    <w:rsid w:val="002E6140"/>
    <w:rsid w:val="002E615B"/>
    <w:rsid w:val="002E6FDF"/>
    <w:rsid w:val="002E755A"/>
    <w:rsid w:val="002E7B97"/>
    <w:rsid w:val="002F016A"/>
    <w:rsid w:val="002F10A3"/>
    <w:rsid w:val="002F1C72"/>
    <w:rsid w:val="002F1CA2"/>
    <w:rsid w:val="002F2581"/>
    <w:rsid w:val="002F2BCF"/>
    <w:rsid w:val="002F39C8"/>
    <w:rsid w:val="002F3DB9"/>
    <w:rsid w:val="002F4689"/>
    <w:rsid w:val="002F4A6B"/>
    <w:rsid w:val="002F5158"/>
    <w:rsid w:val="002F595B"/>
    <w:rsid w:val="002F7482"/>
    <w:rsid w:val="0030035B"/>
    <w:rsid w:val="00300504"/>
    <w:rsid w:val="00300EB7"/>
    <w:rsid w:val="00301185"/>
    <w:rsid w:val="00301851"/>
    <w:rsid w:val="0030264B"/>
    <w:rsid w:val="00302A8F"/>
    <w:rsid w:val="00302B05"/>
    <w:rsid w:val="00302B2F"/>
    <w:rsid w:val="00303F05"/>
    <w:rsid w:val="00304643"/>
    <w:rsid w:val="00304C91"/>
    <w:rsid w:val="0030527B"/>
    <w:rsid w:val="0030645E"/>
    <w:rsid w:val="003066F8"/>
    <w:rsid w:val="00306AF2"/>
    <w:rsid w:val="00306CF3"/>
    <w:rsid w:val="00307266"/>
    <w:rsid w:val="00307B1C"/>
    <w:rsid w:val="00307CA1"/>
    <w:rsid w:val="00307CF3"/>
    <w:rsid w:val="003102B0"/>
    <w:rsid w:val="00310495"/>
    <w:rsid w:val="00311694"/>
    <w:rsid w:val="00311E51"/>
    <w:rsid w:val="003127ED"/>
    <w:rsid w:val="003128BA"/>
    <w:rsid w:val="003128E0"/>
    <w:rsid w:val="00312D56"/>
    <w:rsid w:val="00312D8B"/>
    <w:rsid w:val="0031321C"/>
    <w:rsid w:val="00313282"/>
    <w:rsid w:val="003133A2"/>
    <w:rsid w:val="00313FA3"/>
    <w:rsid w:val="00315161"/>
    <w:rsid w:val="003153F4"/>
    <w:rsid w:val="00315A39"/>
    <w:rsid w:val="00315C2E"/>
    <w:rsid w:val="00315F8D"/>
    <w:rsid w:val="0031612D"/>
    <w:rsid w:val="0031749C"/>
    <w:rsid w:val="003176AC"/>
    <w:rsid w:val="00317832"/>
    <w:rsid w:val="00317FBA"/>
    <w:rsid w:val="00320B23"/>
    <w:rsid w:val="00320B41"/>
    <w:rsid w:val="0032104C"/>
    <w:rsid w:val="00321232"/>
    <w:rsid w:val="0032177A"/>
    <w:rsid w:val="003218E3"/>
    <w:rsid w:val="00321A5F"/>
    <w:rsid w:val="00322676"/>
    <w:rsid w:val="00322796"/>
    <w:rsid w:val="00322B02"/>
    <w:rsid w:val="003236D2"/>
    <w:rsid w:val="00323C7D"/>
    <w:rsid w:val="003246D2"/>
    <w:rsid w:val="00324983"/>
    <w:rsid w:val="00324AF4"/>
    <w:rsid w:val="00324E53"/>
    <w:rsid w:val="00325067"/>
    <w:rsid w:val="003252A4"/>
    <w:rsid w:val="00326031"/>
    <w:rsid w:val="0032708C"/>
    <w:rsid w:val="003274D8"/>
    <w:rsid w:val="00330677"/>
    <w:rsid w:val="00330B05"/>
    <w:rsid w:val="00330B31"/>
    <w:rsid w:val="00330E5A"/>
    <w:rsid w:val="00332A15"/>
    <w:rsid w:val="00333C41"/>
    <w:rsid w:val="00333E55"/>
    <w:rsid w:val="00333EBC"/>
    <w:rsid w:val="003348AB"/>
    <w:rsid w:val="00334BC9"/>
    <w:rsid w:val="00334CEA"/>
    <w:rsid w:val="00334EAD"/>
    <w:rsid w:val="00335846"/>
    <w:rsid w:val="003364A8"/>
    <w:rsid w:val="00336A09"/>
    <w:rsid w:val="00336ABD"/>
    <w:rsid w:val="00336E75"/>
    <w:rsid w:val="00337137"/>
    <w:rsid w:val="0033747C"/>
    <w:rsid w:val="00337D11"/>
    <w:rsid w:val="0034172D"/>
    <w:rsid w:val="00341B89"/>
    <w:rsid w:val="00341D33"/>
    <w:rsid w:val="00341D53"/>
    <w:rsid w:val="00341D6C"/>
    <w:rsid w:val="00341F3D"/>
    <w:rsid w:val="00342227"/>
    <w:rsid w:val="003428DA"/>
    <w:rsid w:val="003431A2"/>
    <w:rsid w:val="003432F1"/>
    <w:rsid w:val="0034376F"/>
    <w:rsid w:val="00343A22"/>
    <w:rsid w:val="00343BC5"/>
    <w:rsid w:val="0034430F"/>
    <w:rsid w:val="003444D3"/>
    <w:rsid w:val="00344ABD"/>
    <w:rsid w:val="00344FA4"/>
    <w:rsid w:val="00345650"/>
    <w:rsid w:val="003463BF"/>
    <w:rsid w:val="00346941"/>
    <w:rsid w:val="00346E3F"/>
    <w:rsid w:val="00347996"/>
    <w:rsid w:val="00347C8A"/>
    <w:rsid w:val="003512EC"/>
    <w:rsid w:val="003513C2"/>
    <w:rsid w:val="003515A6"/>
    <w:rsid w:val="0035181C"/>
    <w:rsid w:val="003523B4"/>
    <w:rsid w:val="00353A8D"/>
    <w:rsid w:val="00353C6D"/>
    <w:rsid w:val="003541A1"/>
    <w:rsid w:val="00354C08"/>
    <w:rsid w:val="00354F4B"/>
    <w:rsid w:val="00354F56"/>
    <w:rsid w:val="003554D4"/>
    <w:rsid w:val="00355970"/>
    <w:rsid w:val="00355AE8"/>
    <w:rsid w:val="00356188"/>
    <w:rsid w:val="00356C30"/>
    <w:rsid w:val="00356E42"/>
    <w:rsid w:val="00357014"/>
    <w:rsid w:val="00357082"/>
    <w:rsid w:val="003603AF"/>
    <w:rsid w:val="0036075F"/>
    <w:rsid w:val="003612D3"/>
    <w:rsid w:val="003614AE"/>
    <w:rsid w:val="00361730"/>
    <w:rsid w:val="00361FE4"/>
    <w:rsid w:val="003630BF"/>
    <w:rsid w:val="00363246"/>
    <w:rsid w:val="003638F6"/>
    <w:rsid w:val="0036437D"/>
    <w:rsid w:val="0036460B"/>
    <w:rsid w:val="00365116"/>
    <w:rsid w:val="00365554"/>
    <w:rsid w:val="00365870"/>
    <w:rsid w:val="003658E7"/>
    <w:rsid w:val="00365C73"/>
    <w:rsid w:val="00365CF4"/>
    <w:rsid w:val="00365E1C"/>
    <w:rsid w:val="003664B7"/>
    <w:rsid w:val="003665A7"/>
    <w:rsid w:val="00366D0E"/>
    <w:rsid w:val="00367BD0"/>
    <w:rsid w:val="00370719"/>
    <w:rsid w:val="00370A2C"/>
    <w:rsid w:val="00370C53"/>
    <w:rsid w:val="00370EC3"/>
    <w:rsid w:val="00370F57"/>
    <w:rsid w:val="00371A14"/>
    <w:rsid w:val="00371BE8"/>
    <w:rsid w:val="00371D5C"/>
    <w:rsid w:val="00372039"/>
    <w:rsid w:val="0037239A"/>
    <w:rsid w:val="003724C8"/>
    <w:rsid w:val="00373577"/>
    <w:rsid w:val="003738DE"/>
    <w:rsid w:val="00373A12"/>
    <w:rsid w:val="00373E76"/>
    <w:rsid w:val="00374192"/>
    <w:rsid w:val="003743F8"/>
    <w:rsid w:val="00375D94"/>
    <w:rsid w:val="00375F7A"/>
    <w:rsid w:val="003768E9"/>
    <w:rsid w:val="00376C6A"/>
    <w:rsid w:val="0037759A"/>
    <w:rsid w:val="00377672"/>
    <w:rsid w:val="00377EBA"/>
    <w:rsid w:val="003802D8"/>
    <w:rsid w:val="0038039E"/>
    <w:rsid w:val="003804BD"/>
    <w:rsid w:val="00380C14"/>
    <w:rsid w:val="00380EED"/>
    <w:rsid w:val="003813B4"/>
    <w:rsid w:val="003816B3"/>
    <w:rsid w:val="00381715"/>
    <w:rsid w:val="00381E73"/>
    <w:rsid w:val="00383108"/>
    <w:rsid w:val="00383BCD"/>
    <w:rsid w:val="00384A8D"/>
    <w:rsid w:val="00384B08"/>
    <w:rsid w:val="00384D94"/>
    <w:rsid w:val="00385CFD"/>
    <w:rsid w:val="003863C7"/>
    <w:rsid w:val="00386E7E"/>
    <w:rsid w:val="003879C8"/>
    <w:rsid w:val="00387FB6"/>
    <w:rsid w:val="00387FF7"/>
    <w:rsid w:val="003905E8"/>
    <w:rsid w:val="003907A8"/>
    <w:rsid w:val="00391AFA"/>
    <w:rsid w:val="003920E4"/>
    <w:rsid w:val="0039233D"/>
    <w:rsid w:val="003924EE"/>
    <w:rsid w:val="00392822"/>
    <w:rsid w:val="00392A5B"/>
    <w:rsid w:val="00392F6D"/>
    <w:rsid w:val="0039351A"/>
    <w:rsid w:val="003940F4"/>
    <w:rsid w:val="00394203"/>
    <w:rsid w:val="00394367"/>
    <w:rsid w:val="00394549"/>
    <w:rsid w:val="00395934"/>
    <w:rsid w:val="00395B07"/>
    <w:rsid w:val="003960C9"/>
    <w:rsid w:val="00396D0E"/>
    <w:rsid w:val="003970F8"/>
    <w:rsid w:val="00397281"/>
    <w:rsid w:val="003973E0"/>
    <w:rsid w:val="003978AC"/>
    <w:rsid w:val="00397DB8"/>
    <w:rsid w:val="003A022B"/>
    <w:rsid w:val="003A03F2"/>
    <w:rsid w:val="003A189D"/>
    <w:rsid w:val="003A1C32"/>
    <w:rsid w:val="003A24F9"/>
    <w:rsid w:val="003A3558"/>
    <w:rsid w:val="003A48B0"/>
    <w:rsid w:val="003A4A1F"/>
    <w:rsid w:val="003A4C1C"/>
    <w:rsid w:val="003A5E17"/>
    <w:rsid w:val="003A602B"/>
    <w:rsid w:val="003A605D"/>
    <w:rsid w:val="003B0459"/>
    <w:rsid w:val="003B0595"/>
    <w:rsid w:val="003B08D2"/>
    <w:rsid w:val="003B0F7D"/>
    <w:rsid w:val="003B197F"/>
    <w:rsid w:val="003B23A6"/>
    <w:rsid w:val="003B2651"/>
    <w:rsid w:val="003B3934"/>
    <w:rsid w:val="003B3CF6"/>
    <w:rsid w:val="003B421E"/>
    <w:rsid w:val="003B456F"/>
    <w:rsid w:val="003B46BA"/>
    <w:rsid w:val="003B4D1F"/>
    <w:rsid w:val="003B52A1"/>
    <w:rsid w:val="003B5479"/>
    <w:rsid w:val="003B5602"/>
    <w:rsid w:val="003B5D2C"/>
    <w:rsid w:val="003B7187"/>
    <w:rsid w:val="003B71EC"/>
    <w:rsid w:val="003B7706"/>
    <w:rsid w:val="003B7D14"/>
    <w:rsid w:val="003C0CF9"/>
    <w:rsid w:val="003C15E1"/>
    <w:rsid w:val="003C17BB"/>
    <w:rsid w:val="003C22BE"/>
    <w:rsid w:val="003C2E8B"/>
    <w:rsid w:val="003C32CF"/>
    <w:rsid w:val="003C3958"/>
    <w:rsid w:val="003C3ED8"/>
    <w:rsid w:val="003C437A"/>
    <w:rsid w:val="003C470F"/>
    <w:rsid w:val="003C5D47"/>
    <w:rsid w:val="003C69EB"/>
    <w:rsid w:val="003C6D13"/>
    <w:rsid w:val="003C6D79"/>
    <w:rsid w:val="003C6E18"/>
    <w:rsid w:val="003C7076"/>
    <w:rsid w:val="003D0606"/>
    <w:rsid w:val="003D0650"/>
    <w:rsid w:val="003D29B6"/>
    <w:rsid w:val="003D2CA1"/>
    <w:rsid w:val="003D366E"/>
    <w:rsid w:val="003D36EB"/>
    <w:rsid w:val="003D3D2B"/>
    <w:rsid w:val="003D3D6D"/>
    <w:rsid w:val="003D46A3"/>
    <w:rsid w:val="003D483E"/>
    <w:rsid w:val="003D4A59"/>
    <w:rsid w:val="003D4D4C"/>
    <w:rsid w:val="003D5CB9"/>
    <w:rsid w:val="003D5E9D"/>
    <w:rsid w:val="003D5FB0"/>
    <w:rsid w:val="003D6AAF"/>
    <w:rsid w:val="003D6D04"/>
    <w:rsid w:val="003D761D"/>
    <w:rsid w:val="003D7D0A"/>
    <w:rsid w:val="003D7D8D"/>
    <w:rsid w:val="003E027B"/>
    <w:rsid w:val="003E0C1E"/>
    <w:rsid w:val="003E15A3"/>
    <w:rsid w:val="003E1E2E"/>
    <w:rsid w:val="003E200A"/>
    <w:rsid w:val="003E20EC"/>
    <w:rsid w:val="003E2171"/>
    <w:rsid w:val="003E4222"/>
    <w:rsid w:val="003E5BA7"/>
    <w:rsid w:val="003E60D3"/>
    <w:rsid w:val="003E65B4"/>
    <w:rsid w:val="003E66A0"/>
    <w:rsid w:val="003E674A"/>
    <w:rsid w:val="003E72FF"/>
    <w:rsid w:val="003E7A8B"/>
    <w:rsid w:val="003F0509"/>
    <w:rsid w:val="003F0B48"/>
    <w:rsid w:val="003F1D3D"/>
    <w:rsid w:val="003F1D8E"/>
    <w:rsid w:val="003F1DA4"/>
    <w:rsid w:val="003F1E02"/>
    <w:rsid w:val="003F2540"/>
    <w:rsid w:val="003F2FF1"/>
    <w:rsid w:val="003F3342"/>
    <w:rsid w:val="003F3720"/>
    <w:rsid w:val="003F4780"/>
    <w:rsid w:val="003F4BD0"/>
    <w:rsid w:val="003F4EB8"/>
    <w:rsid w:val="003F5091"/>
    <w:rsid w:val="003F598C"/>
    <w:rsid w:val="003F5E1D"/>
    <w:rsid w:val="003F5E27"/>
    <w:rsid w:val="003F5E56"/>
    <w:rsid w:val="003F613E"/>
    <w:rsid w:val="003F62B7"/>
    <w:rsid w:val="003F675B"/>
    <w:rsid w:val="003F78BF"/>
    <w:rsid w:val="003F79E1"/>
    <w:rsid w:val="003F7F5D"/>
    <w:rsid w:val="004001F3"/>
    <w:rsid w:val="0040031F"/>
    <w:rsid w:val="004007B5"/>
    <w:rsid w:val="00400905"/>
    <w:rsid w:val="004009AF"/>
    <w:rsid w:val="00401869"/>
    <w:rsid w:val="00401D58"/>
    <w:rsid w:val="0040212B"/>
    <w:rsid w:val="00403804"/>
    <w:rsid w:val="004046C4"/>
    <w:rsid w:val="0040476B"/>
    <w:rsid w:val="004059FD"/>
    <w:rsid w:val="00405C7F"/>
    <w:rsid w:val="00405D1A"/>
    <w:rsid w:val="00406508"/>
    <w:rsid w:val="00406589"/>
    <w:rsid w:val="00406749"/>
    <w:rsid w:val="00406763"/>
    <w:rsid w:val="00406D61"/>
    <w:rsid w:val="00407042"/>
    <w:rsid w:val="004079B7"/>
    <w:rsid w:val="00407F7D"/>
    <w:rsid w:val="00410D28"/>
    <w:rsid w:val="004118AB"/>
    <w:rsid w:val="00411C59"/>
    <w:rsid w:val="00412573"/>
    <w:rsid w:val="00412AA8"/>
    <w:rsid w:val="00412EEF"/>
    <w:rsid w:val="00412FF1"/>
    <w:rsid w:val="00413104"/>
    <w:rsid w:val="00413860"/>
    <w:rsid w:val="00413DB2"/>
    <w:rsid w:val="0041402F"/>
    <w:rsid w:val="0041435F"/>
    <w:rsid w:val="004143DB"/>
    <w:rsid w:val="004147C2"/>
    <w:rsid w:val="00414B3A"/>
    <w:rsid w:val="00415197"/>
    <w:rsid w:val="0041522A"/>
    <w:rsid w:val="004154D0"/>
    <w:rsid w:val="00416157"/>
    <w:rsid w:val="004163BC"/>
    <w:rsid w:val="00416470"/>
    <w:rsid w:val="004165AE"/>
    <w:rsid w:val="00416C37"/>
    <w:rsid w:val="00416D78"/>
    <w:rsid w:val="0041744E"/>
    <w:rsid w:val="00417FA0"/>
    <w:rsid w:val="00420680"/>
    <w:rsid w:val="00421F3A"/>
    <w:rsid w:val="0042211F"/>
    <w:rsid w:val="00423084"/>
    <w:rsid w:val="004232E2"/>
    <w:rsid w:val="00423AE5"/>
    <w:rsid w:val="00423CCA"/>
    <w:rsid w:val="00423F8D"/>
    <w:rsid w:val="00424DF3"/>
    <w:rsid w:val="00425156"/>
    <w:rsid w:val="00425D17"/>
    <w:rsid w:val="00426328"/>
    <w:rsid w:val="004268D1"/>
    <w:rsid w:val="00427034"/>
    <w:rsid w:val="0042710D"/>
    <w:rsid w:val="0042711E"/>
    <w:rsid w:val="004272D2"/>
    <w:rsid w:val="004276A2"/>
    <w:rsid w:val="00427F31"/>
    <w:rsid w:val="004311E3"/>
    <w:rsid w:val="0043163A"/>
    <w:rsid w:val="00431779"/>
    <w:rsid w:val="00431BC1"/>
    <w:rsid w:val="00431FE2"/>
    <w:rsid w:val="00432F85"/>
    <w:rsid w:val="00433386"/>
    <w:rsid w:val="00433794"/>
    <w:rsid w:val="00433B5A"/>
    <w:rsid w:val="00433F4A"/>
    <w:rsid w:val="004355CB"/>
    <w:rsid w:val="0043570E"/>
    <w:rsid w:val="004359CA"/>
    <w:rsid w:val="00435A80"/>
    <w:rsid w:val="00435AE0"/>
    <w:rsid w:val="00435D6A"/>
    <w:rsid w:val="0043621F"/>
    <w:rsid w:val="0043630A"/>
    <w:rsid w:val="0043635F"/>
    <w:rsid w:val="004363AE"/>
    <w:rsid w:val="00436CDF"/>
    <w:rsid w:val="00436EA2"/>
    <w:rsid w:val="00437068"/>
    <w:rsid w:val="004376D1"/>
    <w:rsid w:val="00440276"/>
    <w:rsid w:val="0044059C"/>
    <w:rsid w:val="0044146D"/>
    <w:rsid w:val="0044167D"/>
    <w:rsid w:val="0044176E"/>
    <w:rsid w:val="0044193E"/>
    <w:rsid w:val="00442060"/>
    <w:rsid w:val="00442158"/>
    <w:rsid w:val="004421A5"/>
    <w:rsid w:val="00442570"/>
    <w:rsid w:val="00443888"/>
    <w:rsid w:val="0044396D"/>
    <w:rsid w:val="00444D4C"/>
    <w:rsid w:val="0044587C"/>
    <w:rsid w:val="004462E2"/>
    <w:rsid w:val="00446301"/>
    <w:rsid w:val="004468D8"/>
    <w:rsid w:val="00447B03"/>
    <w:rsid w:val="004501E1"/>
    <w:rsid w:val="00450885"/>
    <w:rsid w:val="00450C1D"/>
    <w:rsid w:val="00450F0E"/>
    <w:rsid w:val="0045189F"/>
    <w:rsid w:val="00451A54"/>
    <w:rsid w:val="00451EB4"/>
    <w:rsid w:val="004520A2"/>
    <w:rsid w:val="00452226"/>
    <w:rsid w:val="00452352"/>
    <w:rsid w:val="00452C80"/>
    <w:rsid w:val="00452FE9"/>
    <w:rsid w:val="00453276"/>
    <w:rsid w:val="00453674"/>
    <w:rsid w:val="00453D66"/>
    <w:rsid w:val="00454514"/>
    <w:rsid w:val="00454C78"/>
    <w:rsid w:val="00455378"/>
    <w:rsid w:val="0045543F"/>
    <w:rsid w:val="0045672A"/>
    <w:rsid w:val="004568A6"/>
    <w:rsid w:val="004575C0"/>
    <w:rsid w:val="004576AD"/>
    <w:rsid w:val="00457A42"/>
    <w:rsid w:val="004601D8"/>
    <w:rsid w:val="004603B4"/>
    <w:rsid w:val="00460791"/>
    <w:rsid w:val="004609D7"/>
    <w:rsid w:val="00461026"/>
    <w:rsid w:val="00461150"/>
    <w:rsid w:val="004611D2"/>
    <w:rsid w:val="00461344"/>
    <w:rsid w:val="004615AC"/>
    <w:rsid w:val="00461BAA"/>
    <w:rsid w:val="00461F74"/>
    <w:rsid w:val="00463791"/>
    <w:rsid w:val="004654A6"/>
    <w:rsid w:val="0046586C"/>
    <w:rsid w:val="00465996"/>
    <w:rsid w:val="00465BE4"/>
    <w:rsid w:val="00466681"/>
    <w:rsid w:val="004666DF"/>
    <w:rsid w:val="00467586"/>
    <w:rsid w:val="004703FC"/>
    <w:rsid w:val="00470525"/>
    <w:rsid w:val="00470F29"/>
    <w:rsid w:val="00470F63"/>
    <w:rsid w:val="004710B7"/>
    <w:rsid w:val="00471349"/>
    <w:rsid w:val="00471512"/>
    <w:rsid w:val="0047168D"/>
    <w:rsid w:val="0047179E"/>
    <w:rsid w:val="004717E5"/>
    <w:rsid w:val="004718DF"/>
    <w:rsid w:val="00471D12"/>
    <w:rsid w:val="0047237B"/>
    <w:rsid w:val="004728AC"/>
    <w:rsid w:val="00472EE9"/>
    <w:rsid w:val="0047532F"/>
    <w:rsid w:val="00475762"/>
    <w:rsid w:val="00475BE4"/>
    <w:rsid w:val="00476273"/>
    <w:rsid w:val="00476BAD"/>
    <w:rsid w:val="00477096"/>
    <w:rsid w:val="004773AD"/>
    <w:rsid w:val="004774B6"/>
    <w:rsid w:val="00477C6F"/>
    <w:rsid w:val="00477DDD"/>
    <w:rsid w:val="00480B24"/>
    <w:rsid w:val="00480D39"/>
    <w:rsid w:val="00481340"/>
    <w:rsid w:val="004813B2"/>
    <w:rsid w:val="00481CEB"/>
    <w:rsid w:val="00481E4F"/>
    <w:rsid w:val="00482BDA"/>
    <w:rsid w:val="00482D4E"/>
    <w:rsid w:val="004834E9"/>
    <w:rsid w:val="00483D47"/>
    <w:rsid w:val="00483E06"/>
    <w:rsid w:val="00483F1B"/>
    <w:rsid w:val="0048444D"/>
    <w:rsid w:val="00484705"/>
    <w:rsid w:val="004848E0"/>
    <w:rsid w:val="0048501D"/>
    <w:rsid w:val="0048540A"/>
    <w:rsid w:val="004860B5"/>
    <w:rsid w:val="00486961"/>
    <w:rsid w:val="004869C0"/>
    <w:rsid w:val="004877D2"/>
    <w:rsid w:val="00490828"/>
    <w:rsid w:val="00490C7B"/>
    <w:rsid w:val="0049148C"/>
    <w:rsid w:val="0049187C"/>
    <w:rsid w:val="00491C31"/>
    <w:rsid w:val="00491D4D"/>
    <w:rsid w:val="0049215F"/>
    <w:rsid w:val="00492297"/>
    <w:rsid w:val="00492A32"/>
    <w:rsid w:val="00492B13"/>
    <w:rsid w:val="004931E1"/>
    <w:rsid w:val="00493A7C"/>
    <w:rsid w:val="00494067"/>
    <w:rsid w:val="0049473E"/>
    <w:rsid w:val="00494863"/>
    <w:rsid w:val="00495434"/>
    <w:rsid w:val="00495D4E"/>
    <w:rsid w:val="00496178"/>
    <w:rsid w:val="00496285"/>
    <w:rsid w:val="004963E2"/>
    <w:rsid w:val="00496439"/>
    <w:rsid w:val="004969EC"/>
    <w:rsid w:val="00496A23"/>
    <w:rsid w:val="00497C34"/>
    <w:rsid w:val="004A0197"/>
    <w:rsid w:val="004A1BB7"/>
    <w:rsid w:val="004A2B7E"/>
    <w:rsid w:val="004A4267"/>
    <w:rsid w:val="004A4F0F"/>
    <w:rsid w:val="004A4F75"/>
    <w:rsid w:val="004A5315"/>
    <w:rsid w:val="004A5370"/>
    <w:rsid w:val="004A5C5C"/>
    <w:rsid w:val="004A5FE2"/>
    <w:rsid w:val="004A652F"/>
    <w:rsid w:val="004A667E"/>
    <w:rsid w:val="004A6DFE"/>
    <w:rsid w:val="004A6E92"/>
    <w:rsid w:val="004A707F"/>
    <w:rsid w:val="004A7BF8"/>
    <w:rsid w:val="004A7CBB"/>
    <w:rsid w:val="004B022A"/>
    <w:rsid w:val="004B05A1"/>
    <w:rsid w:val="004B0660"/>
    <w:rsid w:val="004B0A1D"/>
    <w:rsid w:val="004B0E0D"/>
    <w:rsid w:val="004B129B"/>
    <w:rsid w:val="004B1A85"/>
    <w:rsid w:val="004B1B7E"/>
    <w:rsid w:val="004B1C4E"/>
    <w:rsid w:val="004B2619"/>
    <w:rsid w:val="004B2C79"/>
    <w:rsid w:val="004B3C7D"/>
    <w:rsid w:val="004B3D2E"/>
    <w:rsid w:val="004B41EF"/>
    <w:rsid w:val="004B42E4"/>
    <w:rsid w:val="004B4698"/>
    <w:rsid w:val="004B4727"/>
    <w:rsid w:val="004B4A1A"/>
    <w:rsid w:val="004B5170"/>
    <w:rsid w:val="004B5A94"/>
    <w:rsid w:val="004B6863"/>
    <w:rsid w:val="004B6B44"/>
    <w:rsid w:val="004B6E5F"/>
    <w:rsid w:val="004B71DB"/>
    <w:rsid w:val="004B7549"/>
    <w:rsid w:val="004B7AA1"/>
    <w:rsid w:val="004B7BF7"/>
    <w:rsid w:val="004C01CA"/>
    <w:rsid w:val="004C025C"/>
    <w:rsid w:val="004C0B93"/>
    <w:rsid w:val="004C0FA1"/>
    <w:rsid w:val="004C21C4"/>
    <w:rsid w:val="004C2907"/>
    <w:rsid w:val="004C2B81"/>
    <w:rsid w:val="004C3392"/>
    <w:rsid w:val="004C346B"/>
    <w:rsid w:val="004C45E3"/>
    <w:rsid w:val="004C478E"/>
    <w:rsid w:val="004C4F6B"/>
    <w:rsid w:val="004C5229"/>
    <w:rsid w:val="004C5272"/>
    <w:rsid w:val="004C5894"/>
    <w:rsid w:val="004C60AA"/>
    <w:rsid w:val="004C60B7"/>
    <w:rsid w:val="004C6492"/>
    <w:rsid w:val="004C6C5C"/>
    <w:rsid w:val="004C759A"/>
    <w:rsid w:val="004C7B40"/>
    <w:rsid w:val="004D02E6"/>
    <w:rsid w:val="004D1527"/>
    <w:rsid w:val="004D1C46"/>
    <w:rsid w:val="004D1CAC"/>
    <w:rsid w:val="004D1EF6"/>
    <w:rsid w:val="004D278E"/>
    <w:rsid w:val="004D2C5A"/>
    <w:rsid w:val="004D3109"/>
    <w:rsid w:val="004D34BA"/>
    <w:rsid w:val="004D3CD6"/>
    <w:rsid w:val="004D3DFA"/>
    <w:rsid w:val="004D3F42"/>
    <w:rsid w:val="004D447A"/>
    <w:rsid w:val="004D4C9F"/>
    <w:rsid w:val="004D508E"/>
    <w:rsid w:val="004D54E7"/>
    <w:rsid w:val="004D5AB0"/>
    <w:rsid w:val="004D6968"/>
    <w:rsid w:val="004D7320"/>
    <w:rsid w:val="004D76C9"/>
    <w:rsid w:val="004D78CF"/>
    <w:rsid w:val="004D79D8"/>
    <w:rsid w:val="004E073B"/>
    <w:rsid w:val="004E0C7E"/>
    <w:rsid w:val="004E18E1"/>
    <w:rsid w:val="004E1BA0"/>
    <w:rsid w:val="004E1E31"/>
    <w:rsid w:val="004E2019"/>
    <w:rsid w:val="004E286D"/>
    <w:rsid w:val="004E2974"/>
    <w:rsid w:val="004E2D25"/>
    <w:rsid w:val="004E2D2C"/>
    <w:rsid w:val="004E2E18"/>
    <w:rsid w:val="004E337A"/>
    <w:rsid w:val="004E3559"/>
    <w:rsid w:val="004E46E8"/>
    <w:rsid w:val="004E473F"/>
    <w:rsid w:val="004E4EB9"/>
    <w:rsid w:val="004E4F5E"/>
    <w:rsid w:val="004E5F8E"/>
    <w:rsid w:val="004E6A1F"/>
    <w:rsid w:val="004E6A6B"/>
    <w:rsid w:val="004E722A"/>
    <w:rsid w:val="004E7A42"/>
    <w:rsid w:val="004E7EE7"/>
    <w:rsid w:val="004F0340"/>
    <w:rsid w:val="004F0D7B"/>
    <w:rsid w:val="004F15BA"/>
    <w:rsid w:val="004F1A2C"/>
    <w:rsid w:val="004F1E7E"/>
    <w:rsid w:val="004F20D7"/>
    <w:rsid w:val="004F2922"/>
    <w:rsid w:val="004F2C26"/>
    <w:rsid w:val="004F3AC6"/>
    <w:rsid w:val="004F3CEA"/>
    <w:rsid w:val="004F4427"/>
    <w:rsid w:val="004F458A"/>
    <w:rsid w:val="004F4AFC"/>
    <w:rsid w:val="004F4F88"/>
    <w:rsid w:val="004F565B"/>
    <w:rsid w:val="004F62F0"/>
    <w:rsid w:val="004F6873"/>
    <w:rsid w:val="004F6933"/>
    <w:rsid w:val="004F6A41"/>
    <w:rsid w:val="004F6A88"/>
    <w:rsid w:val="004F6C09"/>
    <w:rsid w:val="004F6FE6"/>
    <w:rsid w:val="004F7039"/>
    <w:rsid w:val="004F71FD"/>
    <w:rsid w:val="004F789A"/>
    <w:rsid w:val="004F7C84"/>
    <w:rsid w:val="005004A0"/>
    <w:rsid w:val="00500CCF"/>
    <w:rsid w:val="00501CFA"/>
    <w:rsid w:val="00502044"/>
    <w:rsid w:val="00502730"/>
    <w:rsid w:val="00502C98"/>
    <w:rsid w:val="00502DAD"/>
    <w:rsid w:val="00503255"/>
    <w:rsid w:val="00503285"/>
    <w:rsid w:val="00503A42"/>
    <w:rsid w:val="00503F28"/>
    <w:rsid w:val="005044FA"/>
    <w:rsid w:val="00505105"/>
    <w:rsid w:val="00505971"/>
    <w:rsid w:val="00505C76"/>
    <w:rsid w:val="00506277"/>
    <w:rsid w:val="00506399"/>
    <w:rsid w:val="005066F1"/>
    <w:rsid w:val="00506CFE"/>
    <w:rsid w:val="00506DA2"/>
    <w:rsid w:val="00507535"/>
    <w:rsid w:val="00507BC6"/>
    <w:rsid w:val="00507E1E"/>
    <w:rsid w:val="00507F00"/>
    <w:rsid w:val="00510CAF"/>
    <w:rsid w:val="00511507"/>
    <w:rsid w:val="00511E7F"/>
    <w:rsid w:val="005128CB"/>
    <w:rsid w:val="00512D52"/>
    <w:rsid w:val="00513303"/>
    <w:rsid w:val="005137DD"/>
    <w:rsid w:val="00513C22"/>
    <w:rsid w:val="00513DF2"/>
    <w:rsid w:val="0051476B"/>
    <w:rsid w:val="00514793"/>
    <w:rsid w:val="00514A1D"/>
    <w:rsid w:val="00514CDC"/>
    <w:rsid w:val="00514E50"/>
    <w:rsid w:val="00515485"/>
    <w:rsid w:val="00515A14"/>
    <w:rsid w:val="00516267"/>
    <w:rsid w:val="005175E3"/>
    <w:rsid w:val="005178DA"/>
    <w:rsid w:val="00520905"/>
    <w:rsid w:val="00520A32"/>
    <w:rsid w:val="00520A98"/>
    <w:rsid w:val="005210C9"/>
    <w:rsid w:val="005214A1"/>
    <w:rsid w:val="005214FB"/>
    <w:rsid w:val="00521C80"/>
    <w:rsid w:val="00521C9D"/>
    <w:rsid w:val="00521FA1"/>
    <w:rsid w:val="00522695"/>
    <w:rsid w:val="005229EB"/>
    <w:rsid w:val="005231E7"/>
    <w:rsid w:val="00523682"/>
    <w:rsid w:val="0052393B"/>
    <w:rsid w:val="00523F29"/>
    <w:rsid w:val="00524982"/>
    <w:rsid w:val="0052520D"/>
    <w:rsid w:val="00525620"/>
    <w:rsid w:val="00525AED"/>
    <w:rsid w:val="00526051"/>
    <w:rsid w:val="00526B4E"/>
    <w:rsid w:val="005270E4"/>
    <w:rsid w:val="005272C9"/>
    <w:rsid w:val="0052747E"/>
    <w:rsid w:val="0052791F"/>
    <w:rsid w:val="00527DB2"/>
    <w:rsid w:val="005302EB"/>
    <w:rsid w:val="0053057C"/>
    <w:rsid w:val="005306EE"/>
    <w:rsid w:val="00530B1E"/>
    <w:rsid w:val="00530BE9"/>
    <w:rsid w:val="00530D0D"/>
    <w:rsid w:val="00531063"/>
    <w:rsid w:val="00531631"/>
    <w:rsid w:val="00531CF1"/>
    <w:rsid w:val="0053234C"/>
    <w:rsid w:val="0053238B"/>
    <w:rsid w:val="00532441"/>
    <w:rsid w:val="00532A14"/>
    <w:rsid w:val="005339B5"/>
    <w:rsid w:val="00533AEC"/>
    <w:rsid w:val="00533E2D"/>
    <w:rsid w:val="00533F69"/>
    <w:rsid w:val="00534982"/>
    <w:rsid w:val="005356D7"/>
    <w:rsid w:val="00535895"/>
    <w:rsid w:val="00536187"/>
    <w:rsid w:val="005363E8"/>
    <w:rsid w:val="0053659E"/>
    <w:rsid w:val="00536B96"/>
    <w:rsid w:val="005378FF"/>
    <w:rsid w:val="00537A88"/>
    <w:rsid w:val="00541016"/>
    <w:rsid w:val="00541236"/>
    <w:rsid w:val="005419C0"/>
    <w:rsid w:val="00542110"/>
    <w:rsid w:val="0054215E"/>
    <w:rsid w:val="0054281F"/>
    <w:rsid w:val="00542B43"/>
    <w:rsid w:val="00542C2A"/>
    <w:rsid w:val="005432CC"/>
    <w:rsid w:val="00543377"/>
    <w:rsid w:val="00543747"/>
    <w:rsid w:val="00544468"/>
    <w:rsid w:val="00544625"/>
    <w:rsid w:val="00544D8D"/>
    <w:rsid w:val="00545510"/>
    <w:rsid w:val="0054556A"/>
    <w:rsid w:val="005456D0"/>
    <w:rsid w:val="00545AAF"/>
    <w:rsid w:val="005463F9"/>
    <w:rsid w:val="00546681"/>
    <w:rsid w:val="005468FA"/>
    <w:rsid w:val="00546B79"/>
    <w:rsid w:val="00546E8E"/>
    <w:rsid w:val="00546F27"/>
    <w:rsid w:val="00547168"/>
    <w:rsid w:val="0054785A"/>
    <w:rsid w:val="005500D5"/>
    <w:rsid w:val="0055051C"/>
    <w:rsid w:val="00551AAF"/>
    <w:rsid w:val="00551FBD"/>
    <w:rsid w:val="00552878"/>
    <w:rsid w:val="005532FE"/>
    <w:rsid w:val="00553885"/>
    <w:rsid w:val="00553FAB"/>
    <w:rsid w:val="00553FAD"/>
    <w:rsid w:val="005544D1"/>
    <w:rsid w:val="00555F73"/>
    <w:rsid w:val="005566E1"/>
    <w:rsid w:val="00556726"/>
    <w:rsid w:val="00557471"/>
    <w:rsid w:val="00557896"/>
    <w:rsid w:val="0055790E"/>
    <w:rsid w:val="00557B65"/>
    <w:rsid w:val="0056059D"/>
    <w:rsid w:val="00560617"/>
    <w:rsid w:val="00560C13"/>
    <w:rsid w:val="00560F25"/>
    <w:rsid w:val="00560F30"/>
    <w:rsid w:val="00561765"/>
    <w:rsid w:val="00561B66"/>
    <w:rsid w:val="0056216F"/>
    <w:rsid w:val="00562593"/>
    <w:rsid w:val="005627C5"/>
    <w:rsid w:val="00562B5E"/>
    <w:rsid w:val="00562B8A"/>
    <w:rsid w:val="00562F07"/>
    <w:rsid w:val="00563058"/>
    <w:rsid w:val="005631BF"/>
    <w:rsid w:val="005634D4"/>
    <w:rsid w:val="00563DB0"/>
    <w:rsid w:val="005649BA"/>
    <w:rsid w:val="005665AB"/>
    <w:rsid w:val="005669A5"/>
    <w:rsid w:val="0056759F"/>
    <w:rsid w:val="0056778B"/>
    <w:rsid w:val="00567ABC"/>
    <w:rsid w:val="00570330"/>
    <w:rsid w:val="005712B2"/>
    <w:rsid w:val="00571957"/>
    <w:rsid w:val="00572A98"/>
    <w:rsid w:val="00574813"/>
    <w:rsid w:val="00574949"/>
    <w:rsid w:val="005754F8"/>
    <w:rsid w:val="005759E3"/>
    <w:rsid w:val="00576E82"/>
    <w:rsid w:val="0057758C"/>
    <w:rsid w:val="0057762A"/>
    <w:rsid w:val="0057769E"/>
    <w:rsid w:val="00577D90"/>
    <w:rsid w:val="00577DAD"/>
    <w:rsid w:val="00577E08"/>
    <w:rsid w:val="00580015"/>
    <w:rsid w:val="0058001E"/>
    <w:rsid w:val="00580538"/>
    <w:rsid w:val="005808F2"/>
    <w:rsid w:val="00580D3F"/>
    <w:rsid w:val="00582162"/>
    <w:rsid w:val="0058231E"/>
    <w:rsid w:val="00582AF8"/>
    <w:rsid w:val="0058301F"/>
    <w:rsid w:val="00583AD6"/>
    <w:rsid w:val="00583B23"/>
    <w:rsid w:val="005844F8"/>
    <w:rsid w:val="0058452B"/>
    <w:rsid w:val="00585593"/>
    <w:rsid w:val="0058647A"/>
    <w:rsid w:val="00586F03"/>
    <w:rsid w:val="00587146"/>
    <w:rsid w:val="0058723A"/>
    <w:rsid w:val="00590BAF"/>
    <w:rsid w:val="00591BB7"/>
    <w:rsid w:val="0059221E"/>
    <w:rsid w:val="005923C1"/>
    <w:rsid w:val="00592664"/>
    <w:rsid w:val="00592B46"/>
    <w:rsid w:val="00592BBE"/>
    <w:rsid w:val="00592D81"/>
    <w:rsid w:val="00593B91"/>
    <w:rsid w:val="00593C21"/>
    <w:rsid w:val="005942BD"/>
    <w:rsid w:val="00594440"/>
    <w:rsid w:val="00594474"/>
    <w:rsid w:val="00594A18"/>
    <w:rsid w:val="00595FFC"/>
    <w:rsid w:val="005964EB"/>
    <w:rsid w:val="005964EC"/>
    <w:rsid w:val="005968C4"/>
    <w:rsid w:val="00596AF4"/>
    <w:rsid w:val="0059767D"/>
    <w:rsid w:val="005976F4"/>
    <w:rsid w:val="00597BD1"/>
    <w:rsid w:val="005A181C"/>
    <w:rsid w:val="005A18CC"/>
    <w:rsid w:val="005A1F57"/>
    <w:rsid w:val="005A3286"/>
    <w:rsid w:val="005A3744"/>
    <w:rsid w:val="005A3C78"/>
    <w:rsid w:val="005A44BD"/>
    <w:rsid w:val="005A5442"/>
    <w:rsid w:val="005A5831"/>
    <w:rsid w:val="005A5C5E"/>
    <w:rsid w:val="005A61B5"/>
    <w:rsid w:val="005A641D"/>
    <w:rsid w:val="005A64F3"/>
    <w:rsid w:val="005A6DB7"/>
    <w:rsid w:val="005A7466"/>
    <w:rsid w:val="005A7E5C"/>
    <w:rsid w:val="005B02C2"/>
    <w:rsid w:val="005B0C1E"/>
    <w:rsid w:val="005B1333"/>
    <w:rsid w:val="005B14C7"/>
    <w:rsid w:val="005B17D3"/>
    <w:rsid w:val="005B1BB1"/>
    <w:rsid w:val="005B1CF7"/>
    <w:rsid w:val="005B249F"/>
    <w:rsid w:val="005B250B"/>
    <w:rsid w:val="005B2EB9"/>
    <w:rsid w:val="005B2EFC"/>
    <w:rsid w:val="005B3191"/>
    <w:rsid w:val="005B39A1"/>
    <w:rsid w:val="005B4172"/>
    <w:rsid w:val="005B459E"/>
    <w:rsid w:val="005B4E90"/>
    <w:rsid w:val="005B5257"/>
    <w:rsid w:val="005B543F"/>
    <w:rsid w:val="005B558A"/>
    <w:rsid w:val="005B5675"/>
    <w:rsid w:val="005B590A"/>
    <w:rsid w:val="005B5B8A"/>
    <w:rsid w:val="005B6258"/>
    <w:rsid w:val="005B66DA"/>
    <w:rsid w:val="005B68D9"/>
    <w:rsid w:val="005B6CB8"/>
    <w:rsid w:val="005B6D56"/>
    <w:rsid w:val="005B7712"/>
    <w:rsid w:val="005B779D"/>
    <w:rsid w:val="005C0054"/>
    <w:rsid w:val="005C08BF"/>
    <w:rsid w:val="005C1073"/>
    <w:rsid w:val="005C1784"/>
    <w:rsid w:val="005C1DC7"/>
    <w:rsid w:val="005C27AD"/>
    <w:rsid w:val="005C33F9"/>
    <w:rsid w:val="005C35E2"/>
    <w:rsid w:val="005C3D43"/>
    <w:rsid w:val="005C3EDC"/>
    <w:rsid w:val="005C42DE"/>
    <w:rsid w:val="005C4512"/>
    <w:rsid w:val="005C4C0B"/>
    <w:rsid w:val="005C4D71"/>
    <w:rsid w:val="005C55D3"/>
    <w:rsid w:val="005C60C2"/>
    <w:rsid w:val="005C62BD"/>
    <w:rsid w:val="005C642A"/>
    <w:rsid w:val="005C70F7"/>
    <w:rsid w:val="005C7908"/>
    <w:rsid w:val="005C7E9B"/>
    <w:rsid w:val="005D0A04"/>
    <w:rsid w:val="005D0DF2"/>
    <w:rsid w:val="005D0EB6"/>
    <w:rsid w:val="005D10D1"/>
    <w:rsid w:val="005D1784"/>
    <w:rsid w:val="005D1CF2"/>
    <w:rsid w:val="005D1F1B"/>
    <w:rsid w:val="005D2B14"/>
    <w:rsid w:val="005D38CE"/>
    <w:rsid w:val="005D3FDA"/>
    <w:rsid w:val="005D44DC"/>
    <w:rsid w:val="005D495C"/>
    <w:rsid w:val="005D6910"/>
    <w:rsid w:val="005D6CFB"/>
    <w:rsid w:val="005D6DC9"/>
    <w:rsid w:val="005D6DE8"/>
    <w:rsid w:val="005D7388"/>
    <w:rsid w:val="005D7FFC"/>
    <w:rsid w:val="005E0C25"/>
    <w:rsid w:val="005E0CAD"/>
    <w:rsid w:val="005E0F7A"/>
    <w:rsid w:val="005E10A8"/>
    <w:rsid w:val="005E1249"/>
    <w:rsid w:val="005E1922"/>
    <w:rsid w:val="005E1C10"/>
    <w:rsid w:val="005E24AC"/>
    <w:rsid w:val="005E2927"/>
    <w:rsid w:val="005E2DD2"/>
    <w:rsid w:val="005E32F4"/>
    <w:rsid w:val="005E3616"/>
    <w:rsid w:val="005E3BC2"/>
    <w:rsid w:val="005E3FC2"/>
    <w:rsid w:val="005E42DF"/>
    <w:rsid w:val="005E4533"/>
    <w:rsid w:val="005E4842"/>
    <w:rsid w:val="005E4D89"/>
    <w:rsid w:val="005E5767"/>
    <w:rsid w:val="005E676B"/>
    <w:rsid w:val="005E67B7"/>
    <w:rsid w:val="005E67C4"/>
    <w:rsid w:val="005E6A11"/>
    <w:rsid w:val="005E6EEC"/>
    <w:rsid w:val="005E6FE7"/>
    <w:rsid w:val="005E7672"/>
    <w:rsid w:val="005E7EB3"/>
    <w:rsid w:val="005F0400"/>
    <w:rsid w:val="005F0437"/>
    <w:rsid w:val="005F06FD"/>
    <w:rsid w:val="005F083B"/>
    <w:rsid w:val="005F099F"/>
    <w:rsid w:val="005F0B3D"/>
    <w:rsid w:val="005F0E16"/>
    <w:rsid w:val="005F112A"/>
    <w:rsid w:val="005F1838"/>
    <w:rsid w:val="005F267E"/>
    <w:rsid w:val="005F26AD"/>
    <w:rsid w:val="005F2C00"/>
    <w:rsid w:val="005F3045"/>
    <w:rsid w:val="005F3115"/>
    <w:rsid w:val="005F34AA"/>
    <w:rsid w:val="005F34B8"/>
    <w:rsid w:val="005F34DA"/>
    <w:rsid w:val="005F3A0E"/>
    <w:rsid w:val="005F3D2D"/>
    <w:rsid w:val="005F44A1"/>
    <w:rsid w:val="005F4822"/>
    <w:rsid w:val="005F4F23"/>
    <w:rsid w:val="005F5111"/>
    <w:rsid w:val="005F557B"/>
    <w:rsid w:val="005F55FC"/>
    <w:rsid w:val="005F6890"/>
    <w:rsid w:val="005F6A2A"/>
    <w:rsid w:val="005F6C11"/>
    <w:rsid w:val="005F7A59"/>
    <w:rsid w:val="005F7A98"/>
    <w:rsid w:val="005F7EA1"/>
    <w:rsid w:val="00600363"/>
    <w:rsid w:val="006005D9"/>
    <w:rsid w:val="006007B8"/>
    <w:rsid w:val="00600862"/>
    <w:rsid w:val="0060094D"/>
    <w:rsid w:val="00600C84"/>
    <w:rsid w:val="00600F98"/>
    <w:rsid w:val="00601474"/>
    <w:rsid w:val="00602161"/>
    <w:rsid w:val="00602764"/>
    <w:rsid w:val="00602FFD"/>
    <w:rsid w:val="006039BA"/>
    <w:rsid w:val="006046E8"/>
    <w:rsid w:val="00604BBB"/>
    <w:rsid w:val="00604F02"/>
    <w:rsid w:val="00604FA8"/>
    <w:rsid w:val="006058DD"/>
    <w:rsid w:val="00605A36"/>
    <w:rsid w:val="00605AFA"/>
    <w:rsid w:val="00605D6A"/>
    <w:rsid w:val="00606384"/>
    <w:rsid w:val="006063FA"/>
    <w:rsid w:val="0060667D"/>
    <w:rsid w:val="00606844"/>
    <w:rsid w:val="0060692D"/>
    <w:rsid w:val="00606A5E"/>
    <w:rsid w:val="00607A66"/>
    <w:rsid w:val="00607E42"/>
    <w:rsid w:val="006101CF"/>
    <w:rsid w:val="00610553"/>
    <w:rsid w:val="0061119E"/>
    <w:rsid w:val="00611C82"/>
    <w:rsid w:val="00611C8A"/>
    <w:rsid w:val="006121FE"/>
    <w:rsid w:val="006124E1"/>
    <w:rsid w:val="0061296A"/>
    <w:rsid w:val="00612BDB"/>
    <w:rsid w:val="00612EDB"/>
    <w:rsid w:val="00613509"/>
    <w:rsid w:val="00613CA2"/>
    <w:rsid w:val="00613F64"/>
    <w:rsid w:val="006149AA"/>
    <w:rsid w:val="00614F70"/>
    <w:rsid w:val="0061500E"/>
    <w:rsid w:val="00615C29"/>
    <w:rsid w:val="006164AB"/>
    <w:rsid w:val="006173A3"/>
    <w:rsid w:val="00617A36"/>
    <w:rsid w:val="00617B26"/>
    <w:rsid w:val="00620A04"/>
    <w:rsid w:val="00620EDB"/>
    <w:rsid w:val="00621482"/>
    <w:rsid w:val="006221FB"/>
    <w:rsid w:val="00622865"/>
    <w:rsid w:val="00622C23"/>
    <w:rsid w:val="00623477"/>
    <w:rsid w:val="0062365B"/>
    <w:rsid w:val="006237D0"/>
    <w:rsid w:val="0062398F"/>
    <w:rsid w:val="006257CF"/>
    <w:rsid w:val="00625955"/>
    <w:rsid w:val="00626618"/>
    <w:rsid w:val="00626646"/>
    <w:rsid w:val="006276C0"/>
    <w:rsid w:val="00627A7B"/>
    <w:rsid w:val="00630424"/>
    <w:rsid w:val="00630706"/>
    <w:rsid w:val="00631114"/>
    <w:rsid w:val="0063193B"/>
    <w:rsid w:val="00632D9F"/>
    <w:rsid w:val="0063559F"/>
    <w:rsid w:val="006358F6"/>
    <w:rsid w:val="00635A82"/>
    <w:rsid w:val="00635C13"/>
    <w:rsid w:val="00636014"/>
    <w:rsid w:val="0063632C"/>
    <w:rsid w:val="006367F7"/>
    <w:rsid w:val="0063700E"/>
    <w:rsid w:val="00637272"/>
    <w:rsid w:val="0064001E"/>
    <w:rsid w:val="00640513"/>
    <w:rsid w:val="00640A2D"/>
    <w:rsid w:val="006410C0"/>
    <w:rsid w:val="00641C2F"/>
    <w:rsid w:val="00641FC7"/>
    <w:rsid w:val="00642078"/>
    <w:rsid w:val="0064241C"/>
    <w:rsid w:val="006426B7"/>
    <w:rsid w:val="00642B88"/>
    <w:rsid w:val="00642BC6"/>
    <w:rsid w:val="00643572"/>
    <w:rsid w:val="00643576"/>
    <w:rsid w:val="00643AB4"/>
    <w:rsid w:val="0064435A"/>
    <w:rsid w:val="00644675"/>
    <w:rsid w:val="0064484C"/>
    <w:rsid w:val="00644F0F"/>
    <w:rsid w:val="00644F50"/>
    <w:rsid w:val="00645521"/>
    <w:rsid w:val="006458F6"/>
    <w:rsid w:val="00645C47"/>
    <w:rsid w:val="00645D13"/>
    <w:rsid w:val="006462A9"/>
    <w:rsid w:val="00646621"/>
    <w:rsid w:val="0064675F"/>
    <w:rsid w:val="006467F4"/>
    <w:rsid w:val="0064685D"/>
    <w:rsid w:val="00646B04"/>
    <w:rsid w:val="00646B22"/>
    <w:rsid w:val="0065018C"/>
    <w:rsid w:val="00651EB6"/>
    <w:rsid w:val="00651F1A"/>
    <w:rsid w:val="006522C7"/>
    <w:rsid w:val="00652BC9"/>
    <w:rsid w:val="00652CE9"/>
    <w:rsid w:val="00652DA2"/>
    <w:rsid w:val="00653275"/>
    <w:rsid w:val="006539C8"/>
    <w:rsid w:val="00653F29"/>
    <w:rsid w:val="00653FB1"/>
    <w:rsid w:val="0065422E"/>
    <w:rsid w:val="0065449B"/>
    <w:rsid w:val="006549F1"/>
    <w:rsid w:val="00654D86"/>
    <w:rsid w:val="00655421"/>
    <w:rsid w:val="006554EC"/>
    <w:rsid w:val="0065650B"/>
    <w:rsid w:val="00656C15"/>
    <w:rsid w:val="00656D8A"/>
    <w:rsid w:val="0065702B"/>
    <w:rsid w:val="00657415"/>
    <w:rsid w:val="006574B6"/>
    <w:rsid w:val="00657B4A"/>
    <w:rsid w:val="00660466"/>
    <w:rsid w:val="0066063E"/>
    <w:rsid w:val="006619C6"/>
    <w:rsid w:val="00661FAF"/>
    <w:rsid w:val="0066242F"/>
    <w:rsid w:val="00662F25"/>
    <w:rsid w:val="00662F9E"/>
    <w:rsid w:val="006630A1"/>
    <w:rsid w:val="006637B3"/>
    <w:rsid w:val="006639DE"/>
    <w:rsid w:val="00663E3E"/>
    <w:rsid w:val="00663F1E"/>
    <w:rsid w:val="00664612"/>
    <w:rsid w:val="006646A9"/>
    <w:rsid w:val="00665075"/>
    <w:rsid w:val="006652F0"/>
    <w:rsid w:val="006654D8"/>
    <w:rsid w:val="00665AE3"/>
    <w:rsid w:val="00665E77"/>
    <w:rsid w:val="00665EB5"/>
    <w:rsid w:val="00666300"/>
    <w:rsid w:val="00666549"/>
    <w:rsid w:val="006670A1"/>
    <w:rsid w:val="00667B03"/>
    <w:rsid w:val="00667EFD"/>
    <w:rsid w:val="00670774"/>
    <w:rsid w:val="00670A46"/>
    <w:rsid w:val="00670C0D"/>
    <w:rsid w:val="0067114A"/>
    <w:rsid w:val="006713C6"/>
    <w:rsid w:val="00671CA2"/>
    <w:rsid w:val="0067211C"/>
    <w:rsid w:val="0067251E"/>
    <w:rsid w:val="006727B7"/>
    <w:rsid w:val="00675622"/>
    <w:rsid w:val="006764C9"/>
    <w:rsid w:val="00676E92"/>
    <w:rsid w:val="00676F41"/>
    <w:rsid w:val="006776CB"/>
    <w:rsid w:val="00677AAE"/>
    <w:rsid w:val="00677BF7"/>
    <w:rsid w:val="00677F5B"/>
    <w:rsid w:val="0068064D"/>
    <w:rsid w:val="0068064F"/>
    <w:rsid w:val="00681252"/>
    <w:rsid w:val="00681B39"/>
    <w:rsid w:val="00681BFE"/>
    <w:rsid w:val="00681E81"/>
    <w:rsid w:val="006829C8"/>
    <w:rsid w:val="00682A80"/>
    <w:rsid w:val="00682BDC"/>
    <w:rsid w:val="00683126"/>
    <w:rsid w:val="006834C4"/>
    <w:rsid w:val="00683582"/>
    <w:rsid w:val="00683A82"/>
    <w:rsid w:val="00683BCC"/>
    <w:rsid w:val="00683CB4"/>
    <w:rsid w:val="00683DD7"/>
    <w:rsid w:val="006844D2"/>
    <w:rsid w:val="00684585"/>
    <w:rsid w:val="00684AA0"/>
    <w:rsid w:val="00684C45"/>
    <w:rsid w:val="006856CA"/>
    <w:rsid w:val="00685C58"/>
    <w:rsid w:val="00686185"/>
    <w:rsid w:val="00686630"/>
    <w:rsid w:val="00687927"/>
    <w:rsid w:val="00687D56"/>
    <w:rsid w:val="00687F10"/>
    <w:rsid w:val="00690BD5"/>
    <w:rsid w:val="00691181"/>
    <w:rsid w:val="0069184F"/>
    <w:rsid w:val="00691886"/>
    <w:rsid w:val="00692C74"/>
    <w:rsid w:val="006933AE"/>
    <w:rsid w:val="00693946"/>
    <w:rsid w:val="00694C45"/>
    <w:rsid w:val="00694FE2"/>
    <w:rsid w:val="00695258"/>
    <w:rsid w:val="0069623E"/>
    <w:rsid w:val="006962D4"/>
    <w:rsid w:val="006963C1"/>
    <w:rsid w:val="00696400"/>
    <w:rsid w:val="0069742F"/>
    <w:rsid w:val="006974A2"/>
    <w:rsid w:val="00697608"/>
    <w:rsid w:val="00697651"/>
    <w:rsid w:val="00697F6C"/>
    <w:rsid w:val="006A015B"/>
    <w:rsid w:val="006A12CF"/>
    <w:rsid w:val="006A1823"/>
    <w:rsid w:val="006A186B"/>
    <w:rsid w:val="006A19FC"/>
    <w:rsid w:val="006A1E94"/>
    <w:rsid w:val="006A340E"/>
    <w:rsid w:val="006A39EE"/>
    <w:rsid w:val="006A4E15"/>
    <w:rsid w:val="006A4E2F"/>
    <w:rsid w:val="006A5827"/>
    <w:rsid w:val="006A5B95"/>
    <w:rsid w:val="006A62C6"/>
    <w:rsid w:val="006A7878"/>
    <w:rsid w:val="006A7E39"/>
    <w:rsid w:val="006B01A7"/>
    <w:rsid w:val="006B0350"/>
    <w:rsid w:val="006B03B5"/>
    <w:rsid w:val="006B0649"/>
    <w:rsid w:val="006B073E"/>
    <w:rsid w:val="006B0846"/>
    <w:rsid w:val="006B08DC"/>
    <w:rsid w:val="006B10BE"/>
    <w:rsid w:val="006B1376"/>
    <w:rsid w:val="006B2C70"/>
    <w:rsid w:val="006B3733"/>
    <w:rsid w:val="006B37C5"/>
    <w:rsid w:val="006B3BFA"/>
    <w:rsid w:val="006B3DA5"/>
    <w:rsid w:val="006B3FC5"/>
    <w:rsid w:val="006B454A"/>
    <w:rsid w:val="006B460B"/>
    <w:rsid w:val="006B4704"/>
    <w:rsid w:val="006B4C80"/>
    <w:rsid w:val="006B4E7C"/>
    <w:rsid w:val="006B505A"/>
    <w:rsid w:val="006B58BA"/>
    <w:rsid w:val="006B58FE"/>
    <w:rsid w:val="006B71CB"/>
    <w:rsid w:val="006B7429"/>
    <w:rsid w:val="006B7692"/>
    <w:rsid w:val="006B7696"/>
    <w:rsid w:val="006B7D17"/>
    <w:rsid w:val="006C0027"/>
    <w:rsid w:val="006C0667"/>
    <w:rsid w:val="006C0AED"/>
    <w:rsid w:val="006C0D17"/>
    <w:rsid w:val="006C131F"/>
    <w:rsid w:val="006C1527"/>
    <w:rsid w:val="006C177D"/>
    <w:rsid w:val="006C188A"/>
    <w:rsid w:val="006C2A36"/>
    <w:rsid w:val="006C2A6E"/>
    <w:rsid w:val="006C305F"/>
    <w:rsid w:val="006C338D"/>
    <w:rsid w:val="006C366D"/>
    <w:rsid w:val="006C388F"/>
    <w:rsid w:val="006C3F33"/>
    <w:rsid w:val="006C42CA"/>
    <w:rsid w:val="006C4BD4"/>
    <w:rsid w:val="006C4C13"/>
    <w:rsid w:val="006C4E30"/>
    <w:rsid w:val="006C51DC"/>
    <w:rsid w:val="006C5277"/>
    <w:rsid w:val="006C5327"/>
    <w:rsid w:val="006C536D"/>
    <w:rsid w:val="006C5ADC"/>
    <w:rsid w:val="006C60C4"/>
    <w:rsid w:val="006C62EA"/>
    <w:rsid w:val="006C6C0C"/>
    <w:rsid w:val="006C6DFF"/>
    <w:rsid w:val="006C6EC3"/>
    <w:rsid w:val="006C785B"/>
    <w:rsid w:val="006D047B"/>
    <w:rsid w:val="006D0666"/>
    <w:rsid w:val="006D0CEB"/>
    <w:rsid w:val="006D129B"/>
    <w:rsid w:val="006D14F2"/>
    <w:rsid w:val="006D1AED"/>
    <w:rsid w:val="006D216F"/>
    <w:rsid w:val="006D271B"/>
    <w:rsid w:val="006D2BF9"/>
    <w:rsid w:val="006D2E94"/>
    <w:rsid w:val="006D3626"/>
    <w:rsid w:val="006D40B1"/>
    <w:rsid w:val="006D43BB"/>
    <w:rsid w:val="006D4E00"/>
    <w:rsid w:val="006D5312"/>
    <w:rsid w:val="006D5C35"/>
    <w:rsid w:val="006D6068"/>
    <w:rsid w:val="006D61B1"/>
    <w:rsid w:val="006D65BA"/>
    <w:rsid w:val="006D7567"/>
    <w:rsid w:val="006D767C"/>
    <w:rsid w:val="006D79A3"/>
    <w:rsid w:val="006E06D8"/>
    <w:rsid w:val="006E0758"/>
    <w:rsid w:val="006E0F09"/>
    <w:rsid w:val="006E0FD3"/>
    <w:rsid w:val="006E11FA"/>
    <w:rsid w:val="006E1967"/>
    <w:rsid w:val="006E1D8F"/>
    <w:rsid w:val="006E220B"/>
    <w:rsid w:val="006E2F2A"/>
    <w:rsid w:val="006E3708"/>
    <w:rsid w:val="006E37E5"/>
    <w:rsid w:val="006E43A8"/>
    <w:rsid w:val="006E49A6"/>
    <w:rsid w:val="006E5562"/>
    <w:rsid w:val="006E584C"/>
    <w:rsid w:val="006E589D"/>
    <w:rsid w:val="006E60F5"/>
    <w:rsid w:val="006E662D"/>
    <w:rsid w:val="006E6AB7"/>
    <w:rsid w:val="006E7071"/>
    <w:rsid w:val="006E7165"/>
    <w:rsid w:val="006E722A"/>
    <w:rsid w:val="006E7798"/>
    <w:rsid w:val="006E7EBD"/>
    <w:rsid w:val="006F063F"/>
    <w:rsid w:val="006F0E29"/>
    <w:rsid w:val="006F16E6"/>
    <w:rsid w:val="006F17BD"/>
    <w:rsid w:val="006F19D3"/>
    <w:rsid w:val="006F2DE5"/>
    <w:rsid w:val="006F33A7"/>
    <w:rsid w:val="006F3580"/>
    <w:rsid w:val="006F3EB0"/>
    <w:rsid w:val="006F447C"/>
    <w:rsid w:val="006F4804"/>
    <w:rsid w:val="006F5406"/>
    <w:rsid w:val="006F54FC"/>
    <w:rsid w:val="006F71DD"/>
    <w:rsid w:val="006F71F5"/>
    <w:rsid w:val="006F7601"/>
    <w:rsid w:val="006F7C7D"/>
    <w:rsid w:val="00700579"/>
    <w:rsid w:val="0070058E"/>
    <w:rsid w:val="0070086D"/>
    <w:rsid w:val="00700904"/>
    <w:rsid w:val="00700BE2"/>
    <w:rsid w:val="007011AC"/>
    <w:rsid w:val="00701260"/>
    <w:rsid w:val="007015C0"/>
    <w:rsid w:val="00701CFA"/>
    <w:rsid w:val="00702632"/>
    <w:rsid w:val="00703078"/>
    <w:rsid w:val="0070348C"/>
    <w:rsid w:val="007038F9"/>
    <w:rsid w:val="007039F2"/>
    <w:rsid w:val="00703B24"/>
    <w:rsid w:val="00703DC6"/>
    <w:rsid w:val="00704BD9"/>
    <w:rsid w:val="007053D4"/>
    <w:rsid w:val="0070595A"/>
    <w:rsid w:val="00705CDF"/>
    <w:rsid w:val="0070651F"/>
    <w:rsid w:val="007073E4"/>
    <w:rsid w:val="00707BDB"/>
    <w:rsid w:val="00710828"/>
    <w:rsid w:val="007108A1"/>
    <w:rsid w:val="007124D5"/>
    <w:rsid w:val="00712A69"/>
    <w:rsid w:val="007130CF"/>
    <w:rsid w:val="00713B19"/>
    <w:rsid w:val="00713D76"/>
    <w:rsid w:val="007140A6"/>
    <w:rsid w:val="007140E3"/>
    <w:rsid w:val="0071442F"/>
    <w:rsid w:val="0071450C"/>
    <w:rsid w:val="0071473A"/>
    <w:rsid w:val="0071496A"/>
    <w:rsid w:val="00714E4B"/>
    <w:rsid w:val="00715376"/>
    <w:rsid w:val="00717052"/>
    <w:rsid w:val="0071789E"/>
    <w:rsid w:val="007179F9"/>
    <w:rsid w:val="00717D63"/>
    <w:rsid w:val="007205AD"/>
    <w:rsid w:val="00720A13"/>
    <w:rsid w:val="007218C7"/>
    <w:rsid w:val="0072196F"/>
    <w:rsid w:val="007220EC"/>
    <w:rsid w:val="00722628"/>
    <w:rsid w:val="00723AFB"/>
    <w:rsid w:val="00724046"/>
    <w:rsid w:val="00724256"/>
    <w:rsid w:val="00724287"/>
    <w:rsid w:val="00724951"/>
    <w:rsid w:val="00725BE1"/>
    <w:rsid w:val="00725F9B"/>
    <w:rsid w:val="00726078"/>
    <w:rsid w:val="00726B4E"/>
    <w:rsid w:val="00727872"/>
    <w:rsid w:val="00727BAE"/>
    <w:rsid w:val="00727E2B"/>
    <w:rsid w:val="00730130"/>
    <w:rsid w:val="00730416"/>
    <w:rsid w:val="00730C9D"/>
    <w:rsid w:val="007314CC"/>
    <w:rsid w:val="00732180"/>
    <w:rsid w:val="00733379"/>
    <w:rsid w:val="00734309"/>
    <w:rsid w:val="007347AE"/>
    <w:rsid w:val="00735BA1"/>
    <w:rsid w:val="00735C27"/>
    <w:rsid w:val="0073682B"/>
    <w:rsid w:val="00736C71"/>
    <w:rsid w:val="00736D77"/>
    <w:rsid w:val="007379D4"/>
    <w:rsid w:val="00741710"/>
    <w:rsid w:val="007420E5"/>
    <w:rsid w:val="00742607"/>
    <w:rsid w:val="007426B1"/>
    <w:rsid w:val="00742FA2"/>
    <w:rsid w:val="00742FCA"/>
    <w:rsid w:val="0074324E"/>
    <w:rsid w:val="00743331"/>
    <w:rsid w:val="00743845"/>
    <w:rsid w:val="00743868"/>
    <w:rsid w:val="007438A2"/>
    <w:rsid w:val="00743FDB"/>
    <w:rsid w:val="00744C38"/>
    <w:rsid w:val="007450DD"/>
    <w:rsid w:val="0074515B"/>
    <w:rsid w:val="00745598"/>
    <w:rsid w:val="00745AD8"/>
    <w:rsid w:val="00745C99"/>
    <w:rsid w:val="00746154"/>
    <w:rsid w:val="0074619D"/>
    <w:rsid w:val="00747098"/>
    <w:rsid w:val="0074717A"/>
    <w:rsid w:val="00747D3B"/>
    <w:rsid w:val="00750275"/>
    <w:rsid w:val="0075075A"/>
    <w:rsid w:val="00750BDF"/>
    <w:rsid w:val="00750FEC"/>
    <w:rsid w:val="00751611"/>
    <w:rsid w:val="00751B5A"/>
    <w:rsid w:val="0075256B"/>
    <w:rsid w:val="00752E43"/>
    <w:rsid w:val="007536BB"/>
    <w:rsid w:val="00753837"/>
    <w:rsid w:val="007538B1"/>
    <w:rsid w:val="007543BA"/>
    <w:rsid w:val="00754472"/>
    <w:rsid w:val="0075458C"/>
    <w:rsid w:val="00754AFC"/>
    <w:rsid w:val="00754C3B"/>
    <w:rsid w:val="00754D58"/>
    <w:rsid w:val="00755456"/>
    <w:rsid w:val="00756DFB"/>
    <w:rsid w:val="00757395"/>
    <w:rsid w:val="007577F9"/>
    <w:rsid w:val="007578F3"/>
    <w:rsid w:val="007602BB"/>
    <w:rsid w:val="00760585"/>
    <w:rsid w:val="00760DAB"/>
    <w:rsid w:val="00760F03"/>
    <w:rsid w:val="007617EA"/>
    <w:rsid w:val="00761B0B"/>
    <w:rsid w:val="00761C96"/>
    <w:rsid w:val="00761EB3"/>
    <w:rsid w:val="00762365"/>
    <w:rsid w:val="0076317B"/>
    <w:rsid w:val="0076378E"/>
    <w:rsid w:val="00763C8B"/>
    <w:rsid w:val="00763C99"/>
    <w:rsid w:val="00763E34"/>
    <w:rsid w:val="00764FE6"/>
    <w:rsid w:val="007654EE"/>
    <w:rsid w:val="00765959"/>
    <w:rsid w:val="00765F7B"/>
    <w:rsid w:val="00766360"/>
    <w:rsid w:val="00766873"/>
    <w:rsid w:val="00766A66"/>
    <w:rsid w:val="00766E2C"/>
    <w:rsid w:val="007674D0"/>
    <w:rsid w:val="007676E7"/>
    <w:rsid w:val="00767828"/>
    <w:rsid w:val="007700EB"/>
    <w:rsid w:val="00770B5C"/>
    <w:rsid w:val="00770F8E"/>
    <w:rsid w:val="00771212"/>
    <w:rsid w:val="00771B3D"/>
    <w:rsid w:val="00771EB7"/>
    <w:rsid w:val="00772027"/>
    <w:rsid w:val="00772060"/>
    <w:rsid w:val="00772AB7"/>
    <w:rsid w:val="00772D83"/>
    <w:rsid w:val="00773049"/>
    <w:rsid w:val="007731D2"/>
    <w:rsid w:val="00773328"/>
    <w:rsid w:val="00774127"/>
    <w:rsid w:val="007744DB"/>
    <w:rsid w:val="0077477C"/>
    <w:rsid w:val="007749DD"/>
    <w:rsid w:val="00774B59"/>
    <w:rsid w:val="007750A8"/>
    <w:rsid w:val="007753B3"/>
    <w:rsid w:val="00775AF7"/>
    <w:rsid w:val="00776469"/>
    <w:rsid w:val="007768F7"/>
    <w:rsid w:val="007776C4"/>
    <w:rsid w:val="007779D3"/>
    <w:rsid w:val="007800ED"/>
    <w:rsid w:val="007803ED"/>
    <w:rsid w:val="00780EA6"/>
    <w:rsid w:val="0078260A"/>
    <w:rsid w:val="007826D6"/>
    <w:rsid w:val="00782B03"/>
    <w:rsid w:val="00783153"/>
    <w:rsid w:val="0078315D"/>
    <w:rsid w:val="007833F0"/>
    <w:rsid w:val="0078359E"/>
    <w:rsid w:val="00783D10"/>
    <w:rsid w:val="00783F8F"/>
    <w:rsid w:val="007840B0"/>
    <w:rsid w:val="007849A5"/>
    <w:rsid w:val="0078512B"/>
    <w:rsid w:val="007856E2"/>
    <w:rsid w:val="00785CC1"/>
    <w:rsid w:val="007863E0"/>
    <w:rsid w:val="0078649D"/>
    <w:rsid w:val="0078651A"/>
    <w:rsid w:val="007865D5"/>
    <w:rsid w:val="00786F88"/>
    <w:rsid w:val="00786FA5"/>
    <w:rsid w:val="007872C3"/>
    <w:rsid w:val="007873A7"/>
    <w:rsid w:val="0078788F"/>
    <w:rsid w:val="00790D31"/>
    <w:rsid w:val="00790DBB"/>
    <w:rsid w:val="00790E07"/>
    <w:rsid w:val="00791023"/>
    <w:rsid w:val="0079150E"/>
    <w:rsid w:val="007921B1"/>
    <w:rsid w:val="00792225"/>
    <w:rsid w:val="0079255D"/>
    <w:rsid w:val="00792687"/>
    <w:rsid w:val="00793208"/>
    <w:rsid w:val="00793785"/>
    <w:rsid w:val="00793954"/>
    <w:rsid w:val="00793D32"/>
    <w:rsid w:val="00794120"/>
    <w:rsid w:val="00795D34"/>
    <w:rsid w:val="00796261"/>
    <w:rsid w:val="00796E71"/>
    <w:rsid w:val="0079732F"/>
    <w:rsid w:val="0079769C"/>
    <w:rsid w:val="007A0210"/>
    <w:rsid w:val="007A0C21"/>
    <w:rsid w:val="007A0F84"/>
    <w:rsid w:val="007A11D7"/>
    <w:rsid w:val="007A1354"/>
    <w:rsid w:val="007A31D9"/>
    <w:rsid w:val="007A3706"/>
    <w:rsid w:val="007A3DEF"/>
    <w:rsid w:val="007A3E5D"/>
    <w:rsid w:val="007A5227"/>
    <w:rsid w:val="007A5D52"/>
    <w:rsid w:val="007A60F3"/>
    <w:rsid w:val="007A73AD"/>
    <w:rsid w:val="007A7DD4"/>
    <w:rsid w:val="007B0A83"/>
    <w:rsid w:val="007B1621"/>
    <w:rsid w:val="007B1643"/>
    <w:rsid w:val="007B1DCA"/>
    <w:rsid w:val="007B1F23"/>
    <w:rsid w:val="007B2976"/>
    <w:rsid w:val="007B2B08"/>
    <w:rsid w:val="007B2B1E"/>
    <w:rsid w:val="007B2C1D"/>
    <w:rsid w:val="007B2D30"/>
    <w:rsid w:val="007B35C1"/>
    <w:rsid w:val="007B38C2"/>
    <w:rsid w:val="007B3D12"/>
    <w:rsid w:val="007B4015"/>
    <w:rsid w:val="007B40F9"/>
    <w:rsid w:val="007B5351"/>
    <w:rsid w:val="007B54B9"/>
    <w:rsid w:val="007B5D8B"/>
    <w:rsid w:val="007B5F7C"/>
    <w:rsid w:val="007B61AC"/>
    <w:rsid w:val="007B631E"/>
    <w:rsid w:val="007B649E"/>
    <w:rsid w:val="007B6914"/>
    <w:rsid w:val="007B6ABD"/>
    <w:rsid w:val="007B6BB7"/>
    <w:rsid w:val="007B70FE"/>
    <w:rsid w:val="007B7124"/>
    <w:rsid w:val="007B7282"/>
    <w:rsid w:val="007C0979"/>
    <w:rsid w:val="007C1976"/>
    <w:rsid w:val="007C331D"/>
    <w:rsid w:val="007C3803"/>
    <w:rsid w:val="007C3BF5"/>
    <w:rsid w:val="007C4DE5"/>
    <w:rsid w:val="007C56BF"/>
    <w:rsid w:val="007C5756"/>
    <w:rsid w:val="007C6F23"/>
    <w:rsid w:val="007C7AD3"/>
    <w:rsid w:val="007D031D"/>
    <w:rsid w:val="007D03B1"/>
    <w:rsid w:val="007D0755"/>
    <w:rsid w:val="007D0D22"/>
    <w:rsid w:val="007D1073"/>
    <w:rsid w:val="007D16A2"/>
    <w:rsid w:val="007D1A32"/>
    <w:rsid w:val="007D1D65"/>
    <w:rsid w:val="007D24B5"/>
    <w:rsid w:val="007D2A83"/>
    <w:rsid w:val="007D4031"/>
    <w:rsid w:val="007D522F"/>
    <w:rsid w:val="007D5902"/>
    <w:rsid w:val="007D5D96"/>
    <w:rsid w:val="007D5ED3"/>
    <w:rsid w:val="007D684B"/>
    <w:rsid w:val="007D770E"/>
    <w:rsid w:val="007E0082"/>
    <w:rsid w:val="007E0CE4"/>
    <w:rsid w:val="007E198F"/>
    <w:rsid w:val="007E1A6A"/>
    <w:rsid w:val="007E1C6C"/>
    <w:rsid w:val="007E2BD5"/>
    <w:rsid w:val="007E2C0C"/>
    <w:rsid w:val="007E3467"/>
    <w:rsid w:val="007E4058"/>
    <w:rsid w:val="007E4BFD"/>
    <w:rsid w:val="007E514A"/>
    <w:rsid w:val="007E571F"/>
    <w:rsid w:val="007E68C5"/>
    <w:rsid w:val="007E6B31"/>
    <w:rsid w:val="007E6CA3"/>
    <w:rsid w:val="007E6D98"/>
    <w:rsid w:val="007E702A"/>
    <w:rsid w:val="007F0361"/>
    <w:rsid w:val="007F1058"/>
    <w:rsid w:val="007F11C0"/>
    <w:rsid w:val="007F165D"/>
    <w:rsid w:val="007F18BD"/>
    <w:rsid w:val="007F1CA3"/>
    <w:rsid w:val="007F251F"/>
    <w:rsid w:val="007F2766"/>
    <w:rsid w:val="007F2771"/>
    <w:rsid w:val="007F27A9"/>
    <w:rsid w:val="007F296B"/>
    <w:rsid w:val="007F30BA"/>
    <w:rsid w:val="007F39B5"/>
    <w:rsid w:val="007F3A50"/>
    <w:rsid w:val="007F3B0A"/>
    <w:rsid w:val="007F4857"/>
    <w:rsid w:val="007F521F"/>
    <w:rsid w:val="007F5481"/>
    <w:rsid w:val="007F5515"/>
    <w:rsid w:val="007F5525"/>
    <w:rsid w:val="007F559E"/>
    <w:rsid w:val="007F5713"/>
    <w:rsid w:val="007F58BF"/>
    <w:rsid w:val="007F692F"/>
    <w:rsid w:val="007F72E2"/>
    <w:rsid w:val="007F72FA"/>
    <w:rsid w:val="007F7FF5"/>
    <w:rsid w:val="00800198"/>
    <w:rsid w:val="00800232"/>
    <w:rsid w:val="00800F74"/>
    <w:rsid w:val="00801314"/>
    <w:rsid w:val="00801F14"/>
    <w:rsid w:val="00802252"/>
    <w:rsid w:val="008026CE"/>
    <w:rsid w:val="008033F6"/>
    <w:rsid w:val="008034CE"/>
    <w:rsid w:val="008037CF"/>
    <w:rsid w:val="008045DE"/>
    <w:rsid w:val="0080490B"/>
    <w:rsid w:val="00804CAB"/>
    <w:rsid w:val="00805047"/>
    <w:rsid w:val="00805098"/>
    <w:rsid w:val="00805AB9"/>
    <w:rsid w:val="0080686F"/>
    <w:rsid w:val="00807C1D"/>
    <w:rsid w:val="008100EC"/>
    <w:rsid w:val="008102F7"/>
    <w:rsid w:val="008105B0"/>
    <w:rsid w:val="008108CD"/>
    <w:rsid w:val="00810A58"/>
    <w:rsid w:val="00810B21"/>
    <w:rsid w:val="00810B9C"/>
    <w:rsid w:val="00810F72"/>
    <w:rsid w:val="008112B1"/>
    <w:rsid w:val="008114BF"/>
    <w:rsid w:val="00812047"/>
    <w:rsid w:val="00813219"/>
    <w:rsid w:val="008138F7"/>
    <w:rsid w:val="00813A21"/>
    <w:rsid w:val="00814EEE"/>
    <w:rsid w:val="0081528A"/>
    <w:rsid w:val="0081554C"/>
    <w:rsid w:val="00815C51"/>
    <w:rsid w:val="00815E4D"/>
    <w:rsid w:val="0081618F"/>
    <w:rsid w:val="008165C0"/>
    <w:rsid w:val="00816CD4"/>
    <w:rsid w:val="00816CE0"/>
    <w:rsid w:val="008177AC"/>
    <w:rsid w:val="00817E28"/>
    <w:rsid w:val="008206A2"/>
    <w:rsid w:val="00820BDF"/>
    <w:rsid w:val="00820FA3"/>
    <w:rsid w:val="008210EA"/>
    <w:rsid w:val="008212A0"/>
    <w:rsid w:val="008212E9"/>
    <w:rsid w:val="0082133B"/>
    <w:rsid w:val="00821E96"/>
    <w:rsid w:val="00822075"/>
    <w:rsid w:val="008222A1"/>
    <w:rsid w:val="008223CE"/>
    <w:rsid w:val="00822BB0"/>
    <w:rsid w:val="0082357F"/>
    <w:rsid w:val="00823A88"/>
    <w:rsid w:val="00823F71"/>
    <w:rsid w:val="00824A2E"/>
    <w:rsid w:val="00825075"/>
    <w:rsid w:val="00825526"/>
    <w:rsid w:val="00825B9B"/>
    <w:rsid w:val="00825CBD"/>
    <w:rsid w:val="00825F86"/>
    <w:rsid w:val="0082635C"/>
    <w:rsid w:val="008272FC"/>
    <w:rsid w:val="00827840"/>
    <w:rsid w:val="008300DF"/>
    <w:rsid w:val="008303CB"/>
    <w:rsid w:val="00830600"/>
    <w:rsid w:val="00830929"/>
    <w:rsid w:val="00830BF3"/>
    <w:rsid w:val="00831487"/>
    <w:rsid w:val="00831A84"/>
    <w:rsid w:val="00831C2B"/>
    <w:rsid w:val="00831D9A"/>
    <w:rsid w:val="00831EB2"/>
    <w:rsid w:val="008320B0"/>
    <w:rsid w:val="008327C5"/>
    <w:rsid w:val="00832A6C"/>
    <w:rsid w:val="00832CEF"/>
    <w:rsid w:val="00833504"/>
    <w:rsid w:val="008335D9"/>
    <w:rsid w:val="0083373E"/>
    <w:rsid w:val="00833AD7"/>
    <w:rsid w:val="00833D24"/>
    <w:rsid w:val="008340F2"/>
    <w:rsid w:val="00834408"/>
    <w:rsid w:val="0083444F"/>
    <w:rsid w:val="0083465B"/>
    <w:rsid w:val="00834B35"/>
    <w:rsid w:val="0083576A"/>
    <w:rsid w:val="00835960"/>
    <w:rsid w:val="008367EF"/>
    <w:rsid w:val="00836A79"/>
    <w:rsid w:val="00837368"/>
    <w:rsid w:val="008376D5"/>
    <w:rsid w:val="00840CD9"/>
    <w:rsid w:val="00840E00"/>
    <w:rsid w:val="008410EE"/>
    <w:rsid w:val="0084136C"/>
    <w:rsid w:val="00841498"/>
    <w:rsid w:val="00841657"/>
    <w:rsid w:val="00841FB8"/>
    <w:rsid w:val="00841FEB"/>
    <w:rsid w:val="0084212D"/>
    <w:rsid w:val="00842995"/>
    <w:rsid w:val="008430BC"/>
    <w:rsid w:val="00843E37"/>
    <w:rsid w:val="00844390"/>
    <w:rsid w:val="00844B04"/>
    <w:rsid w:val="00844C05"/>
    <w:rsid w:val="0084531E"/>
    <w:rsid w:val="00845680"/>
    <w:rsid w:val="00845742"/>
    <w:rsid w:val="0084608E"/>
    <w:rsid w:val="008462F2"/>
    <w:rsid w:val="008463C2"/>
    <w:rsid w:val="008465FA"/>
    <w:rsid w:val="00846808"/>
    <w:rsid w:val="00846B4A"/>
    <w:rsid w:val="00846BE5"/>
    <w:rsid w:val="00846E54"/>
    <w:rsid w:val="00846FF9"/>
    <w:rsid w:val="008476C1"/>
    <w:rsid w:val="008504B2"/>
    <w:rsid w:val="008507D7"/>
    <w:rsid w:val="008508D0"/>
    <w:rsid w:val="00850A27"/>
    <w:rsid w:val="008510A2"/>
    <w:rsid w:val="00851DC3"/>
    <w:rsid w:val="00851EC0"/>
    <w:rsid w:val="00851EE0"/>
    <w:rsid w:val="0085221E"/>
    <w:rsid w:val="00852247"/>
    <w:rsid w:val="00852F20"/>
    <w:rsid w:val="0085304E"/>
    <w:rsid w:val="008530DC"/>
    <w:rsid w:val="0085322B"/>
    <w:rsid w:val="008534AC"/>
    <w:rsid w:val="00853769"/>
    <w:rsid w:val="008541A1"/>
    <w:rsid w:val="008544B2"/>
    <w:rsid w:val="00854B04"/>
    <w:rsid w:val="0085516C"/>
    <w:rsid w:val="008551F3"/>
    <w:rsid w:val="00855420"/>
    <w:rsid w:val="0085595A"/>
    <w:rsid w:val="00856903"/>
    <w:rsid w:val="00856CDB"/>
    <w:rsid w:val="008577AE"/>
    <w:rsid w:val="00857D7B"/>
    <w:rsid w:val="00860236"/>
    <w:rsid w:val="008603D5"/>
    <w:rsid w:val="00860C00"/>
    <w:rsid w:val="00861294"/>
    <w:rsid w:val="0086159D"/>
    <w:rsid w:val="00861D1A"/>
    <w:rsid w:val="00862364"/>
    <w:rsid w:val="00862B71"/>
    <w:rsid w:val="00862FB0"/>
    <w:rsid w:val="008631AB"/>
    <w:rsid w:val="008634F5"/>
    <w:rsid w:val="0086362E"/>
    <w:rsid w:val="0086367B"/>
    <w:rsid w:val="008636ED"/>
    <w:rsid w:val="00863B90"/>
    <w:rsid w:val="00863DE2"/>
    <w:rsid w:val="00863FC4"/>
    <w:rsid w:val="008643F0"/>
    <w:rsid w:val="00866285"/>
    <w:rsid w:val="00867C1D"/>
    <w:rsid w:val="008701E5"/>
    <w:rsid w:val="00870F30"/>
    <w:rsid w:val="008714B5"/>
    <w:rsid w:val="008718A6"/>
    <w:rsid w:val="00871987"/>
    <w:rsid w:val="008722FC"/>
    <w:rsid w:val="0087232C"/>
    <w:rsid w:val="00872C12"/>
    <w:rsid w:val="00872D84"/>
    <w:rsid w:val="00873A30"/>
    <w:rsid w:val="00873F94"/>
    <w:rsid w:val="00874468"/>
    <w:rsid w:val="00874AF6"/>
    <w:rsid w:val="00874E6C"/>
    <w:rsid w:val="008751FF"/>
    <w:rsid w:val="008753B2"/>
    <w:rsid w:val="0087590B"/>
    <w:rsid w:val="00875B44"/>
    <w:rsid w:val="00875F18"/>
    <w:rsid w:val="0087638B"/>
    <w:rsid w:val="008765A2"/>
    <w:rsid w:val="0087667B"/>
    <w:rsid w:val="00876DC4"/>
    <w:rsid w:val="00877BDA"/>
    <w:rsid w:val="00877BFD"/>
    <w:rsid w:val="00877E19"/>
    <w:rsid w:val="00880DA5"/>
    <w:rsid w:val="0088128E"/>
    <w:rsid w:val="00881422"/>
    <w:rsid w:val="00882733"/>
    <w:rsid w:val="00882C4C"/>
    <w:rsid w:val="00883790"/>
    <w:rsid w:val="00883F1F"/>
    <w:rsid w:val="008840CF"/>
    <w:rsid w:val="00884281"/>
    <w:rsid w:val="00884988"/>
    <w:rsid w:val="00885347"/>
    <w:rsid w:val="008858EC"/>
    <w:rsid w:val="0088665A"/>
    <w:rsid w:val="00886941"/>
    <w:rsid w:val="00886D2C"/>
    <w:rsid w:val="008871F5"/>
    <w:rsid w:val="00887472"/>
    <w:rsid w:val="0088760C"/>
    <w:rsid w:val="00887FF3"/>
    <w:rsid w:val="00890742"/>
    <w:rsid w:val="008912E8"/>
    <w:rsid w:val="00892255"/>
    <w:rsid w:val="0089225F"/>
    <w:rsid w:val="00892330"/>
    <w:rsid w:val="008924A8"/>
    <w:rsid w:val="00892637"/>
    <w:rsid w:val="00892956"/>
    <w:rsid w:val="00892ACD"/>
    <w:rsid w:val="008947F3"/>
    <w:rsid w:val="0089480A"/>
    <w:rsid w:val="00894A80"/>
    <w:rsid w:val="00894D6D"/>
    <w:rsid w:val="008957AB"/>
    <w:rsid w:val="008960F9"/>
    <w:rsid w:val="0089615E"/>
    <w:rsid w:val="0089659D"/>
    <w:rsid w:val="0089673E"/>
    <w:rsid w:val="00896906"/>
    <w:rsid w:val="00897228"/>
    <w:rsid w:val="008972F0"/>
    <w:rsid w:val="00897C01"/>
    <w:rsid w:val="00897F28"/>
    <w:rsid w:val="008A017D"/>
    <w:rsid w:val="008A07D2"/>
    <w:rsid w:val="008A07D3"/>
    <w:rsid w:val="008A18A3"/>
    <w:rsid w:val="008A1BBD"/>
    <w:rsid w:val="008A1DC7"/>
    <w:rsid w:val="008A267B"/>
    <w:rsid w:val="008A2AC9"/>
    <w:rsid w:val="008A3C74"/>
    <w:rsid w:val="008A3E54"/>
    <w:rsid w:val="008A4626"/>
    <w:rsid w:val="008A4E80"/>
    <w:rsid w:val="008A58B0"/>
    <w:rsid w:val="008A5EDF"/>
    <w:rsid w:val="008A61CC"/>
    <w:rsid w:val="008A6AA4"/>
    <w:rsid w:val="008A6F9B"/>
    <w:rsid w:val="008A7437"/>
    <w:rsid w:val="008A750C"/>
    <w:rsid w:val="008A7868"/>
    <w:rsid w:val="008A7E38"/>
    <w:rsid w:val="008A7E7D"/>
    <w:rsid w:val="008B0C28"/>
    <w:rsid w:val="008B15A7"/>
    <w:rsid w:val="008B1BCF"/>
    <w:rsid w:val="008B1BF3"/>
    <w:rsid w:val="008B225A"/>
    <w:rsid w:val="008B2713"/>
    <w:rsid w:val="008B31A5"/>
    <w:rsid w:val="008B3745"/>
    <w:rsid w:val="008B442F"/>
    <w:rsid w:val="008B47C8"/>
    <w:rsid w:val="008B55D4"/>
    <w:rsid w:val="008B5896"/>
    <w:rsid w:val="008B5E03"/>
    <w:rsid w:val="008B6A7E"/>
    <w:rsid w:val="008B7132"/>
    <w:rsid w:val="008B7CDE"/>
    <w:rsid w:val="008C0565"/>
    <w:rsid w:val="008C08D9"/>
    <w:rsid w:val="008C0E72"/>
    <w:rsid w:val="008C10AA"/>
    <w:rsid w:val="008C1AA1"/>
    <w:rsid w:val="008C2015"/>
    <w:rsid w:val="008C257F"/>
    <w:rsid w:val="008C2686"/>
    <w:rsid w:val="008C3E20"/>
    <w:rsid w:val="008C3EAB"/>
    <w:rsid w:val="008C4A65"/>
    <w:rsid w:val="008C4C74"/>
    <w:rsid w:val="008C4C92"/>
    <w:rsid w:val="008C4D83"/>
    <w:rsid w:val="008C5C23"/>
    <w:rsid w:val="008C6909"/>
    <w:rsid w:val="008C6988"/>
    <w:rsid w:val="008C7273"/>
    <w:rsid w:val="008C747F"/>
    <w:rsid w:val="008C7537"/>
    <w:rsid w:val="008C75C1"/>
    <w:rsid w:val="008C7768"/>
    <w:rsid w:val="008C783F"/>
    <w:rsid w:val="008C787E"/>
    <w:rsid w:val="008C7A88"/>
    <w:rsid w:val="008D0005"/>
    <w:rsid w:val="008D059D"/>
    <w:rsid w:val="008D12B0"/>
    <w:rsid w:val="008D191B"/>
    <w:rsid w:val="008D1B85"/>
    <w:rsid w:val="008D22C0"/>
    <w:rsid w:val="008D2F44"/>
    <w:rsid w:val="008D3BEA"/>
    <w:rsid w:val="008D3F4F"/>
    <w:rsid w:val="008D46FF"/>
    <w:rsid w:val="008D492A"/>
    <w:rsid w:val="008D4F66"/>
    <w:rsid w:val="008D5279"/>
    <w:rsid w:val="008D5545"/>
    <w:rsid w:val="008D5620"/>
    <w:rsid w:val="008D6102"/>
    <w:rsid w:val="008D636E"/>
    <w:rsid w:val="008D6697"/>
    <w:rsid w:val="008D67F2"/>
    <w:rsid w:val="008D6AC7"/>
    <w:rsid w:val="008D7051"/>
    <w:rsid w:val="008D7063"/>
    <w:rsid w:val="008D79F8"/>
    <w:rsid w:val="008E0762"/>
    <w:rsid w:val="008E0A13"/>
    <w:rsid w:val="008E0F5B"/>
    <w:rsid w:val="008E16A2"/>
    <w:rsid w:val="008E1756"/>
    <w:rsid w:val="008E1826"/>
    <w:rsid w:val="008E18CF"/>
    <w:rsid w:val="008E2AA6"/>
    <w:rsid w:val="008E3144"/>
    <w:rsid w:val="008E34AC"/>
    <w:rsid w:val="008E3783"/>
    <w:rsid w:val="008E3784"/>
    <w:rsid w:val="008E40E7"/>
    <w:rsid w:val="008E4538"/>
    <w:rsid w:val="008E4953"/>
    <w:rsid w:val="008E4A69"/>
    <w:rsid w:val="008E4AC7"/>
    <w:rsid w:val="008E5EEC"/>
    <w:rsid w:val="008E6609"/>
    <w:rsid w:val="008E68FE"/>
    <w:rsid w:val="008E6A66"/>
    <w:rsid w:val="008E7B7F"/>
    <w:rsid w:val="008F061D"/>
    <w:rsid w:val="008F0A26"/>
    <w:rsid w:val="008F11EB"/>
    <w:rsid w:val="008F25F5"/>
    <w:rsid w:val="008F286C"/>
    <w:rsid w:val="008F2AAB"/>
    <w:rsid w:val="008F2CA4"/>
    <w:rsid w:val="008F2E7C"/>
    <w:rsid w:val="008F3107"/>
    <w:rsid w:val="008F3469"/>
    <w:rsid w:val="008F3BB7"/>
    <w:rsid w:val="008F4314"/>
    <w:rsid w:val="008F4DCB"/>
    <w:rsid w:val="008F4F1A"/>
    <w:rsid w:val="008F530B"/>
    <w:rsid w:val="008F6044"/>
    <w:rsid w:val="008F6143"/>
    <w:rsid w:val="008F619D"/>
    <w:rsid w:val="008F66AF"/>
    <w:rsid w:val="008F6A6F"/>
    <w:rsid w:val="008F6C85"/>
    <w:rsid w:val="008F78F4"/>
    <w:rsid w:val="008F7949"/>
    <w:rsid w:val="009002BE"/>
    <w:rsid w:val="00900FB1"/>
    <w:rsid w:val="00901A4D"/>
    <w:rsid w:val="00901EE8"/>
    <w:rsid w:val="0090202D"/>
    <w:rsid w:val="00902395"/>
    <w:rsid w:val="00903725"/>
    <w:rsid w:val="009038BB"/>
    <w:rsid w:val="009039A2"/>
    <w:rsid w:val="00903F96"/>
    <w:rsid w:val="009046D9"/>
    <w:rsid w:val="00904C71"/>
    <w:rsid w:val="00904C7B"/>
    <w:rsid w:val="0090562D"/>
    <w:rsid w:val="00905C38"/>
    <w:rsid w:val="00906519"/>
    <w:rsid w:val="0091031C"/>
    <w:rsid w:val="00910B05"/>
    <w:rsid w:val="00910B93"/>
    <w:rsid w:val="00910D1F"/>
    <w:rsid w:val="00910D78"/>
    <w:rsid w:val="00910D9B"/>
    <w:rsid w:val="00911B83"/>
    <w:rsid w:val="00911F50"/>
    <w:rsid w:val="00911F86"/>
    <w:rsid w:val="00912356"/>
    <w:rsid w:val="00912AD5"/>
    <w:rsid w:val="00912C21"/>
    <w:rsid w:val="00913C2D"/>
    <w:rsid w:val="00914720"/>
    <w:rsid w:val="009148CA"/>
    <w:rsid w:val="009148E3"/>
    <w:rsid w:val="00914DBB"/>
    <w:rsid w:val="00914E1B"/>
    <w:rsid w:val="00914F73"/>
    <w:rsid w:val="009156BA"/>
    <w:rsid w:val="009163B5"/>
    <w:rsid w:val="009163E6"/>
    <w:rsid w:val="0091656E"/>
    <w:rsid w:val="00916666"/>
    <w:rsid w:val="00916AFB"/>
    <w:rsid w:val="00916B61"/>
    <w:rsid w:val="00916CAA"/>
    <w:rsid w:val="009171AD"/>
    <w:rsid w:val="00917C11"/>
    <w:rsid w:val="00920335"/>
    <w:rsid w:val="00920DDC"/>
    <w:rsid w:val="00921D40"/>
    <w:rsid w:val="009225C1"/>
    <w:rsid w:val="009229BD"/>
    <w:rsid w:val="00922C8B"/>
    <w:rsid w:val="009233B2"/>
    <w:rsid w:val="0092383D"/>
    <w:rsid w:val="009249E2"/>
    <w:rsid w:val="00924D51"/>
    <w:rsid w:val="00924D74"/>
    <w:rsid w:val="00925241"/>
    <w:rsid w:val="00925772"/>
    <w:rsid w:val="00925789"/>
    <w:rsid w:val="00925EF0"/>
    <w:rsid w:val="009267CB"/>
    <w:rsid w:val="009269EC"/>
    <w:rsid w:val="00926AF2"/>
    <w:rsid w:val="00927B68"/>
    <w:rsid w:val="00927C0C"/>
    <w:rsid w:val="00927FED"/>
    <w:rsid w:val="009305D5"/>
    <w:rsid w:val="00930D10"/>
    <w:rsid w:val="00930DDD"/>
    <w:rsid w:val="00931023"/>
    <w:rsid w:val="00931483"/>
    <w:rsid w:val="009315CF"/>
    <w:rsid w:val="00931718"/>
    <w:rsid w:val="00931A95"/>
    <w:rsid w:val="00931B4A"/>
    <w:rsid w:val="00931BB3"/>
    <w:rsid w:val="009332E6"/>
    <w:rsid w:val="00934249"/>
    <w:rsid w:val="0093473A"/>
    <w:rsid w:val="00934A93"/>
    <w:rsid w:val="00934C16"/>
    <w:rsid w:val="00934D19"/>
    <w:rsid w:val="00934DF0"/>
    <w:rsid w:val="00935993"/>
    <w:rsid w:val="00935D31"/>
    <w:rsid w:val="0093637D"/>
    <w:rsid w:val="00936939"/>
    <w:rsid w:val="00936A2A"/>
    <w:rsid w:val="00936C81"/>
    <w:rsid w:val="009378AA"/>
    <w:rsid w:val="00937AFE"/>
    <w:rsid w:val="00937D57"/>
    <w:rsid w:val="00937DCB"/>
    <w:rsid w:val="009403FB"/>
    <w:rsid w:val="00940608"/>
    <w:rsid w:val="00940833"/>
    <w:rsid w:val="0094108D"/>
    <w:rsid w:val="00941318"/>
    <w:rsid w:val="0094132E"/>
    <w:rsid w:val="0094160F"/>
    <w:rsid w:val="009416FE"/>
    <w:rsid w:val="00941D29"/>
    <w:rsid w:val="0094243C"/>
    <w:rsid w:val="00942B40"/>
    <w:rsid w:val="0094314B"/>
    <w:rsid w:val="00943AD8"/>
    <w:rsid w:val="00943B45"/>
    <w:rsid w:val="00944CE3"/>
    <w:rsid w:val="00944D33"/>
    <w:rsid w:val="00945025"/>
    <w:rsid w:val="00945DF9"/>
    <w:rsid w:val="00946A02"/>
    <w:rsid w:val="00946B34"/>
    <w:rsid w:val="00946EA4"/>
    <w:rsid w:val="00947940"/>
    <w:rsid w:val="00947E45"/>
    <w:rsid w:val="00950328"/>
    <w:rsid w:val="00950449"/>
    <w:rsid w:val="00950752"/>
    <w:rsid w:val="00950B39"/>
    <w:rsid w:val="00950BB7"/>
    <w:rsid w:val="00951BB3"/>
    <w:rsid w:val="00952414"/>
    <w:rsid w:val="00952B12"/>
    <w:rsid w:val="00952B5F"/>
    <w:rsid w:val="0095321C"/>
    <w:rsid w:val="00953229"/>
    <w:rsid w:val="00953889"/>
    <w:rsid w:val="00954839"/>
    <w:rsid w:val="0095523B"/>
    <w:rsid w:val="00955792"/>
    <w:rsid w:val="00955A88"/>
    <w:rsid w:val="00956774"/>
    <w:rsid w:val="009568B5"/>
    <w:rsid w:val="00957162"/>
    <w:rsid w:val="009571B2"/>
    <w:rsid w:val="0095732B"/>
    <w:rsid w:val="00957C32"/>
    <w:rsid w:val="009607D0"/>
    <w:rsid w:val="00961B39"/>
    <w:rsid w:val="00961FB6"/>
    <w:rsid w:val="00962AEB"/>
    <w:rsid w:val="00962C79"/>
    <w:rsid w:val="00963406"/>
    <w:rsid w:val="00963CE5"/>
    <w:rsid w:val="009642F8"/>
    <w:rsid w:val="00964B9D"/>
    <w:rsid w:val="00964E54"/>
    <w:rsid w:val="00965526"/>
    <w:rsid w:val="00965D94"/>
    <w:rsid w:val="00965ED1"/>
    <w:rsid w:val="00966990"/>
    <w:rsid w:val="009669BB"/>
    <w:rsid w:val="00966F3A"/>
    <w:rsid w:val="0096707C"/>
    <w:rsid w:val="009679E9"/>
    <w:rsid w:val="00970160"/>
    <w:rsid w:val="00970371"/>
    <w:rsid w:val="00970575"/>
    <w:rsid w:val="00970AFC"/>
    <w:rsid w:val="00970E21"/>
    <w:rsid w:val="00971DD4"/>
    <w:rsid w:val="0097238D"/>
    <w:rsid w:val="00972A9B"/>
    <w:rsid w:val="00972FC0"/>
    <w:rsid w:val="00973250"/>
    <w:rsid w:val="0097372C"/>
    <w:rsid w:val="00973AE8"/>
    <w:rsid w:val="00973B36"/>
    <w:rsid w:val="00974414"/>
    <w:rsid w:val="00974524"/>
    <w:rsid w:val="009745B5"/>
    <w:rsid w:val="00974950"/>
    <w:rsid w:val="00974B6C"/>
    <w:rsid w:val="00974DCB"/>
    <w:rsid w:val="00974E0C"/>
    <w:rsid w:val="00975C47"/>
    <w:rsid w:val="00975C59"/>
    <w:rsid w:val="009761CD"/>
    <w:rsid w:val="009762A7"/>
    <w:rsid w:val="00976957"/>
    <w:rsid w:val="00976963"/>
    <w:rsid w:val="00976BAD"/>
    <w:rsid w:val="00976D1F"/>
    <w:rsid w:val="009772F1"/>
    <w:rsid w:val="00977823"/>
    <w:rsid w:val="00980268"/>
    <w:rsid w:val="00980A1B"/>
    <w:rsid w:val="0098198C"/>
    <w:rsid w:val="00981FE4"/>
    <w:rsid w:val="00981FF5"/>
    <w:rsid w:val="00982A4F"/>
    <w:rsid w:val="009834C7"/>
    <w:rsid w:val="0098386E"/>
    <w:rsid w:val="00984056"/>
    <w:rsid w:val="0098697E"/>
    <w:rsid w:val="00986A0B"/>
    <w:rsid w:val="009870CC"/>
    <w:rsid w:val="009874DE"/>
    <w:rsid w:val="00987A8A"/>
    <w:rsid w:val="00987ADB"/>
    <w:rsid w:val="009906B6"/>
    <w:rsid w:val="009906C5"/>
    <w:rsid w:val="00990702"/>
    <w:rsid w:val="00990856"/>
    <w:rsid w:val="009908DB"/>
    <w:rsid w:val="00991728"/>
    <w:rsid w:val="00991B4D"/>
    <w:rsid w:val="00992199"/>
    <w:rsid w:val="009925A8"/>
    <w:rsid w:val="00992F12"/>
    <w:rsid w:val="00992FA0"/>
    <w:rsid w:val="00993046"/>
    <w:rsid w:val="00993F98"/>
    <w:rsid w:val="0099436A"/>
    <w:rsid w:val="00994998"/>
    <w:rsid w:val="00994BF2"/>
    <w:rsid w:val="009951AE"/>
    <w:rsid w:val="00995C1F"/>
    <w:rsid w:val="00995C94"/>
    <w:rsid w:val="00995DC2"/>
    <w:rsid w:val="0099712D"/>
    <w:rsid w:val="009975AF"/>
    <w:rsid w:val="00997DCB"/>
    <w:rsid w:val="009A0059"/>
    <w:rsid w:val="009A0CDB"/>
    <w:rsid w:val="009A1052"/>
    <w:rsid w:val="009A19D3"/>
    <w:rsid w:val="009A1BE2"/>
    <w:rsid w:val="009A299A"/>
    <w:rsid w:val="009A29CC"/>
    <w:rsid w:val="009A2AA3"/>
    <w:rsid w:val="009A2E15"/>
    <w:rsid w:val="009A2FFF"/>
    <w:rsid w:val="009A30BB"/>
    <w:rsid w:val="009A35F4"/>
    <w:rsid w:val="009A38FE"/>
    <w:rsid w:val="009A3CC4"/>
    <w:rsid w:val="009A3D49"/>
    <w:rsid w:val="009A49AF"/>
    <w:rsid w:val="009A4F08"/>
    <w:rsid w:val="009A5462"/>
    <w:rsid w:val="009A5608"/>
    <w:rsid w:val="009A59A6"/>
    <w:rsid w:val="009A6017"/>
    <w:rsid w:val="009A6B5E"/>
    <w:rsid w:val="009A6D47"/>
    <w:rsid w:val="009A79C3"/>
    <w:rsid w:val="009B0476"/>
    <w:rsid w:val="009B0872"/>
    <w:rsid w:val="009B1127"/>
    <w:rsid w:val="009B1CA8"/>
    <w:rsid w:val="009B1D26"/>
    <w:rsid w:val="009B1D5A"/>
    <w:rsid w:val="009B1EC0"/>
    <w:rsid w:val="009B2088"/>
    <w:rsid w:val="009B2ACF"/>
    <w:rsid w:val="009B2F36"/>
    <w:rsid w:val="009B333D"/>
    <w:rsid w:val="009B3B21"/>
    <w:rsid w:val="009B3E96"/>
    <w:rsid w:val="009B3FD9"/>
    <w:rsid w:val="009B408A"/>
    <w:rsid w:val="009B4660"/>
    <w:rsid w:val="009B4ACC"/>
    <w:rsid w:val="009B4F95"/>
    <w:rsid w:val="009B4F99"/>
    <w:rsid w:val="009B58C2"/>
    <w:rsid w:val="009B646F"/>
    <w:rsid w:val="009B6937"/>
    <w:rsid w:val="009C0FA4"/>
    <w:rsid w:val="009C1234"/>
    <w:rsid w:val="009C14D6"/>
    <w:rsid w:val="009C1715"/>
    <w:rsid w:val="009C17A1"/>
    <w:rsid w:val="009C19E6"/>
    <w:rsid w:val="009C2DF1"/>
    <w:rsid w:val="009C4788"/>
    <w:rsid w:val="009C5704"/>
    <w:rsid w:val="009C5B0E"/>
    <w:rsid w:val="009C6389"/>
    <w:rsid w:val="009C6C48"/>
    <w:rsid w:val="009C6CD6"/>
    <w:rsid w:val="009C747C"/>
    <w:rsid w:val="009C797E"/>
    <w:rsid w:val="009D1BB2"/>
    <w:rsid w:val="009D316E"/>
    <w:rsid w:val="009D36F1"/>
    <w:rsid w:val="009D3C80"/>
    <w:rsid w:val="009D3F35"/>
    <w:rsid w:val="009D489B"/>
    <w:rsid w:val="009D5427"/>
    <w:rsid w:val="009D597D"/>
    <w:rsid w:val="009D5CD2"/>
    <w:rsid w:val="009D617D"/>
    <w:rsid w:val="009D6891"/>
    <w:rsid w:val="009D7B3D"/>
    <w:rsid w:val="009D7C51"/>
    <w:rsid w:val="009D7E2E"/>
    <w:rsid w:val="009D7E6B"/>
    <w:rsid w:val="009D7E73"/>
    <w:rsid w:val="009E0023"/>
    <w:rsid w:val="009E0404"/>
    <w:rsid w:val="009E07C6"/>
    <w:rsid w:val="009E0893"/>
    <w:rsid w:val="009E0A56"/>
    <w:rsid w:val="009E0BB8"/>
    <w:rsid w:val="009E0F01"/>
    <w:rsid w:val="009E11D8"/>
    <w:rsid w:val="009E1C2E"/>
    <w:rsid w:val="009E1CBF"/>
    <w:rsid w:val="009E207B"/>
    <w:rsid w:val="009E207E"/>
    <w:rsid w:val="009E22DA"/>
    <w:rsid w:val="009E24C9"/>
    <w:rsid w:val="009E2851"/>
    <w:rsid w:val="009E2FBD"/>
    <w:rsid w:val="009E371A"/>
    <w:rsid w:val="009E3B5C"/>
    <w:rsid w:val="009E4FDD"/>
    <w:rsid w:val="009E52E9"/>
    <w:rsid w:val="009E6710"/>
    <w:rsid w:val="009E7885"/>
    <w:rsid w:val="009F154F"/>
    <w:rsid w:val="009F1D45"/>
    <w:rsid w:val="009F2538"/>
    <w:rsid w:val="009F3133"/>
    <w:rsid w:val="009F3569"/>
    <w:rsid w:val="009F3B80"/>
    <w:rsid w:val="009F3CCD"/>
    <w:rsid w:val="009F3E57"/>
    <w:rsid w:val="009F3ED4"/>
    <w:rsid w:val="009F46DC"/>
    <w:rsid w:val="009F5125"/>
    <w:rsid w:val="009F52BC"/>
    <w:rsid w:val="009F567F"/>
    <w:rsid w:val="009F5A87"/>
    <w:rsid w:val="009F5C6E"/>
    <w:rsid w:val="009F5ED5"/>
    <w:rsid w:val="009F60BD"/>
    <w:rsid w:val="009F634E"/>
    <w:rsid w:val="009F68F8"/>
    <w:rsid w:val="009F6A47"/>
    <w:rsid w:val="009F6E61"/>
    <w:rsid w:val="009F6EB4"/>
    <w:rsid w:val="009F78DA"/>
    <w:rsid w:val="009F7DD1"/>
    <w:rsid w:val="009F7EDB"/>
    <w:rsid w:val="00A0090E"/>
    <w:rsid w:val="00A017BC"/>
    <w:rsid w:val="00A01A82"/>
    <w:rsid w:val="00A01E1F"/>
    <w:rsid w:val="00A02C88"/>
    <w:rsid w:val="00A0326E"/>
    <w:rsid w:val="00A033C8"/>
    <w:rsid w:val="00A03456"/>
    <w:rsid w:val="00A039BC"/>
    <w:rsid w:val="00A03B62"/>
    <w:rsid w:val="00A03E13"/>
    <w:rsid w:val="00A042CD"/>
    <w:rsid w:val="00A04D41"/>
    <w:rsid w:val="00A055CA"/>
    <w:rsid w:val="00A06150"/>
    <w:rsid w:val="00A0630A"/>
    <w:rsid w:val="00A067E9"/>
    <w:rsid w:val="00A06C30"/>
    <w:rsid w:val="00A070DF"/>
    <w:rsid w:val="00A07B54"/>
    <w:rsid w:val="00A07F33"/>
    <w:rsid w:val="00A104F2"/>
    <w:rsid w:val="00A104FD"/>
    <w:rsid w:val="00A10813"/>
    <w:rsid w:val="00A10ADD"/>
    <w:rsid w:val="00A10C8C"/>
    <w:rsid w:val="00A10C96"/>
    <w:rsid w:val="00A11AD7"/>
    <w:rsid w:val="00A1215F"/>
    <w:rsid w:val="00A12668"/>
    <w:rsid w:val="00A13312"/>
    <w:rsid w:val="00A13A59"/>
    <w:rsid w:val="00A1410C"/>
    <w:rsid w:val="00A14ECF"/>
    <w:rsid w:val="00A14FE7"/>
    <w:rsid w:val="00A154B0"/>
    <w:rsid w:val="00A15CE7"/>
    <w:rsid w:val="00A16DB9"/>
    <w:rsid w:val="00A17894"/>
    <w:rsid w:val="00A178D2"/>
    <w:rsid w:val="00A17B08"/>
    <w:rsid w:val="00A201E6"/>
    <w:rsid w:val="00A206FC"/>
    <w:rsid w:val="00A2081C"/>
    <w:rsid w:val="00A20D6A"/>
    <w:rsid w:val="00A22C72"/>
    <w:rsid w:val="00A235A2"/>
    <w:rsid w:val="00A23964"/>
    <w:rsid w:val="00A23B97"/>
    <w:rsid w:val="00A23DB7"/>
    <w:rsid w:val="00A24612"/>
    <w:rsid w:val="00A249CA"/>
    <w:rsid w:val="00A24BB4"/>
    <w:rsid w:val="00A24C64"/>
    <w:rsid w:val="00A24F79"/>
    <w:rsid w:val="00A25153"/>
    <w:rsid w:val="00A25815"/>
    <w:rsid w:val="00A2649D"/>
    <w:rsid w:val="00A27802"/>
    <w:rsid w:val="00A27B9D"/>
    <w:rsid w:val="00A27C05"/>
    <w:rsid w:val="00A27F63"/>
    <w:rsid w:val="00A302F8"/>
    <w:rsid w:val="00A30A52"/>
    <w:rsid w:val="00A315BC"/>
    <w:rsid w:val="00A31C27"/>
    <w:rsid w:val="00A31D58"/>
    <w:rsid w:val="00A31F64"/>
    <w:rsid w:val="00A32397"/>
    <w:rsid w:val="00A32C7C"/>
    <w:rsid w:val="00A33010"/>
    <w:rsid w:val="00A3329B"/>
    <w:rsid w:val="00A33E7E"/>
    <w:rsid w:val="00A34849"/>
    <w:rsid w:val="00A3496C"/>
    <w:rsid w:val="00A35354"/>
    <w:rsid w:val="00A356EE"/>
    <w:rsid w:val="00A358A0"/>
    <w:rsid w:val="00A3697F"/>
    <w:rsid w:val="00A36D39"/>
    <w:rsid w:val="00A40103"/>
    <w:rsid w:val="00A4039A"/>
    <w:rsid w:val="00A408DB"/>
    <w:rsid w:val="00A4115E"/>
    <w:rsid w:val="00A4160F"/>
    <w:rsid w:val="00A41B82"/>
    <w:rsid w:val="00A41F72"/>
    <w:rsid w:val="00A42490"/>
    <w:rsid w:val="00A4305A"/>
    <w:rsid w:val="00A43A6A"/>
    <w:rsid w:val="00A43F58"/>
    <w:rsid w:val="00A4433F"/>
    <w:rsid w:val="00A45391"/>
    <w:rsid w:val="00A455E7"/>
    <w:rsid w:val="00A45D78"/>
    <w:rsid w:val="00A461FE"/>
    <w:rsid w:val="00A47359"/>
    <w:rsid w:val="00A504EF"/>
    <w:rsid w:val="00A5089C"/>
    <w:rsid w:val="00A50A09"/>
    <w:rsid w:val="00A50B25"/>
    <w:rsid w:val="00A50E98"/>
    <w:rsid w:val="00A51908"/>
    <w:rsid w:val="00A51E81"/>
    <w:rsid w:val="00A51EDC"/>
    <w:rsid w:val="00A52414"/>
    <w:rsid w:val="00A524E2"/>
    <w:rsid w:val="00A527ED"/>
    <w:rsid w:val="00A529CD"/>
    <w:rsid w:val="00A53093"/>
    <w:rsid w:val="00A54142"/>
    <w:rsid w:val="00A54568"/>
    <w:rsid w:val="00A54E9A"/>
    <w:rsid w:val="00A55EE1"/>
    <w:rsid w:val="00A567C6"/>
    <w:rsid w:val="00A56E0C"/>
    <w:rsid w:val="00A56FB2"/>
    <w:rsid w:val="00A57068"/>
    <w:rsid w:val="00A57FEA"/>
    <w:rsid w:val="00A601E3"/>
    <w:rsid w:val="00A6049B"/>
    <w:rsid w:val="00A604D4"/>
    <w:rsid w:val="00A60564"/>
    <w:rsid w:val="00A605E7"/>
    <w:rsid w:val="00A606B1"/>
    <w:rsid w:val="00A606FB"/>
    <w:rsid w:val="00A6076B"/>
    <w:rsid w:val="00A607BD"/>
    <w:rsid w:val="00A616A7"/>
    <w:rsid w:val="00A61DE0"/>
    <w:rsid w:val="00A62B19"/>
    <w:rsid w:val="00A62D9C"/>
    <w:rsid w:val="00A633EA"/>
    <w:rsid w:val="00A6358C"/>
    <w:rsid w:val="00A639C2"/>
    <w:rsid w:val="00A640F8"/>
    <w:rsid w:val="00A64AFD"/>
    <w:rsid w:val="00A65013"/>
    <w:rsid w:val="00A657CA"/>
    <w:rsid w:val="00A659B8"/>
    <w:rsid w:val="00A65F1F"/>
    <w:rsid w:val="00A661CC"/>
    <w:rsid w:val="00A66350"/>
    <w:rsid w:val="00A6646C"/>
    <w:rsid w:val="00A66676"/>
    <w:rsid w:val="00A667CD"/>
    <w:rsid w:val="00A66CD3"/>
    <w:rsid w:val="00A6710F"/>
    <w:rsid w:val="00A678DF"/>
    <w:rsid w:val="00A67D9B"/>
    <w:rsid w:val="00A706E8"/>
    <w:rsid w:val="00A718FF"/>
    <w:rsid w:val="00A72902"/>
    <w:rsid w:val="00A72C64"/>
    <w:rsid w:val="00A72EB8"/>
    <w:rsid w:val="00A731D3"/>
    <w:rsid w:val="00A74016"/>
    <w:rsid w:val="00A74223"/>
    <w:rsid w:val="00A74A06"/>
    <w:rsid w:val="00A75777"/>
    <w:rsid w:val="00A75C9F"/>
    <w:rsid w:val="00A760F7"/>
    <w:rsid w:val="00A76834"/>
    <w:rsid w:val="00A76ADF"/>
    <w:rsid w:val="00A7756C"/>
    <w:rsid w:val="00A77C30"/>
    <w:rsid w:val="00A80068"/>
    <w:rsid w:val="00A801A7"/>
    <w:rsid w:val="00A805B8"/>
    <w:rsid w:val="00A80BE9"/>
    <w:rsid w:val="00A80CD5"/>
    <w:rsid w:val="00A81273"/>
    <w:rsid w:val="00A819A1"/>
    <w:rsid w:val="00A81AD2"/>
    <w:rsid w:val="00A827F6"/>
    <w:rsid w:val="00A832D7"/>
    <w:rsid w:val="00A83ABB"/>
    <w:rsid w:val="00A842AC"/>
    <w:rsid w:val="00A842CA"/>
    <w:rsid w:val="00A84D88"/>
    <w:rsid w:val="00A84F4D"/>
    <w:rsid w:val="00A84F50"/>
    <w:rsid w:val="00A852A5"/>
    <w:rsid w:val="00A8610C"/>
    <w:rsid w:val="00A8616B"/>
    <w:rsid w:val="00A86499"/>
    <w:rsid w:val="00A86A72"/>
    <w:rsid w:val="00A87702"/>
    <w:rsid w:val="00A8792F"/>
    <w:rsid w:val="00A87B18"/>
    <w:rsid w:val="00A87B90"/>
    <w:rsid w:val="00A90151"/>
    <w:rsid w:val="00A90334"/>
    <w:rsid w:val="00A9067F"/>
    <w:rsid w:val="00A90811"/>
    <w:rsid w:val="00A90C51"/>
    <w:rsid w:val="00A90CCE"/>
    <w:rsid w:val="00A914FD"/>
    <w:rsid w:val="00A91B38"/>
    <w:rsid w:val="00A91B80"/>
    <w:rsid w:val="00A92E59"/>
    <w:rsid w:val="00A936C4"/>
    <w:rsid w:val="00A93D4F"/>
    <w:rsid w:val="00A94F31"/>
    <w:rsid w:val="00A951DE"/>
    <w:rsid w:val="00A952CE"/>
    <w:rsid w:val="00A9544F"/>
    <w:rsid w:val="00A95770"/>
    <w:rsid w:val="00A95B43"/>
    <w:rsid w:val="00A95E2B"/>
    <w:rsid w:val="00A96647"/>
    <w:rsid w:val="00A96855"/>
    <w:rsid w:val="00A96A53"/>
    <w:rsid w:val="00A96DA3"/>
    <w:rsid w:val="00A96E5D"/>
    <w:rsid w:val="00A970D2"/>
    <w:rsid w:val="00A972DA"/>
    <w:rsid w:val="00A97ADA"/>
    <w:rsid w:val="00A97D3A"/>
    <w:rsid w:val="00A97F80"/>
    <w:rsid w:val="00AA07CF"/>
    <w:rsid w:val="00AA1334"/>
    <w:rsid w:val="00AA141A"/>
    <w:rsid w:val="00AA1A75"/>
    <w:rsid w:val="00AA21C4"/>
    <w:rsid w:val="00AA2602"/>
    <w:rsid w:val="00AA2FA7"/>
    <w:rsid w:val="00AA30ED"/>
    <w:rsid w:val="00AA3C6B"/>
    <w:rsid w:val="00AA499F"/>
    <w:rsid w:val="00AA4A3A"/>
    <w:rsid w:val="00AA517D"/>
    <w:rsid w:val="00AA57B2"/>
    <w:rsid w:val="00AA5842"/>
    <w:rsid w:val="00AA633E"/>
    <w:rsid w:val="00AA65ED"/>
    <w:rsid w:val="00AA70BD"/>
    <w:rsid w:val="00AA75A1"/>
    <w:rsid w:val="00AB01A3"/>
    <w:rsid w:val="00AB02CF"/>
    <w:rsid w:val="00AB0644"/>
    <w:rsid w:val="00AB07AA"/>
    <w:rsid w:val="00AB0AC1"/>
    <w:rsid w:val="00AB0D3D"/>
    <w:rsid w:val="00AB0F46"/>
    <w:rsid w:val="00AB114D"/>
    <w:rsid w:val="00AB162E"/>
    <w:rsid w:val="00AB1796"/>
    <w:rsid w:val="00AB1839"/>
    <w:rsid w:val="00AB1ADC"/>
    <w:rsid w:val="00AB2160"/>
    <w:rsid w:val="00AB24BD"/>
    <w:rsid w:val="00AB2781"/>
    <w:rsid w:val="00AB322F"/>
    <w:rsid w:val="00AB3A08"/>
    <w:rsid w:val="00AB3F29"/>
    <w:rsid w:val="00AB4C12"/>
    <w:rsid w:val="00AB4C63"/>
    <w:rsid w:val="00AB4D10"/>
    <w:rsid w:val="00AB4DC2"/>
    <w:rsid w:val="00AB517E"/>
    <w:rsid w:val="00AB5497"/>
    <w:rsid w:val="00AB5501"/>
    <w:rsid w:val="00AB5798"/>
    <w:rsid w:val="00AB61B1"/>
    <w:rsid w:val="00AB75C5"/>
    <w:rsid w:val="00AB7C49"/>
    <w:rsid w:val="00AB7F68"/>
    <w:rsid w:val="00AC1193"/>
    <w:rsid w:val="00AC1A24"/>
    <w:rsid w:val="00AC2C9A"/>
    <w:rsid w:val="00AC2DE7"/>
    <w:rsid w:val="00AC329E"/>
    <w:rsid w:val="00AC3C82"/>
    <w:rsid w:val="00AC4136"/>
    <w:rsid w:val="00AC4315"/>
    <w:rsid w:val="00AC44DD"/>
    <w:rsid w:val="00AC5664"/>
    <w:rsid w:val="00AC5A36"/>
    <w:rsid w:val="00AC5A72"/>
    <w:rsid w:val="00AC5AD1"/>
    <w:rsid w:val="00AC638B"/>
    <w:rsid w:val="00AC646A"/>
    <w:rsid w:val="00AC7DD7"/>
    <w:rsid w:val="00AC7F62"/>
    <w:rsid w:val="00AD1CDB"/>
    <w:rsid w:val="00AD2609"/>
    <w:rsid w:val="00AD285E"/>
    <w:rsid w:val="00AD291B"/>
    <w:rsid w:val="00AD297B"/>
    <w:rsid w:val="00AD2B7D"/>
    <w:rsid w:val="00AD2DD7"/>
    <w:rsid w:val="00AD4912"/>
    <w:rsid w:val="00AD534F"/>
    <w:rsid w:val="00AD6651"/>
    <w:rsid w:val="00AD678A"/>
    <w:rsid w:val="00AD70DA"/>
    <w:rsid w:val="00AD724B"/>
    <w:rsid w:val="00AD7BB8"/>
    <w:rsid w:val="00AE064B"/>
    <w:rsid w:val="00AE0722"/>
    <w:rsid w:val="00AE1492"/>
    <w:rsid w:val="00AE243D"/>
    <w:rsid w:val="00AE39CC"/>
    <w:rsid w:val="00AE3B2B"/>
    <w:rsid w:val="00AE47C1"/>
    <w:rsid w:val="00AE4D94"/>
    <w:rsid w:val="00AE5D4A"/>
    <w:rsid w:val="00AE666C"/>
    <w:rsid w:val="00AE6AC5"/>
    <w:rsid w:val="00AE73D3"/>
    <w:rsid w:val="00AE767B"/>
    <w:rsid w:val="00AE7905"/>
    <w:rsid w:val="00AE7C7E"/>
    <w:rsid w:val="00AE7FE4"/>
    <w:rsid w:val="00AF0653"/>
    <w:rsid w:val="00AF0C04"/>
    <w:rsid w:val="00AF1010"/>
    <w:rsid w:val="00AF1044"/>
    <w:rsid w:val="00AF189C"/>
    <w:rsid w:val="00AF1CF2"/>
    <w:rsid w:val="00AF25DD"/>
    <w:rsid w:val="00AF27CE"/>
    <w:rsid w:val="00AF2DA3"/>
    <w:rsid w:val="00AF33A8"/>
    <w:rsid w:val="00AF38ED"/>
    <w:rsid w:val="00AF39EF"/>
    <w:rsid w:val="00AF410B"/>
    <w:rsid w:val="00AF4152"/>
    <w:rsid w:val="00AF4275"/>
    <w:rsid w:val="00AF444B"/>
    <w:rsid w:val="00AF4744"/>
    <w:rsid w:val="00AF47B4"/>
    <w:rsid w:val="00AF47BF"/>
    <w:rsid w:val="00AF483E"/>
    <w:rsid w:val="00AF4D27"/>
    <w:rsid w:val="00AF5644"/>
    <w:rsid w:val="00AF574D"/>
    <w:rsid w:val="00AF6303"/>
    <w:rsid w:val="00AF6798"/>
    <w:rsid w:val="00AF69F8"/>
    <w:rsid w:val="00AF700E"/>
    <w:rsid w:val="00AF737A"/>
    <w:rsid w:val="00AF7638"/>
    <w:rsid w:val="00AF768F"/>
    <w:rsid w:val="00AF7EBB"/>
    <w:rsid w:val="00B00466"/>
    <w:rsid w:val="00B004B9"/>
    <w:rsid w:val="00B00D51"/>
    <w:rsid w:val="00B0171E"/>
    <w:rsid w:val="00B01D68"/>
    <w:rsid w:val="00B0233E"/>
    <w:rsid w:val="00B02B75"/>
    <w:rsid w:val="00B0387D"/>
    <w:rsid w:val="00B03E82"/>
    <w:rsid w:val="00B05C0F"/>
    <w:rsid w:val="00B06280"/>
    <w:rsid w:val="00B063CD"/>
    <w:rsid w:val="00B065E3"/>
    <w:rsid w:val="00B06A91"/>
    <w:rsid w:val="00B075C2"/>
    <w:rsid w:val="00B07675"/>
    <w:rsid w:val="00B07F13"/>
    <w:rsid w:val="00B1028E"/>
    <w:rsid w:val="00B10421"/>
    <w:rsid w:val="00B1042F"/>
    <w:rsid w:val="00B10698"/>
    <w:rsid w:val="00B10A21"/>
    <w:rsid w:val="00B10F08"/>
    <w:rsid w:val="00B1120D"/>
    <w:rsid w:val="00B11780"/>
    <w:rsid w:val="00B11FC7"/>
    <w:rsid w:val="00B12451"/>
    <w:rsid w:val="00B12497"/>
    <w:rsid w:val="00B13C4A"/>
    <w:rsid w:val="00B13D3C"/>
    <w:rsid w:val="00B14BAA"/>
    <w:rsid w:val="00B14E1C"/>
    <w:rsid w:val="00B14E5D"/>
    <w:rsid w:val="00B14E86"/>
    <w:rsid w:val="00B14FB0"/>
    <w:rsid w:val="00B156D7"/>
    <w:rsid w:val="00B15768"/>
    <w:rsid w:val="00B162D5"/>
    <w:rsid w:val="00B16A71"/>
    <w:rsid w:val="00B16DAA"/>
    <w:rsid w:val="00B171BB"/>
    <w:rsid w:val="00B1736C"/>
    <w:rsid w:val="00B206A4"/>
    <w:rsid w:val="00B2084C"/>
    <w:rsid w:val="00B20E6F"/>
    <w:rsid w:val="00B20EE6"/>
    <w:rsid w:val="00B2140A"/>
    <w:rsid w:val="00B217E7"/>
    <w:rsid w:val="00B21865"/>
    <w:rsid w:val="00B21E5E"/>
    <w:rsid w:val="00B21FD0"/>
    <w:rsid w:val="00B22B3E"/>
    <w:rsid w:val="00B232E6"/>
    <w:rsid w:val="00B233AD"/>
    <w:rsid w:val="00B23402"/>
    <w:rsid w:val="00B24BD6"/>
    <w:rsid w:val="00B25151"/>
    <w:rsid w:val="00B25360"/>
    <w:rsid w:val="00B25851"/>
    <w:rsid w:val="00B26792"/>
    <w:rsid w:val="00B3025A"/>
    <w:rsid w:val="00B3190B"/>
    <w:rsid w:val="00B3240C"/>
    <w:rsid w:val="00B33208"/>
    <w:rsid w:val="00B336FC"/>
    <w:rsid w:val="00B33C94"/>
    <w:rsid w:val="00B34114"/>
    <w:rsid w:val="00B343B5"/>
    <w:rsid w:val="00B34D77"/>
    <w:rsid w:val="00B3522C"/>
    <w:rsid w:val="00B356A4"/>
    <w:rsid w:val="00B358C2"/>
    <w:rsid w:val="00B367A0"/>
    <w:rsid w:val="00B368E2"/>
    <w:rsid w:val="00B36FBC"/>
    <w:rsid w:val="00B37BB8"/>
    <w:rsid w:val="00B37CC6"/>
    <w:rsid w:val="00B404D0"/>
    <w:rsid w:val="00B406EC"/>
    <w:rsid w:val="00B41497"/>
    <w:rsid w:val="00B41D64"/>
    <w:rsid w:val="00B43199"/>
    <w:rsid w:val="00B434CB"/>
    <w:rsid w:val="00B4388A"/>
    <w:rsid w:val="00B43906"/>
    <w:rsid w:val="00B43C82"/>
    <w:rsid w:val="00B44037"/>
    <w:rsid w:val="00B44A72"/>
    <w:rsid w:val="00B44E6D"/>
    <w:rsid w:val="00B4544A"/>
    <w:rsid w:val="00B45E32"/>
    <w:rsid w:val="00B45F9F"/>
    <w:rsid w:val="00B469D4"/>
    <w:rsid w:val="00B4725E"/>
    <w:rsid w:val="00B47A05"/>
    <w:rsid w:val="00B47DF2"/>
    <w:rsid w:val="00B47EDD"/>
    <w:rsid w:val="00B50527"/>
    <w:rsid w:val="00B515FA"/>
    <w:rsid w:val="00B519C1"/>
    <w:rsid w:val="00B51CA5"/>
    <w:rsid w:val="00B535AC"/>
    <w:rsid w:val="00B5377A"/>
    <w:rsid w:val="00B53915"/>
    <w:rsid w:val="00B53D8D"/>
    <w:rsid w:val="00B54024"/>
    <w:rsid w:val="00B544EC"/>
    <w:rsid w:val="00B54716"/>
    <w:rsid w:val="00B54ECB"/>
    <w:rsid w:val="00B55375"/>
    <w:rsid w:val="00B5549C"/>
    <w:rsid w:val="00B55736"/>
    <w:rsid w:val="00B55FD0"/>
    <w:rsid w:val="00B5670E"/>
    <w:rsid w:val="00B567F6"/>
    <w:rsid w:val="00B56F6B"/>
    <w:rsid w:val="00B57594"/>
    <w:rsid w:val="00B5782C"/>
    <w:rsid w:val="00B57974"/>
    <w:rsid w:val="00B579E6"/>
    <w:rsid w:val="00B57FED"/>
    <w:rsid w:val="00B60815"/>
    <w:rsid w:val="00B60B8A"/>
    <w:rsid w:val="00B60C2B"/>
    <w:rsid w:val="00B61BEB"/>
    <w:rsid w:val="00B61C0B"/>
    <w:rsid w:val="00B61F98"/>
    <w:rsid w:val="00B62782"/>
    <w:rsid w:val="00B62DB4"/>
    <w:rsid w:val="00B632A2"/>
    <w:rsid w:val="00B63407"/>
    <w:rsid w:val="00B63FC8"/>
    <w:rsid w:val="00B64142"/>
    <w:rsid w:val="00B647BE"/>
    <w:rsid w:val="00B64822"/>
    <w:rsid w:val="00B64F39"/>
    <w:rsid w:val="00B65384"/>
    <w:rsid w:val="00B65AD7"/>
    <w:rsid w:val="00B66B75"/>
    <w:rsid w:val="00B66C85"/>
    <w:rsid w:val="00B66E13"/>
    <w:rsid w:val="00B672E4"/>
    <w:rsid w:val="00B67883"/>
    <w:rsid w:val="00B67976"/>
    <w:rsid w:val="00B67B99"/>
    <w:rsid w:val="00B67C10"/>
    <w:rsid w:val="00B67CE2"/>
    <w:rsid w:val="00B70179"/>
    <w:rsid w:val="00B7067C"/>
    <w:rsid w:val="00B708C2"/>
    <w:rsid w:val="00B71075"/>
    <w:rsid w:val="00B719EA"/>
    <w:rsid w:val="00B71EE2"/>
    <w:rsid w:val="00B724F2"/>
    <w:rsid w:val="00B72A78"/>
    <w:rsid w:val="00B72BCD"/>
    <w:rsid w:val="00B72E80"/>
    <w:rsid w:val="00B7407A"/>
    <w:rsid w:val="00B74537"/>
    <w:rsid w:val="00B748EA"/>
    <w:rsid w:val="00B752C9"/>
    <w:rsid w:val="00B757CC"/>
    <w:rsid w:val="00B76198"/>
    <w:rsid w:val="00B761E4"/>
    <w:rsid w:val="00B762C2"/>
    <w:rsid w:val="00B7668F"/>
    <w:rsid w:val="00B771D5"/>
    <w:rsid w:val="00B772F0"/>
    <w:rsid w:val="00B778E3"/>
    <w:rsid w:val="00B77ACF"/>
    <w:rsid w:val="00B77D98"/>
    <w:rsid w:val="00B80029"/>
    <w:rsid w:val="00B80CC4"/>
    <w:rsid w:val="00B80E61"/>
    <w:rsid w:val="00B82862"/>
    <w:rsid w:val="00B82EDE"/>
    <w:rsid w:val="00B83029"/>
    <w:rsid w:val="00B830F2"/>
    <w:rsid w:val="00B83206"/>
    <w:rsid w:val="00B83384"/>
    <w:rsid w:val="00B83A91"/>
    <w:rsid w:val="00B83C38"/>
    <w:rsid w:val="00B84D55"/>
    <w:rsid w:val="00B854D4"/>
    <w:rsid w:val="00B855B8"/>
    <w:rsid w:val="00B86016"/>
    <w:rsid w:val="00B8615F"/>
    <w:rsid w:val="00B86556"/>
    <w:rsid w:val="00B86D7F"/>
    <w:rsid w:val="00B86EA0"/>
    <w:rsid w:val="00B872A3"/>
    <w:rsid w:val="00B872F5"/>
    <w:rsid w:val="00B874DB"/>
    <w:rsid w:val="00B8787C"/>
    <w:rsid w:val="00B879EF"/>
    <w:rsid w:val="00B87AE9"/>
    <w:rsid w:val="00B919AB"/>
    <w:rsid w:val="00B91CCD"/>
    <w:rsid w:val="00B91FD1"/>
    <w:rsid w:val="00B92238"/>
    <w:rsid w:val="00B92340"/>
    <w:rsid w:val="00B9234C"/>
    <w:rsid w:val="00B92B2E"/>
    <w:rsid w:val="00B93062"/>
    <w:rsid w:val="00B93F0F"/>
    <w:rsid w:val="00B94400"/>
    <w:rsid w:val="00B944B1"/>
    <w:rsid w:val="00B94A52"/>
    <w:rsid w:val="00B951AD"/>
    <w:rsid w:val="00B95251"/>
    <w:rsid w:val="00B95AD9"/>
    <w:rsid w:val="00B967E6"/>
    <w:rsid w:val="00B96FD9"/>
    <w:rsid w:val="00B97956"/>
    <w:rsid w:val="00B97CBA"/>
    <w:rsid w:val="00BA0B0B"/>
    <w:rsid w:val="00BA1503"/>
    <w:rsid w:val="00BA2478"/>
    <w:rsid w:val="00BA251B"/>
    <w:rsid w:val="00BA253B"/>
    <w:rsid w:val="00BA35CB"/>
    <w:rsid w:val="00BA4633"/>
    <w:rsid w:val="00BA4975"/>
    <w:rsid w:val="00BA5607"/>
    <w:rsid w:val="00BA57E3"/>
    <w:rsid w:val="00BA5FAA"/>
    <w:rsid w:val="00BA622C"/>
    <w:rsid w:val="00BA6D2B"/>
    <w:rsid w:val="00BA6D32"/>
    <w:rsid w:val="00BA7569"/>
    <w:rsid w:val="00BA7902"/>
    <w:rsid w:val="00BA7E09"/>
    <w:rsid w:val="00BB0029"/>
    <w:rsid w:val="00BB0153"/>
    <w:rsid w:val="00BB0404"/>
    <w:rsid w:val="00BB060E"/>
    <w:rsid w:val="00BB0B34"/>
    <w:rsid w:val="00BB1BBD"/>
    <w:rsid w:val="00BB1E82"/>
    <w:rsid w:val="00BB1EA9"/>
    <w:rsid w:val="00BB1FFE"/>
    <w:rsid w:val="00BB2CAA"/>
    <w:rsid w:val="00BB2DD8"/>
    <w:rsid w:val="00BB30B2"/>
    <w:rsid w:val="00BB3A95"/>
    <w:rsid w:val="00BB3B16"/>
    <w:rsid w:val="00BB41B0"/>
    <w:rsid w:val="00BB41ED"/>
    <w:rsid w:val="00BB45C6"/>
    <w:rsid w:val="00BB4AF3"/>
    <w:rsid w:val="00BB533A"/>
    <w:rsid w:val="00BB58E2"/>
    <w:rsid w:val="00BB5FEF"/>
    <w:rsid w:val="00BB60E5"/>
    <w:rsid w:val="00BB614B"/>
    <w:rsid w:val="00BB6235"/>
    <w:rsid w:val="00BB7047"/>
    <w:rsid w:val="00BB70BB"/>
    <w:rsid w:val="00BB722F"/>
    <w:rsid w:val="00BC02DB"/>
    <w:rsid w:val="00BC046C"/>
    <w:rsid w:val="00BC057A"/>
    <w:rsid w:val="00BC090A"/>
    <w:rsid w:val="00BC0DBE"/>
    <w:rsid w:val="00BC0F78"/>
    <w:rsid w:val="00BC1950"/>
    <w:rsid w:val="00BC1B15"/>
    <w:rsid w:val="00BC1BE5"/>
    <w:rsid w:val="00BC2280"/>
    <w:rsid w:val="00BC236D"/>
    <w:rsid w:val="00BC2A40"/>
    <w:rsid w:val="00BC3B0E"/>
    <w:rsid w:val="00BC41EF"/>
    <w:rsid w:val="00BC4246"/>
    <w:rsid w:val="00BC4C46"/>
    <w:rsid w:val="00BC56F5"/>
    <w:rsid w:val="00BC584E"/>
    <w:rsid w:val="00BC5F28"/>
    <w:rsid w:val="00BC6853"/>
    <w:rsid w:val="00BC6D90"/>
    <w:rsid w:val="00BC7152"/>
    <w:rsid w:val="00BC7B52"/>
    <w:rsid w:val="00BC7FF1"/>
    <w:rsid w:val="00BD0077"/>
    <w:rsid w:val="00BD0552"/>
    <w:rsid w:val="00BD0E2D"/>
    <w:rsid w:val="00BD126F"/>
    <w:rsid w:val="00BD14F9"/>
    <w:rsid w:val="00BD1854"/>
    <w:rsid w:val="00BD2348"/>
    <w:rsid w:val="00BD2458"/>
    <w:rsid w:val="00BD2CA1"/>
    <w:rsid w:val="00BD2FCC"/>
    <w:rsid w:val="00BD3470"/>
    <w:rsid w:val="00BD42D7"/>
    <w:rsid w:val="00BD4548"/>
    <w:rsid w:val="00BD4818"/>
    <w:rsid w:val="00BD49A7"/>
    <w:rsid w:val="00BD544B"/>
    <w:rsid w:val="00BD56CD"/>
    <w:rsid w:val="00BD5D34"/>
    <w:rsid w:val="00BD6D02"/>
    <w:rsid w:val="00BD6F7F"/>
    <w:rsid w:val="00BE070F"/>
    <w:rsid w:val="00BE0D02"/>
    <w:rsid w:val="00BE1164"/>
    <w:rsid w:val="00BE1283"/>
    <w:rsid w:val="00BE1CE0"/>
    <w:rsid w:val="00BE25FB"/>
    <w:rsid w:val="00BE2A2D"/>
    <w:rsid w:val="00BE3AF0"/>
    <w:rsid w:val="00BE3B87"/>
    <w:rsid w:val="00BE3E40"/>
    <w:rsid w:val="00BE42EC"/>
    <w:rsid w:val="00BE4AB8"/>
    <w:rsid w:val="00BE4BC3"/>
    <w:rsid w:val="00BE4D5F"/>
    <w:rsid w:val="00BE528D"/>
    <w:rsid w:val="00BE536A"/>
    <w:rsid w:val="00BE5765"/>
    <w:rsid w:val="00BE5A88"/>
    <w:rsid w:val="00BE5D22"/>
    <w:rsid w:val="00BE614C"/>
    <w:rsid w:val="00BE6353"/>
    <w:rsid w:val="00BE6CB3"/>
    <w:rsid w:val="00BE6F77"/>
    <w:rsid w:val="00BE746B"/>
    <w:rsid w:val="00BE74B9"/>
    <w:rsid w:val="00BF054A"/>
    <w:rsid w:val="00BF0AE6"/>
    <w:rsid w:val="00BF0E02"/>
    <w:rsid w:val="00BF1322"/>
    <w:rsid w:val="00BF133A"/>
    <w:rsid w:val="00BF1859"/>
    <w:rsid w:val="00BF1AC0"/>
    <w:rsid w:val="00BF2059"/>
    <w:rsid w:val="00BF2285"/>
    <w:rsid w:val="00BF2DA7"/>
    <w:rsid w:val="00BF3A27"/>
    <w:rsid w:val="00BF4D7C"/>
    <w:rsid w:val="00BF5ADC"/>
    <w:rsid w:val="00BF5E2F"/>
    <w:rsid w:val="00BF5F7D"/>
    <w:rsid w:val="00BF5F8C"/>
    <w:rsid w:val="00BF61A6"/>
    <w:rsid w:val="00BF6439"/>
    <w:rsid w:val="00BF6677"/>
    <w:rsid w:val="00BF6D88"/>
    <w:rsid w:val="00BF72F1"/>
    <w:rsid w:val="00BF7663"/>
    <w:rsid w:val="00BF775B"/>
    <w:rsid w:val="00BF7974"/>
    <w:rsid w:val="00BF7BB9"/>
    <w:rsid w:val="00BF7CDF"/>
    <w:rsid w:val="00C0007F"/>
    <w:rsid w:val="00C0023D"/>
    <w:rsid w:val="00C005E7"/>
    <w:rsid w:val="00C00866"/>
    <w:rsid w:val="00C00BB7"/>
    <w:rsid w:val="00C01128"/>
    <w:rsid w:val="00C01BAB"/>
    <w:rsid w:val="00C01BCC"/>
    <w:rsid w:val="00C01CFF"/>
    <w:rsid w:val="00C01F96"/>
    <w:rsid w:val="00C02363"/>
    <w:rsid w:val="00C02855"/>
    <w:rsid w:val="00C03560"/>
    <w:rsid w:val="00C039B7"/>
    <w:rsid w:val="00C03B45"/>
    <w:rsid w:val="00C041E1"/>
    <w:rsid w:val="00C0479C"/>
    <w:rsid w:val="00C049D4"/>
    <w:rsid w:val="00C058E8"/>
    <w:rsid w:val="00C05F09"/>
    <w:rsid w:val="00C06101"/>
    <w:rsid w:val="00C06D30"/>
    <w:rsid w:val="00C073E5"/>
    <w:rsid w:val="00C07401"/>
    <w:rsid w:val="00C07DB6"/>
    <w:rsid w:val="00C106C4"/>
    <w:rsid w:val="00C10FC2"/>
    <w:rsid w:val="00C12715"/>
    <w:rsid w:val="00C127C4"/>
    <w:rsid w:val="00C12E05"/>
    <w:rsid w:val="00C12F29"/>
    <w:rsid w:val="00C130D4"/>
    <w:rsid w:val="00C1322D"/>
    <w:rsid w:val="00C134CB"/>
    <w:rsid w:val="00C135AE"/>
    <w:rsid w:val="00C135CA"/>
    <w:rsid w:val="00C13B68"/>
    <w:rsid w:val="00C13F79"/>
    <w:rsid w:val="00C14224"/>
    <w:rsid w:val="00C15065"/>
    <w:rsid w:val="00C1574A"/>
    <w:rsid w:val="00C15FD2"/>
    <w:rsid w:val="00C1612E"/>
    <w:rsid w:val="00C167FF"/>
    <w:rsid w:val="00C16F2F"/>
    <w:rsid w:val="00C174F9"/>
    <w:rsid w:val="00C17D06"/>
    <w:rsid w:val="00C200D4"/>
    <w:rsid w:val="00C200FA"/>
    <w:rsid w:val="00C2069B"/>
    <w:rsid w:val="00C2076C"/>
    <w:rsid w:val="00C2084B"/>
    <w:rsid w:val="00C2084F"/>
    <w:rsid w:val="00C210B9"/>
    <w:rsid w:val="00C21798"/>
    <w:rsid w:val="00C21891"/>
    <w:rsid w:val="00C21BED"/>
    <w:rsid w:val="00C21D14"/>
    <w:rsid w:val="00C22640"/>
    <w:rsid w:val="00C22737"/>
    <w:rsid w:val="00C23DD1"/>
    <w:rsid w:val="00C241FC"/>
    <w:rsid w:val="00C24396"/>
    <w:rsid w:val="00C2476C"/>
    <w:rsid w:val="00C24EC7"/>
    <w:rsid w:val="00C26327"/>
    <w:rsid w:val="00C26B81"/>
    <w:rsid w:val="00C26DC1"/>
    <w:rsid w:val="00C276F0"/>
    <w:rsid w:val="00C27C45"/>
    <w:rsid w:val="00C27E31"/>
    <w:rsid w:val="00C30E13"/>
    <w:rsid w:val="00C30FB7"/>
    <w:rsid w:val="00C3119C"/>
    <w:rsid w:val="00C31380"/>
    <w:rsid w:val="00C32513"/>
    <w:rsid w:val="00C327EC"/>
    <w:rsid w:val="00C32AE5"/>
    <w:rsid w:val="00C32AEB"/>
    <w:rsid w:val="00C32BAD"/>
    <w:rsid w:val="00C32E12"/>
    <w:rsid w:val="00C334ED"/>
    <w:rsid w:val="00C33B9E"/>
    <w:rsid w:val="00C3465F"/>
    <w:rsid w:val="00C34C15"/>
    <w:rsid w:val="00C359B4"/>
    <w:rsid w:val="00C36E40"/>
    <w:rsid w:val="00C37582"/>
    <w:rsid w:val="00C3790B"/>
    <w:rsid w:val="00C37CF0"/>
    <w:rsid w:val="00C37E9C"/>
    <w:rsid w:val="00C40221"/>
    <w:rsid w:val="00C40308"/>
    <w:rsid w:val="00C40509"/>
    <w:rsid w:val="00C40AA1"/>
    <w:rsid w:val="00C40C92"/>
    <w:rsid w:val="00C4173A"/>
    <w:rsid w:val="00C42450"/>
    <w:rsid w:val="00C42609"/>
    <w:rsid w:val="00C44334"/>
    <w:rsid w:val="00C4476E"/>
    <w:rsid w:val="00C44A34"/>
    <w:rsid w:val="00C44B59"/>
    <w:rsid w:val="00C44C5B"/>
    <w:rsid w:val="00C45200"/>
    <w:rsid w:val="00C4532B"/>
    <w:rsid w:val="00C46914"/>
    <w:rsid w:val="00C46A9C"/>
    <w:rsid w:val="00C46C49"/>
    <w:rsid w:val="00C47A5C"/>
    <w:rsid w:val="00C50255"/>
    <w:rsid w:val="00C5078F"/>
    <w:rsid w:val="00C51169"/>
    <w:rsid w:val="00C51588"/>
    <w:rsid w:val="00C51B38"/>
    <w:rsid w:val="00C51EF3"/>
    <w:rsid w:val="00C5228E"/>
    <w:rsid w:val="00C5290A"/>
    <w:rsid w:val="00C52A12"/>
    <w:rsid w:val="00C52D64"/>
    <w:rsid w:val="00C53071"/>
    <w:rsid w:val="00C53166"/>
    <w:rsid w:val="00C5316C"/>
    <w:rsid w:val="00C5413D"/>
    <w:rsid w:val="00C545E1"/>
    <w:rsid w:val="00C55597"/>
    <w:rsid w:val="00C5576D"/>
    <w:rsid w:val="00C55827"/>
    <w:rsid w:val="00C55921"/>
    <w:rsid w:val="00C55CB4"/>
    <w:rsid w:val="00C5616F"/>
    <w:rsid w:val="00C56631"/>
    <w:rsid w:val="00C567A1"/>
    <w:rsid w:val="00C5691C"/>
    <w:rsid w:val="00C56CD2"/>
    <w:rsid w:val="00C57312"/>
    <w:rsid w:val="00C57692"/>
    <w:rsid w:val="00C57F07"/>
    <w:rsid w:val="00C606C1"/>
    <w:rsid w:val="00C61F7B"/>
    <w:rsid w:val="00C62038"/>
    <w:rsid w:val="00C6307A"/>
    <w:rsid w:val="00C631DD"/>
    <w:rsid w:val="00C6385A"/>
    <w:rsid w:val="00C64085"/>
    <w:rsid w:val="00C64CCC"/>
    <w:rsid w:val="00C64CE3"/>
    <w:rsid w:val="00C6529B"/>
    <w:rsid w:val="00C655A8"/>
    <w:rsid w:val="00C659CD"/>
    <w:rsid w:val="00C6604A"/>
    <w:rsid w:val="00C665E2"/>
    <w:rsid w:val="00C66A65"/>
    <w:rsid w:val="00C67020"/>
    <w:rsid w:val="00C67E7E"/>
    <w:rsid w:val="00C70181"/>
    <w:rsid w:val="00C704D8"/>
    <w:rsid w:val="00C70AA0"/>
    <w:rsid w:val="00C718DB"/>
    <w:rsid w:val="00C71CA2"/>
    <w:rsid w:val="00C71FB5"/>
    <w:rsid w:val="00C7275E"/>
    <w:rsid w:val="00C72F50"/>
    <w:rsid w:val="00C73429"/>
    <w:rsid w:val="00C7351D"/>
    <w:rsid w:val="00C73CC7"/>
    <w:rsid w:val="00C73DDC"/>
    <w:rsid w:val="00C7406B"/>
    <w:rsid w:val="00C742F0"/>
    <w:rsid w:val="00C7540D"/>
    <w:rsid w:val="00C756D4"/>
    <w:rsid w:val="00C75703"/>
    <w:rsid w:val="00C76923"/>
    <w:rsid w:val="00C7739B"/>
    <w:rsid w:val="00C77CAD"/>
    <w:rsid w:val="00C77FD5"/>
    <w:rsid w:val="00C8052E"/>
    <w:rsid w:val="00C81CCE"/>
    <w:rsid w:val="00C828DE"/>
    <w:rsid w:val="00C829B5"/>
    <w:rsid w:val="00C830D3"/>
    <w:rsid w:val="00C83645"/>
    <w:rsid w:val="00C8379D"/>
    <w:rsid w:val="00C844AE"/>
    <w:rsid w:val="00C846D0"/>
    <w:rsid w:val="00C848DE"/>
    <w:rsid w:val="00C84CA8"/>
    <w:rsid w:val="00C8555D"/>
    <w:rsid w:val="00C85763"/>
    <w:rsid w:val="00C859C4"/>
    <w:rsid w:val="00C85E83"/>
    <w:rsid w:val="00C85F3B"/>
    <w:rsid w:val="00C864E2"/>
    <w:rsid w:val="00C86E4B"/>
    <w:rsid w:val="00C876B8"/>
    <w:rsid w:val="00C878E2"/>
    <w:rsid w:val="00C87A33"/>
    <w:rsid w:val="00C90223"/>
    <w:rsid w:val="00C9038B"/>
    <w:rsid w:val="00C90575"/>
    <w:rsid w:val="00C90743"/>
    <w:rsid w:val="00C908D0"/>
    <w:rsid w:val="00C910AB"/>
    <w:rsid w:val="00C911F1"/>
    <w:rsid w:val="00C912F5"/>
    <w:rsid w:val="00C91B0E"/>
    <w:rsid w:val="00C92889"/>
    <w:rsid w:val="00C92A11"/>
    <w:rsid w:val="00C92AAA"/>
    <w:rsid w:val="00C92FCF"/>
    <w:rsid w:val="00C93592"/>
    <w:rsid w:val="00C93E87"/>
    <w:rsid w:val="00C941D8"/>
    <w:rsid w:val="00C94687"/>
    <w:rsid w:val="00C950CA"/>
    <w:rsid w:val="00C953B4"/>
    <w:rsid w:val="00C9567D"/>
    <w:rsid w:val="00C957F5"/>
    <w:rsid w:val="00C95F54"/>
    <w:rsid w:val="00C962D3"/>
    <w:rsid w:val="00C96A3C"/>
    <w:rsid w:val="00C96E6F"/>
    <w:rsid w:val="00C97282"/>
    <w:rsid w:val="00C97597"/>
    <w:rsid w:val="00CA046F"/>
    <w:rsid w:val="00CA1113"/>
    <w:rsid w:val="00CA142E"/>
    <w:rsid w:val="00CA1718"/>
    <w:rsid w:val="00CA17BB"/>
    <w:rsid w:val="00CA1BEA"/>
    <w:rsid w:val="00CA2523"/>
    <w:rsid w:val="00CA2A35"/>
    <w:rsid w:val="00CA33E6"/>
    <w:rsid w:val="00CA378B"/>
    <w:rsid w:val="00CA44D0"/>
    <w:rsid w:val="00CA4FA6"/>
    <w:rsid w:val="00CA5052"/>
    <w:rsid w:val="00CA519F"/>
    <w:rsid w:val="00CA559A"/>
    <w:rsid w:val="00CA55F6"/>
    <w:rsid w:val="00CA582A"/>
    <w:rsid w:val="00CA5C0A"/>
    <w:rsid w:val="00CA7296"/>
    <w:rsid w:val="00CA7631"/>
    <w:rsid w:val="00CA7662"/>
    <w:rsid w:val="00CA76D2"/>
    <w:rsid w:val="00CA78DD"/>
    <w:rsid w:val="00CA79CD"/>
    <w:rsid w:val="00CB01F4"/>
    <w:rsid w:val="00CB0674"/>
    <w:rsid w:val="00CB0EC0"/>
    <w:rsid w:val="00CB13D6"/>
    <w:rsid w:val="00CB1497"/>
    <w:rsid w:val="00CB1971"/>
    <w:rsid w:val="00CB1A20"/>
    <w:rsid w:val="00CB2089"/>
    <w:rsid w:val="00CB22A5"/>
    <w:rsid w:val="00CB23FE"/>
    <w:rsid w:val="00CB25C6"/>
    <w:rsid w:val="00CB2E76"/>
    <w:rsid w:val="00CB3151"/>
    <w:rsid w:val="00CB34C0"/>
    <w:rsid w:val="00CB40B4"/>
    <w:rsid w:val="00CB4130"/>
    <w:rsid w:val="00CB43EF"/>
    <w:rsid w:val="00CB5FE3"/>
    <w:rsid w:val="00CB61AA"/>
    <w:rsid w:val="00CB61E3"/>
    <w:rsid w:val="00CB62A4"/>
    <w:rsid w:val="00CB6A57"/>
    <w:rsid w:val="00CB6E6B"/>
    <w:rsid w:val="00CB6EF8"/>
    <w:rsid w:val="00CB700E"/>
    <w:rsid w:val="00CB7B8C"/>
    <w:rsid w:val="00CC01D4"/>
    <w:rsid w:val="00CC09AC"/>
    <w:rsid w:val="00CC09EA"/>
    <w:rsid w:val="00CC0E0B"/>
    <w:rsid w:val="00CC1739"/>
    <w:rsid w:val="00CC1FE1"/>
    <w:rsid w:val="00CC25A8"/>
    <w:rsid w:val="00CC269C"/>
    <w:rsid w:val="00CC2825"/>
    <w:rsid w:val="00CC2C2D"/>
    <w:rsid w:val="00CC323C"/>
    <w:rsid w:val="00CC3B45"/>
    <w:rsid w:val="00CC48A1"/>
    <w:rsid w:val="00CC4A06"/>
    <w:rsid w:val="00CC5446"/>
    <w:rsid w:val="00CC57CD"/>
    <w:rsid w:val="00CC5C26"/>
    <w:rsid w:val="00CC6CF1"/>
    <w:rsid w:val="00CC6EB3"/>
    <w:rsid w:val="00CC6F0B"/>
    <w:rsid w:val="00CC7C50"/>
    <w:rsid w:val="00CC7E5F"/>
    <w:rsid w:val="00CD030B"/>
    <w:rsid w:val="00CD06B3"/>
    <w:rsid w:val="00CD2063"/>
    <w:rsid w:val="00CD2C61"/>
    <w:rsid w:val="00CD2FED"/>
    <w:rsid w:val="00CD34A6"/>
    <w:rsid w:val="00CD35C3"/>
    <w:rsid w:val="00CD36B6"/>
    <w:rsid w:val="00CD380B"/>
    <w:rsid w:val="00CD3D2A"/>
    <w:rsid w:val="00CD5FE9"/>
    <w:rsid w:val="00CD601D"/>
    <w:rsid w:val="00CD703D"/>
    <w:rsid w:val="00CD70C0"/>
    <w:rsid w:val="00CD7516"/>
    <w:rsid w:val="00CD7A88"/>
    <w:rsid w:val="00CD7DB1"/>
    <w:rsid w:val="00CD7DD6"/>
    <w:rsid w:val="00CE0103"/>
    <w:rsid w:val="00CE0D1D"/>
    <w:rsid w:val="00CE1513"/>
    <w:rsid w:val="00CE27FA"/>
    <w:rsid w:val="00CE29AD"/>
    <w:rsid w:val="00CE3C1F"/>
    <w:rsid w:val="00CE3D0F"/>
    <w:rsid w:val="00CE4FBA"/>
    <w:rsid w:val="00CE4FC6"/>
    <w:rsid w:val="00CE5D0F"/>
    <w:rsid w:val="00CE6049"/>
    <w:rsid w:val="00CE6472"/>
    <w:rsid w:val="00CE6A72"/>
    <w:rsid w:val="00CE6C12"/>
    <w:rsid w:val="00CE6EB6"/>
    <w:rsid w:val="00CE7FFC"/>
    <w:rsid w:val="00CF02CA"/>
    <w:rsid w:val="00CF06E3"/>
    <w:rsid w:val="00CF0CF2"/>
    <w:rsid w:val="00CF102D"/>
    <w:rsid w:val="00CF1204"/>
    <w:rsid w:val="00CF1B14"/>
    <w:rsid w:val="00CF1EA5"/>
    <w:rsid w:val="00CF1ED7"/>
    <w:rsid w:val="00CF2543"/>
    <w:rsid w:val="00CF2ACC"/>
    <w:rsid w:val="00CF2B21"/>
    <w:rsid w:val="00CF2B55"/>
    <w:rsid w:val="00CF2CD1"/>
    <w:rsid w:val="00CF3490"/>
    <w:rsid w:val="00CF36D9"/>
    <w:rsid w:val="00CF3A5F"/>
    <w:rsid w:val="00CF4636"/>
    <w:rsid w:val="00CF4A8F"/>
    <w:rsid w:val="00CF5177"/>
    <w:rsid w:val="00CF554F"/>
    <w:rsid w:val="00CF5AAC"/>
    <w:rsid w:val="00CF5AAF"/>
    <w:rsid w:val="00CF5D22"/>
    <w:rsid w:val="00CF63B9"/>
    <w:rsid w:val="00CF7596"/>
    <w:rsid w:val="00CF76A9"/>
    <w:rsid w:val="00CF7B32"/>
    <w:rsid w:val="00D0116A"/>
    <w:rsid w:val="00D0133D"/>
    <w:rsid w:val="00D0148C"/>
    <w:rsid w:val="00D0197E"/>
    <w:rsid w:val="00D01D48"/>
    <w:rsid w:val="00D035F8"/>
    <w:rsid w:val="00D03A7C"/>
    <w:rsid w:val="00D03E08"/>
    <w:rsid w:val="00D03FB0"/>
    <w:rsid w:val="00D041C7"/>
    <w:rsid w:val="00D04D05"/>
    <w:rsid w:val="00D0504F"/>
    <w:rsid w:val="00D05412"/>
    <w:rsid w:val="00D0582A"/>
    <w:rsid w:val="00D06A0D"/>
    <w:rsid w:val="00D0714A"/>
    <w:rsid w:val="00D1095A"/>
    <w:rsid w:val="00D10C08"/>
    <w:rsid w:val="00D11296"/>
    <w:rsid w:val="00D113EC"/>
    <w:rsid w:val="00D12C2A"/>
    <w:rsid w:val="00D12D1A"/>
    <w:rsid w:val="00D13527"/>
    <w:rsid w:val="00D13698"/>
    <w:rsid w:val="00D137A5"/>
    <w:rsid w:val="00D13AA4"/>
    <w:rsid w:val="00D13BB3"/>
    <w:rsid w:val="00D13E16"/>
    <w:rsid w:val="00D145F0"/>
    <w:rsid w:val="00D14888"/>
    <w:rsid w:val="00D14AEC"/>
    <w:rsid w:val="00D14D23"/>
    <w:rsid w:val="00D1640A"/>
    <w:rsid w:val="00D16869"/>
    <w:rsid w:val="00D16AB0"/>
    <w:rsid w:val="00D17463"/>
    <w:rsid w:val="00D17991"/>
    <w:rsid w:val="00D205EE"/>
    <w:rsid w:val="00D214FB"/>
    <w:rsid w:val="00D21502"/>
    <w:rsid w:val="00D215B3"/>
    <w:rsid w:val="00D22826"/>
    <w:rsid w:val="00D22AF6"/>
    <w:rsid w:val="00D22DE0"/>
    <w:rsid w:val="00D230BA"/>
    <w:rsid w:val="00D2367F"/>
    <w:rsid w:val="00D24AC0"/>
    <w:rsid w:val="00D24BA4"/>
    <w:rsid w:val="00D25209"/>
    <w:rsid w:val="00D25272"/>
    <w:rsid w:val="00D25E6B"/>
    <w:rsid w:val="00D26092"/>
    <w:rsid w:val="00D26D6C"/>
    <w:rsid w:val="00D26E88"/>
    <w:rsid w:val="00D276E0"/>
    <w:rsid w:val="00D2777A"/>
    <w:rsid w:val="00D27ABF"/>
    <w:rsid w:val="00D27D84"/>
    <w:rsid w:val="00D27E8F"/>
    <w:rsid w:val="00D306A7"/>
    <w:rsid w:val="00D314F3"/>
    <w:rsid w:val="00D3165E"/>
    <w:rsid w:val="00D31BAB"/>
    <w:rsid w:val="00D31C18"/>
    <w:rsid w:val="00D3244A"/>
    <w:rsid w:val="00D32521"/>
    <w:rsid w:val="00D32A09"/>
    <w:rsid w:val="00D33235"/>
    <w:rsid w:val="00D3454D"/>
    <w:rsid w:val="00D34655"/>
    <w:rsid w:val="00D34A7C"/>
    <w:rsid w:val="00D34A82"/>
    <w:rsid w:val="00D34F5C"/>
    <w:rsid w:val="00D352A1"/>
    <w:rsid w:val="00D352A5"/>
    <w:rsid w:val="00D35440"/>
    <w:rsid w:val="00D35472"/>
    <w:rsid w:val="00D364AD"/>
    <w:rsid w:val="00D3660F"/>
    <w:rsid w:val="00D37290"/>
    <w:rsid w:val="00D37584"/>
    <w:rsid w:val="00D37AC8"/>
    <w:rsid w:val="00D37AEF"/>
    <w:rsid w:val="00D4025F"/>
    <w:rsid w:val="00D40C4D"/>
    <w:rsid w:val="00D4117D"/>
    <w:rsid w:val="00D41FF9"/>
    <w:rsid w:val="00D420F7"/>
    <w:rsid w:val="00D4213F"/>
    <w:rsid w:val="00D42571"/>
    <w:rsid w:val="00D425C6"/>
    <w:rsid w:val="00D42FF8"/>
    <w:rsid w:val="00D4308C"/>
    <w:rsid w:val="00D436C4"/>
    <w:rsid w:val="00D43EF9"/>
    <w:rsid w:val="00D44C1A"/>
    <w:rsid w:val="00D44F11"/>
    <w:rsid w:val="00D4562D"/>
    <w:rsid w:val="00D456C1"/>
    <w:rsid w:val="00D45A94"/>
    <w:rsid w:val="00D46695"/>
    <w:rsid w:val="00D46F8D"/>
    <w:rsid w:val="00D472F7"/>
    <w:rsid w:val="00D4745B"/>
    <w:rsid w:val="00D47AA5"/>
    <w:rsid w:val="00D47B47"/>
    <w:rsid w:val="00D47CF8"/>
    <w:rsid w:val="00D5013D"/>
    <w:rsid w:val="00D501E4"/>
    <w:rsid w:val="00D504C3"/>
    <w:rsid w:val="00D5093C"/>
    <w:rsid w:val="00D5164B"/>
    <w:rsid w:val="00D51C6D"/>
    <w:rsid w:val="00D52275"/>
    <w:rsid w:val="00D534CE"/>
    <w:rsid w:val="00D535FE"/>
    <w:rsid w:val="00D53887"/>
    <w:rsid w:val="00D54954"/>
    <w:rsid w:val="00D54B9A"/>
    <w:rsid w:val="00D55447"/>
    <w:rsid w:val="00D55449"/>
    <w:rsid w:val="00D55560"/>
    <w:rsid w:val="00D555F0"/>
    <w:rsid w:val="00D55A26"/>
    <w:rsid w:val="00D560B6"/>
    <w:rsid w:val="00D56D71"/>
    <w:rsid w:val="00D571C3"/>
    <w:rsid w:val="00D57F85"/>
    <w:rsid w:val="00D60482"/>
    <w:rsid w:val="00D610C1"/>
    <w:rsid w:val="00D61148"/>
    <w:rsid w:val="00D61C66"/>
    <w:rsid w:val="00D621C9"/>
    <w:rsid w:val="00D621F0"/>
    <w:rsid w:val="00D62BE7"/>
    <w:rsid w:val="00D63C92"/>
    <w:rsid w:val="00D63E79"/>
    <w:rsid w:val="00D63EDB"/>
    <w:rsid w:val="00D649CF"/>
    <w:rsid w:val="00D65373"/>
    <w:rsid w:val="00D654B0"/>
    <w:rsid w:val="00D65BEB"/>
    <w:rsid w:val="00D65C80"/>
    <w:rsid w:val="00D66135"/>
    <w:rsid w:val="00D667DC"/>
    <w:rsid w:val="00D66BF5"/>
    <w:rsid w:val="00D66DF0"/>
    <w:rsid w:val="00D67C52"/>
    <w:rsid w:val="00D70767"/>
    <w:rsid w:val="00D73218"/>
    <w:rsid w:val="00D73744"/>
    <w:rsid w:val="00D73B9D"/>
    <w:rsid w:val="00D73E09"/>
    <w:rsid w:val="00D7413C"/>
    <w:rsid w:val="00D74154"/>
    <w:rsid w:val="00D74281"/>
    <w:rsid w:val="00D74949"/>
    <w:rsid w:val="00D74981"/>
    <w:rsid w:val="00D749DA"/>
    <w:rsid w:val="00D756F3"/>
    <w:rsid w:val="00D7596C"/>
    <w:rsid w:val="00D75E99"/>
    <w:rsid w:val="00D763EB"/>
    <w:rsid w:val="00D76600"/>
    <w:rsid w:val="00D766A7"/>
    <w:rsid w:val="00D76930"/>
    <w:rsid w:val="00D76F6A"/>
    <w:rsid w:val="00D81081"/>
    <w:rsid w:val="00D81745"/>
    <w:rsid w:val="00D81BC0"/>
    <w:rsid w:val="00D81D25"/>
    <w:rsid w:val="00D81DB0"/>
    <w:rsid w:val="00D8221B"/>
    <w:rsid w:val="00D834B0"/>
    <w:rsid w:val="00D8353B"/>
    <w:rsid w:val="00D8372E"/>
    <w:rsid w:val="00D839B8"/>
    <w:rsid w:val="00D83AA6"/>
    <w:rsid w:val="00D83F88"/>
    <w:rsid w:val="00D8486E"/>
    <w:rsid w:val="00D84878"/>
    <w:rsid w:val="00D84DF1"/>
    <w:rsid w:val="00D85950"/>
    <w:rsid w:val="00D85D54"/>
    <w:rsid w:val="00D85EDE"/>
    <w:rsid w:val="00D8615E"/>
    <w:rsid w:val="00D87252"/>
    <w:rsid w:val="00D8769A"/>
    <w:rsid w:val="00D87857"/>
    <w:rsid w:val="00D87D81"/>
    <w:rsid w:val="00D9063B"/>
    <w:rsid w:val="00D90800"/>
    <w:rsid w:val="00D9081F"/>
    <w:rsid w:val="00D9084C"/>
    <w:rsid w:val="00D90FAC"/>
    <w:rsid w:val="00D912B1"/>
    <w:rsid w:val="00D91F50"/>
    <w:rsid w:val="00D91FD9"/>
    <w:rsid w:val="00D93215"/>
    <w:rsid w:val="00D9363E"/>
    <w:rsid w:val="00D9368C"/>
    <w:rsid w:val="00D93865"/>
    <w:rsid w:val="00D93B8A"/>
    <w:rsid w:val="00D93D21"/>
    <w:rsid w:val="00D941F3"/>
    <w:rsid w:val="00D9457C"/>
    <w:rsid w:val="00D945E3"/>
    <w:rsid w:val="00D949D8"/>
    <w:rsid w:val="00D94C9A"/>
    <w:rsid w:val="00D95337"/>
    <w:rsid w:val="00D95C52"/>
    <w:rsid w:val="00D95E30"/>
    <w:rsid w:val="00D96801"/>
    <w:rsid w:val="00D96B71"/>
    <w:rsid w:val="00D975DC"/>
    <w:rsid w:val="00DA0051"/>
    <w:rsid w:val="00DA0090"/>
    <w:rsid w:val="00DA0E4E"/>
    <w:rsid w:val="00DA10F3"/>
    <w:rsid w:val="00DA1728"/>
    <w:rsid w:val="00DA18C2"/>
    <w:rsid w:val="00DA2ECE"/>
    <w:rsid w:val="00DA364A"/>
    <w:rsid w:val="00DA374E"/>
    <w:rsid w:val="00DA3E8C"/>
    <w:rsid w:val="00DA4B6B"/>
    <w:rsid w:val="00DA4F3A"/>
    <w:rsid w:val="00DA507E"/>
    <w:rsid w:val="00DA5AC1"/>
    <w:rsid w:val="00DA5BA4"/>
    <w:rsid w:val="00DA5EF6"/>
    <w:rsid w:val="00DA652B"/>
    <w:rsid w:val="00DA6C8B"/>
    <w:rsid w:val="00DA7B2C"/>
    <w:rsid w:val="00DA7C34"/>
    <w:rsid w:val="00DA7CB2"/>
    <w:rsid w:val="00DA7D0F"/>
    <w:rsid w:val="00DA7FBC"/>
    <w:rsid w:val="00DB0197"/>
    <w:rsid w:val="00DB06A0"/>
    <w:rsid w:val="00DB0B0A"/>
    <w:rsid w:val="00DB0C62"/>
    <w:rsid w:val="00DB1E6E"/>
    <w:rsid w:val="00DB1F87"/>
    <w:rsid w:val="00DB23F6"/>
    <w:rsid w:val="00DB2407"/>
    <w:rsid w:val="00DB2D93"/>
    <w:rsid w:val="00DB2E89"/>
    <w:rsid w:val="00DB34F1"/>
    <w:rsid w:val="00DB3502"/>
    <w:rsid w:val="00DB3E31"/>
    <w:rsid w:val="00DB4B97"/>
    <w:rsid w:val="00DB4C52"/>
    <w:rsid w:val="00DB56B5"/>
    <w:rsid w:val="00DB5732"/>
    <w:rsid w:val="00DB5743"/>
    <w:rsid w:val="00DB58CD"/>
    <w:rsid w:val="00DB611C"/>
    <w:rsid w:val="00DB6140"/>
    <w:rsid w:val="00DB6786"/>
    <w:rsid w:val="00DB69B3"/>
    <w:rsid w:val="00DB74B5"/>
    <w:rsid w:val="00DB7C50"/>
    <w:rsid w:val="00DC02CB"/>
    <w:rsid w:val="00DC03FC"/>
    <w:rsid w:val="00DC0830"/>
    <w:rsid w:val="00DC0CDA"/>
    <w:rsid w:val="00DC0F1F"/>
    <w:rsid w:val="00DC0F3D"/>
    <w:rsid w:val="00DC13DC"/>
    <w:rsid w:val="00DC1520"/>
    <w:rsid w:val="00DC1570"/>
    <w:rsid w:val="00DC2697"/>
    <w:rsid w:val="00DC2844"/>
    <w:rsid w:val="00DC2B0C"/>
    <w:rsid w:val="00DC2C22"/>
    <w:rsid w:val="00DC2E05"/>
    <w:rsid w:val="00DC2E8A"/>
    <w:rsid w:val="00DC3064"/>
    <w:rsid w:val="00DC37A4"/>
    <w:rsid w:val="00DC4155"/>
    <w:rsid w:val="00DC464B"/>
    <w:rsid w:val="00DC4FD2"/>
    <w:rsid w:val="00DC51D1"/>
    <w:rsid w:val="00DC543C"/>
    <w:rsid w:val="00DC585A"/>
    <w:rsid w:val="00DC5D18"/>
    <w:rsid w:val="00DC5EB6"/>
    <w:rsid w:val="00DC6219"/>
    <w:rsid w:val="00DC6C09"/>
    <w:rsid w:val="00DC6CCD"/>
    <w:rsid w:val="00DC6CE2"/>
    <w:rsid w:val="00DC6CFB"/>
    <w:rsid w:val="00DD1728"/>
    <w:rsid w:val="00DD173A"/>
    <w:rsid w:val="00DD21B6"/>
    <w:rsid w:val="00DD27B4"/>
    <w:rsid w:val="00DD27BD"/>
    <w:rsid w:val="00DD2EA5"/>
    <w:rsid w:val="00DD31C4"/>
    <w:rsid w:val="00DD394B"/>
    <w:rsid w:val="00DD4931"/>
    <w:rsid w:val="00DD4E40"/>
    <w:rsid w:val="00DD527E"/>
    <w:rsid w:val="00DD52E2"/>
    <w:rsid w:val="00DD59E9"/>
    <w:rsid w:val="00DD5F2E"/>
    <w:rsid w:val="00DD62A7"/>
    <w:rsid w:val="00DD74F6"/>
    <w:rsid w:val="00DE1227"/>
    <w:rsid w:val="00DE141B"/>
    <w:rsid w:val="00DE2008"/>
    <w:rsid w:val="00DE2BDA"/>
    <w:rsid w:val="00DE2DFA"/>
    <w:rsid w:val="00DE36E8"/>
    <w:rsid w:val="00DE4141"/>
    <w:rsid w:val="00DE5302"/>
    <w:rsid w:val="00DE5573"/>
    <w:rsid w:val="00DE562E"/>
    <w:rsid w:val="00DE583D"/>
    <w:rsid w:val="00DE58FE"/>
    <w:rsid w:val="00DE5E50"/>
    <w:rsid w:val="00DE5EBD"/>
    <w:rsid w:val="00DE7BCA"/>
    <w:rsid w:val="00DF0779"/>
    <w:rsid w:val="00DF1F79"/>
    <w:rsid w:val="00DF1FBA"/>
    <w:rsid w:val="00DF2232"/>
    <w:rsid w:val="00DF2ADE"/>
    <w:rsid w:val="00DF3245"/>
    <w:rsid w:val="00DF3274"/>
    <w:rsid w:val="00DF34E6"/>
    <w:rsid w:val="00DF3F23"/>
    <w:rsid w:val="00DF4066"/>
    <w:rsid w:val="00DF48CD"/>
    <w:rsid w:val="00DF4B03"/>
    <w:rsid w:val="00DF516B"/>
    <w:rsid w:val="00DF51EF"/>
    <w:rsid w:val="00DF5225"/>
    <w:rsid w:val="00DF5C33"/>
    <w:rsid w:val="00DF6A6F"/>
    <w:rsid w:val="00DF6E8C"/>
    <w:rsid w:val="00DF7152"/>
    <w:rsid w:val="00DF71E6"/>
    <w:rsid w:val="00DF736D"/>
    <w:rsid w:val="00DF76F1"/>
    <w:rsid w:val="00DF7B15"/>
    <w:rsid w:val="00E009BC"/>
    <w:rsid w:val="00E00DB0"/>
    <w:rsid w:val="00E0160D"/>
    <w:rsid w:val="00E017B9"/>
    <w:rsid w:val="00E0184A"/>
    <w:rsid w:val="00E01A3D"/>
    <w:rsid w:val="00E02E58"/>
    <w:rsid w:val="00E04240"/>
    <w:rsid w:val="00E04736"/>
    <w:rsid w:val="00E04F5D"/>
    <w:rsid w:val="00E0520E"/>
    <w:rsid w:val="00E06066"/>
    <w:rsid w:val="00E06377"/>
    <w:rsid w:val="00E06C8C"/>
    <w:rsid w:val="00E07CD2"/>
    <w:rsid w:val="00E07DF2"/>
    <w:rsid w:val="00E1006E"/>
    <w:rsid w:val="00E10E3C"/>
    <w:rsid w:val="00E1134B"/>
    <w:rsid w:val="00E116B3"/>
    <w:rsid w:val="00E11C46"/>
    <w:rsid w:val="00E12405"/>
    <w:rsid w:val="00E127DB"/>
    <w:rsid w:val="00E127F9"/>
    <w:rsid w:val="00E12867"/>
    <w:rsid w:val="00E141D0"/>
    <w:rsid w:val="00E14281"/>
    <w:rsid w:val="00E14348"/>
    <w:rsid w:val="00E1459C"/>
    <w:rsid w:val="00E14600"/>
    <w:rsid w:val="00E14E71"/>
    <w:rsid w:val="00E157A5"/>
    <w:rsid w:val="00E15B6E"/>
    <w:rsid w:val="00E15DCE"/>
    <w:rsid w:val="00E15FFC"/>
    <w:rsid w:val="00E16132"/>
    <w:rsid w:val="00E163E2"/>
    <w:rsid w:val="00E16D26"/>
    <w:rsid w:val="00E16F88"/>
    <w:rsid w:val="00E175E8"/>
    <w:rsid w:val="00E17D11"/>
    <w:rsid w:val="00E17D53"/>
    <w:rsid w:val="00E17FCC"/>
    <w:rsid w:val="00E203AA"/>
    <w:rsid w:val="00E21B8F"/>
    <w:rsid w:val="00E21F01"/>
    <w:rsid w:val="00E228AA"/>
    <w:rsid w:val="00E23FD5"/>
    <w:rsid w:val="00E2429A"/>
    <w:rsid w:val="00E248D7"/>
    <w:rsid w:val="00E249BD"/>
    <w:rsid w:val="00E24E76"/>
    <w:rsid w:val="00E24FA2"/>
    <w:rsid w:val="00E25403"/>
    <w:rsid w:val="00E26260"/>
    <w:rsid w:val="00E263B0"/>
    <w:rsid w:val="00E26BEF"/>
    <w:rsid w:val="00E26D9E"/>
    <w:rsid w:val="00E27195"/>
    <w:rsid w:val="00E2720A"/>
    <w:rsid w:val="00E27A51"/>
    <w:rsid w:val="00E304B8"/>
    <w:rsid w:val="00E30F79"/>
    <w:rsid w:val="00E3150A"/>
    <w:rsid w:val="00E31760"/>
    <w:rsid w:val="00E320DC"/>
    <w:rsid w:val="00E321D9"/>
    <w:rsid w:val="00E32970"/>
    <w:rsid w:val="00E32AC8"/>
    <w:rsid w:val="00E33EA1"/>
    <w:rsid w:val="00E34B9B"/>
    <w:rsid w:val="00E35243"/>
    <w:rsid w:val="00E35718"/>
    <w:rsid w:val="00E35828"/>
    <w:rsid w:val="00E35DAE"/>
    <w:rsid w:val="00E36CE1"/>
    <w:rsid w:val="00E36F46"/>
    <w:rsid w:val="00E4002C"/>
    <w:rsid w:val="00E4006F"/>
    <w:rsid w:val="00E40D77"/>
    <w:rsid w:val="00E411DF"/>
    <w:rsid w:val="00E42C4C"/>
    <w:rsid w:val="00E430CE"/>
    <w:rsid w:val="00E43AA3"/>
    <w:rsid w:val="00E43E95"/>
    <w:rsid w:val="00E43EE8"/>
    <w:rsid w:val="00E4432F"/>
    <w:rsid w:val="00E444F1"/>
    <w:rsid w:val="00E46920"/>
    <w:rsid w:val="00E47F62"/>
    <w:rsid w:val="00E50B5A"/>
    <w:rsid w:val="00E50FCD"/>
    <w:rsid w:val="00E519AA"/>
    <w:rsid w:val="00E51D49"/>
    <w:rsid w:val="00E5252C"/>
    <w:rsid w:val="00E52A69"/>
    <w:rsid w:val="00E536FC"/>
    <w:rsid w:val="00E539E3"/>
    <w:rsid w:val="00E556A1"/>
    <w:rsid w:val="00E55E8F"/>
    <w:rsid w:val="00E561C9"/>
    <w:rsid w:val="00E56218"/>
    <w:rsid w:val="00E56263"/>
    <w:rsid w:val="00E56A9F"/>
    <w:rsid w:val="00E57963"/>
    <w:rsid w:val="00E60418"/>
    <w:rsid w:val="00E607B8"/>
    <w:rsid w:val="00E60F26"/>
    <w:rsid w:val="00E61123"/>
    <w:rsid w:val="00E61BA4"/>
    <w:rsid w:val="00E61CA2"/>
    <w:rsid w:val="00E61CC0"/>
    <w:rsid w:val="00E62186"/>
    <w:rsid w:val="00E62D56"/>
    <w:rsid w:val="00E62EB8"/>
    <w:rsid w:val="00E63387"/>
    <w:rsid w:val="00E63716"/>
    <w:rsid w:val="00E64B02"/>
    <w:rsid w:val="00E65D91"/>
    <w:rsid w:val="00E661DA"/>
    <w:rsid w:val="00E66316"/>
    <w:rsid w:val="00E666BE"/>
    <w:rsid w:val="00E67CD7"/>
    <w:rsid w:val="00E67E36"/>
    <w:rsid w:val="00E7092B"/>
    <w:rsid w:val="00E70F31"/>
    <w:rsid w:val="00E7193A"/>
    <w:rsid w:val="00E71F73"/>
    <w:rsid w:val="00E72A0F"/>
    <w:rsid w:val="00E72B5D"/>
    <w:rsid w:val="00E72C88"/>
    <w:rsid w:val="00E7317A"/>
    <w:rsid w:val="00E73365"/>
    <w:rsid w:val="00E7386B"/>
    <w:rsid w:val="00E74225"/>
    <w:rsid w:val="00E749D5"/>
    <w:rsid w:val="00E74C67"/>
    <w:rsid w:val="00E74C6F"/>
    <w:rsid w:val="00E7520F"/>
    <w:rsid w:val="00E754FC"/>
    <w:rsid w:val="00E755E8"/>
    <w:rsid w:val="00E76865"/>
    <w:rsid w:val="00E77054"/>
    <w:rsid w:val="00E7739A"/>
    <w:rsid w:val="00E8041F"/>
    <w:rsid w:val="00E806B5"/>
    <w:rsid w:val="00E80BC9"/>
    <w:rsid w:val="00E8131E"/>
    <w:rsid w:val="00E817EF"/>
    <w:rsid w:val="00E8192A"/>
    <w:rsid w:val="00E81B72"/>
    <w:rsid w:val="00E81FFC"/>
    <w:rsid w:val="00E82194"/>
    <w:rsid w:val="00E82B21"/>
    <w:rsid w:val="00E82DA2"/>
    <w:rsid w:val="00E8385B"/>
    <w:rsid w:val="00E83E3B"/>
    <w:rsid w:val="00E84042"/>
    <w:rsid w:val="00E846D0"/>
    <w:rsid w:val="00E847C5"/>
    <w:rsid w:val="00E849D2"/>
    <w:rsid w:val="00E84F9F"/>
    <w:rsid w:val="00E85A74"/>
    <w:rsid w:val="00E85EBB"/>
    <w:rsid w:val="00E86412"/>
    <w:rsid w:val="00E864E0"/>
    <w:rsid w:val="00E867D9"/>
    <w:rsid w:val="00E87A12"/>
    <w:rsid w:val="00E87E2B"/>
    <w:rsid w:val="00E90651"/>
    <w:rsid w:val="00E91050"/>
    <w:rsid w:val="00E913BB"/>
    <w:rsid w:val="00E9247F"/>
    <w:rsid w:val="00E92BC4"/>
    <w:rsid w:val="00E935B7"/>
    <w:rsid w:val="00E93AFF"/>
    <w:rsid w:val="00E93CB1"/>
    <w:rsid w:val="00E93DA2"/>
    <w:rsid w:val="00E94443"/>
    <w:rsid w:val="00E94534"/>
    <w:rsid w:val="00E94617"/>
    <w:rsid w:val="00E946A6"/>
    <w:rsid w:val="00E94B4A"/>
    <w:rsid w:val="00E94B75"/>
    <w:rsid w:val="00E94C2D"/>
    <w:rsid w:val="00E9585E"/>
    <w:rsid w:val="00E958CB"/>
    <w:rsid w:val="00E95A74"/>
    <w:rsid w:val="00E9603F"/>
    <w:rsid w:val="00E965A5"/>
    <w:rsid w:val="00EA00DB"/>
    <w:rsid w:val="00EA06A6"/>
    <w:rsid w:val="00EA0935"/>
    <w:rsid w:val="00EA104F"/>
    <w:rsid w:val="00EA218D"/>
    <w:rsid w:val="00EA2583"/>
    <w:rsid w:val="00EA2E88"/>
    <w:rsid w:val="00EA32D9"/>
    <w:rsid w:val="00EA35A1"/>
    <w:rsid w:val="00EA37CF"/>
    <w:rsid w:val="00EA3B4C"/>
    <w:rsid w:val="00EA3E2C"/>
    <w:rsid w:val="00EA3E7F"/>
    <w:rsid w:val="00EA4022"/>
    <w:rsid w:val="00EA40B8"/>
    <w:rsid w:val="00EA452F"/>
    <w:rsid w:val="00EA4C92"/>
    <w:rsid w:val="00EA52E3"/>
    <w:rsid w:val="00EA6601"/>
    <w:rsid w:val="00EA6A64"/>
    <w:rsid w:val="00EA6EB9"/>
    <w:rsid w:val="00EA76BD"/>
    <w:rsid w:val="00EB0124"/>
    <w:rsid w:val="00EB2010"/>
    <w:rsid w:val="00EB2573"/>
    <w:rsid w:val="00EB28B4"/>
    <w:rsid w:val="00EB2B48"/>
    <w:rsid w:val="00EB31D1"/>
    <w:rsid w:val="00EB3BBA"/>
    <w:rsid w:val="00EB3CC3"/>
    <w:rsid w:val="00EB4B70"/>
    <w:rsid w:val="00EB5473"/>
    <w:rsid w:val="00EB54E7"/>
    <w:rsid w:val="00EB56D6"/>
    <w:rsid w:val="00EB57E0"/>
    <w:rsid w:val="00EB5B08"/>
    <w:rsid w:val="00EB5CE5"/>
    <w:rsid w:val="00EB613E"/>
    <w:rsid w:val="00EB6853"/>
    <w:rsid w:val="00EB727D"/>
    <w:rsid w:val="00EB7640"/>
    <w:rsid w:val="00EB766E"/>
    <w:rsid w:val="00EB7748"/>
    <w:rsid w:val="00EB7F0C"/>
    <w:rsid w:val="00EB7F5B"/>
    <w:rsid w:val="00EC03A8"/>
    <w:rsid w:val="00EC04AD"/>
    <w:rsid w:val="00EC0947"/>
    <w:rsid w:val="00EC127F"/>
    <w:rsid w:val="00EC15DF"/>
    <w:rsid w:val="00EC1F95"/>
    <w:rsid w:val="00EC2115"/>
    <w:rsid w:val="00EC25EF"/>
    <w:rsid w:val="00EC2A77"/>
    <w:rsid w:val="00EC40BA"/>
    <w:rsid w:val="00EC47D0"/>
    <w:rsid w:val="00EC51CB"/>
    <w:rsid w:val="00EC5220"/>
    <w:rsid w:val="00EC54FC"/>
    <w:rsid w:val="00EC5506"/>
    <w:rsid w:val="00EC5BD2"/>
    <w:rsid w:val="00EC5FCA"/>
    <w:rsid w:val="00EC636F"/>
    <w:rsid w:val="00EC663A"/>
    <w:rsid w:val="00EC673D"/>
    <w:rsid w:val="00EC67B5"/>
    <w:rsid w:val="00EC6BB7"/>
    <w:rsid w:val="00EC7213"/>
    <w:rsid w:val="00EC767F"/>
    <w:rsid w:val="00ED02D8"/>
    <w:rsid w:val="00ED077D"/>
    <w:rsid w:val="00ED0F98"/>
    <w:rsid w:val="00ED1335"/>
    <w:rsid w:val="00ED3585"/>
    <w:rsid w:val="00ED419E"/>
    <w:rsid w:val="00ED4626"/>
    <w:rsid w:val="00ED4FF4"/>
    <w:rsid w:val="00ED54F7"/>
    <w:rsid w:val="00ED5745"/>
    <w:rsid w:val="00ED5ECA"/>
    <w:rsid w:val="00ED64DC"/>
    <w:rsid w:val="00ED6598"/>
    <w:rsid w:val="00ED6F16"/>
    <w:rsid w:val="00ED70A0"/>
    <w:rsid w:val="00ED7440"/>
    <w:rsid w:val="00ED79E0"/>
    <w:rsid w:val="00ED79F1"/>
    <w:rsid w:val="00ED7B28"/>
    <w:rsid w:val="00ED7FE3"/>
    <w:rsid w:val="00EE0BB1"/>
    <w:rsid w:val="00EE0ED4"/>
    <w:rsid w:val="00EE1D3D"/>
    <w:rsid w:val="00EE2137"/>
    <w:rsid w:val="00EE2372"/>
    <w:rsid w:val="00EE24E9"/>
    <w:rsid w:val="00EE26CF"/>
    <w:rsid w:val="00EE27CC"/>
    <w:rsid w:val="00EE342B"/>
    <w:rsid w:val="00EE38A9"/>
    <w:rsid w:val="00EE42DB"/>
    <w:rsid w:val="00EE596C"/>
    <w:rsid w:val="00EE602E"/>
    <w:rsid w:val="00EE716C"/>
    <w:rsid w:val="00EE74BE"/>
    <w:rsid w:val="00EE7777"/>
    <w:rsid w:val="00EE7A1B"/>
    <w:rsid w:val="00EF0AC6"/>
    <w:rsid w:val="00EF10AF"/>
    <w:rsid w:val="00EF127B"/>
    <w:rsid w:val="00EF1C4A"/>
    <w:rsid w:val="00EF1E1C"/>
    <w:rsid w:val="00EF1EA2"/>
    <w:rsid w:val="00EF20F1"/>
    <w:rsid w:val="00EF2BFD"/>
    <w:rsid w:val="00EF2CC6"/>
    <w:rsid w:val="00EF2E73"/>
    <w:rsid w:val="00EF2ED4"/>
    <w:rsid w:val="00EF3B0D"/>
    <w:rsid w:val="00EF400A"/>
    <w:rsid w:val="00EF4299"/>
    <w:rsid w:val="00EF4B31"/>
    <w:rsid w:val="00EF53BE"/>
    <w:rsid w:val="00EF61FC"/>
    <w:rsid w:val="00EF62C1"/>
    <w:rsid w:val="00EF637D"/>
    <w:rsid w:val="00EF6B56"/>
    <w:rsid w:val="00EF6CE8"/>
    <w:rsid w:val="00EF755F"/>
    <w:rsid w:val="00EF7825"/>
    <w:rsid w:val="00EF7B74"/>
    <w:rsid w:val="00EF7FC6"/>
    <w:rsid w:val="00F0066B"/>
    <w:rsid w:val="00F019C2"/>
    <w:rsid w:val="00F01FF3"/>
    <w:rsid w:val="00F029CC"/>
    <w:rsid w:val="00F037E4"/>
    <w:rsid w:val="00F043DC"/>
    <w:rsid w:val="00F04619"/>
    <w:rsid w:val="00F04C1B"/>
    <w:rsid w:val="00F05B44"/>
    <w:rsid w:val="00F06905"/>
    <w:rsid w:val="00F06F59"/>
    <w:rsid w:val="00F070DA"/>
    <w:rsid w:val="00F0747E"/>
    <w:rsid w:val="00F079A9"/>
    <w:rsid w:val="00F07B89"/>
    <w:rsid w:val="00F07C4D"/>
    <w:rsid w:val="00F1077A"/>
    <w:rsid w:val="00F107B4"/>
    <w:rsid w:val="00F10A3C"/>
    <w:rsid w:val="00F10A77"/>
    <w:rsid w:val="00F10B13"/>
    <w:rsid w:val="00F10CAC"/>
    <w:rsid w:val="00F1104D"/>
    <w:rsid w:val="00F116C7"/>
    <w:rsid w:val="00F11DF1"/>
    <w:rsid w:val="00F120C7"/>
    <w:rsid w:val="00F127FC"/>
    <w:rsid w:val="00F12CE0"/>
    <w:rsid w:val="00F13703"/>
    <w:rsid w:val="00F13A1A"/>
    <w:rsid w:val="00F13A71"/>
    <w:rsid w:val="00F13CA8"/>
    <w:rsid w:val="00F13E7A"/>
    <w:rsid w:val="00F13F6A"/>
    <w:rsid w:val="00F147F2"/>
    <w:rsid w:val="00F14CB8"/>
    <w:rsid w:val="00F150C5"/>
    <w:rsid w:val="00F1572E"/>
    <w:rsid w:val="00F15A47"/>
    <w:rsid w:val="00F16545"/>
    <w:rsid w:val="00F16BC0"/>
    <w:rsid w:val="00F16D37"/>
    <w:rsid w:val="00F16DF7"/>
    <w:rsid w:val="00F1708A"/>
    <w:rsid w:val="00F173D1"/>
    <w:rsid w:val="00F17A29"/>
    <w:rsid w:val="00F2083F"/>
    <w:rsid w:val="00F20BA8"/>
    <w:rsid w:val="00F20DD4"/>
    <w:rsid w:val="00F212A3"/>
    <w:rsid w:val="00F21A87"/>
    <w:rsid w:val="00F22E18"/>
    <w:rsid w:val="00F231DE"/>
    <w:rsid w:val="00F2398B"/>
    <w:rsid w:val="00F23F24"/>
    <w:rsid w:val="00F24A93"/>
    <w:rsid w:val="00F25DB2"/>
    <w:rsid w:val="00F25E56"/>
    <w:rsid w:val="00F26B2C"/>
    <w:rsid w:val="00F26B9E"/>
    <w:rsid w:val="00F26E3B"/>
    <w:rsid w:val="00F26F65"/>
    <w:rsid w:val="00F275C0"/>
    <w:rsid w:val="00F3029F"/>
    <w:rsid w:val="00F302E5"/>
    <w:rsid w:val="00F31905"/>
    <w:rsid w:val="00F31A14"/>
    <w:rsid w:val="00F31E24"/>
    <w:rsid w:val="00F3238E"/>
    <w:rsid w:val="00F32A7C"/>
    <w:rsid w:val="00F32CAC"/>
    <w:rsid w:val="00F3368E"/>
    <w:rsid w:val="00F33B82"/>
    <w:rsid w:val="00F345C8"/>
    <w:rsid w:val="00F34872"/>
    <w:rsid w:val="00F34B78"/>
    <w:rsid w:val="00F34FAA"/>
    <w:rsid w:val="00F35276"/>
    <w:rsid w:val="00F35AF7"/>
    <w:rsid w:val="00F36266"/>
    <w:rsid w:val="00F3729F"/>
    <w:rsid w:val="00F37307"/>
    <w:rsid w:val="00F379E5"/>
    <w:rsid w:val="00F37B66"/>
    <w:rsid w:val="00F37BF2"/>
    <w:rsid w:val="00F402FC"/>
    <w:rsid w:val="00F42A77"/>
    <w:rsid w:val="00F43840"/>
    <w:rsid w:val="00F43ADA"/>
    <w:rsid w:val="00F4442E"/>
    <w:rsid w:val="00F44578"/>
    <w:rsid w:val="00F4478B"/>
    <w:rsid w:val="00F447D0"/>
    <w:rsid w:val="00F44EF9"/>
    <w:rsid w:val="00F45825"/>
    <w:rsid w:val="00F45BD5"/>
    <w:rsid w:val="00F45BE7"/>
    <w:rsid w:val="00F46051"/>
    <w:rsid w:val="00F467B7"/>
    <w:rsid w:val="00F4697F"/>
    <w:rsid w:val="00F469CD"/>
    <w:rsid w:val="00F46A4B"/>
    <w:rsid w:val="00F46B2A"/>
    <w:rsid w:val="00F4709F"/>
    <w:rsid w:val="00F47749"/>
    <w:rsid w:val="00F5009A"/>
    <w:rsid w:val="00F50761"/>
    <w:rsid w:val="00F50E89"/>
    <w:rsid w:val="00F51081"/>
    <w:rsid w:val="00F51443"/>
    <w:rsid w:val="00F514D9"/>
    <w:rsid w:val="00F51D1E"/>
    <w:rsid w:val="00F5229D"/>
    <w:rsid w:val="00F52B81"/>
    <w:rsid w:val="00F5313E"/>
    <w:rsid w:val="00F53F4E"/>
    <w:rsid w:val="00F5422F"/>
    <w:rsid w:val="00F54374"/>
    <w:rsid w:val="00F54AF1"/>
    <w:rsid w:val="00F55BA1"/>
    <w:rsid w:val="00F55E40"/>
    <w:rsid w:val="00F5636C"/>
    <w:rsid w:val="00F56D2D"/>
    <w:rsid w:val="00F576D5"/>
    <w:rsid w:val="00F57DC1"/>
    <w:rsid w:val="00F60155"/>
    <w:rsid w:val="00F60513"/>
    <w:rsid w:val="00F60E17"/>
    <w:rsid w:val="00F613D0"/>
    <w:rsid w:val="00F616A1"/>
    <w:rsid w:val="00F61AE5"/>
    <w:rsid w:val="00F62440"/>
    <w:rsid w:val="00F62725"/>
    <w:rsid w:val="00F6275E"/>
    <w:rsid w:val="00F62933"/>
    <w:rsid w:val="00F62E72"/>
    <w:rsid w:val="00F63067"/>
    <w:rsid w:val="00F637B3"/>
    <w:rsid w:val="00F64501"/>
    <w:rsid w:val="00F6466F"/>
    <w:rsid w:val="00F64733"/>
    <w:rsid w:val="00F65288"/>
    <w:rsid w:val="00F65327"/>
    <w:rsid w:val="00F65466"/>
    <w:rsid w:val="00F6643B"/>
    <w:rsid w:val="00F667D5"/>
    <w:rsid w:val="00F66BFC"/>
    <w:rsid w:val="00F70225"/>
    <w:rsid w:val="00F70CA2"/>
    <w:rsid w:val="00F70D64"/>
    <w:rsid w:val="00F71383"/>
    <w:rsid w:val="00F7149F"/>
    <w:rsid w:val="00F723DA"/>
    <w:rsid w:val="00F725C4"/>
    <w:rsid w:val="00F7429C"/>
    <w:rsid w:val="00F742B7"/>
    <w:rsid w:val="00F74398"/>
    <w:rsid w:val="00F74850"/>
    <w:rsid w:val="00F74883"/>
    <w:rsid w:val="00F74EFF"/>
    <w:rsid w:val="00F7568E"/>
    <w:rsid w:val="00F76EF3"/>
    <w:rsid w:val="00F7710D"/>
    <w:rsid w:val="00F77334"/>
    <w:rsid w:val="00F7765D"/>
    <w:rsid w:val="00F77766"/>
    <w:rsid w:val="00F77A28"/>
    <w:rsid w:val="00F77AAB"/>
    <w:rsid w:val="00F80174"/>
    <w:rsid w:val="00F8017C"/>
    <w:rsid w:val="00F806E4"/>
    <w:rsid w:val="00F80957"/>
    <w:rsid w:val="00F80999"/>
    <w:rsid w:val="00F80A93"/>
    <w:rsid w:val="00F81079"/>
    <w:rsid w:val="00F822C1"/>
    <w:rsid w:val="00F82517"/>
    <w:rsid w:val="00F83362"/>
    <w:rsid w:val="00F83593"/>
    <w:rsid w:val="00F83750"/>
    <w:rsid w:val="00F83BC1"/>
    <w:rsid w:val="00F83DC3"/>
    <w:rsid w:val="00F83E89"/>
    <w:rsid w:val="00F84904"/>
    <w:rsid w:val="00F85B5D"/>
    <w:rsid w:val="00F85CD5"/>
    <w:rsid w:val="00F86002"/>
    <w:rsid w:val="00F8698A"/>
    <w:rsid w:val="00F86A87"/>
    <w:rsid w:val="00F86DD7"/>
    <w:rsid w:val="00F870F4"/>
    <w:rsid w:val="00F87159"/>
    <w:rsid w:val="00F87281"/>
    <w:rsid w:val="00F87616"/>
    <w:rsid w:val="00F87878"/>
    <w:rsid w:val="00F87DC8"/>
    <w:rsid w:val="00F90282"/>
    <w:rsid w:val="00F9038D"/>
    <w:rsid w:val="00F905EB"/>
    <w:rsid w:val="00F910A7"/>
    <w:rsid w:val="00F9252C"/>
    <w:rsid w:val="00F927A8"/>
    <w:rsid w:val="00F93245"/>
    <w:rsid w:val="00F933C5"/>
    <w:rsid w:val="00F933C9"/>
    <w:rsid w:val="00F93863"/>
    <w:rsid w:val="00F93BC4"/>
    <w:rsid w:val="00F9439F"/>
    <w:rsid w:val="00F947F7"/>
    <w:rsid w:val="00F94818"/>
    <w:rsid w:val="00F949DA"/>
    <w:rsid w:val="00F95C87"/>
    <w:rsid w:val="00F962D8"/>
    <w:rsid w:val="00F974F9"/>
    <w:rsid w:val="00F97CC1"/>
    <w:rsid w:val="00F97FCC"/>
    <w:rsid w:val="00FA16EB"/>
    <w:rsid w:val="00FA1E31"/>
    <w:rsid w:val="00FA23E8"/>
    <w:rsid w:val="00FA2518"/>
    <w:rsid w:val="00FA25A4"/>
    <w:rsid w:val="00FA26F9"/>
    <w:rsid w:val="00FA318A"/>
    <w:rsid w:val="00FA4476"/>
    <w:rsid w:val="00FA5EEB"/>
    <w:rsid w:val="00FA5FB7"/>
    <w:rsid w:val="00FA6175"/>
    <w:rsid w:val="00FA7AFA"/>
    <w:rsid w:val="00FB03D6"/>
    <w:rsid w:val="00FB18BD"/>
    <w:rsid w:val="00FB1A61"/>
    <w:rsid w:val="00FB1CAE"/>
    <w:rsid w:val="00FB27DD"/>
    <w:rsid w:val="00FB2D1B"/>
    <w:rsid w:val="00FB2D53"/>
    <w:rsid w:val="00FB352E"/>
    <w:rsid w:val="00FB39C6"/>
    <w:rsid w:val="00FB3A6E"/>
    <w:rsid w:val="00FB3F54"/>
    <w:rsid w:val="00FB4553"/>
    <w:rsid w:val="00FB4655"/>
    <w:rsid w:val="00FB4901"/>
    <w:rsid w:val="00FB4A23"/>
    <w:rsid w:val="00FB4F95"/>
    <w:rsid w:val="00FB5232"/>
    <w:rsid w:val="00FB577D"/>
    <w:rsid w:val="00FB5AE8"/>
    <w:rsid w:val="00FB5EE2"/>
    <w:rsid w:val="00FB6397"/>
    <w:rsid w:val="00FB6501"/>
    <w:rsid w:val="00FB6973"/>
    <w:rsid w:val="00FB7C2C"/>
    <w:rsid w:val="00FC0263"/>
    <w:rsid w:val="00FC034C"/>
    <w:rsid w:val="00FC0FB2"/>
    <w:rsid w:val="00FC146F"/>
    <w:rsid w:val="00FC1644"/>
    <w:rsid w:val="00FC2B03"/>
    <w:rsid w:val="00FC352B"/>
    <w:rsid w:val="00FC3BFD"/>
    <w:rsid w:val="00FC453E"/>
    <w:rsid w:val="00FC54A2"/>
    <w:rsid w:val="00FC5D26"/>
    <w:rsid w:val="00FC5E17"/>
    <w:rsid w:val="00FC6287"/>
    <w:rsid w:val="00FC6394"/>
    <w:rsid w:val="00FC645F"/>
    <w:rsid w:val="00FC6730"/>
    <w:rsid w:val="00FC680F"/>
    <w:rsid w:val="00FC79E7"/>
    <w:rsid w:val="00FC7A5E"/>
    <w:rsid w:val="00FC7DB6"/>
    <w:rsid w:val="00FD00B4"/>
    <w:rsid w:val="00FD0308"/>
    <w:rsid w:val="00FD0393"/>
    <w:rsid w:val="00FD0D85"/>
    <w:rsid w:val="00FD0EA2"/>
    <w:rsid w:val="00FD0EC0"/>
    <w:rsid w:val="00FD1264"/>
    <w:rsid w:val="00FD19FC"/>
    <w:rsid w:val="00FD25DB"/>
    <w:rsid w:val="00FD304D"/>
    <w:rsid w:val="00FD4DB5"/>
    <w:rsid w:val="00FD5DE9"/>
    <w:rsid w:val="00FD62FB"/>
    <w:rsid w:val="00FD672B"/>
    <w:rsid w:val="00FD6EB0"/>
    <w:rsid w:val="00FD79A6"/>
    <w:rsid w:val="00FD7B1F"/>
    <w:rsid w:val="00FD7FF5"/>
    <w:rsid w:val="00FE0148"/>
    <w:rsid w:val="00FE0189"/>
    <w:rsid w:val="00FE02CD"/>
    <w:rsid w:val="00FE09F5"/>
    <w:rsid w:val="00FE0EB8"/>
    <w:rsid w:val="00FE1293"/>
    <w:rsid w:val="00FE135A"/>
    <w:rsid w:val="00FE16B7"/>
    <w:rsid w:val="00FE1740"/>
    <w:rsid w:val="00FE34AB"/>
    <w:rsid w:val="00FE3699"/>
    <w:rsid w:val="00FE49EC"/>
    <w:rsid w:val="00FE5025"/>
    <w:rsid w:val="00FE573F"/>
    <w:rsid w:val="00FE682F"/>
    <w:rsid w:val="00FE72C3"/>
    <w:rsid w:val="00FE7FF0"/>
    <w:rsid w:val="00FF020E"/>
    <w:rsid w:val="00FF0628"/>
    <w:rsid w:val="00FF08E9"/>
    <w:rsid w:val="00FF0FCB"/>
    <w:rsid w:val="00FF1C32"/>
    <w:rsid w:val="00FF2D93"/>
    <w:rsid w:val="00FF4763"/>
    <w:rsid w:val="00FF4EFF"/>
    <w:rsid w:val="00FF54E7"/>
    <w:rsid w:val="00FF55D7"/>
    <w:rsid w:val="00FF5C25"/>
    <w:rsid w:val="00FF655E"/>
    <w:rsid w:val="00FF6E0C"/>
    <w:rsid w:val="00FF72C3"/>
    <w:rsid w:val="00FF750B"/>
    <w:rsid w:val="00FF79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79E3"/>
  <w15:docId w15:val="{879FADA6-86DB-4469-B9E9-E8D37A8D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E8F"/>
  </w:style>
  <w:style w:type="paragraph" w:styleId="Heading1">
    <w:name w:val="heading 1"/>
    <w:basedOn w:val="Normal"/>
    <w:next w:val="Normal"/>
    <w:link w:val="Heading1Char"/>
    <w:uiPriority w:val="9"/>
    <w:qFormat/>
    <w:rsid w:val="002E2AB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6DAA"/>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B16DAA"/>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paragraph" w:styleId="Heading4">
    <w:name w:val="heading 4"/>
    <w:basedOn w:val="Normal"/>
    <w:next w:val="Normal"/>
    <w:link w:val="Heading4Char"/>
    <w:uiPriority w:val="9"/>
    <w:semiHidden/>
    <w:unhideWhenUsed/>
    <w:qFormat/>
    <w:rsid w:val="001872B0"/>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872B0"/>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872B0"/>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872B0"/>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872B0"/>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872B0"/>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5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character" w:styleId="Hyperlink">
    <w:name w:val="Hyperlink"/>
    <w:basedOn w:val="DefaultParagraphFont"/>
    <w:uiPriority w:val="99"/>
    <w:unhideWhenUsed/>
    <w:rsid w:val="00792225"/>
    <w:rPr>
      <w:color w:val="0000FF" w:themeColor="hyperlink"/>
      <w:u w:val="single"/>
    </w:rPr>
  </w:style>
  <w:style w:type="character" w:customStyle="1" w:styleId="Heading2Char">
    <w:name w:val="Heading 2 Char"/>
    <w:basedOn w:val="DefaultParagraphFont"/>
    <w:link w:val="Heading2"/>
    <w:uiPriority w:val="9"/>
    <w:rsid w:val="00B16DAA"/>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B16DAA"/>
    <w:rPr>
      <w:rFonts w:asciiTheme="majorHAnsi" w:eastAsiaTheme="majorEastAsia" w:hAnsiTheme="majorHAnsi" w:cstheme="majorBidi"/>
      <w:color w:val="243F60" w:themeColor="accent1" w:themeShade="7F"/>
      <w:kern w:val="2"/>
      <w:sz w:val="24"/>
      <w:szCs w:val="24"/>
      <w14:ligatures w14:val="standardContextual"/>
    </w:rPr>
  </w:style>
  <w:style w:type="paragraph" w:styleId="Footer">
    <w:name w:val="footer"/>
    <w:basedOn w:val="Normal"/>
    <w:link w:val="FooterChar"/>
    <w:uiPriority w:val="99"/>
    <w:unhideWhenUsed/>
    <w:rsid w:val="00B16DAA"/>
    <w:pPr>
      <w:tabs>
        <w:tab w:val="center" w:pos="4513"/>
        <w:tab w:val="right" w:pos="9026"/>
      </w:tabs>
      <w:spacing w:after="0"/>
    </w:pPr>
  </w:style>
  <w:style w:type="character" w:customStyle="1" w:styleId="FooterChar">
    <w:name w:val="Footer Char"/>
    <w:basedOn w:val="DefaultParagraphFont"/>
    <w:link w:val="Footer"/>
    <w:uiPriority w:val="99"/>
    <w:rsid w:val="00B16DAA"/>
  </w:style>
  <w:style w:type="paragraph" w:styleId="Header">
    <w:name w:val="header"/>
    <w:basedOn w:val="Normal"/>
    <w:link w:val="HeaderChar"/>
    <w:uiPriority w:val="99"/>
    <w:unhideWhenUsed/>
    <w:rsid w:val="00B16DAA"/>
    <w:pPr>
      <w:tabs>
        <w:tab w:val="center" w:pos="4513"/>
        <w:tab w:val="right" w:pos="9026"/>
      </w:tabs>
      <w:spacing w:after="0"/>
    </w:pPr>
    <w:rPr>
      <w:kern w:val="2"/>
      <w14:ligatures w14:val="standardContextual"/>
    </w:rPr>
  </w:style>
  <w:style w:type="character" w:customStyle="1" w:styleId="HeaderChar">
    <w:name w:val="Header Char"/>
    <w:basedOn w:val="DefaultParagraphFont"/>
    <w:link w:val="Header"/>
    <w:uiPriority w:val="99"/>
    <w:rsid w:val="00B16DAA"/>
    <w:rPr>
      <w:kern w:val="2"/>
      <w14:ligatures w14:val="standardContextual"/>
    </w:rPr>
  </w:style>
  <w:style w:type="table" w:styleId="TableGrid">
    <w:name w:val="Table Grid"/>
    <w:basedOn w:val="TableNormal"/>
    <w:uiPriority w:val="39"/>
    <w:rsid w:val="00B16DAA"/>
    <w:pPr>
      <w:spacing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6DAA"/>
    <w:pPr>
      <w:spacing w:after="160" w:line="259" w:lineRule="auto"/>
      <w:ind w:left="720"/>
      <w:contextualSpacing/>
    </w:pPr>
    <w:rPr>
      <w:kern w:val="2"/>
      <w14:ligatures w14:val="standardContextual"/>
    </w:rPr>
  </w:style>
  <w:style w:type="paragraph" w:styleId="Title">
    <w:name w:val="Title"/>
    <w:basedOn w:val="Normal"/>
    <w:next w:val="Normal"/>
    <w:link w:val="TitleChar"/>
    <w:uiPriority w:val="10"/>
    <w:qFormat/>
    <w:rsid w:val="00A01E1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1E1F"/>
    <w:rPr>
      <w:rFonts w:asciiTheme="majorHAnsi" w:eastAsiaTheme="majorEastAsia" w:hAnsiTheme="majorHAnsi" w:cstheme="majorBidi"/>
      <w:spacing w:val="-10"/>
      <w:kern w:val="28"/>
      <w:sz w:val="56"/>
      <w:szCs w:val="56"/>
      <w14:ligatures w14:val="standardContextual"/>
    </w:rPr>
  </w:style>
  <w:style w:type="character" w:customStyle="1" w:styleId="Heading1Char">
    <w:name w:val="Heading 1 Char"/>
    <w:basedOn w:val="DefaultParagraphFont"/>
    <w:link w:val="Heading1"/>
    <w:uiPriority w:val="9"/>
    <w:rsid w:val="002E2ABD"/>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2E2ABD"/>
    <w:rPr>
      <w:color w:val="605E5C"/>
      <w:shd w:val="clear" w:color="auto" w:fill="E1DFDD"/>
    </w:rPr>
  </w:style>
  <w:style w:type="paragraph" w:customStyle="1" w:styleId="DecimalAligned">
    <w:name w:val="Decimal Aligned"/>
    <w:basedOn w:val="Normal"/>
    <w:uiPriority w:val="40"/>
    <w:qFormat/>
    <w:rsid w:val="002E2ABD"/>
    <w:pPr>
      <w:tabs>
        <w:tab w:val="decimal" w:pos="360"/>
      </w:tabs>
    </w:pPr>
    <w:rPr>
      <w:rFonts w:eastAsiaTheme="minorEastAsia" w:cs="Times New Roman"/>
      <w:lang w:val="en-US"/>
    </w:rPr>
  </w:style>
  <w:style w:type="paragraph" w:styleId="FootnoteText">
    <w:name w:val="footnote text"/>
    <w:basedOn w:val="Normal"/>
    <w:link w:val="FootnoteTextChar"/>
    <w:uiPriority w:val="99"/>
    <w:unhideWhenUsed/>
    <w:rsid w:val="002E2ABD"/>
    <w:pPr>
      <w:spacing w:after="0"/>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2E2ABD"/>
    <w:rPr>
      <w:rFonts w:eastAsiaTheme="minorEastAsia" w:cs="Times New Roman"/>
      <w:sz w:val="20"/>
      <w:szCs w:val="20"/>
      <w:lang w:val="en-US"/>
    </w:rPr>
  </w:style>
  <w:style w:type="character" w:styleId="SubtleEmphasis">
    <w:name w:val="Subtle Emphasis"/>
    <w:basedOn w:val="DefaultParagraphFont"/>
    <w:uiPriority w:val="19"/>
    <w:qFormat/>
    <w:rsid w:val="002E2ABD"/>
    <w:rPr>
      <w:i/>
      <w:iCs/>
    </w:rPr>
  </w:style>
  <w:style w:type="table" w:styleId="LightShading-Accent1">
    <w:name w:val="Light Shading Accent 1"/>
    <w:basedOn w:val="TableNormal"/>
    <w:uiPriority w:val="60"/>
    <w:rsid w:val="002E2ABD"/>
    <w:pPr>
      <w:spacing w:after="0"/>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0171E2"/>
    <w:pPr>
      <w:spacing w:after="0"/>
    </w:pPr>
    <w:rPr>
      <w:kern w:val="2"/>
      <w14:ligatures w14:val="standardContextual"/>
    </w:rPr>
  </w:style>
  <w:style w:type="table" w:customStyle="1" w:styleId="TableGrid1">
    <w:name w:val="Table Grid1"/>
    <w:basedOn w:val="TableNormal"/>
    <w:next w:val="TableGrid"/>
    <w:uiPriority w:val="39"/>
    <w:rsid w:val="000171E2"/>
    <w:pPr>
      <w:spacing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171E2"/>
    <w:pPr>
      <w:spacing w:after="0"/>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1872B0"/>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1872B0"/>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1872B0"/>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1872B0"/>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1872B0"/>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1872B0"/>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1872B0"/>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872B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872B0"/>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872B0"/>
    <w:rPr>
      <w:i/>
      <w:iCs/>
      <w:color w:val="404040" w:themeColor="text1" w:themeTint="BF"/>
      <w:kern w:val="2"/>
      <w14:ligatures w14:val="standardContextual"/>
    </w:rPr>
  </w:style>
  <w:style w:type="character" w:styleId="IntenseEmphasis">
    <w:name w:val="Intense Emphasis"/>
    <w:basedOn w:val="DefaultParagraphFont"/>
    <w:uiPriority w:val="21"/>
    <w:qFormat/>
    <w:rsid w:val="001872B0"/>
    <w:rPr>
      <w:i/>
      <w:iCs/>
      <w:color w:val="365F91" w:themeColor="accent1" w:themeShade="BF"/>
    </w:rPr>
  </w:style>
  <w:style w:type="paragraph" w:styleId="IntenseQuote">
    <w:name w:val="Intense Quote"/>
    <w:basedOn w:val="Normal"/>
    <w:next w:val="Normal"/>
    <w:link w:val="IntenseQuoteChar"/>
    <w:uiPriority w:val="30"/>
    <w:qFormat/>
    <w:rsid w:val="001872B0"/>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1872B0"/>
    <w:rPr>
      <w:i/>
      <w:iCs/>
      <w:color w:val="365F91" w:themeColor="accent1" w:themeShade="BF"/>
      <w:kern w:val="2"/>
      <w14:ligatures w14:val="standardContextual"/>
    </w:rPr>
  </w:style>
  <w:style w:type="character" w:styleId="IntenseReference">
    <w:name w:val="Intense Reference"/>
    <w:basedOn w:val="DefaultParagraphFont"/>
    <w:uiPriority w:val="32"/>
    <w:qFormat/>
    <w:rsid w:val="001872B0"/>
    <w:rPr>
      <w:b/>
      <w:bCs/>
      <w:smallCaps/>
      <w:color w:val="365F91" w:themeColor="accent1" w:themeShade="BF"/>
      <w:spacing w:val="5"/>
    </w:rPr>
  </w:style>
  <w:style w:type="paragraph" w:styleId="NormalWeb">
    <w:name w:val="Normal (Web)"/>
    <w:basedOn w:val="Normal"/>
    <w:uiPriority w:val="99"/>
    <w:semiHidden/>
    <w:unhideWhenUsed/>
    <w:rsid w:val="001872B0"/>
    <w:pPr>
      <w:spacing w:after="160" w:line="259" w:lineRule="auto"/>
    </w:pPr>
    <w:rPr>
      <w:rFonts w:ascii="Times New Roman" w:hAnsi="Times New Roman" w:cs="Times New Roman"/>
      <w:kern w:val="2"/>
      <w:sz w:val="24"/>
      <w:szCs w:val="24"/>
      <w14:ligatures w14:val="standardContextual"/>
    </w:rPr>
  </w:style>
  <w:style w:type="paragraph" w:customStyle="1" w:styleId="dce-acf-repeater-item">
    <w:name w:val="dce-acf-repeater-item"/>
    <w:basedOn w:val="Normal"/>
    <w:rsid w:val="00BF61A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peater-item">
    <w:name w:val="repeater-item"/>
    <w:basedOn w:val="DefaultParagraphFont"/>
    <w:rsid w:val="00BF61A6"/>
  </w:style>
  <w:style w:type="character" w:styleId="Emphasis">
    <w:name w:val="Emphasis"/>
    <w:basedOn w:val="DefaultParagraphFont"/>
    <w:uiPriority w:val="20"/>
    <w:qFormat/>
    <w:rsid w:val="00BF61A6"/>
    <w:rPr>
      <w:i/>
      <w:iCs/>
    </w:rPr>
  </w:style>
  <w:style w:type="character" w:styleId="CommentReference">
    <w:name w:val="annotation reference"/>
    <w:basedOn w:val="DefaultParagraphFont"/>
    <w:uiPriority w:val="99"/>
    <w:semiHidden/>
    <w:unhideWhenUsed/>
    <w:rsid w:val="00BF61A6"/>
    <w:rPr>
      <w:sz w:val="16"/>
      <w:szCs w:val="16"/>
    </w:rPr>
  </w:style>
  <w:style w:type="paragraph" w:styleId="CommentText">
    <w:name w:val="annotation text"/>
    <w:basedOn w:val="Normal"/>
    <w:link w:val="CommentTextChar"/>
    <w:uiPriority w:val="99"/>
    <w:unhideWhenUsed/>
    <w:rsid w:val="00BF61A6"/>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BF61A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F61A6"/>
    <w:rPr>
      <w:b/>
      <w:bCs/>
    </w:rPr>
  </w:style>
  <w:style w:type="character" w:customStyle="1" w:styleId="CommentSubjectChar">
    <w:name w:val="Comment Subject Char"/>
    <w:basedOn w:val="CommentTextChar"/>
    <w:link w:val="CommentSubject"/>
    <w:uiPriority w:val="99"/>
    <w:semiHidden/>
    <w:rsid w:val="00BF61A6"/>
    <w:rPr>
      <w:b/>
      <w:bCs/>
      <w:kern w:val="2"/>
      <w:sz w:val="20"/>
      <w:szCs w:val="20"/>
      <w14:ligatures w14:val="standardContextual"/>
    </w:rPr>
  </w:style>
  <w:style w:type="paragraph" w:styleId="HTMLPreformatted">
    <w:name w:val="HTML Preformatted"/>
    <w:basedOn w:val="Normal"/>
    <w:link w:val="HTMLPreformattedChar"/>
    <w:uiPriority w:val="99"/>
    <w:semiHidden/>
    <w:unhideWhenUsed/>
    <w:rsid w:val="00640A2D"/>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40A2D"/>
    <w:rPr>
      <w:rFonts w:ascii="Consolas" w:hAnsi="Consolas"/>
      <w:sz w:val="20"/>
      <w:szCs w:val="20"/>
    </w:rPr>
  </w:style>
  <w:style w:type="character" w:styleId="FollowedHyperlink">
    <w:name w:val="FollowedHyperlink"/>
    <w:basedOn w:val="DefaultParagraphFont"/>
    <w:uiPriority w:val="99"/>
    <w:semiHidden/>
    <w:unhideWhenUsed/>
    <w:rsid w:val="00640A2D"/>
    <w:rPr>
      <w:color w:val="800080" w:themeColor="followedHyperlink"/>
      <w:u w:val="single"/>
    </w:rPr>
  </w:style>
  <w:style w:type="character" w:styleId="Strong">
    <w:name w:val="Strong"/>
    <w:basedOn w:val="DefaultParagraphFont"/>
    <w:uiPriority w:val="22"/>
    <w:qFormat/>
    <w:rsid w:val="000656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labeco.2022.102176" TargetMode="External"/><Relationship Id="rId299" Type="http://schemas.openxmlformats.org/officeDocument/2006/relationships/hyperlink" Target="https://commonslibrary.parliament.uk/research-briefings/cbp-10155/" TargetMode="External"/><Relationship Id="rId21" Type="http://schemas.openxmlformats.org/officeDocument/2006/relationships/hyperlink" Target="https://www.tandfonline.com/doi/full/10.1080/03075079.2022.2112027" TargetMode="External"/><Relationship Id="rId63" Type="http://schemas.openxmlformats.org/officeDocument/2006/relationships/diagramQuickStyle" Target="diagrams/quickStyle8.xml"/><Relationship Id="rId159" Type="http://schemas.openxmlformats.org/officeDocument/2006/relationships/hyperlink" Target="https://doi.org/10.1108/CDI-11-2018-0276" TargetMode="External"/><Relationship Id="rId324" Type="http://schemas.openxmlformats.org/officeDocument/2006/relationships/hyperlink" Target="http://www.tandfonline.com/10.1080/19415257.2015.1010015" TargetMode="External"/><Relationship Id="rId366" Type="http://schemas.openxmlformats.org/officeDocument/2006/relationships/hyperlink" Target="https://doi.org/10.1177/16094069211053522" TargetMode="External"/><Relationship Id="rId531" Type="http://schemas.openxmlformats.org/officeDocument/2006/relationships/diagramQuickStyle" Target="diagrams/quickStyle15.xml"/><Relationship Id="rId170" Type="http://schemas.openxmlformats.org/officeDocument/2006/relationships/hyperlink" Target="https://psycnet.apa.org/doi/10.1037/0003-066X.45.5.599" TargetMode="External"/><Relationship Id="rId226" Type="http://schemas.openxmlformats.org/officeDocument/2006/relationships/hyperlink" Target="https://d.docs.live.net/58950ACBB2A50453/Documents/20(3" TargetMode="External"/><Relationship Id="rId433" Type="http://schemas.openxmlformats.org/officeDocument/2006/relationships/hyperlink" Target="https://assets.publishing.service.gov.uk/government/uploads/system/uploads/attachment_data/file/658145/thriving-at-work-stevenson-farmer-review.pdf" TargetMode="External"/><Relationship Id="rId268" Type="http://schemas.openxmlformats.org/officeDocument/2006/relationships/hyperlink" Target="https://hull-repository.worktribe.com/output/4577109/can-restorative-supervision-positively-impact-the-emotional-wellbeing-of-hei-lecturers-in-healthcare" TargetMode="External"/><Relationship Id="rId475" Type="http://schemas.openxmlformats.org/officeDocument/2006/relationships/hyperlink" Target="https://doi.org/10.1007/S42438-020-00111-w" TargetMode="External"/><Relationship Id="rId32" Type="http://schemas.openxmlformats.org/officeDocument/2006/relationships/hyperlink" Target="https://www.emerald.com/insight/content/doi/10.1108/ijoa-05-2020-2204/full/html" TargetMode="External"/><Relationship Id="rId74" Type="http://schemas.openxmlformats.org/officeDocument/2006/relationships/diagramColors" Target="diagrams/colors10.xml"/><Relationship Id="rId128" Type="http://schemas.openxmlformats.org/officeDocument/2006/relationships/hyperlink" Target="https://doi.org/10.1002/j.1556-6978.2003.tb01823.x" TargetMode="External"/><Relationship Id="rId335" Type="http://schemas.openxmlformats.org/officeDocument/2006/relationships/hyperlink" Target="https://info.microsoft.com/rs/157-GQE-382/images/EN-US-CNTNT-Whitepaper-Education-Class-of-2030-report.pdf" TargetMode="External"/><Relationship Id="rId377" Type="http://schemas.openxmlformats.org/officeDocument/2006/relationships/hyperlink" Target="https://doi.org/10.1177/0533316486192003" TargetMode="External"/><Relationship Id="rId500" Type="http://schemas.openxmlformats.org/officeDocument/2006/relationships/hyperlink" Target="https://www.sheffield.ac.uk/govern/data-protection/privacy/general" TargetMode="External"/><Relationship Id="rId542" Type="http://schemas.openxmlformats.org/officeDocument/2006/relationships/diagramColors" Target="diagrams/colors17.xml"/><Relationship Id="rId5" Type="http://schemas.openxmlformats.org/officeDocument/2006/relationships/webSettings" Target="webSettings.xml"/><Relationship Id="rId181" Type="http://schemas.openxmlformats.org/officeDocument/2006/relationships/hyperlink" Target="http://dx.doi.org/10.1177/1468794108098031" TargetMode="External"/><Relationship Id="rId237" Type="http://schemas.openxmlformats.org/officeDocument/2006/relationships/hyperlink" Target="https://doi.org/10.14288/workplace.v0i28.186211" TargetMode="External"/><Relationship Id="rId402" Type="http://schemas.openxmlformats.org/officeDocument/2006/relationships/hyperlink" Target="https://www.rcn.org.uk/Professional-Development/publications/professional-nurse-advocate-standards-uk-pub-010-854" TargetMode="External"/><Relationship Id="rId279" Type="http://schemas.openxmlformats.org/officeDocument/2006/relationships/hyperlink" Target="https://www.som.org.uk/sites/som.org.uk/files/The_Mental_%20Health_and_Wellbeing_of_Nurses_and_Midwives_in_the_United_Kingdom.pdf" TargetMode="External"/><Relationship Id="rId444" Type="http://schemas.openxmlformats.org/officeDocument/2006/relationships/hyperlink" Target="https://doi.org/10.1177/136346001004003002" TargetMode="External"/><Relationship Id="rId486" Type="http://schemas.openxmlformats.org/officeDocument/2006/relationships/hyperlink" Target="http://www3.weforum.org/docs/WEFFOWReskillingRevolution.pdf" TargetMode="External"/><Relationship Id="rId43" Type="http://schemas.openxmlformats.org/officeDocument/2006/relationships/diagramQuickStyle" Target="diagrams/quickStyle4.xml"/><Relationship Id="rId139" Type="http://schemas.openxmlformats.org/officeDocument/2006/relationships/hyperlink" Target="https://doi.org/10.3402/qhw.v9.26152" TargetMode="External"/><Relationship Id="rId290" Type="http://schemas.openxmlformats.org/officeDocument/2006/relationships/hyperlink" Target="https://doi.org/10.1177/1469787401002002004" TargetMode="External"/><Relationship Id="rId304" Type="http://schemas.openxmlformats.org/officeDocument/2006/relationships/hyperlink" Target="https://doi.org/10.1111/j.1365-2648.2006.03950.x" TargetMode="External"/><Relationship Id="rId346" Type="http://schemas.openxmlformats.org/officeDocument/2006/relationships/hyperlink" Target="https://acmejournal.org/index.php/acme/article/view/1058" TargetMode="External"/><Relationship Id="rId388" Type="http://schemas.openxmlformats.org/officeDocument/2006/relationships/hyperlink" Target="https://doi.org/10.1080/03069880601106807" TargetMode="External"/><Relationship Id="rId511" Type="http://schemas.openxmlformats.org/officeDocument/2006/relationships/hyperlink" Target="https://www.sheffield.ac.uk/research-services/ethics-integrity/policy" TargetMode="External"/><Relationship Id="rId553" Type="http://schemas.openxmlformats.org/officeDocument/2006/relationships/hyperlink" Target="https://www.cstdbath.co.uk/cpd-courses-workshops/developing-your-supervision-practice-for-education-settings/" TargetMode="External"/><Relationship Id="rId85" Type="http://schemas.openxmlformats.org/officeDocument/2006/relationships/diagramQuickStyle" Target="diagrams/quickStyle12.xml"/><Relationship Id="rId150" Type="http://schemas.openxmlformats.org/officeDocument/2006/relationships/hyperlink" Target="https://doi.org/10.5456/WPLL.22.3.137" TargetMode="External"/><Relationship Id="rId192" Type="http://schemas.openxmlformats.org/officeDocument/2006/relationships/hyperlink" Target="https://doi.org/10.1177/1077800414566688" TargetMode="External"/><Relationship Id="rId206" Type="http://schemas.openxmlformats.org/officeDocument/2006/relationships/hyperlink" Target="https://psycnet.apa.org/doi/10.1207/s15473333thp3401_2" TargetMode="External"/><Relationship Id="rId413" Type="http://schemas.openxmlformats.org/officeDocument/2006/relationships/hyperlink" Target="https://www.theguardian.com/society/2019/sep/27/anxiety-mental-breakdowns-depression-uk-students" TargetMode="External"/><Relationship Id="rId248" Type="http://schemas.openxmlformats.org/officeDocument/2006/relationships/hyperlink" Target="https://www.savinglives.blog/uncategroized/mental-capacity-and-suicide-he-has-mental%20capacity-is-not-a-reason-for-clinicians-to-stand-back-and-do-nothing/" TargetMode="External"/><Relationship Id="rId455" Type="http://schemas.openxmlformats.org/officeDocument/2006/relationships/hyperlink" Target="https://doi.org/10.1177/002248718503600507" TargetMode="External"/><Relationship Id="rId497" Type="http://schemas.openxmlformats.org/officeDocument/2006/relationships/hyperlink" Target="mailto:sdschultz1@sheffield.ac.uk" TargetMode="External"/><Relationship Id="rId12" Type="http://schemas.openxmlformats.org/officeDocument/2006/relationships/customXml" Target="ink/ink2.xml"/><Relationship Id="rId108" Type="http://schemas.openxmlformats.org/officeDocument/2006/relationships/hyperlink" Target="https://doi.org/10.1080/13601440802076541" TargetMode="External"/><Relationship Id="rId315" Type="http://schemas.openxmlformats.org/officeDocument/2006/relationships/hyperlink" Target="https://doi.org/10.1177/00380385030373002" TargetMode="External"/><Relationship Id="rId357" Type="http://schemas.openxmlformats.org/officeDocument/2006/relationships/hyperlink" Target="https://tinyurl.com/3yc8fchr" TargetMode="External"/><Relationship Id="rId522" Type="http://schemas.microsoft.com/office/2007/relationships/diagramDrawing" Target="diagrams/drawing14.xml"/><Relationship Id="rId54" Type="http://schemas.openxmlformats.org/officeDocument/2006/relationships/diagramColors" Target="diagrams/colors6.xml"/><Relationship Id="rId96" Type="http://schemas.openxmlformats.org/officeDocument/2006/relationships/hyperlink" Target="https://doi.org/10.1007/s11096-015-0222-0" TargetMode="External"/><Relationship Id="rId161" Type="http://schemas.openxmlformats.org/officeDocument/2006/relationships/hyperlink" Target="https://doi.org/10.22605/RRH3361" TargetMode="External"/><Relationship Id="rId217" Type="http://schemas.openxmlformats.org/officeDocument/2006/relationships/hyperlink" Target="https://psycnet.apa.org/doi/10.1037/0003-066X.40.3.266" TargetMode="External"/><Relationship Id="rId399" Type="http://schemas.openxmlformats.org/officeDocument/2006/relationships/hyperlink" Target="https://doi.org/10.1080/09518398.2013.847506" TargetMode="External"/><Relationship Id="rId259" Type="http://schemas.openxmlformats.org/officeDocument/2006/relationships/hyperlink" Target="https://www.studentminds.org.uk/uploads/3/7/8/4/3784584/191208_umhc_artwork.pdf" TargetMode="External"/><Relationship Id="rId424" Type="http://schemas.openxmlformats.org/officeDocument/2006/relationships/hyperlink" Target="https://onlinelibrary.wiley.com/authored-by/Bernal/Guillermo" TargetMode="External"/><Relationship Id="rId466" Type="http://schemas.openxmlformats.org/officeDocument/2006/relationships/hyperlink" Target="https://psycnet.apa.org/doi/10.1080/03634523.2021.1936097" TargetMode="External"/><Relationship Id="rId23" Type="http://schemas.openxmlformats.org/officeDocument/2006/relationships/diagramLayout" Target="diagrams/layout1.xml"/><Relationship Id="rId119" Type="http://schemas.openxmlformats.org/officeDocument/2006/relationships/hyperlink" Target="https://doi.org/10.5430/jct.v2n2p22" TargetMode="External"/><Relationship Id="rId270" Type="http://schemas.openxmlformats.org/officeDocument/2006/relationships/hyperlink" Target="https://hull-repository.worktribe.com/output/4658819/viper-introducing-a-service-to-deliver-restorative-supervision-for-nursing-students-to-improve-retention-and-raise-the-quality-of-student-experiences" TargetMode="External"/><Relationship Id="rId326" Type="http://schemas.openxmlformats.org/officeDocument/2006/relationships/hyperlink" Target="https://www.proquest.com/openview/09dbc8473ec47edb43977075c87169e8/1?pq-origsite=gscholar&amp;cbl=18750" TargetMode="External"/><Relationship Id="rId533" Type="http://schemas.microsoft.com/office/2007/relationships/diagramDrawing" Target="diagrams/drawing15.xml"/><Relationship Id="rId65" Type="http://schemas.microsoft.com/office/2007/relationships/diagramDrawing" Target="diagrams/drawing8.xml"/><Relationship Id="rId130" Type="http://schemas.openxmlformats.org/officeDocument/2006/relationships/hyperlink" Target="https://doi.org/10.1093/brief-treatment/mhn017" TargetMode="External"/><Relationship Id="rId368" Type="http://schemas.openxmlformats.org/officeDocument/2006/relationships/hyperlink" Target="https://psycnet.apa.org/doi/10.1080/14753634.2010.512124" TargetMode="External"/><Relationship Id="rId172" Type="http://schemas.openxmlformats.org/officeDocument/2006/relationships/hyperlink" Target="https://doi.org/10.1177/1464700108086364" TargetMode="External"/><Relationship Id="rId228" Type="http://schemas.openxmlformats.org/officeDocument/2006/relationships/hyperlink" Target="https://www.gutenberg.org/ebooks/266" TargetMode="External"/><Relationship Id="rId435" Type="http://schemas.openxmlformats.org/officeDocument/2006/relationships/hyperlink" Target="https://studentminds.org.uk/" TargetMode="External"/><Relationship Id="rId477" Type="http://schemas.openxmlformats.org/officeDocument/2006/relationships/hyperlink" Target="https://www.kingsfund.org.uk/insight-and-analysis/reports/courage-compassion-supporting-nurses-midwives" TargetMode="External"/><Relationship Id="rId281" Type="http://schemas.openxmlformats.org/officeDocument/2006/relationships/hyperlink" Target="https://doi.org/10.1080/15487768.2017.1302370" TargetMode="External"/><Relationship Id="rId337" Type="http://schemas.openxmlformats.org/officeDocument/2006/relationships/hyperlink" Target="https://api.semanticscholar.org/CorpusID:32062009" TargetMode="External"/><Relationship Id="rId502" Type="http://schemas.openxmlformats.org/officeDocument/2006/relationships/hyperlink" Target="https://sites.google.com/a/sheffield.ac.uk/gdpr/" TargetMode="External"/><Relationship Id="rId34" Type="http://schemas.openxmlformats.org/officeDocument/2006/relationships/diagramLayout" Target="diagrams/layout3.xml"/><Relationship Id="rId76" Type="http://schemas.openxmlformats.org/officeDocument/2006/relationships/diagramData" Target="diagrams/data11.xml"/><Relationship Id="rId141" Type="http://schemas.openxmlformats.org/officeDocument/2006/relationships/hyperlink" Target="https://www.bacp.co.uk/media/3103/bacp-ethical-framework-for-the-counselling-professions-2018.pdf" TargetMode="External"/><Relationship Id="rId379" Type="http://schemas.openxmlformats.org/officeDocument/2006/relationships/hyperlink" Target="https://doi.org/10.1111/j.1467-8543.2011.00852.x" TargetMode="External"/><Relationship Id="rId544" Type="http://schemas.openxmlformats.org/officeDocument/2006/relationships/diagramData" Target="diagrams/data18.xml"/><Relationship Id="rId7" Type="http://schemas.openxmlformats.org/officeDocument/2006/relationships/endnotes" Target="endnotes.xml"/><Relationship Id="rId183" Type="http://schemas.openxmlformats.org/officeDocument/2006/relationships/hyperlink" Target="https://qualitysafety.bmj.com/content/23/2/106" TargetMode="External"/><Relationship Id="rId239" Type="http://schemas.openxmlformats.org/officeDocument/2006/relationships/hyperlink" Target="https://doi.org/10.1177/0146167204271323" TargetMode="External"/><Relationship Id="rId390" Type="http://schemas.openxmlformats.org/officeDocument/2006/relationships/hyperlink" Target="https://doi.org/10.1080/19415257.2018.1427132" TargetMode="External"/><Relationship Id="rId404" Type="http://schemas.openxmlformats.org/officeDocument/2006/relationships/hyperlink" Target="https://doi-org/10.1177/1077800416658071" TargetMode="External"/><Relationship Id="rId446" Type="http://schemas.openxmlformats.org/officeDocument/2006/relationships/hyperlink" Target="https://doi.org/10.1080/02660830.2004.11661500" TargetMode="External"/><Relationship Id="rId250" Type="http://schemas.openxmlformats.org/officeDocument/2006/relationships/hyperlink" Target="https://amzn.to/3ddk8cC" TargetMode="External"/><Relationship Id="rId292" Type="http://schemas.openxmlformats.org/officeDocument/2006/relationships/hyperlink" Target="https://doi.org/10.17763/haer.56.3.bj2h231877069482" TargetMode="External"/><Relationship Id="rId306" Type="http://schemas.openxmlformats.org/officeDocument/2006/relationships/hyperlink" Target="https://doi.org/10.1080/07377363.2025.2460248" TargetMode="External"/><Relationship Id="rId488" Type="http://schemas.openxmlformats.org/officeDocument/2006/relationships/hyperlink" Target="https://www.educationsupport.org.uk/media/x4jdvxpl/es-supporting-staff-wellbeing-in-he-report.pdf" TargetMode="External"/><Relationship Id="rId45" Type="http://schemas.microsoft.com/office/2007/relationships/diagramDrawing" Target="diagrams/drawing4.xml"/><Relationship Id="rId87" Type="http://schemas.microsoft.com/office/2007/relationships/diagramDrawing" Target="diagrams/drawing12.xml"/><Relationship Id="rId110" Type="http://schemas.openxmlformats.org/officeDocument/2006/relationships/hyperlink" Target="https://dailygenius.wordpress.com/2023/09/01/supervision-in-education-part-1-why-it-is-needed/" TargetMode="External"/><Relationship Id="rId348" Type="http://schemas.openxmlformats.org/officeDocument/2006/relationships/hyperlink" Target="https://eric.ed.gov/?id=ED436465" TargetMode="External"/><Relationship Id="rId513" Type="http://schemas.openxmlformats.org/officeDocument/2006/relationships/diagramData" Target="diagrams/data13.xml"/><Relationship Id="rId555" Type="http://schemas.openxmlformats.org/officeDocument/2006/relationships/hyperlink" Target="https://www.educatly.com/program/630911/education-supervision-in-education-pgcert" TargetMode="External"/><Relationship Id="rId152" Type="http://schemas.openxmlformats.org/officeDocument/2006/relationships/hyperlink" Target="https://work-learn-live-blmk.co.uk/wp-content/uploads/2018/04/CQC-Supporting-information-and-guidance.pdf" TargetMode="External"/><Relationship Id="rId194" Type="http://schemas.openxmlformats.org/officeDocument/2006/relationships/hyperlink" Target="http://dx.doi.org/10.1177/036215379302300402" TargetMode="External"/><Relationship Id="rId208" Type="http://schemas.openxmlformats.org/officeDocument/2006/relationships/hyperlink" Target="https://doi.org/10.1080/19415257.2019.1696874" TargetMode="External"/><Relationship Id="rId415" Type="http://schemas.openxmlformats.org/officeDocument/2006/relationships/hyperlink" Target="https://doi.org/10.1177/0149206314544746" TargetMode="External"/><Relationship Id="rId457" Type="http://schemas.openxmlformats.org/officeDocument/2006/relationships/hyperlink" Target="https://api.semanticscholar.org/CorpusID:145394397" TargetMode="External"/><Relationship Id="rId261" Type="http://schemas.openxmlformats.org/officeDocument/2006/relationships/hyperlink" Target="https://doi.org/10.1080/15289168.2012.700793" TargetMode="External"/><Relationship Id="rId499" Type="http://schemas.openxmlformats.org/officeDocument/2006/relationships/hyperlink" Target="mailto:r.lawthom@sheffield.ac.uk" TargetMode="External"/><Relationship Id="rId14" Type="http://schemas.openxmlformats.org/officeDocument/2006/relationships/customXml" Target="ink/ink3.xml"/><Relationship Id="rId56" Type="http://schemas.openxmlformats.org/officeDocument/2006/relationships/diagramData" Target="diagrams/data7.xml"/><Relationship Id="rId317" Type="http://schemas.openxmlformats.org/officeDocument/2006/relationships/hyperlink" Target="https://doi.org/10.1080/00220270120252" TargetMode="External"/><Relationship Id="rId359" Type="http://schemas.openxmlformats.org/officeDocument/2006/relationships/hyperlink" Target="https://doi.org/10.1080/03075079.2016.1196353" TargetMode="External"/><Relationship Id="rId524" Type="http://schemas.openxmlformats.org/officeDocument/2006/relationships/image" Target="media/image10.png"/><Relationship Id="rId98" Type="http://schemas.openxmlformats.org/officeDocument/2006/relationships/hyperlink" Target="https://doi.org/10.1108/17511340710819561" TargetMode="External"/><Relationship Id="rId121" Type="http://schemas.openxmlformats.org/officeDocument/2006/relationships/hyperlink" Target="http://dx.doi.org/10.1080/02796015.1981.12084895" TargetMode="External"/><Relationship Id="rId163" Type="http://schemas.openxmlformats.org/officeDocument/2006/relationships/hyperlink" Target="https://doi.org/10.1177/107808746800400103" TargetMode="External"/><Relationship Id="rId219" Type="http://schemas.openxmlformats.org/officeDocument/2006/relationships/hyperlink" Target="https://cehs.usu.edu/itls/projects/early-career-research/files/exploration-of-factors-related-to-the-development-of-science.pdf" TargetMode="External"/><Relationship Id="rId370" Type="http://schemas.openxmlformats.org/officeDocument/2006/relationships/hyperlink" Target="https://doi.org/10.1080/00958960009598649" TargetMode="External"/><Relationship Id="rId426" Type="http://schemas.openxmlformats.org/officeDocument/2006/relationships/hyperlink" Target="https://doi.org/10.1007/s13384-021-00455-7" TargetMode="External"/><Relationship Id="rId230" Type="http://schemas.openxmlformats.org/officeDocument/2006/relationships/hyperlink" Target="https://doi.org/10.1177/00207640211057729" TargetMode="External"/><Relationship Id="rId468" Type="http://schemas.openxmlformats.org/officeDocument/2006/relationships/hyperlink" Target="https://www.bacp.co.uk/bacp-journals/university-and-college-counselling/november-2012/the-impact-of-counselling-on-academic-outcomes/" TargetMode="External"/><Relationship Id="rId25" Type="http://schemas.openxmlformats.org/officeDocument/2006/relationships/diagramColors" Target="diagrams/colors1.xml"/><Relationship Id="rId67" Type="http://schemas.openxmlformats.org/officeDocument/2006/relationships/diagramLayout" Target="diagrams/layout9.xml"/><Relationship Id="rId272" Type="http://schemas.openxmlformats.org/officeDocument/2006/relationships/hyperlink" Target="https://psycnet.apa.org/doi/10.1037/str0000096" TargetMode="External"/><Relationship Id="rId328" Type="http://schemas.openxmlformats.org/officeDocument/2006/relationships/hyperlink" Target="https://www.academia.edu/3509091/Becoming_a_Successful_First_Year_Undergraduate_When_Expectations_and_Reality_Collide" TargetMode="External"/><Relationship Id="rId535" Type="http://schemas.openxmlformats.org/officeDocument/2006/relationships/diagramLayout" Target="diagrams/layout16.xml"/><Relationship Id="rId132" Type="http://schemas.openxmlformats.org/officeDocument/2006/relationships/hyperlink" Target="https://doi.org/10.3402/qhw.v6i4.7197" TargetMode="External"/><Relationship Id="rId174" Type="http://schemas.openxmlformats.org/officeDocument/2006/relationships/hyperlink" Target="https://education-uk.org/documents/dearing1997/dearing1997.html" TargetMode="External"/><Relationship Id="rId381" Type="http://schemas.openxmlformats.org/officeDocument/2006/relationships/hyperlink" Target="https://doi.org/10.1080/1364253031000091381" TargetMode="External"/><Relationship Id="rId241" Type="http://schemas.openxmlformats.org/officeDocument/2006/relationships/hyperlink" Target="https://scholarworks.umass.edu/items/19fee5c2-f54c-4c05-8dfd-f51c212134e8" TargetMode="External"/><Relationship Id="rId437" Type="http://schemas.openxmlformats.org/officeDocument/2006/relationships/hyperlink" Target="https://sunmentors.eu/" TargetMode="External"/><Relationship Id="rId479" Type="http://schemas.openxmlformats.org/officeDocument/2006/relationships/hyperlink" Target="https://doi.org/10.3390/educsci14080869" TargetMode="External"/><Relationship Id="rId36" Type="http://schemas.openxmlformats.org/officeDocument/2006/relationships/diagramColors" Target="diagrams/colors3.xml"/><Relationship Id="rId283" Type="http://schemas.openxmlformats.org/officeDocument/2006/relationships/hyperlink" Target="https://doi.org/10.1046/j.1365-2648.1998.00725.x" TargetMode="External"/><Relationship Id="rId339" Type="http://schemas.openxmlformats.org/officeDocument/2006/relationships/hyperlink" Target="https://doi.org/10.1080/13674580500200380" TargetMode="External"/><Relationship Id="rId490" Type="http://schemas.openxmlformats.org/officeDocument/2006/relationships/hyperlink" Target="https://psycnet.apa.org/doi/10.1016/j.tate.2017.04.006" TargetMode="External"/><Relationship Id="rId504" Type="http://schemas.openxmlformats.org/officeDocument/2006/relationships/hyperlink" Target="mailto:t.herrick@sheffield.ac.uk" TargetMode="External"/><Relationship Id="rId546" Type="http://schemas.openxmlformats.org/officeDocument/2006/relationships/diagramQuickStyle" Target="diagrams/quickStyle18.xml"/><Relationship Id="rId78" Type="http://schemas.openxmlformats.org/officeDocument/2006/relationships/diagramQuickStyle" Target="diagrams/quickStyle11.xml"/><Relationship Id="rId99" Type="http://schemas.openxmlformats.org/officeDocument/2006/relationships/hyperlink" Target="https://doi.org/10.1108/QRJ-10-2023-0149" TargetMode="External"/><Relationship Id="rId101" Type="http://schemas.openxmlformats.org/officeDocument/2006/relationships/hyperlink" Target="http://dx.doi.org/10.1037/abn0000362" TargetMode="External"/><Relationship Id="rId122" Type="http://schemas.openxmlformats.org/officeDocument/2006/relationships/hyperlink" Target="https://www.theguardian.com/higher-education-network/2016/aug/18/struggling-students-are-not-lacking-resilience-they-need-more-support" TargetMode="External"/><Relationship Id="rId143" Type="http://schemas.openxmlformats.org/officeDocument/2006/relationships/hyperlink" Target="https://doi.org/10.1080/03069885.2017.1370695" TargetMode="External"/><Relationship Id="rId164" Type="http://schemas.openxmlformats.org/officeDocument/2006/relationships/hyperlink" Target="https://doi.org/10.1177/002248717202300304" TargetMode="External"/><Relationship Id="rId185" Type="http://schemas.openxmlformats.org/officeDocument/2006/relationships/hyperlink" Target="https://pubmed.ncbi.nlm.nih.gov/8303152/" TargetMode="External"/><Relationship Id="rId350" Type="http://schemas.openxmlformats.org/officeDocument/2006/relationships/hyperlink" Target="https://doi.org/10.1108/09684880710830008" TargetMode="External"/><Relationship Id="rId371" Type="http://schemas.openxmlformats.org/officeDocument/2006/relationships/hyperlink" Target="https://d.docs.live.net/58950ACBB2A50453/Documents/&#160;62(3" TargetMode="External"/><Relationship Id="rId406" Type="http://schemas.openxmlformats.org/officeDocument/2006/relationships/hyperlink" Target="https://doi.org/10.1007/s10902-006-9023-4" TargetMode="External"/><Relationship Id="rId9" Type="http://schemas.openxmlformats.org/officeDocument/2006/relationships/customXml" Target="ink/ink1.xml"/><Relationship Id="rId210" Type="http://schemas.openxmlformats.org/officeDocument/2006/relationships/hyperlink" Target="https://doi.org/10.1136/bmj.323.7316.799" TargetMode="External"/><Relationship Id="rId392" Type="http://schemas.openxmlformats.org/officeDocument/2006/relationships/hyperlink" Target="https://doi.org/10.1177/1350507698292004" TargetMode="External"/><Relationship Id="rId427" Type="http://schemas.openxmlformats.org/officeDocument/2006/relationships/hyperlink" Target="https://link.springer.com/content/pdf/10.1007/s10734-018-0300-z.pdf" TargetMode="External"/><Relationship Id="rId448" Type="http://schemas.openxmlformats.org/officeDocument/2006/relationships/hyperlink" Target="https://uploads-ssl.webflow.com/561110743bc7e45e78292140/5c7d4b5d314d163fecdc3706_Mental%20Health%20Report%202018.pdf" TargetMode="External"/><Relationship Id="rId469" Type="http://schemas.openxmlformats.org/officeDocument/2006/relationships/hyperlink" Target="https://doi.org/10.1080/01411920120109766" TargetMode="External"/><Relationship Id="rId26" Type="http://schemas.microsoft.com/office/2007/relationships/diagramDrawing" Target="diagrams/drawing1.xml"/><Relationship Id="rId231" Type="http://schemas.openxmlformats.org/officeDocument/2006/relationships/hyperlink" Target="https://doi.org/casel.org/blog/sel-and-the-future-of-our-democracy/" TargetMode="External"/><Relationship Id="rId252" Type="http://schemas.openxmlformats.org/officeDocument/2006/relationships/hyperlink" Target="https://scholar.google.co.uk/scholar?as_sauthors=W+Hollway&amp;as_q=From+motherhood+to+maternal+subjectivity&amp;as_occt=title" TargetMode="External"/><Relationship Id="rId273" Type="http://schemas.openxmlformats.org/officeDocument/2006/relationships/hyperlink" Target="https://doi.org/10.1515/9781400850952.129" TargetMode="External"/><Relationship Id="rId294" Type="http://schemas.openxmlformats.org/officeDocument/2006/relationships/hyperlink" Target="https://www.barnardos.org.uk/sites/default/files/uploads/supporting-mental-health-wellbeing-education-staff-through-professional-supervision-structures.pdf" TargetMode="External"/><Relationship Id="rId308" Type="http://schemas.openxmlformats.org/officeDocument/2006/relationships/hyperlink" Target="https://doi.org/10.1080/10002002108538732" TargetMode="External"/><Relationship Id="rId329" Type="http://schemas.openxmlformats.org/officeDocument/2006/relationships/hyperlink" Target="http://dx.doi.org/10.5944/openpraxis.11.1.929" TargetMode="External"/><Relationship Id="rId480" Type="http://schemas.openxmlformats.org/officeDocument/2006/relationships/hyperlink" Target="https://doi.org/10.1177/1521025116629152" TargetMode="External"/><Relationship Id="rId515" Type="http://schemas.openxmlformats.org/officeDocument/2006/relationships/diagramQuickStyle" Target="diagrams/quickStyle13.xml"/><Relationship Id="rId536" Type="http://schemas.openxmlformats.org/officeDocument/2006/relationships/diagramQuickStyle" Target="diagrams/quickStyle16.xml"/><Relationship Id="rId47" Type="http://schemas.openxmlformats.org/officeDocument/2006/relationships/diagramLayout" Target="diagrams/layout5.xml"/><Relationship Id="rId68" Type="http://schemas.openxmlformats.org/officeDocument/2006/relationships/diagramQuickStyle" Target="diagrams/quickStyle9.xml"/><Relationship Id="rId89" Type="http://schemas.openxmlformats.org/officeDocument/2006/relationships/hyperlink" Target="https://pubmed.ncbi.nlm.nih.gov/?term=Araujo-Soares+V&amp;cauthor_id=27686611" TargetMode="External"/><Relationship Id="rId112" Type="http://schemas.openxmlformats.org/officeDocument/2006/relationships/hyperlink" Target="https://www.cambridge.org/core/journals/bjpsych-bulletin/article/magical-thinking-and-moral-injury-exclusion-culture-in-psychiatry/E41B47079D935213DCC074A03A351712" TargetMode="External"/><Relationship Id="rId133" Type="http://schemas.openxmlformats.org/officeDocument/2006/relationships/hyperlink" Target="https://doi.org/10.1080/03075079812331380384" TargetMode="External"/><Relationship Id="rId154" Type="http://schemas.openxmlformats.org/officeDocument/2006/relationships/hyperlink" Target="https://doi.org/10.1002/sres.932" TargetMode="External"/><Relationship Id="rId175" Type="http://schemas.openxmlformats.org/officeDocument/2006/relationships/hyperlink" Target="https://www.researchgate.net/publication/262944944_Transforming_Higher_Education_in_Whose_Image_Exploring_the_Concept_of_the_'World-Class'_University_in_Europe_and_Asia/citation/download" TargetMode="External"/><Relationship Id="rId340" Type="http://schemas.openxmlformats.org/officeDocument/2006/relationships/hyperlink" Target="https://doi.org/10.1108/09513541311306431" TargetMode="External"/><Relationship Id="rId361" Type="http://schemas.openxmlformats.org/officeDocument/2006/relationships/hyperlink" Target="https://doi.org/10.1177/1609406917733847" TargetMode="External"/><Relationship Id="rId557" Type="http://schemas.openxmlformats.org/officeDocument/2006/relationships/header" Target="header2.xml"/><Relationship Id="rId196" Type="http://schemas.openxmlformats.org/officeDocument/2006/relationships/hyperlink" Target="https://royalsocietypublishing.org/doi/10.1098/rspl.1881.0067" TargetMode="External"/><Relationship Id="rId200" Type="http://schemas.openxmlformats.org/officeDocument/2006/relationships/hyperlink" Target="https://doi.org/10.1080/03626784.1979.11075593" TargetMode="External"/><Relationship Id="rId382" Type="http://schemas.openxmlformats.org/officeDocument/2006/relationships/hyperlink" Target="https://doi.org/10.1080/03075079.2022.2112027" TargetMode="External"/><Relationship Id="rId417" Type="http://schemas.openxmlformats.org/officeDocument/2006/relationships/hyperlink" Target="https://doi.org/10.1080/01406720500537502" TargetMode="External"/><Relationship Id="rId438" Type="http://schemas.openxmlformats.org/officeDocument/2006/relationships/hyperlink" Target="https://www.stmarys.ac.uk/research/areas/education-and-teaching/supervision-in-education-network/welcome.aspx" TargetMode="External"/><Relationship Id="rId459" Type="http://schemas.openxmlformats.org/officeDocument/2006/relationships/hyperlink" Target="https://ahpp.org.uk/code-of-ethical-principles/" TargetMode="External"/><Relationship Id="rId16" Type="http://schemas.openxmlformats.org/officeDocument/2006/relationships/customXml" Target="ink/ink5.xml"/><Relationship Id="rId221" Type="http://schemas.openxmlformats.org/officeDocument/2006/relationships/hyperlink" Target="https://doi.org/10.1114/jets.v5i8.2482" TargetMode="External"/><Relationship Id="rId242" Type="http://schemas.openxmlformats.org/officeDocument/2006/relationships/hyperlink" Target="https://www.hcpc-uk.org/globalassets/meetings-attachments3/plg---continuing-professional-development/2006/february/continuing_professional_development_plg_20060206_-enclosure04ii/" TargetMode="External"/><Relationship Id="rId263" Type="http://schemas.openxmlformats.org/officeDocument/2006/relationships/hyperlink" Target="https://doi.org/10.1080/14780887.2022.2067509" TargetMode="External"/><Relationship Id="rId284" Type="http://schemas.openxmlformats.org/officeDocument/2006/relationships/hyperlink" Target="https://www.researchgate.net/publication/257942423_Shifting_Higher_Education_Management_Examining_the_Organisational_Changes_among_Various_UK_University_Types" TargetMode="External"/><Relationship Id="rId319" Type="http://schemas.openxmlformats.org/officeDocument/2006/relationships/hyperlink" Target="https://doi.org/10.1080/0022027041000229396" TargetMode="External"/><Relationship Id="rId470" Type="http://schemas.openxmlformats.org/officeDocument/2006/relationships/hyperlink" Target="https://pubmed.ncbi.nlm.nih.gov/26364336/" TargetMode="External"/><Relationship Id="rId491" Type="http://schemas.openxmlformats.org/officeDocument/2006/relationships/hyperlink" Target="https://doi.org/10.1007/BF01807805" TargetMode="External"/><Relationship Id="rId505" Type="http://schemas.openxmlformats.org/officeDocument/2006/relationships/hyperlink" Target="mailto:dan.goodley@sheffield.ac.uk" TargetMode="External"/><Relationship Id="rId526" Type="http://schemas.openxmlformats.org/officeDocument/2006/relationships/image" Target="media/image11.png"/><Relationship Id="rId37" Type="http://schemas.microsoft.com/office/2007/relationships/diagramDrawing" Target="diagrams/drawing3.xml"/><Relationship Id="rId58" Type="http://schemas.openxmlformats.org/officeDocument/2006/relationships/diagramQuickStyle" Target="diagrams/quickStyle7.xml"/><Relationship Id="rId79" Type="http://schemas.openxmlformats.org/officeDocument/2006/relationships/diagramColors" Target="diagrams/colors11.xml"/><Relationship Id="rId102" Type="http://schemas.openxmlformats.org/officeDocument/2006/relationships/hyperlink" Target="https://psycnet.apa.org/doi/10.1080/00049530903312899" TargetMode="External"/><Relationship Id="rId123" Type="http://schemas.openxmlformats.org/officeDocument/2006/relationships/hyperlink" Target="https://doi.org/10.1080/13645570050083689" TargetMode="External"/><Relationship Id="rId144" Type="http://schemas.openxmlformats.org/officeDocument/2006/relationships/hyperlink" Target="https://doi.org/10.1080/1743727x.2017.1379987" TargetMode="External"/><Relationship Id="rId330" Type="http://schemas.openxmlformats.org/officeDocument/2006/relationships/hyperlink" Target="https://mentalhealth-uk.org/blog/what-is-climate-anxiety-and-what-can-we-do-about-it/" TargetMode="External"/><Relationship Id="rId547" Type="http://schemas.openxmlformats.org/officeDocument/2006/relationships/diagramColors" Target="diagrams/colors18.xml"/><Relationship Id="rId90" Type="http://schemas.openxmlformats.org/officeDocument/2006/relationships/hyperlink" Target="https://pubmed.ncbi.nlm.nih.gov/?term=Summerbell+C&amp;cauthor_id=27686611" TargetMode="External"/><Relationship Id="rId165" Type="http://schemas.openxmlformats.org/officeDocument/2006/relationships/hyperlink" Target="https://doi.org/10.1177/002248717202300304" TargetMode="External"/><Relationship Id="rId186" Type="http://schemas.openxmlformats.org/officeDocument/2006/relationships/hyperlink" Target="https://dsc.duq.edu/etd/504" TargetMode="External"/><Relationship Id="rId351" Type="http://schemas.openxmlformats.org/officeDocument/2006/relationships/hyperlink" Target="https://www.naceweb.org/uploadedFiles/files/2022/resources/2022-nace-career-readiness-development-and-validation.pdf" TargetMode="External"/><Relationship Id="rId372" Type="http://schemas.openxmlformats.org/officeDocument/2006/relationships/hyperlink" Target="https://doi.org/10.3102/00346543062003307" TargetMode="External"/><Relationship Id="rId393" Type="http://schemas.openxmlformats.org/officeDocument/2006/relationships/hyperlink" Target="https://api.semanticscholar.org/CorpusID:143523106" TargetMode="External"/><Relationship Id="rId407" Type="http://schemas.openxmlformats.org/officeDocument/2006/relationships/hyperlink" Target="https://doi.org/10.1016/bs.adms.2019.01.001" TargetMode="External"/><Relationship Id="rId428" Type="http://schemas.openxmlformats.org/officeDocument/2006/relationships/hyperlink" Target="https://doi.org/10.1007/s10648-011-9170-y" TargetMode="External"/><Relationship Id="rId449" Type="http://schemas.openxmlformats.org/officeDocument/2006/relationships/hyperlink" Target="https://sites.google.com/sheffiels.ac.uk/soe-pgr-handbook/your-studies/research-ethics" TargetMode="External"/><Relationship Id="rId211" Type="http://schemas.openxmlformats.org/officeDocument/2006/relationships/hyperlink" Target="%20https://researchonline.rca.ac.uk/id/eprint/384" TargetMode="External"/><Relationship Id="rId232" Type="http://schemas.openxmlformats.org/officeDocument/2006/relationships/hyperlink" Target="https://theses.ncl.ac.uk/jspui/bitstream/10443/3429/1/Greenfield%20B.%202016%20%28DAppEdPsy%29.pdf" TargetMode="External"/><Relationship Id="rId253" Type="http://schemas.openxmlformats.org/officeDocument/2006/relationships/hyperlink" Target="https://www.researchgate.net/journal/Shanlax-International-Journal-of-Education-2582-1334?_tp=eyJjb250ZXh0Ijp7ImZpcnN0UGFnZSI6InB1YmxpY2F0aW9uRG93bmxvYWQiLCJwYWdlIjoicHVibGljYXRpb24ifX0" TargetMode="External"/><Relationship Id="rId274" Type="http://schemas.openxmlformats.org/officeDocument/2006/relationships/hyperlink" Target="https://doi.org/10.2307/256287" TargetMode="External"/><Relationship Id="rId295" Type="http://schemas.openxmlformats.org/officeDocument/2006/relationships/hyperlink" Target="https://doi.org/10.3109/00048671003649052" TargetMode="External"/><Relationship Id="rId309" Type="http://schemas.openxmlformats.org/officeDocument/2006/relationships/hyperlink" Target="http://dx.doi.org/10.1080/14753630701273058" TargetMode="External"/><Relationship Id="rId460" Type="http://schemas.openxmlformats.org/officeDocument/2006/relationships/hyperlink" Target="https://www.psychotherapy.org.uk/media/bkjdm33f/ukcp-code-of-ethics-and-professional-practice-2019.pdf" TargetMode="External"/><Relationship Id="rId481" Type="http://schemas.openxmlformats.org/officeDocument/2006/relationships/hyperlink" Target="https://www.youtube.com/watch?v=aEmv2HnpJwE" TargetMode="External"/><Relationship Id="rId516" Type="http://schemas.openxmlformats.org/officeDocument/2006/relationships/diagramColors" Target="diagrams/colors13.xml"/><Relationship Id="rId27" Type="http://schemas.openxmlformats.org/officeDocument/2006/relationships/diagramData" Target="diagrams/data2.xml"/><Relationship Id="rId48" Type="http://schemas.openxmlformats.org/officeDocument/2006/relationships/diagramQuickStyle" Target="diagrams/quickStyle5.xml"/><Relationship Id="rId69" Type="http://schemas.openxmlformats.org/officeDocument/2006/relationships/diagramColors" Target="diagrams/colors9.xml"/><Relationship Id="rId113" Type="http://schemas.openxmlformats.org/officeDocument/2006/relationships/hyperlink" Target="https://doi.org/10.1093/bjsw/bcq018" TargetMode="External"/><Relationship Id="rId134" Type="http://schemas.openxmlformats.org/officeDocument/2006/relationships/hyperlink" Target="https://doi.org/10.1017/S0140525X00064955" TargetMode="External"/><Relationship Id="rId320" Type="http://schemas.openxmlformats.org/officeDocument/2006/relationships/hyperlink" Target="https://doi.org/10.17169/fqs-1.2.1089" TargetMode="External"/><Relationship Id="rId537" Type="http://schemas.openxmlformats.org/officeDocument/2006/relationships/diagramColors" Target="diagrams/colors16.xml"/><Relationship Id="rId558" Type="http://schemas.openxmlformats.org/officeDocument/2006/relationships/footer" Target="footer2.xml"/><Relationship Id="rId80" Type="http://schemas.microsoft.com/office/2007/relationships/diagramDrawing" Target="diagrams/drawing11.xml"/><Relationship Id="rId155" Type="http://schemas.openxmlformats.org/officeDocument/2006/relationships/hyperlink" Target="https://doi.org/10.1177/1742271X221131482" TargetMode="External"/><Relationship Id="rId176" Type="http://schemas.openxmlformats.org/officeDocument/2006/relationships/hyperlink" Target="https://www.deloitte.com/global/en/about/people/social-responsibility/millennialsurvey-2021.html" TargetMode="External"/><Relationship Id="rId197" Type="http://schemas.openxmlformats.org/officeDocument/2006/relationships/hyperlink" Target="https://doi.org/10.1098/rspl.1881.0067" TargetMode="External"/><Relationship Id="rId341" Type="http://schemas.openxmlformats.org/officeDocument/2006/relationships/hyperlink" Target="https://pure.psu.edu/en/publications/the-research-university-in-transition-the-emerging-global-model" TargetMode="External"/><Relationship Id="rId362" Type="http://schemas.openxmlformats.org/officeDocument/2006/relationships/hyperlink" Target="https://doi.org/10.1080/00220272.2019.1686180" TargetMode="External"/><Relationship Id="rId383" Type="http://schemas.openxmlformats.org/officeDocument/2006/relationships/hyperlink" Target="https://www.jstor.org/stable/40962571" TargetMode="External"/><Relationship Id="rId418" Type="http://schemas.openxmlformats.org/officeDocument/2006/relationships/hyperlink" Target="https://www.scirp.org/reference/referencespapers?referenceid=770355" TargetMode="External"/><Relationship Id="rId439" Type="http://schemas.openxmlformats.org/officeDocument/2006/relationships/hyperlink" Target="https://www.stmarys.ac.uk/research/areas/education-and-teaching/docs/supervision-in-education-quality-standards-framework-oct-2025.pdf" TargetMode="External"/><Relationship Id="rId201" Type="http://schemas.openxmlformats.org/officeDocument/2006/relationships/hyperlink" Target="https://www.researchgate.net/profile/William-West-9/publication/247520343_The_culture_of_psychotherapy_supervision/links/0c960525e928d6fa36000000/The-culture-of-psychotherapy-supervision.pdf" TargetMode="External"/><Relationship Id="rId222" Type="http://schemas.openxmlformats.org/officeDocument/2006/relationships/hyperlink" Target="https://www.nytimes.com/2024/03/23/business/jonathan-haidt-smartphones-coddling.html" TargetMode="External"/><Relationship Id="rId243" Type="http://schemas.openxmlformats.org/officeDocument/2006/relationships/hyperlink" Target="https://www.hcpc-uk.org/standards/meeting-our-standards/health-safety-and-wellbeing/maintaining-your-health-and-wellbeing/" TargetMode="External"/><Relationship Id="rId264" Type="http://schemas.openxmlformats.org/officeDocument/2006/relationships/hyperlink" Target="https://doi.org/10.1177/1468794112465631" TargetMode="External"/><Relationship Id="rId285" Type="http://schemas.openxmlformats.org/officeDocument/2006/relationships/hyperlink" Target="https://www.alexandria.unisg.ch/handle/20.500.14171/116592" TargetMode="External"/><Relationship Id="rId450" Type="http://schemas.openxmlformats.org/officeDocument/2006/relationships/hyperlink" Target="https://www.ippr.org/research/publications/not-by-degrees" TargetMode="External"/><Relationship Id="rId471" Type="http://schemas.openxmlformats.org/officeDocument/2006/relationships/hyperlink" Target="https://pubmed.ncbi.nlm.nih.gov/23243999/" TargetMode="External"/><Relationship Id="rId506" Type="http://schemas.openxmlformats.org/officeDocument/2006/relationships/image" Target="media/image7.png"/><Relationship Id="rId17" Type="http://schemas.openxmlformats.org/officeDocument/2006/relationships/customXml" Target="ink/ink6.xml"/><Relationship Id="rId38" Type="http://schemas.openxmlformats.org/officeDocument/2006/relationships/hyperlink" Target="https://en.wiktionary.org/wiki/%E1%BD%91%CF%83%CF%84%CE%AD%CF%81%CE%B7%CF%83%CE%B9%CF%82" TargetMode="External"/><Relationship Id="rId59" Type="http://schemas.openxmlformats.org/officeDocument/2006/relationships/diagramColors" Target="diagrams/colors7.xml"/><Relationship Id="rId103" Type="http://schemas.openxmlformats.org/officeDocument/2006/relationships/hyperlink" Target="https://doi.org/10.1080/0268093052000341403" TargetMode="External"/><Relationship Id="rId124" Type="http://schemas.openxmlformats.org/officeDocument/2006/relationships/hyperlink" Target="https://doi.org/10.1080/07377363.2021.1923306" TargetMode="External"/><Relationship Id="rId310" Type="http://schemas.openxmlformats.org/officeDocument/2006/relationships/hyperlink" Target="https://doi.org/10.1177/0081246321992179" TargetMode="External"/><Relationship Id="rId492" Type="http://schemas.openxmlformats.org/officeDocument/2006/relationships/hyperlink" Target="https://doi.org/10.1177/002248718303400302" TargetMode="External"/><Relationship Id="rId527" Type="http://schemas.openxmlformats.org/officeDocument/2006/relationships/customXml" Target="ink/ink9.xml"/><Relationship Id="rId548" Type="http://schemas.microsoft.com/office/2007/relationships/diagramDrawing" Target="diagrams/drawing18.xml"/><Relationship Id="rId70" Type="http://schemas.microsoft.com/office/2007/relationships/diagramDrawing" Target="diagrams/drawing9.xml"/><Relationship Id="rId91" Type="http://schemas.openxmlformats.org/officeDocument/2006/relationships/hyperlink" Target="https://dx.doi.org/10.1186/s13643-016-0337-y" TargetMode="External"/><Relationship Id="rId145" Type="http://schemas.openxmlformats.org/officeDocument/2006/relationships/hyperlink" Target="https://doi.org/10.1080/03075079.2020.1767049" TargetMode="External"/><Relationship Id="rId166" Type="http://schemas.openxmlformats.org/officeDocument/2006/relationships/hyperlink" Target="https://www.iza.org/publications/dp/6452/mental-health-and-education-decisions" TargetMode="External"/><Relationship Id="rId187" Type="http://schemas.openxmlformats.org/officeDocument/2006/relationships/hyperlink" Target="https://doi.org/10.1177/003172170808901014" TargetMode="External"/><Relationship Id="rId331" Type="http://schemas.openxmlformats.org/officeDocument/2006/relationships/hyperlink" Target="https://doi.org/10.1177/001872676001300201" TargetMode="External"/><Relationship Id="rId352" Type="http://schemas.openxmlformats.org/officeDocument/2006/relationships/hyperlink" Target="https://doi-org.sheffield.idm.oclc.org/10.1111/j.1468-2273.2006.00312.x" TargetMode="External"/><Relationship Id="rId373" Type="http://schemas.openxmlformats.org/officeDocument/2006/relationships/hyperlink" Target="https://doi.org/10.3390/edusci12040237" TargetMode="External"/><Relationship Id="rId394" Type="http://schemas.openxmlformats.org/officeDocument/2006/relationships/hyperlink" Target="https://doi.org/10.1037/h0045357" TargetMode="External"/><Relationship Id="rId408" Type="http://schemas.openxmlformats.org/officeDocument/2006/relationships/hyperlink" Target="https://icdp.info/wp-content/uploads/2013/05/2013-05-09_06-31-12_the_foundation_of_a_healthy_psychosocial.pdf" TargetMode="External"/><Relationship Id="rId429" Type="http://schemas.openxmlformats.org/officeDocument/2006/relationships/hyperlink" Target="https://api.semanticscholar.org/CorpusID:145090947" TargetMode="External"/><Relationship Id="rId1" Type="http://schemas.openxmlformats.org/officeDocument/2006/relationships/customXml" Target="../customXml/item1.xml"/><Relationship Id="rId212" Type="http://schemas.openxmlformats.org/officeDocument/2006/relationships/hyperlink" Target="https://doi.org/10.1111/peps.12183" TargetMode="External"/><Relationship Id="rId233" Type="http://schemas.openxmlformats.org/officeDocument/2006/relationships/hyperlink" Target="https://scholar.lib.vt.edu/ejournals/CTER/v32n2/pdf/greiman.pdf" TargetMode="External"/><Relationship Id="rId254" Type="http://schemas.openxmlformats.org/officeDocument/2006/relationships/hyperlink" Target="https://doi.org/10.34293/education.v8i4.3232" TargetMode="External"/><Relationship Id="rId440" Type="http://schemas.openxmlformats.org/officeDocument/2006/relationships/hyperlink" Target="https://doi.org/10.1192/bjp.68.282.245" TargetMode="External"/><Relationship Id="rId28" Type="http://schemas.openxmlformats.org/officeDocument/2006/relationships/diagramLayout" Target="diagrams/layout2.xml"/><Relationship Id="rId49" Type="http://schemas.openxmlformats.org/officeDocument/2006/relationships/diagramColors" Target="diagrams/colors5.xml"/><Relationship Id="rId114" Type="http://schemas.openxmlformats.org/officeDocument/2006/relationships/hyperlink" Target="https://doi.org/10.1016/j.jad.2014.10.054" TargetMode="External"/><Relationship Id="rId275" Type="http://schemas.openxmlformats.org/officeDocument/2006/relationships/hyperlink" Target="https://psycnet.apa.org/doi/10.1037/h0089207" TargetMode="External"/><Relationship Id="rId296" Type="http://schemas.openxmlformats.org/officeDocument/2006/relationships/hyperlink" Target="https://doi.org/10.1007/s12124-024-09856-6" TargetMode="External"/><Relationship Id="rId300" Type="http://schemas.openxmlformats.org/officeDocument/2006/relationships/hyperlink" Target="https://doi.org/10.1111/j.1471-6712.2004.00258.x" TargetMode="External"/><Relationship Id="rId461" Type="http://schemas.openxmlformats.org/officeDocument/2006/relationships/hyperlink" Target="https://www.universitiesuk.ac.uk/sites/default/files/field/downloads/2021-07/uuk-stepchange-mhu.pdf" TargetMode="External"/><Relationship Id="rId482" Type="http://schemas.openxmlformats.org/officeDocument/2006/relationships/hyperlink" Target="https://doi.org/10.1080/00131911.2017.1311303" TargetMode="External"/><Relationship Id="rId517" Type="http://schemas.microsoft.com/office/2007/relationships/diagramDrawing" Target="diagrams/drawing13.xml"/><Relationship Id="rId538" Type="http://schemas.microsoft.com/office/2007/relationships/diagramDrawing" Target="diagrams/drawing16.xml"/><Relationship Id="rId559" Type="http://schemas.openxmlformats.org/officeDocument/2006/relationships/fontTable" Target="fontTable.xml"/><Relationship Id="rId60" Type="http://schemas.microsoft.com/office/2007/relationships/diagramDrawing" Target="diagrams/drawing7.xml"/><Relationship Id="rId81" Type="http://schemas.openxmlformats.org/officeDocument/2006/relationships/image" Target="media/image5.png"/><Relationship Id="rId135" Type="http://schemas.openxmlformats.org/officeDocument/2006/relationships/hyperlink" Target="https://www.semanticscholar.org/paper/Reflective-Learning-Boyd-Fales/3848d35a096896d5ca5ffda788e25e8891b83aa8" TargetMode="External"/><Relationship Id="rId156" Type="http://schemas.openxmlformats.org/officeDocument/2006/relationships/hyperlink" Target="https://search.informit.org/doi/10.3316/informit.545114241962796" TargetMode="External"/><Relationship Id="rId177" Type="http://schemas.openxmlformats.org/officeDocument/2006/relationships/hyperlink" Target="https://tomsclasses.me/wp-content/uploads/2011/03/telling-tales-denning.pdf" TargetMode="External"/><Relationship Id="rId198" Type="http://schemas.openxmlformats.org/officeDocument/2006/relationships/hyperlink" Target="https://www.proquest.com/trade-journals/docview/playing-rankings-game/214657138/se-2" TargetMode="External"/><Relationship Id="rId321" Type="http://schemas.openxmlformats.org/officeDocument/2006/relationships/hyperlink" Target="https://www.researchgate.net/journal/Reflective-Practice-1470-1103" TargetMode="External"/><Relationship Id="rId342" Type="http://schemas.openxmlformats.org/officeDocument/2006/relationships/hyperlink" Target="https://doi.org/10.1177/104973239800800307" TargetMode="External"/><Relationship Id="rId363" Type="http://schemas.openxmlformats.org/officeDocument/2006/relationships/hyperlink" Target="https://healthyuniversities.ac.uk/wp-content/uploads/2019/05/staff_wellbeing_he_research.pdf" TargetMode="External"/><Relationship Id="rId384" Type="http://schemas.openxmlformats.org/officeDocument/2006/relationships/hyperlink" Target="http://www.qaa.ac.uk/" TargetMode="External"/><Relationship Id="rId419" Type="http://schemas.openxmlformats.org/officeDocument/2006/relationships/hyperlink" Target="https://doi.org/10.1080/13540602.2021.1913404" TargetMode="External"/><Relationship Id="rId202" Type="http://schemas.openxmlformats.org/officeDocument/2006/relationships/hyperlink" Target="https://find.shef.ac.uk/primo-explore/fulldisplay?docid=TN_cdi_doaj_primary_oai_doaj_org_article_7689d6b72fb24b899ba35942fc0e4573&amp;context=PC&amp;vid=44SFD_VU2&amp;lang=en_US&amp;search_scope=SCOP_EVERYTHING&amp;adaptor=primo_central_multiple_fe&amp;tab=everything&amp;query=any%2Ccontains%2CFereday%20and%20Muir-Cochrane%20(2006)&amp;offset=0" TargetMode="External"/><Relationship Id="rId223" Type="http://schemas.openxmlformats.org/officeDocument/2006/relationships/hyperlink" Target="https://www.semanticscholar.org/paper/Momo%2C-Dogen%2C-and-the-Commodification-of-Time-Goodhew-Loy/7b63219c6ac0c945ab1cf31e5e7e6eea3d299575" TargetMode="External"/><Relationship Id="rId244" Type="http://schemas.openxmlformats.org/officeDocument/2006/relationships/hyperlink" Target="https://www.legislation.gov.uk/ukpga/1974/37/contents" TargetMode="External"/><Relationship Id="rId430" Type="http://schemas.openxmlformats.org/officeDocument/2006/relationships/hyperlink" Target="https://doi.org/10.1080/00050060902733727" TargetMode="External"/><Relationship Id="rId18" Type="http://schemas.openxmlformats.org/officeDocument/2006/relationships/image" Target="media/image4.png"/><Relationship Id="rId39" Type="http://schemas.openxmlformats.org/officeDocument/2006/relationships/hyperlink" Target="https://en.wikipedia.org/wiki/James_Alfred_Ewing" TargetMode="External"/><Relationship Id="rId265" Type="http://schemas.openxmlformats.org/officeDocument/2006/relationships/hyperlink" Target="https://doi.org/10.1016/0260-6917(92)90059-w" TargetMode="External"/><Relationship Id="rId286" Type="http://schemas.openxmlformats.org/officeDocument/2006/relationships/hyperlink" Target="https://doi.org/10.1080/13814788.2017.1375090" TargetMode="External"/><Relationship Id="rId451" Type="http://schemas.openxmlformats.org/officeDocument/2006/relationships/hyperlink" Target="https://doi.org/10.1080/02660830.2013.11661650" TargetMode="External"/><Relationship Id="rId472" Type="http://schemas.openxmlformats.org/officeDocument/2006/relationships/hyperlink" Target="https://doi.org/10.1177/1469787418762462" TargetMode="External"/><Relationship Id="rId493" Type="http://schemas.openxmlformats.org/officeDocument/2006/relationships/hyperlink" Target="https://www.colorado.edu/education/sites/default/files/attached-files/Zeichner&amp;Liston_Teaching_Student_Teachers_to_Reflect.pdf" TargetMode="External"/><Relationship Id="rId507" Type="http://schemas.openxmlformats.org/officeDocument/2006/relationships/image" Target="media/image8.png"/><Relationship Id="rId528" Type="http://schemas.openxmlformats.org/officeDocument/2006/relationships/customXml" Target="ink/ink10.xml"/><Relationship Id="rId549" Type="http://schemas.openxmlformats.org/officeDocument/2006/relationships/image" Target="media/image12.png"/><Relationship Id="rId50" Type="http://schemas.microsoft.com/office/2007/relationships/diagramDrawing" Target="diagrams/drawing5.xml"/><Relationship Id="rId104" Type="http://schemas.openxmlformats.org/officeDocument/2006/relationships/hyperlink" Target="https://10.1080/19415257.2019.1700152" TargetMode="External"/><Relationship Id="rId125" Type="http://schemas.openxmlformats.org/officeDocument/2006/relationships/hyperlink" Target="https://doi.org/10.1080/03075070902898664" TargetMode="External"/><Relationship Id="rId146" Type="http://schemas.openxmlformats.org/officeDocument/2006/relationships/hyperlink" Target="https://www.merkur-zeitschrift.de/artikel/religion-und-modernes-denken-a-mr-6-2-101/" TargetMode="External"/><Relationship Id="rId167" Type="http://schemas.openxmlformats.org/officeDocument/2006/relationships/hyperlink" Target="https://doi.org/10.1080/1360144X.2010.497669" TargetMode="External"/><Relationship Id="rId188" Type="http://schemas.openxmlformats.org/officeDocument/2006/relationships/hyperlink" Target="https://doi.org/10.1097/MLR.0b013e31803bb4c1" TargetMode="External"/><Relationship Id="rId311" Type="http://schemas.openxmlformats.org/officeDocument/2006/relationships/hyperlink" Target="https://www.legislation.gov.uk/uksi/1999/3242/contents" TargetMode="External"/><Relationship Id="rId332" Type="http://schemas.openxmlformats.org/officeDocument/2006/relationships/hyperlink" Target="http://dx.doi.org/10.1080/03054980601094651" TargetMode="External"/><Relationship Id="rId353" Type="http://schemas.openxmlformats.org/officeDocument/2006/relationships/hyperlink" Target="https://www.hepi.ac.uk/wp-content/uploads/2019/06/Student-Academic-Experience-Survey-2019.pdf" TargetMode="External"/><Relationship Id="rId374" Type="http://schemas.openxmlformats.org/officeDocument/2006/relationships/hyperlink" Target="https://www.latimes.com/archives/la-xpm-1988-02-07-ca-41158-story.html" TargetMode="External"/><Relationship Id="rId395" Type="http://schemas.openxmlformats.org/officeDocument/2006/relationships/hyperlink" Target="https://doi.org/10.1023/A:1010986404527" TargetMode="External"/><Relationship Id="rId409" Type="http://schemas.openxmlformats.org/officeDocument/2006/relationships/hyperlink" Target="https://doi.org/10.31729/jnma.5738" TargetMode="External"/><Relationship Id="rId560" Type="http://schemas.openxmlformats.org/officeDocument/2006/relationships/theme" Target="theme/theme1.xml"/><Relationship Id="rId71" Type="http://schemas.openxmlformats.org/officeDocument/2006/relationships/diagramData" Target="diagrams/data10.xml"/><Relationship Id="rId92" Type="http://schemas.openxmlformats.org/officeDocument/2006/relationships/hyperlink" Target="https://doi.org/10.1016/j.tate.2019.03.012" TargetMode="External"/><Relationship Id="rId213" Type="http://schemas.openxmlformats.org/officeDocument/2006/relationships/hyperlink" Target="https://doi.org/10.1037/0003-066x.56.3.218" TargetMode="External"/><Relationship Id="rId234" Type="http://schemas.openxmlformats.org/officeDocument/2006/relationships/hyperlink" Target="https://doi.org/10.1111/1467-8721.00152" TargetMode="External"/><Relationship Id="rId420" Type="http://schemas.openxmlformats.org/officeDocument/2006/relationships/hyperlink" Target="https://doi.org/10.1007/978-94-6091-749-3_3" TargetMode="External"/><Relationship Id="rId2" Type="http://schemas.openxmlformats.org/officeDocument/2006/relationships/numbering" Target="numbering.xml"/><Relationship Id="rId29" Type="http://schemas.openxmlformats.org/officeDocument/2006/relationships/diagramQuickStyle" Target="diagrams/quickStyle2.xml"/><Relationship Id="rId255" Type="http://schemas.openxmlformats.org/officeDocument/2006/relationships/hyperlink" Target="https://philpapers.org/go.pl?id=HONPTD&amp;proxyId=&amp;u=https%3A%2F%2Fdx.doi.org%2F10.1515%2F9780823276431" TargetMode="External"/><Relationship Id="rId276" Type="http://schemas.openxmlformats.org/officeDocument/2006/relationships/hyperlink" Target="http://dx.doi.org/10.1080/07294360.2014.911259" TargetMode="External"/><Relationship Id="rId297" Type="http://schemas.openxmlformats.org/officeDocument/2006/relationships/hyperlink" Target="https://doi.org/10.1177/1090198120969372" TargetMode="External"/><Relationship Id="rId441" Type="http://schemas.openxmlformats.org/officeDocument/2006/relationships/hyperlink" Target="https://doi.org/10.1007/s11245-019-09641-w" TargetMode="External"/><Relationship Id="rId462" Type="http://schemas.openxmlformats.org/officeDocument/2006/relationships/hyperlink" Target="https://www.universitiesuk.ac.uk/what-we-do/creating-voice-our-members/media-releases/universities-grip-financial-crisis-what" TargetMode="External"/><Relationship Id="rId483" Type="http://schemas.openxmlformats.org/officeDocument/2006/relationships/hyperlink" Target="https://doi.org/10.1093/med:psych/9780190271367.003.0034" TargetMode="External"/><Relationship Id="rId518" Type="http://schemas.openxmlformats.org/officeDocument/2006/relationships/diagramData" Target="diagrams/data14.xml"/><Relationship Id="rId539" Type="http://schemas.openxmlformats.org/officeDocument/2006/relationships/diagramData" Target="diagrams/data17.xml"/><Relationship Id="rId40" Type="http://schemas.openxmlformats.org/officeDocument/2006/relationships/hyperlink" Target="https://journals.sagepub.com/doi/abs/10.1177/1525822X08317069" TargetMode="External"/><Relationship Id="rId115" Type="http://schemas.openxmlformats.org/officeDocument/2006/relationships/hyperlink" Target="https://doi.org/10.1080/15283480701319559" TargetMode="External"/><Relationship Id="rId136" Type="http://schemas.openxmlformats.org/officeDocument/2006/relationships/hyperlink" Target="https://doi.org/10.1177/0013124510379826" TargetMode="External"/><Relationship Id="rId157" Type="http://schemas.openxmlformats.org/officeDocument/2006/relationships/hyperlink" Target="https://discovery.ucl.ac.uk/id/eprint/10090818/1/Carroll_SENCO%20Supervision%20Guidance%20February%202020.pdf" TargetMode="External"/><Relationship Id="rId178" Type="http://schemas.openxmlformats.org/officeDocument/2006/relationships/hyperlink" Target="https://doi.org/10.1007/s10465-017-9249-1" TargetMode="External"/><Relationship Id="rId301" Type="http://schemas.openxmlformats.org/officeDocument/2006/relationships/hyperlink" Target="https://doi.org/10.1080/0307507012009935" TargetMode="External"/><Relationship Id="rId322" Type="http://schemas.openxmlformats.org/officeDocument/2006/relationships/hyperlink" Target="https://www.tandfonline.com/doi/abs/10.1080/14623943.2011.590342" TargetMode="External"/><Relationship Id="rId343" Type="http://schemas.openxmlformats.org/officeDocument/2006/relationships/hyperlink" Target="https://www.hepi.ac.uk/wp-content/uploads/2019/05/HEPI-Pressure-Vessels-Occasional-Paper-20.pdf" TargetMode="External"/><Relationship Id="rId364" Type="http://schemas.openxmlformats.org/officeDocument/2006/relationships/hyperlink" Target="https://doi.org/10.1516/T41H-DGUX-9JY4-GQC7" TargetMode="External"/><Relationship Id="rId550" Type="http://schemas.openxmlformats.org/officeDocument/2006/relationships/image" Target="media/image13.png"/><Relationship Id="rId61" Type="http://schemas.openxmlformats.org/officeDocument/2006/relationships/diagramData" Target="diagrams/data8.xml"/><Relationship Id="rId82" Type="http://schemas.openxmlformats.org/officeDocument/2006/relationships/image" Target="media/image6.png"/><Relationship Id="rId199" Type="http://schemas.openxmlformats.org/officeDocument/2006/relationships/hyperlink" Target="https://doi.org/10.1177/1088868314544222" TargetMode="External"/><Relationship Id="rId203" Type="http://schemas.openxmlformats.org/officeDocument/2006/relationships/hyperlink" Target="https://doi.org/10.1177/00380385030373002" TargetMode="External"/><Relationship Id="rId385" Type="http://schemas.openxmlformats.org/officeDocument/2006/relationships/hyperlink" Target="https://www.researchgate.net/journal/Emotional-and-Behavioural-Difficulties-1741-2692?_tp=eyJjb250ZXh0Ijp7ImZpcnN0UGFnZSI6InB1YmxpY2F0aW9uIiwicGFnZSI6InB1YmxpY2F0aW9uIn19" TargetMode="External"/><Relationship Id="rId19" Type="http://schemas.openxmlformats.org/officeDocument/2006/relationships/footer" Target="footer1.xml"/><Relationship Id="rId224" Type="http://schemas.openxmlformats.org/officeDocument/2006/relationships/hyperlink" Target="https://doi.org/10.1080/00071000903516411" TargetMode="External"/><Relationship Id="rId245" Type="http://schemas.openxmlformats.org/officeDocument/2006/relationships/hyperlink" Target="https://doi.org/10.1080/02602938.2021.1888075" TargetMode="External"/><Relationship Id="rId266" Type="http://schemas.openxmlformats.org/officeDocument/2006/relationships/hyperlink" Target="https://pdfs.semanticscholar.org/7e0d/d7ca59631b0cc61a1ce28effd6eb0c78a665.pdf" TargetMode="External"/><Relationship Id="rId287" Type="http://schemas.openxmlformats.org/officeDocument/2006/relationships/hyperlink" Target="https://doi.org/10.1177/002248718503600502" TargetMode="External"/><Relationship Id="rId410" Type="http://schemas.openxmlformats.org/officeDocument/2006/relationships/hyperlink" Target="https://doi.org/10.1046/j.1365-2648.2000.01432.x" TargetMode="External"/><Relationship Id="rId431" Type="http://schemas.openxmlformats.org/officeDocument/2006/relationships/hyperlink" Target="http://dx.doi.org/10.1080/14753634.2018.1563498" TargetMode="External"/><Relationship Id="rId452" Type="http://schemas.openxmlformats.org/officeDocument/2006/relationships/hyperlink" Target="https://doi.org/10.1111/bjep.12515" TargetMode="External"/><Relationship Id="rId473" Type="http://schemas.openxmlformats.org/officeDocument/2006/relationships/hyperlink" Target="https://doi.org/10.1080/00131881.2011.552235" TargetMode="External"/><Relationship Id="rId494" Type="http://schemas.openxmlformats.org/officeDocument/2006/relationships/hyperlink" Target="https://doi.org/10.1177/0149206311406265" TargetMode="External"/><Relationship Id="rId508" Type="http://schemas.openxmlformats.org/officeDocument/2006/relationships/hyperlink" Target="mailto:sdschultz1@sheffield.ac.uk" TargetMode="External"/><Relationship Id="rId529" Type="http://schemas.openxmlformats.org/officeDocument/2006/relationships/diagramData" Target="diagrams/data15.xml"/><Relationship Id="rId30" Type="http://schemas.openxmlformats.org/officeDocument/2006/relationships/diagramColors" Target="diagrams/colors2.xml"/><Relationship Id="rId105" Type="http://schemas.openxmlformats.org/officeDocument/2006/relationships/hyperlink" Target="https://tinyurl.com/ycxyajmz" TargetMode="External"/><Relationship Id="rId126" Type="http://schemas.openxmlformats.org/officeDocument/2006/relationships/hyperlink" Target="https://doi.org/10.1080/03075079912331379925" TargetMode="External"/><Relationship Id="rId147" Type="http://schemas.openxmlformats.org/officeDocument/2006/relationships/hyperlink" Target="https://api.semanticscholar.org/CorpusID:143308519" TargetMode="External"/><Relationship Id="rId168" Type="http://schemas.openxmlformats.org/officeDocument/2006/relationships/hyperlink" Target="https://everylearnereverywhere.org/wp-content/uploads/Caring-for-the-whole-student.pdf" TargetMode="External"/><Relationship Id="rId312" Type="http://schemas.openxmlformats.org/officeDocument/2006/relationships/hyperlink" Target="https://doi.org/10.4119/jsse-3312" TargetMode="External"/><Relationship Id="rId333" Type="http://schemas.openxmlformats.org/officeDocument/2006/relationships/hyperlink" Target="https://www.jstor.org/stable/2776569" TargetMode="External"/><Relationship Id="rId354" Type="http://schemas.openxmlformats.org/officeDocument/2006/relationships/hyperlink" Target="https://doi.org/10.1080/03098770802638226" TargetMode="External"/><Relationship Id="rId540" Type="http://schemas.openxmlformats.org/officeDocument/2006/relationships/diagramLayout" Target="diagrams/layout17.xml"/><Relationship Id="rId51" Type="http://schemas.openxmlformats.org/officeDocument/2006/relationships/diagramData" Target="diagrams/data6.xml"/><Relationship Id="rId72" Type="http://schemas.openxmlformats.org/officeDocument/2006/relationships/diagramLayout" Target="diagrams/layout10.xml"/><Relationship Id="rId93" Type="http://schemas.openxmlformats.org/officeDocument/2006/relationships/hyperlink" Target="https://files.eric.ed.gov/fulltext/EJ1096523.pdf" TargetMode="External"/><Relationship Id="rId189" Type="http://schemas.openxmlformats.org/officeDocument/2006/relationships/hyperlink" Target="https://doi.org/10.2202/1935-1682.2191" TargetMode="External"/><Relationship Id="rId375" Type="http://schemas.openxmlformats.org/officeDocument/2006/relationships/hyperlink" Target="http://www.themorgan.org/collection/charles-perrault/1" TargetMode="External"/><Relationship Id="rId396" Type="http://schemas.openxmlformats.org/officeDocument/2006/relationships/hyperlink" Target="https://doi.org/10.1054/nepr.2002.0047" TargetMode="External"/><Relationship Id="rId3" Type="http://schemas.openxmlformats.org/officeDocument/2006/relationships/styles" Target="styles.xml"/><Relationship Id="rId214" Type="http://schemas.openxmlformats.org/officeDocument/2006/relationships/hyperlink" Target="https://doi.org/10.1177/136140960100600109" TargetMode="External"/><Relationship Id="rId235" Type="http://schemas.openxmlformats.org/officeDocument/2006/relationships/hyperlink" Target="https://doi.org/10.1177/1077800403262360" TargetMode="External"/><Relationship Id="rId256" Type="http://schemas.openxmlformats.org/officeDocument/2006/relationships/hyperlink" Target="https://doi.org/10.1080/03075079.2020.1725874" TargetMode="External"/><Relationship Id="rId277" Type="http://schemas.openxmlformats.org/officeDocument/2006/relationships/hyperlink" Target="https://doi.org/10.1023/A:1007047028758" TargetMode="External"/><Relationship Id="rId298" Type="http://schemas.openxmlformats.org/officeDocument/2006/relationships/hyperlink" Target="https://doi.org/10.58680/tetyc20001893" TargetMode="External"/><Relationship Id="rId400" Type="http://schemas.openxmlformats.org/officeDocument/2006/relationships/hyperlink" Target="https://e-space.mmu.ac.uk/579515/1/Designing%20and%20using%20Research%20QuestionnairesREV18042013.pdf" TargetMode="External"/><Relationship Id="rId421" Type="http://schemas.openxmlformats.org/officeDocument/2006/relationships/hyperlink" Target="https://www.hepi.ac.uk/2025/07/17/reflections-on-the-demand-for-higher-education-and-what-ucas-data-is-telling-us-ahead-of-results-day-2025/" TargetMode="External"/><Relationship Id="rId442" Type="http://schemas.openxmlformats.org/officeDocument/2006/relationships/hyperlink" Target="https://doi.org/10.1002/j.2167-4086.2010.tb00472.x" TargetMode="External"/><Relationship Id="rId463" Type="http://schemas.openxmlformats.org/officeDocument/2006/relationships/hyperlink" Target="https://doi.org/10.1111/inm.12726" TargetMode="External"/><Relationship Id="rId484" Type="http://schemas.openxmlformats.org/officeDocument/2006/relationships/hyperlink" Target="https://pubmed.ncbi.nlm.nih.gov/13785877/" TargetMode="External"/><Relationship Id="rId519" Type="http://schemas.openxmlformats.org/officeDocument/2006/relationships/diagramLayout" Target="diagrams/layout14.xml"/><Relationship Id="rId116" Type="http://schemas.openxmlformats.org/officeDocument/2006/relationships/hyperlink" Target="https://www.sciencedirect.com/journal/labour-economics" TargetMode="External"/><Relationship Id="rId137" Type="http://schemas.openxmlformats.org/officeDocument/2006/relationships/hyperlink" Target="https://doi.org/10.1080/0305764X.2020.1775789" TargetMode="External"/><Relationship Id="rId158" Type="http://schemas.openxmlformats.org/officeDocument/2006/relationships/hyperlink" Target="https://find.shef.ac.uk/primo-explore/fulldisplay?docid=TN_cdi_crossref_primary_10_1108_CDI_11_2018_0276&amp;context=PC&amp;vid=44SFD_VU2&amp;lang=en_US&amp;search_scope=SCOP_EVERYTHING&amp;adaptor=primo_central_multiple_fe&amp;tab=everything&amp;query=any%2Ccontains%2CCillo%2C%20V.%2C%20Garcia-Perez%2C%20A.%2C%20Del%20Giudice%2C%20M.%2C%20and%20Vicentini%2C%20F.%20(2019)%20Career%20Development%20International%2C&amp;offset=0" TargetMode="External"/><Relationship Id="rId302" Type="http://schemas.openxmlformats.org/officeDocument/2006/relationships/hyperlink" Target="https://www.leedsbeckett.ac.uk/blogs/carnegie-education/2021/01/being-an-inclusive-ally/" TargetMode="External"/><Relationship Id="rId323" Type="http://schemas.openxmlformats.org/officeDocument/2006/relationships/hyperlink" Target="https://psycnet.apa.org/record/2005-06700-009" TargetMode="External"/><Relationship Id="rId344" Type="http://schemas.openxmlformats.org/officeDocument/2006/relationships/hyperlink" Target="https://doi.org/10.1080/03057920600741297" TargetMode="External"/><Relationship Id="rId530" Type="http://schemas.openxmlformats.org/officeDocument/2006/relationships/diagramLayout" Target="diagrams/layout15.xml"/><Relationship Id="rId20" Type="http://schemas.openxmlformats.org/officeDocument/2006/relationships/header" Target="header1.xml"/><Relationship Id="rId41" Type="http://schemas.openxmlformats.org/officeDocument/2006/relationships/diagramData" Target="diagrams/data4.xml"/><Relationship Id="rId62" Type="http://schemas.openxmlformats.org/officeDocument/2006/relationships/diagramLayout" Target="diagrams/layout8.xml"/><Relationship Id="rId83" Type="http://schemas.openxmlformats.org/officeDocument/2006/relationships/diagramData" Target="diagrams/data12.xml"/><Relationship Id="rId179" Type="http://schemas.openxmlformats.org/officeDocument/2006/relationships/hyperlink" Target="https://doi.org/10.1177/1468794107078515" TargetMode="External"/><Relationship Id="rId365" Type="http://schemas.openxmlformats.org/officeDocument/2006/relationships/hyperlink" Target="https://www.oiahe.org.uk/resources-and-publications/latest-news-and-updates/oia-publishes-annual-report-for-2022/" TargetMode="External"/><Relationship Id="rId386" Type="http://schemas.openxmlformats.org/officeDocument/2006/relationships/hyperlink" Target="https://www.nurtureuk.org/wp-content/uploads/2021/10/IJNE_Volume4_FINAL.pdf" TargetMode="External"/><Relationship Id="rId551" Type="http://schemas.openxmlformats.org/officeDocument/2006/relationships/hyperlink" Target="https://www.cstdbath.co.uk/supervision-training/diploma-certificate-in-reflective-supervision-in-education/" TargetMode="External"/><Relationship Id="rId190" Type="http://schemas.openxmlformats.org/officeDocument/2006/relationships/hyperlink" Target="https://10.1207/s15327965pli0904_1" TargetMode="External"/><Relationship Id="rId204" Type="http://schemas.openxmlformats.org/officeDocument/2006/relationships/hyperlink" Target="https://doi.org/10.1111/j.1467-8551.2003.00389.x" TargetMode="External"/><Relationship Id="rId225" Type="http://schemas.openxmlformats.org/officeDocument/2006/relationships/hyperlink" Target="https://journals.sagepub.com/doi/abs/10.1177/1525822X08317069" TargetMode="External"/><Relationship Id="rId246" Type="http://schemas.openxmlformats.org/officeDocument/2006/relationships/hyperlink" Target="https://doi.org/10.1007/s11024-024-09539-x" TargetMode="External"/><Relationship Id="rId267" Type="http://schemas.openxmlformats.org/officeDocument/2006/relationships/hyperlink" Target="http://www.bera.ac.uk/event/stay-calm-and-e-educate-technology-education-andmental-wellbeing" TargetMode="External"/><Relationship Id="rId288" Type="http://schemas.openxmlformats.org/officeDocument/2006/relationships/hyperlink" Target="https://psycnet.apa.org/doi/10.1353/csd.2013.0034" TargetMode="External"/><Relationship Id="rId411" Type="http://schemas.openxmlformats.org/officeDocument/2006/relationships/hyperlink" Target="https://doi.org./10.3390/ijerph18052773" TargetMode="External"/><Relationship Id="rId432" Type="http://schemas.openxmlformats.org/officeDocument/2006/relationships/hyperlink" Target="https://doi.org/10.1080/13632750100507659" TargetMode="External"/><Relationship Id="rId453" Type="http://schemas.openxmlformats.org/officeDocument/2006/relationships/hyperlink" Target="https://doi.org/10.1111/j.1365-2648.2004.03207.x" TargetMode="External"/><Relationship Id="rId474" Type="http://schemas.openxmlformats.org/officeDocument/2006/relationships/hyperlink" Target="https://doi.org/10.1080/14623943.2013.810618" TargetMode="External"/><Relationship Id="rId509" Type="http://schemas.openxmlformats.org/officeDocument/2006/relationships/hyperlink" Target="mailto:sdschultz1@sheffield.ac.uk" TargetMode="External"/><Relationship Id="rId106" Type="http://schemas.openxmlformats.org/officeDocument/2006/relationships/hyperlink" Target="https://dx.doi.org/10.1080/17508487.2013.740678" TargetMode="External"/><Relationship Id="rId127" Type="http://schemas.openxmlformats.org/officeDocument/2006/relationships/hyperlink" Target="https://doi.org/10.14221/ajte.2020v45n10.4" TargetMode="External"/><Relationship Id="rId313" Type="http://schemas.openxmlformats.org/officeDocument/2006/relationships/hyperlink" Target="https://doi.org/10.1080/0309877X.2012.699518" TargetMode="External"/><Relationship Id="rId495" Type="http://schemas.openxmlformats.org/officeDocument/2006/relationships/hyperlink" Target="mailto:sdschultz1@sheffield.ac.uk" TargetMode="External"/><Relationship Id="rId10" Type="http://schemas.openxmlformats.org/officeDocument/2006/relationships/image" Target="media/image2.png"/><Relationship Id="rId31" Type="http://schemas.microsoft.com/office/2007/relationships/diagramDrawing" Target="diagrams/drawing2.xml"/><Relationship Id="rId52" Type="http://schemas.openxmlformats.org/officeDocument/2006/relationships/diagramLayout" Target="diagrams/layout6.xml"/><Relationship Id="rId73" Type="http://schemas.openxmlformats.org/officeDocument/2006/relationships/diagramQuickStyle" Target="diagrams/quickStyle10.xml"/><Relationship Id="rId94" Type="http://schemas.openxmlformats.org/officeDocument/2006/relationships/hyperlink" Target="https://doi.org/10.5430/elr.v3n1p39" TargetMode="External"/><Relationship Id="rId148" Type="http://schemas.openxmlformats.org/officeDocument/2006/relationships/hyperlink" Target="https://doi.org/10.1111/j.1743-498X.2012.00554.x" TargetMode="External"/><Relationship Id="rId169" Type="http://schemas.openxmlformats.org/officeDocument/2006/relationships/hyperlink" Target="https://psycnet.apa.org/doi/10.1177/1350507602331002" TargetMode="External"/><Relationship Id="rId334" Type="http://schemas.openxmlformats.org/officeDocument/2006/relationships/hyperlink" Target="https://doi.org/10.1177/074171368103200101" TargetMode="External"/><Relationship Id="rId355" Type="http://schemas.openxmlformats.org/officeDocument/2006/relationships/hyperlink" Target="https://www.england.nhs.uk/wp-content/uploads/2017/04/a-equip-midwifery-supervision-model.pdf" TargetMode="External"/><Relationship Id="rId376" Type="http://schemas.openxmlformats.org/officeDocument/2006/relationships/hyperlink" Target="https://www.researchgate.net/publication/346362310_Swimming_with_Winnicott_An_Ode_to_the_Spirit_of_Creativity_Inquiry_and_Learning" TargetMode="External"/><Relationship Id="rId397" Type="http://schemas.openxmlformats.org/officeDocument/2006/relationships/hyperlink" Target="https://nursingeducationnetwork.net/2019/02/20/clinical-supervision-in-nursing/" TargetMode="External"/><Relationship Id="rId520" Type="http://schemas.openxmlformats.org/officeDocument/2006/relationships/diagramQuickStyle" Target="diagrams/quickStyle14.xml"/><Relationship Id="rId541" Type="http://schemas.openxmlformats.org/officeDocument/2006/relationships/diagramQuickStyle" Target="diagrams/quickStyle17.xml"/><Relationship Id="rId4" Type="http://schemas.openxmlformats.org/officeDocument/2006/relationships/settings" Target="settings.xml"/><Relationship Id="rId180" Type="http://schemas.openxmlformats.org/officeDocument/2006/relationships/hyperlink" Target="https://doi.org/10.1177/1049732307309007" TargetMode="External"/><Relationship Id="rId215" Type="http://schemas.openxmlformats.org/officeDocument/2006/relationships/hyperlink" Target="https://doi.org/10.1332/147867319X15608718110952" TargetMode="External"/><Relationship Id="rId236" Type="http://schemas.openxmlformats.org/officeDocument/2006/relationships/hyperlink" Target="https://doi.org/10.1080/03054985.2014.921613" TargetMode="External"/><Relationship Id="rId257" Type="http://schemas.openxmlformats.org/officeDocument/2006/relationships/hyperlink" Target="https://psycnet.apa.org/doi/10.1080/00050060801978647" TargetMode="External"/><Relationship Id="rId278" Type="http://schemas.openxmlformats.org/officeDocument/2006/relationships/hyperlink" Target="https://doi.org/10.1177/1534765608319083" TargetMode="External"/><Relationship Id="rId401" Type="http://schemas.openxmlformats.org/officeDocument/2006/relationships/hyperlink" Target="https://www.england.nhs.uk/long-read/pna-equip-model-a-model-of-clinical-supervision-for-nurses/" TargetMode="External"/><Relationship Id="rId422" Type="http://schemas.openxmlformats.org/officeDocument/2006/relationships/hyperlink" Target="https://onlinelibrary.wiley.com/authored-by/Smith/Timothy+B." TargetMode="External"/><Relationship Id="rId443" Type="http://schemas.openxmlformats.org/officeDocument/2006/relationships/hyperlink" Target="http://dx.doi.org/10.1111/j.0951-5224.2003.00247.x" TargetMode="External"/><Relationship Id="rId464" Type="http://schemas.openxmlformats.org/officeDocument/2006/relationships/hyperlink" Target="https://doi.org/10.1177/001872679905200606" TargetMode="External"/><Relationship Id="rId303" Type="http://schemas.openxmlformats.org/officeDocument/2006/relationships/hyperlink" Target="https://doi.org/10.1080/17530350.2018.1426032" TargetMode="External"/><Relationship Id="rId485" Type="http://schemas.openxmlformats.org/officeDocument/2006/relationships/hyperlink" Target="https://doi.org/10.1093/med:psych/9780190271367.003.0034" TargetMode="External"/><Relationship Id="rId42" Type="http://schemas.openxmlformats.org/officeDocument/2006/relationships/diagramLayout" Target="diagrams/layout4.xml"/><Relationship Id="rId84" Type="http://schemas.openxmlformats.org/officeDocument/2006/relationships/diagramLayout" Target="diagrams/layout12.xml"/><Relationship Id="rId138" Type="http://schemas.openxmlformats.org/officeDocument/2006/relationships/hyperlink" Target="https://doi.org/10.1191/1478088706qp063oa" TargetMode="External"/><Relationship Id="rId345" Type="http://schemas.openxmlformats.org/officeDocument/2006/relationships/hyperlink" Target="https://doi.org/10.1080/02650531003594036" TargetMode="External"/><Relationship Id="rId387" Type="http://schemas.openxmlformats.org/officeDocument/2006/relationships/hyperlink" Target="https://doi.org/10.1111/j.470-6431.2005.00465.x" TargetMode="External"/><Relationship Id="rId510" Type="http://schemas.openxmlformats.org/officeDocument/2006/relationships/image" Target="media/image9.jpg"/><Relationship Id="rId552" Type="http://schemas.openxmlformats.org/officeDocument/2006/relationships/hyperlink" Target="https://www.cstdbath.co.uk/supervision-training/diploma-certificate-in-supervision/" TargetMode="External"/><Relationship Id="rId191" Type="http://schemas.openxmlformats.org/officeDocument/2006/relationships/hyperlink" Target="https://doi.org/10.1177/1066480702250152" TargetMode="External"/><Relationship Id="rId205" Type="http://schemas.openxmlformats.org/officeDocument/2006/relationships/hyperlink" Target="https://ejqrp.org/index.php/ejqrp/article/view/136" TargetMode="External"/><Relationship Id="rId247" Type="http://schemas.openxmlformats.org/officeDocument/2006/relationships/hyperlink" Target="https://doi.org/10.1177/107780049700300302" TargetMode="External"/><Relationship Id="rId412" Type="http://schemas.openxmlformats.org/officeDocument/2006/relationships/hyperlink" Target="https://doi.org/10.1177/160940690900800101" TargetMode="External"/><Relationship Id="rId107" Type="http://schemas.openxmlformats.org/officeDocument/2006/relationships/hyperlink" Target="https://youtube.com/watch?v=YR3y69ooFP8" TargetMode="External"/><Relationship Id="rId289" Type="http://schemas.openxmlformats.org/officeDocument/2006/relationships/hyperlink" Target="https://www.semanticscholar.org/paper/A-Suffering-Generation%3A-Six-Factors-Contributing-to-Flatt/d93fb4b89c803fc69f2d8951e49c8c6e3d4a3508" TargetMode="External"/><Relationship Id="rId454" Type="http://schemas.openxmlformats.org/officeDocument/2006/relationships/hyperlink" Target="https://doi.org/10.1007/s00127-010-0234-y" TargetMode="External"/><Relationship Id="rId496" Type="http://schemas.openxmlformats.org/officeDocument/2006/relationships/hyperlink" Target="mailto:sdschultz1@sheffield.ac.uk" TargetMode="External"/><Relationship Id="rId11" Type="http://schemas.openxmlformats.org/officeDocument/2006/relationships/hyperlink" Target="https://www.sheffield.ac.uk/study-skills/assessment/academic-integrity/academic-integrity" TargetMode="External"/><Relationship Id="rId53" Type="http://schemas.openxmlformats.org/officeDocument/2006/relationships/diagramQuickStyle" Target="diagrams/quickStyle6.xml"/><Relationship Id="rId149" Type="http://schemas.openxmlformats.org/officeDocument/2006/relationships/hyperlink" Target="https://doi.org/10.3389/fpsyg.2020.01650" TargetMode="External"/><Relationship Id="rId314" Type="http://schemas.openxmlformats.org/officeDocument/2006/relationships/hyperlink" Target="https://doi.org/10.1037/h0054346" TargetMode="External"/><Relationship Id="rId356" Type="http://schemas.openxmlformats.org/officeDocument/2006/relationships/hyperlink" Target="https://www.longtermplan.nhs.uk/wp-content/uploads/2019/01/nhs-long-term-plan-june-2019.pdf" TargetMode="External"/><Relationship Id="rId398" Type="http://schemas.openxmlformats.org/officeDocument/2006/relationships/hyperlink" Target="https://doi.org/10.12968/bjom.2019.27.6.381" TargetMode="External"/><Relationship Id="rId521" Type="http://schemas.openxmlformats.org/officeDocument/2006/relationships/diagramColors" Target="diagrams/colors14.xml"/><Relationship Id="rId95" Type="http://schemas.openxmlformats.org/officeDocument/2006/relationships/hyperlink" Target="https://psycnet.apa.org/doi/10.1016/j.adolescence.2020.12.004" TargetMode="External"/><Relationship Id="rId160" Type="http://schemas.openxmlformats.org/officeDocument/2006/relationships/hyperlink" Target="https://doi.org/10.2105/ajph.2006.093641" TargetMode="External"/><Relationship Id="rId216" Type="http://schemas.openxmlformats.org/officeDocument/2006/relationships/hyperlink" Target="https://doi.org/10.1177/0170840612448154" TargetMode="External"/><Relationship Id="rId423" Type="http://schemas.openxmlformats.org/officeDocument/2006/relationships/hyperlink" Target="https://onlinelibrary.wiley.com/authored-by/Rodr%C3%ADguez/Melanie+Domenech" TargetMode="External"/><Relationship Id="rId258" Type="http://schemas.openxmlformats.org/officeDocument/2006/relationships/hyperlink" Target="https://commonslibrary.parliament.uk/research-briefings/sn05739/" TargetMode="External"/><Relationship Id="rId465" Type="http://schemas.openxmlformats.org/officeDocument/2006/relationships/hyperlink" Target="https://doi.org/10.1111/j.1467-6486.2006.00593.x" TargetMode="External"/><Relationship Id="rId22" Type="http://schemas.openxmlformats.org/officeDocument/2006/relationships/diagramData" Target="diagrams/data1.xml"/><Relationship Id="rId64" Type="http://schemas.openxmlformats.org/officeDocument/2006/relationships/diagramColors" Target="diagrams/colors8.xml"/><Relationship Id="rId118" Type="http://schemas.openxmlformats.org/officeDocument/2006/relationships/hyperlink" Target="https://www.scirp.org/reference/referencespapers?referenceid=1055520" TargetMode="External"/><Relationship Id="rId325" Type="http://schemas.openxmlformats.org/officeDocument/2006/relationships/hyperlink" Target="https://doi.org/10.1080/07924360120043621" TargetMode="External"/><Relationship Id="rId367" Type="http://schemas.openxmlformats.org/officeDocument/2006/relationships/hyperlink" Target="https://doi.org/10.1186/1471-2288-12-5" TargetMode="External"/><Relationship Id="rId532" Type="http://schemas.openxmlformats.org/officeDocument/2006/relationships/diagramColors" Target="diagrams/colors15.xml"/><Relationship Id="rId171" Type="http://schemas.openxmlformats.org/officeDocument/2006/relationships/hyperlink" Target="https://doi.org/10.34293/education.v8i4.3232" TargetMode="External"/><Relationship Id="rId227" Type="http://schemas.openxmlformats.org/officeDocument/2006/relationships/hyperlink" Target="https://doi.org/10.1177/1525822X083170" TargetMode="External"/><Relationship Id="rId269" Type="http://schemas.openxmlformats.org/officeDocument/2006/relationships/hyperlink" Target="https://hull-repository.worktribe.com/output/4469523/4bii-improving-undergraduate-student-attrition-and-experience-through-an-innovative-restorative-supervision-project" TargetMode="External"/><Relationship Id="rId434" Type="http://schemas.openxmlformats.org/officeDocument/2006/relationships/hyperlink" Target="https://doi.org/10.1080/09613218.2016.1213865" TargetMode="External"/><Relationship Id="rId476" Type="http://schemas.openxmlformats.org/officeDocument/2006/relationships/hyperlink" Target="https://swirlingleafpress.com/compassionate-leadership" TargetMode="External"/><Relationship Id="rId33" Type="http://schemas.openxmlformats.org/officeDocument/2006/relationships/diagramData" Target="diagrams/data3.xml"/><Relationship Id="rId129" Type="http://schemas.openxmlformats.org/officeDocument/2006/relationships/hyperlink" Target="https://doi.org/10.1177/036215370603600202" TargetMode="External"/><Relationship Id="rId280" Type="http://schemas.openxmlformats.org/officeDocument/2006/relationships/hyperlink" Target="https://psycnet.apa.org/doi/10.1037/bul0000323" TargetMode="External"/><Relationship Id="rId336" Type="http://schemas.openxmlformats.org/officeDocument/2006/relationships/hyperlink" Target="https://doi.org/10.1191/1478088706qrp065oa" TargetMode="External"/><Relationship Id="rId501" Type="http://schemas.openxmlformats.org/officeDocument/2006/relationships/hyperlink" Target="https://www.sheffield.ac.uk/govern/data-protection/privacy/general" TargetMode="External"/><Relationship Id="rId543" Type="http://schemas.microsoft.com/office/2007/relationships/diagramDrawing" Target="diagrams/drawing17.xml"/><Relationship Id="rId75" Type="http://schemas.microsoft.com/office/2007/relationships/diagramDrawing" Target="diagrams/drawing10.xml"/><Relationship Id="rId140" Type="http://schemas.openxmlformats.org/officeDocument/2006/relationships/hyperlink" Target="https://doi.org/10.18740/S4RP43" TargetMode="External"/><Relationship Id="rId182" Type="http://schemas.openxmlformats.org/officeDocument/2006/relationships/hyperlink" Target="https://doi.org/10.1002/ace.204" TargetMode="External"/><Relationship Id="rId378" Type="http://schemas.openxmlformats.org/officeDocument/2006/relationships/hyperlink" Target="https://doi.org/10.24377/LJMU.iip.vol9iss1article108" TargetMode="External"/><Relationship Id="rId403" Type="http://schemas.openxmlformats.org/officeDocument/2006/relationships/hyperlink" Target="https://www.thomsonreuters.com/en-us/posts/legal/power-skills-rebranding/" TargetMode="External"/><Relationship Id="rId6" Type="http://schemas.openxmlformats.org/officeDocument/2006/relationships/footnotes" Target="footnotes.xml"/><Relationship Id="rId238" Type="http://schemas.openxmlformats.org/officeDocument/2006/relationships/hyperlink" Target="https://www.bera.ac.uk/publication/ethics-and-educational-research" TargetMode="External"/><Relationship Id="rId445" Type="http://schemas.openxmlformats.org/officeDocument/2006/relationships/hyperlink" Target="https://doi.org/10.18546/LRE.17.2.09" TargetMode="External"/><Relationship Id="rId487" Type="http://schemas.openxmlformats.org/officeDocument/2006/relationships/hyperlink" Target="https://www.who.int/newsroom/fact-sheets/detail/mental-healthstrengthening-our-response" TargetMode="External"/><Relationship Id="rId291" Type="http://schemas.openxmlformats.org/officeDocument/2006/relationships/hyperlink" Target="https://doi.org/10.1080/713693162" TargetMode="External"/><Relationship Id="rId305" Type="http://schemas.openxmlformats.org/officeDocument/2006/relationships/hyperlink" Target="https://doi.org/10.1108/17468770810851476" TargetMode="External"/><Relationship Id="rId347" Type="http://schemas.openxmlformats.org/officeDocument/2006/relationships/hyperlink" Target="https://digitalarchive.tpl.ca/objects/371300/the-story-of-the-three-bears--metrically-related-with-illus" TargetMode="External"/><Relationship Id="rId512" Type="http://schemas.openxmlformats.org/officeDocument/2006/relationships/hyperlink" Target="https://www.sheffield.ac.uk/polopoly_fs/1.671066!/file/GRIPPolicy.pdf" TargetMode="External"/><Relationship Id="rId44" Type="http://schemas.openxmlformats.org/officeDocument/2006/relationships/diagramColors" Target="diagrams/colors4.xml"/><Relationship Id="rId86" Type="http://schemas.openxmlformats.org/officeDocument/2006/relationships/diagramColors" Target="diagrams/colors12.xml"/><Relationship Id="rId151" Type="http://schemas.openxmlformats.org/officeDocument/2006/relationships/hyperlink" Target="https://doi.org/10.1177/0018726700536001" TargetMode="External"/><Relationship Id="rId389" Type="http://schemas.openxmlformats.org/officeDocument/2006/relationships/hyperlink" Target="https://www.researchgate.net/publication/310802869_Telling_tales_using_narrative_in_career_guidance_Journal_of_Vocational_Behavior_78_2_174-183" TargetMode="External"/><Relationship Id="rId554" Type="http://schemas.openxmlformats.org/officeDocument/2006/relationships/hyperlink" Target="https://mulberrybush.org.uk/eventstraining/reflective-supervision-training/" TargetMode="External"/><Relationship Id="rId193" Type="http://schemas.openxmlformats.org/officeDocument/2006/relationships/hyperlink" Target="http://dx.doi.org/10.1080/03075078512331378549" TargetMode="External"/><Relationship Id="rId207" Type="http://schemas.openxmlformats.org/officeDocument/2006/relationships/hyperlink" Target="https://doi.org/10.1016/j.intcom.2012.07.003" TargetMode="External"/><Relationship Id="rId249" Type="http://schemas.openxmlformats.org/officeDocument/2006/relationships/hyperlink" Target="https://www.hesa.ac.uk/news/08-08-2024/sb269-higher-education-student-statistics/numbers" TargetMode="External"/><Relationship Id="rId414" Type="http://schemas.openxmlformats.org/officeDocument/2006/relationships/hyperlink" Target="https://doi.org/10.1007/s10447-018-9321-7" TargetMode="External"/><Relationship Id="rId456" Type="http://schemas.openxmlformats.org/officeDocument/2006/relationships/hyperlink" Target="https://doi.org/10.1080/03075079.2010.549220" TargetMode="External"/><Relationship Id="rId498" Type="http://schemas.openxmlformats.org/officeDocument/2006/relationships/hyperlink" Target="https://www.sheffield.ac.uk/hr/guidance/contracts/volunteers" TargetMode="External"/><Relationship Id="rId13" Type="http://schemas.openxmlformats.org/officeDocument/2006/relationships/image" Target="media/image3.png"/><Relationship Id="rId109" Type="http://schemas.openxmlformats.org/officeDocument/2006/relationships/hyperlink" Target="https://efaidnbmnnnibpcajpcglclefindmkaj/https://journals.uclpress.co.uk/lre/article/2562/galley/16756/view" TargetMode="External"/><Relationship Id="rId260" Type="http://schemas.openxmlformats.org/officeDocument/2006/relationships/hyperlink" Target="https://doi.org/10.1080/0309877980220103" TargetMode="External"/><Relationship Id="rId316" Type="http://schemas.openxmlformats.org/officeDocument/2006/relationships/hyperlink" Target="https://www.teqjournal.org/backvols/2001/28_2/v28n202.pdf" TargetMode="External"/><Relationship Id="rId523" Type="http://schemas.openxmlformats.org/officeDocument/2006/relationships/customXml" Target="ink/ink7.xml"/><Relationship Id="rId55" Type="http://schemas.microsoft.com/office/2007/relationships/diagramDrawing" Target="diagrams/drawing6.xml"/><Relationship Id="rId97" Type="http://schemas.openxmlformats.org/officeDocument/2006/relationships/hyperlink" Target="https://doi.org/10.1348/0007126042369802" TargetMode="External"/><Relationship Id="rId120" Type="http://schemas.openxmlformats.org/officeDocument/2006/relationships/hyperlink" Target="http://www.jstor.org/stable/45113728" TargetMode="External"/><Relationship Id="rId358" Type="http://schemas.openxmlformats.org/officeDocument/2006/relationships/hyperlink" Target="https://www.england.nhs.uk/publication/professional-nurse-advocate-a-equip-model-a-model-of-clinical-supervision-for-nurses/" TargetMode="External"/><Relationship Id="rId162" Type="http://schemas.openxmlformats.org/officeDocument/2006/relationships/hyperlink" Target="https://www.lrb.co.uk/the-paper/v38/n02/stefan-collini/who-are-the-spongers-now" TargetMode="External"/><Relationship Id="rId218" Type="http://schemas.openxmlformats.org/officeDocument/2006/relationships/hyperlink" Target="http://dx.doi.org/10.1108/JRIT-09-2017-0020" TargetMode="External"/><Relationship Id="rId425" Type="http://schemas.openxmlformats.org/officeDocument/2006/relationships/hyperlink" Target="https://doi.org/10.1080/13691457.2018.1544117" TargetMode="External"/><Relationship Id="rId467" Type="http://schemas.openxmlformats.org/officeDocument/2006/relationships/hyperlink" Target="https://hull-repository.worktribe.com/output/4717968/the-practising-midwife-blog-11-jun-2024-supporting-nursing-and-midwifery-students-restorative-supervision" TargetMode="External"/><Relationship Id="rId271" Type="http://schemas.openxmlformats.org/officeDocument/2006/relationships/hyperlink" Target="https://doi.org/10.1016/j.aip.2018.06.001" TargetMode="External"/><Relationship Id="rId24" Type="http://schemas.openxmlformats.org/officeDocument/2006/relationships/diagramQuickStyle" Target="diagrams/quickStyle1.xml"/><Relationship Id="rId66" Type="http://schemas.openxmlformats.org/officeDocument/2006/relationships/diagramData" Target="diagrams/data9.xml"/><Relationship Id="rId131" Type="http://schemas.openxmlformats.org/officeDocument/2006/relationships/hyperlink" Target="https://doi.org/10.2147/AMEP.S96802" TargetMode="External"/><Relationship Id="rId327" Type="http://schemas.openxmlformats.org/officeDocument/2006/relationships/hyperlink" Target="https://www.proquest.com/openview/09dbc8473ec47edb43977075c87169e8/1?pq-origsite=gscholar&amp;cbl=18750" TargetMode="External"/><Relationship Id="rId369" Type="http://schemas.openxmlformats.org/officeDocument/2006/relationships/hyperlink" Target="https://psycnet.apa.org/doi/10.1177/0001839213520131" TargetMode="External"/><Relationship Id="rId534" Type="http://schemas.openxmlformats.org/officeDocument/2006/relationships/diagramData" Target="diagrams/data16.xml"/><Relationship Id="rId173" Type="http://schemas.openxmlformats.org/officeDocument/2006/relationships/hyperlink" Target="https://doi.org/10.3389/fpsyg.2019.01807" TargetMode="External"/><Relationship Id="rId229" Type="http://schemas.openxmlformats.org/officeDocument/2006/relationships/hyperlink" Target="https://doi.org/10.1111/j.1753-6405.2007.00141.x" TargetMode="External"/><Relationship Id="rId380" Type="http://schemas.openxmlformats.org/officeDocument/2006/relationships/hyperlink" Target="https://www.bacp.co.uk/bacp-journals/therapy-today/2014/october-2014/the-changing-role-of-the-university-counselling-service/" TargetMode="External"/><Relationship Id="rId436" Type="http://schemas.openxmlformats.org/officeDocument/2006/relationships/hyperlink" Target="https://doi.org/10.1080/13562517.2014.1001834" TargetMode="External"/><Relationship Id="rId240" Type="http://schemas.openxmlformats.org/officeDocument/2006/relationships/hyperlink" Target="https://doi.org/10.1080/02650533.2019.1700493" TargetMode="External"/><Relationship Id="rId478" Type="http://schemas.openxmlformats.org/officeDocument/2006/relationships/hyperlink" Target="https://www.psychomedia.it/rapaport-klein/westen99.htm" TargetMode="External"/><Relationship Id="rId35" Type="http://schemas.openxmlformats.org/officeDocument/2006/relationships/diagramQuickStyle" Target="diagrams/quickStyle3.xml"/><Relationship Id="rId77" Type="http://schemas.openxmlformats.org/officeDocument/2006/relationships/diagramLayout" Target="diagrams/layout11.xml"/><Relationship Id="rId100" Type="http://schemas.openxmlformats.org/officeDocument/2006/relationships/hyperlink" Target="https://pure.northampton.ac.uk/ws/portafiles/portal/81792534/Aslett_Linda_2025_The_Case_for_Teacher_Led_Reflective_Supervision_in_Schools.pdf" TargetMode="External"/><Relationship Id="rId282" Type="http://schemas.openxmlformats.org/officeDocument/2006/relationships/hyperlink" Target="https://eric.ed.gov/?id=EJ433722" TargetMode="External"/><Relationship Id="rId338" Type="http://schemas.openxmlformats.org/officeDocument/2006/relationships/hyperlink" Target="https://www.mind.org.uk/media/kogesqr4/mind-index-insights-report-2021-22.pdf" TargetMode="External"/><Relationship Id="rId503" Type="http://schemas.openxmlformats.org/officeDocument/2006/relationships/hyperlink" Target="https://students.sheffield.ac.uk/research-services/ethics-integrity/policy/forms" TargetMode="External"/><Relationship Id="rId545" Type="http://schemas.openxmlformats.org/officeDocument/2006/relationships/diagramLayout" Target="diagrams/layout18.xml"/><Relationship Id="rId8" Type="http://schemas.openxmlformats.org/officeDocument/2006/relationships/image" Target="media/image1.png"/><Relationship Id="rId142" Type="http://schemas.openxmlformats.org/officeDocument/2006/relationships/hyperlink" Target="https://www.bera.ac.uk/researchers-resources/publications/ethical-guidelines-for-educational-research-2018" TargetMode="External"/><Relationship Id="rId184" Type="http://schemas.openxmlformats.org/officeDocument/2006/relationships/hyperlink" Target="https://doi.org/10.1080/2331186X.2023.227263" TargetMode="External"/><Relationship Id="rId391" Type="http://schemas.openxmlformats.org/officeDocument/2006/relationships/hyperlink" Target="https://doi.org/10.1080/13600800902974336" TargetMode="External"/><Relationship Id="rId405" Type="http://schemas.openxmlformats.org/officeDocument/2006/relationships/hyperlink" Target="https://doi.org/10.1006/ceps.1999.1020" TargetMode="External"/><Relationship Id="rId447" Type="http://schemas.openxmlformats.org/officeDocument/2006/relationships/hyperlink" Target="http://www.bps.org.uk/sites/default/files/documents/code_of_human_research_ethics.pdf" TargetMode="External"/><Relationship Id="rId251" Type="http://schemas.openxmlformats.org/officeDocument/2006/relationships/hyperlink" Target="https://doi.org/10.1007/s12186-007-9001-y" TargetMode="External"/><Relationship Id="rId489" Type="http://schemas.openxmlformats.org/officeDocument/2006/relationships/hyperlink" Target="https://doi.org/10.1080/19325037.2013.764248" TargetMode="External"/><Relationship Id="rId46" Type="http://schemas.openxmlformats.org/officeDocument/2006/relationships/diagramData" Target="diagrams/data5.xml"/><Relationship Id="rId293" Type="http://schemas.openxmlformats.org/officeDocument/2006/relationships/hyperlink" Target="https://doi.org/10.1080/15332985.2018.1467845" TargetMode="External"/><Relationship Id="rId307" Type="http://schemas.openxmlformats.org/officeDocument/2006/relationships/hyperlink" Target="https://doi.10.13189/ujer.2017.050318" TargetMode="External"/><Relationship Id="rId349" Type="http://schemas.openxmlformats.org/officeDocument/2006/relationships/hyperlink" Target="https://doi.org/10.46743/2160-3715/2000.2925" TargetMode="External"/><Relationship Id="rId514" Type="http://schemas.openxmlformats.org/officeDocument/2006/relationships/diagramLayout" Target="diagrams/layout13.xml"/><Relationship Id="rId556" Type="http://schemas.openxmlformats.org/officeDocument/2006/relationships/hyperlink" Target="https://tavistockandportman.ac.uk/courses/supervision-for-staff-working-in-schools-and-community-contexts-working-relationally-and-reflectively-cpd32/" TargetMode="External"/><Relationship Id="rId88" Type="http://schemas.openxmlformats.org/officeDocument/2006/relationships/hyperlink" Target="https://doi.org/10.58256/3nrd9d62" TargetMode="External"/><Relationship Id="rId111" Type="http://schemas.openxmlformats.org/officeDocument/2006/relationships/hyperlink" Target="https://10.1007/s10902-006-9021-6" TargetMode="External"/><Relationship Id="rId153" Type="http://schemas.openxmlformats.org/officeDocument/2006/relationships/hyperlink" Target="https://www.cqc.org.uk/publications/major-report/care-update-issue-2" TargetMode="External"/><Relationship Id="rId195" Type="http://schemas.openxmlformats.org/officeDocument/2006/relationships/hyperlink" Target="https://doi.org/10.1177/036215379602600410" TargetMode="External"/><Relationship Id="rId209" Type="http://schemas.openxmlformats.org/officeDocument/2006/relationships/hyperlink" Target="https://www.proquest.com/scholarly-journals/effects-personality-on-attitudes-toward-academic/docview/195900586/se-2" TargetMode="External"/><Relationship Id="rId360" Type="http://schemas.openxmlformats.org/officeDocument/2006/relationships/hyperlink" Target="https://api.semanticscholar.org/CorpusID:144549710" TargetMode="External"/><Relationship Id="rId416" Type="http://schemas.openxmlformats.org/officeDocument/2006/relationships/hyperlink" Target="https://psycnet.apa.org/doi/10.1016/j.obhdp.2009.05.001" TargetMode="External"/><Relationship Id="rId220" Type="http://schemas.openxmlformats.org/officeDocument/2006/relationships/hyperlink" Target="https://doi.org/10.1108/09696470910927669" TargetMode="External"/><Relationship Id="rId458" Type="http://schemas.openxmlformats.org/officeDocument/2006/relationships/hyperlink" Target="https://unitegroup.com/neurodivergent-students-report" TargetMode="External"/><Relationship Id="rId15" Type="http://schemas.openxmlformats.org/officeDocument/2006/relationships/customXml" Target="ink/ink4.xml"/><Relationship Id="rId57" Type="http://schemas.openxmlformats.org/officeDocument/2006/relationships/diagramLayout" Target="diagrams/layout7.xml"/><Relationship Id="rId262" Type="http://schemas.openxmlformats.org/officeDocument/2006/relationships/hyperlink" Target="https://doi.org/10.1038/s41598-024-72656-w" TargetMode="External"/><Relationship Id="rId318" Type="http://schemas.openxmlformats.org/officeDocument/2006/relationships/hyperlink" Target="https://www.academia.edu/43001455/Alchemy_and_the_Teacher" TargetMode="External"/><Relationship Id="rId525" Type="http://schemas.openxmlformats.org/officeDocument/2006/relationships/customXml" Target="ink/ink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BF0E91-2B09-4F38-B14A-B0692F7FF865}" type="doc">
      <dgm:prSet loTypeId="urn:microsoft.com/office/officeart/2005/8/layout/target1" loCatId="relationship" qsTypeId="urn:microsoft.com/office/officeart/2005/8/quickstyle/simple1" qsCatId="simple" csTypeId="urn:microsoft.com/office/officeart/2005/8/colors/accent1_2" csCatId="accent1" phldr="1"/>
      <dgm:spPr/>
    </dgm:pt>
    <dgm:pt modelId="{147B2F98-85FA-4F63-A72A-9B8CD736D08C}">
      <dgm:prSet phldrT="[Text]" custT="1"/>
      <dgm:spPr/>
      <dgm:t>
        <a:bodyPr/>
        <a:lstStyle/>
        <a:p>
          <a:r>
            <a:rPr lang="en-GB" sz="1100"/>
            <a:t>Mother holding the child</a:t>
          </a:r>
        </a:p>
      </dgm:t>
    </dgm:pt>
    <dgm:pt modelId="{BE453BB4-3457-4DBB-9D58-8906FA936CFF}" type="parTrans" cxnId="{6D495D6A-A67E-4220-BA07-C467857747C8}">
      <dgm:prSet/>
      <dgm:spPr/>
      <dgm:t>
        <a:bodyPr/>
        <a:lstStyle/>
        <a:p>
          <a:endParaRPr lang="en-GB"/>
        </a:p>
      </dgm:t>
    </dgm:pt>
    <dgm:pt modelId="{006FC8AB-0783-492E-BA7C-57A72A5FF7FA}" type="sibTrans" cxnId="{6D495D6A-A67E-4220-BA07-C467857747C8}">
      <dgm:prSet/>
      <dgm:spPr/>
      <dgm:t>
        <a:bodyPr/>
        <a:lstStyle/>
        <a:p>
          <a:endParaRPr lang="en-GB"/>
        </a:p>
      </dgm:t>
    </dgm:pt>
    <dgm:pt modelId="{C73CDC1A-86C6-4EC0-83E0-5A877DCFBE7A}">
      <dgm:prSet phldrT="[Text]" custT="1"/>
      <dgm:spPr/>
      <dgm:t>
        <a:bodyPr/>
        <a:lstStyle/>
        <a:p>
          <a:r>
            <a:rPr lang="en-GB" sz="1100"/>
            <a:t>Father holding the mother holding the child</a:t>
          </a:r>
        </a:p>
      </dgm:t>
    </dgm:pt>
    <dgm:pt modelId="{407899E7-B914-4EEF-9CDC-8BD69EF1524E}" type="parTrans" cxnId="{1981397C-F9B6-4EB2-83AD-048EBC7DCFDF}">
      <dgm:prSet/>
      <dgm:spPr/>
      <dgm:t>
        <a:bodyPr/>
        <a:lstStyle/>
        <a:p>
          <a:endParaRPr lang="en-GB"/>
        </a:p>
      </dgm:t>
    </dgm:pt>
    <dgm:pt modelId="{0EAF3D71-3A59-4198-A5E9-1E18FCAD4CDA}" type="sibTrans" cxnId="{1981397C-F9B6-4EB2-83AD-048EBC7DCFDF}">
      <dgm:prSet/>
      <dgm:spPr/>
      <dgm:t>
        <a:bodyPr/>
        <a:lstStyle/>
        <a:p>
          <a:endParaRPr lang="en-GB"/>
        </a:p>
      </dgm:t>
    </dgm:pt>
    <dgm:pt modelId="{76C303B3-214D-4AE1-9038-10DA2D471908}">
      <dgm:prSet phldrT="[Text]" custT="1"/>
      <dgm:spPr/>
      <dgm:t>
        <a:bodyPr/>
        <a:lstStyle/>
        <a:p>
          <a:endParaRPr lang="en-GB" sz="1100"/>
        </a:p>
        <a:p>
          <a:r>
            <a:rPr lang="en-GB" sz="1100"/>
            <a:t>Society holding the father who is holding the mother holding the child</a:t>
          </a:r>
        </a:p>
      </dgm:t>
    </dgm:pt>
    <dgm:pt modelId="{A27592C2-BDEE-4F1F-9FEF-4153D5C42307}" type="parTrans" cxnId="{54460BBB-E8EF-4E37-923D-1C60F6E2037B}">
      <dgm:prSet/>
      <dgm:spPr/>
      <dgm:t>
        <a:bodyPr/>
        <a:lstStyle/>
        <a:p>
          <a:endParaRPr lang="en-GB"/>
        </a:p>
      </dgm:t>
    </dgm:pt>
    <dgm:pt modelId="{E814EEDA-D477-4A68-973C-40847189BD5B}" type="sibTrans" cxnId="{54460BBB-E8EF-4E37-923D-1C60F6E2037B}">
      <dgm:prSet/>
      <dgm:spPr/>
      <dgm:t>
        <a:bodyPr/>
        <a:lstStyle/>
        <a:p>
          <a:endParaRPr lang="en-GB"/>
        </a:p>
      </dgm:t>
    </dgm:pt>
    <dgm:pt modelId="{B366C669-16A4-42C9-8748-B9EF22B5CE1B}" type="pres">
      <dgm:prSet presAssocID="{45BF0E91-2B09-4F38-B14A-B0692F7FF865}" presName="composite" presStyleCnt="0">
        <dgm:presLayoutVars>
          <dgm:chMax val="5"/>
          <dgm:dir/>
          <dgm:resizeHandles val="exact"/>
        </dgm:presLayoutVars>
      </dgm:prSet>
      <dgm:spPr/>
    </dgm:pt>
    <dgm:pt modelId="{B879735E-F3FD-4E40-9E8A-2CECF28A13B2}" type="pres">
      <dgm:prSet presAssocID="{147B2F98-85FA-4F63-A72A-9B8CD736D08C}" presName="circle1" presStyleLbl="lnNode1" presStyleIdx="0" presStyleCnt="3"/>
      <dgm:spPr/>
    </dgm:pt>
    <dgm:pt modelId="{64A920B1-57D7-4B61-8AD7-54B0CB52085B}" type="pres">
      <dgm:prSet presAssocID="{147B2F98-85FA-4F63-A72A-9B8CD736D08C}" presName="text1" presStyleLbl="revTx" presStyleIdx="0" presStyleCnt="3">
        <dgm:presLayoutVars>
          <dgm:bulletEnabled val="1"/>
        </dgm:presLayoutVars>
      </dgm:prSet>
      <dgm:spPr/>
    </dgm:pt>
    <dgm:pt modelId="{F3C4E338-888F-4201-88A5-FC1BADE4A551}" type="pres">
      <dgm:prSet presAssocID="{147B2F98-85FA-4F63-A72A-9B8CD736D08C}" presName="line1" presStyleLbl="callout" presStyleIdx="0" presStyleCnt="6"/>
      <dgm:spPr/>
    </dgm:pt>
    <dgm:pt modelId="{B6E13C96-9FE5-44E2-A60A-0D9D9F6651B8}" type="pres">
      <dgm:prSet presAssocID="{147B2F98-85FA-4F63-A72A-9B8CD736D08C}" presName="d1" presStyleLbl="callout" presStyleIdx="1" presStyleCnt="6"/>
      <dgm:spPr/>
    </dgm:pt>
    <dgm:pt modelId="{05781BAF-B7AA-4695-9C3F-1C24EC50A3EA}" type="pres">
      <dgm:prSet presAssocID="{C73CDC1A-86C6-4EC0-83E0-5A877DCFBE7A}" presName="circle2" presStyleLbl="lnNode1" presStyleIdx="1" presStyleCnt="3"/>
      <dgm:spPr/>
    </dgm:pt>
    <dgm:pt modelId="{78187A64-D8BC-4A85-ADF1-97F50D19D45B}" type="pres">
      <dgm:prSet presAssocID="{C73CDC1A-86C6-4EC0-83E0-5A877DCFBE7A}" presName="text2" presStyleLbl="revTx" presStyleIdx="1" presStyleCnt="3">
        <dgm:presLayoutVars>
          <dgm:bulletEnabled val="1"/>
        </dgm:presLayoutVars>
      </dgm:prSet>
      <dgm:spPr/>
    </dgm:pt>
    <dgm:pt modelId="{C423DA3B-CE51-424B-9A30-E815C4E4E249}" type="pres">
      <dgm:prSet presAssocID="{C73CDC1A-86C6-4EC0-83E0-5A877DCFBE7A}" presName="line2" presStyleLbl="callout" presStyleIdx="2" presStyleCnt="6"/>
      <dgm:spPr/>
    </dgm:pt>
    <dgm:pt modelId="{FBA74F83-E089-4B27-844C-6BA130227C8B}" type="pres">
      <dgm:prSet presAssocID="{C73CDC1A-86C6-4EC0-83E0-5A877DCFBE7A}" presName="d2" presStyleLbl="callout" presStyleIdx="3" presStyleCnt="6"/>
      <dgm:spPr/>
    </dgm:pt>
    <dgm:pt modelId="{305693F4-2825-4AB8-9AC7-8F47AADB7D6F}" type="pres">
      <dgm:prSet presAssocID="{76C303B3-214D-4AE1-9038-10DA2D471908}" presName="circle3" presStyleLbl="lnNode1" presStyleIdx="2" presStyleCnt="3"/>
      <dgm:spPr/>
    </dgm:pt>
    <dgm:pt modelId="{E984CABB-ACBA-4214-946E-C3ABF87BDEA6}" type="pres">
      <dgm:prSet presAssocID="{76C303B3-214D-4AE1-9038-10DA2D471908}" presName="text3" presStyleLbl="revTx" presStyleIdx="2" presStyleCnt="3" custScaleY="97682" custLinFactNeighborY="1045">
        <dgm:presLayoutVars>
          <dgm:bulletEnabled val="1"/>
        </dgm:presLayoutVars>
      </dgm:prSet>
      <dgm:spPr/>
    </dgm:pt>
    <dgm:pt modelId="{0E84F33F-8246-47DA-9DA7-C4B8FCCDDD29}" type="pres">
      <dgm:prSet presAssocID="{76C303B3-214D-4AE1-9038-10DA2D471908}" presName="line3" presStyleLbl="callout" presStyleIdx="4" presStyleCnt="6"/>
      <dgm:spPr/>
    </dgm:pt>
    <dgm:pt modelId="{DFD257C0-75BE-48F1-99F4-D6C862A8B82C}" type="pres">
      <dgm:prSet presAssocID="{76C303B3-214D-4AE1-9038-10DA2D471908}" presName="d3" presStyleLbl="callout" presStyleIdx="5" presStyleCnt="6"/>
      <dgm:spPr/>
    </dgm:pt>
  </dgm:ptLst>
  <dgm:cxnLst>
    <dgm:cxn modelId="{11A5571D-FCBB-457A-A924-C823F6588BA2}" type="presOf" srcId="{76C303B3-214D-4AE1-9038-10DA2D471908}" destId="{E984CABB-ACBA-4214-946E-C3ABF87BDEA6}" srcOrd="0" destOrd="0" presId="urn:microsoft.com/office/officeart/2005/8/layout/target1"/>
    <dgm:cxn modelId="{BA8D2135-53BF-4AD8-8780-567F7960017A}" type="presOf" srcId="{C73CDC1A-86C6-4EC0-83E0-5A877DCFBE7A}" destId="{78187A64-D8BC-4A85-ADF1-97F50D19D45B}" srcOrd="0" destOrd="0" presId="urn:microsoft.com/office/officeart/2005/8/layout/target1"/>
    <dgm:cxn modelId="{2671733F-6BC0-474C-ABFA-9443760611A0}" type="presOf" srcId="{147B2F98-85FA-4F63-A72A-9B8CD736D08C}" destId="{64A920B1-57D7-4B61-8AD7-54B0CB52085B}" srcOrd="0" destOrd="0" presId="urn:microsoft.com/office/officeart/2005/8/layout/target1"/>
    <dgm:cxn modelId="{6D495D6A-A67E-4220-BA07-C467857747C8}" srcId="{45BF0E91-2B09-4F38-B14A-B0692F7FF865}" destId="{147B2F98-85FA-4F63-A72A-9B8CD736D08C}" srcOrd="0" destOrd="0" parTransId="{BE453BB4-3457-4DBB-9D58-8906FA936CFF}" sibTransId="{006FC8AB-0783-492E-BA7C-57A72A5FF7FA}"/>
    <dgm:cxn modelId="{1981397C-F9B6-4EB2-83AD-048EBC7DCFDF}" srcId="{45BF0E91-2B09-4F38-B14A-B0692F7FF865}" destId="{C73CDC1A-86C6-4EC0-83E0-5A877DCFBE7A}" srcOrd="1" destOrd="0" parTransId="{407899E7-B914-4EEF-9CDC-8BD69EF1524E}" sibTransId="{0EAF3D71-3A59-4198-A5E9-1E18FCAD4CDA}"/>
    <dgm:cxn modelId="{54460BBB-E8EF-4E37-923D-1C60F6E2037B}" srcId="{45BF0E91-2B09-4F38-B14A-B0692F7FF865}" destId="{76C303B3-214D-4AE1-9038-10DA2D471908}" srcOrd="2" destOrd="0" parTransId="{A27592C2-BDEE-4F1F-9FEF-4153D5C42307}" sibTransId="{E814EEDA-D477-4A68-973C-40847189BD5B}"/>
    <dgm:cxn modelId="{EFBBC2BB-A260-47C4-B80B-84B3A112065C}" type="presOf" srcId="{45BF0E91-2B09-4F38-B14A-B0692F7FF865}" destId="{B366C669-16A4-42C9-8748-B9EF22B5CE1B}" srcOrd="0" destOrd="0" presId="urn:microsoft.com/office/officeart/2005/8/layout/target1"/>
    <dgm:cxn modelId="{EBC4F9C8-3316-4365-9D57-0907B753D5F6}" type="presParOf" srcId="{B366C669-16A4-42C9-8748-B9EF22B5CE1B}" destId="{B879735E-F3FD-4E40-9E8A-2CECF28A13B2}" srcOrd="0" destOrd="0" presId="urn:microsoft.com/office/officeart/2005/8/layout/target1"/>
    <dgm:cxn modelId="{86F9BF14-FB61-4AEA-A527-BA6C33C72AF2}" type="presParOf" srcId="{B366C669-16A4-42C9-8748-B9EF22B5CE1B}" destId="{64A920B1-57D7-4B61-8AD7-54B0CB52085B}" srcOrd="1" destOrd="0" presId="urn:microsoft.com/office/officeart/2005/8/layout/target1"/>
    <dgm:cxn modelId="{7D08249E-E72C-424C-990F-FB48C2581BA9}" type="presParOf" srcId="{B366C669-16A4-42C9-8748-B9EF22B5CE1B}" destId="{F3C4E338-888F-4201-88A5-FC1BADE4A551}" srcOrd="2" destOrd="0" presId="urn:microsoft.com/office/officeart/2005/8/layout/target1"/>
    <dgm:cxn modelId="{66F9F74C-C58C-4B2B-B5B4-B1AEDCA43044}" type="presParOf" srcId="{B366C669-16A4-42C9-8748-B9EF22B5CE1B}" destId="{B6E13C96-9FE5-44E2-A60A-0D9D9F6651B8}" srcOrd="3" destOrd="0" presId="urn:microsoft.com/office/officeart/2005/8/layout/target1"/>
    <dgm:cxn modelId="{794CA073-FC39-487B-9F9F-C0313B0E61AA}" type="presParOf" srcId="{B366C669-16A4-42C9-8748-B9EF22B5CE1B}" destId="{05781BAF-B7AA-4695-9C3F-1C24EC50A3EA}" srcOrd="4" destOrd="0" presId="urn:microsoft.com/office/officeart/2005/8/layout/target1"/>
    <dgm:cxn modelId="{5C173B8D-1A84-48BB-91BD-D13F1FFBE899}" type="presParOf" srcId="{B366C669-16A4-42C9-8748-B9EF22B5CE1B}" destId="{78187A64-D8BC-4A85-ADF1-97F50D19D45B}" srcOrd="5" destOrd="0" presId="urn:microsoft.com/office/officeart/2005/8/layout/target1"/>
    <dgm:cxn modelId="{61DD8564-5E84-4534-9BFF-D5E01FDDEBB0}" type="presParOf" srcId="{B366C669-16A4-42C9-8748-B9EF22B5CE1B}" destId="{C423DA3B-CE51-424B-9A30-E815C4E4E249}" srcOrd="6" destOrd="0" presId="urn:microsoft.com/office/officeart/2005/8/layout/target1"/>
    <dgm:cxn modelId="{307E4983-6B2E-44D1-8AFA-311C40A378F2}" type="presParOf" srcId="{B366C669-16A4-42C9-8748-B9EF22B5CE1B}" destId="{FBA74F83-E089-4B27-844C-6BA130227C8B}" srcOrd="7" destOrd="0" presId="urn:microsoft.com/office/officeart/2005/8/layout/target1"/>
    <dgm:cxn modelId="{D2A13495-3DF0-47C8-9799-64E8606DA4BC}" type="presParOf" srcId="{B366C669-16A4-42C9-8748-B9EF22B5CE1B}" destId="{305693F4-2825-4AB8-9AC7-8F47AADB7D6F}" srcOrd="8" destOrd="0" presId="urn:microsoft.com/office/officeart/2005/8/layout/target1"/>
    <dgm:cxn modelId="{80E38F0D-C32B-40C9-A3A8-4DFCFC3E8570}" type="presParOf" srcId="{B366C669-16A4-42C9-8748-B9EF22B5CE1B}" destId="{E984CABB-ACBA-4214-946E-C3ABF87BDEA6}" srcOrd="9" destOrd="0" presId="urn:microsoft.com/office/officeart/2005/8/layout/target1"/>
    <dgm:cxn modelId="{DE70715A-0F29-4C6B-9F57-39C9A62FB14D}" type="presParOf" srcId="{B366C669-16A4-42C9-8748-B9EF22B5CE1B}" destId="{0E84F33F-8246-47DA-9DA7-C4B8FCCDDD29}" srcOrd="10" destOrd="0" presId="urn:microsoft.com/office/officeart/2005/8/layout/target1"/>
    <dgm:cxn modelId="{E4D741BF-2B30-4A35-B091-67DE6E433519}" type="presParOf" srcId="{B366C669-16A4-42C9-8748-B9EF22B5CE1B}" destId="{DFD257C0-75BE-48F1-99F4-D6C862A8B82C}" srcOrd="11" destOrd="0" presId="urn:microsoft.com/office/officeart/2005/8/layout/targe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083FA8A-6785-4C89-8AD5-7BE03D544362}"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GB"/>
        </a:p>
      </dgm:t>
    </dgm:pt>
    <dgm:pt modelId="{A31457C7-28CA-488B-A32A-7FB8EE9148A2}">
      <dgm:prSet phldrT="[Text]" custT="1"/>
      <dgm:spPr/>
      <dgm:t>
        <a:bodyPr/>
        <a:lstStyle/>
        <a:p>
          <a:r>
            <a:rPr lang="en-GB" sz="1100">
              <a:latin typeface="Calibri" panose="020F0502020204030204" pitchFamily="34" charset="0"/>
              <a:ea typeface="Calibri" panose="020F0502020204030204" pitchFamily="34" charset="0"/>
              <a:cs typeface="Calibri" panose="020F0502020204030204" pitchFamily="34" charset="0"/>
            </a:rPr>
            <a:t>Shadow side</a:t>
          </a:r>
        </a:p>
      </dgm:t>
    </dgm:pt>
    <dgm:pt modelId="{213BEDA5-D90A-40C1-BC65-7AFDA620D0E4}" type="parTrans" cxnId="{F9EAD227-10DD-412B-A2D4-1BA9540FEBDA}">
      <dgm:prSet/>
      <dgm:spPr/>
      <dgm:t>
        <a:bodyPr/>
        <a:lstStyle/>
        <a:p>
          <a:endParaRPr lang="en-GB"/>
        </a:p>
      </dgm:t>
    </dgm:pt>
    <dgm:pt modelId="{EC865769-EE54-46AA-8903-539D0F31E763}" type="sibTrans" cxnId="{F9EAD227-10DD-412B-A2D4-1BA9540FEBDA}">
      <dgm:prSet/>
      <dgm:spPr/>
      <dgm:t>
        <a:bodyPr/>
        <a:lstStyle/>
        <a:p>
          <a:endParaRPr lang="en-GB"/>
        </a:p>
      </dgm:t>
    </dgm:pt>
    <dgm:pt modelId="{86C61D7F-8935-4BCB-9E94-01DEB28DF531}">
      <dgm:prSet phldrT="[Text]" custT="1"/>
      <dgm:spPr/>
      <dgm:t>
        <a:bodyPr/>
        <a:lstStyle/>
        <a:p>
          <a:r>
            <a:rPr lang="en-GB" sz="1100">
              <a:latin typeface="Calibri" panose="020F0502020204030204" pitchFamily="34" charset="0"/>
              <a:ea typeface="Calibri" panose="020F0502020204030204" pitchFamily="34" charset="0"/>
              <a:cs typeface="Calibri" panose="020F0502020204030204" pitchFamily="34" charset="0"/>
            </a:rPr>
            <a:t>Anger, confusion</a:t>
          </a:r>
        </a:p>
      </dgm:t>
    </dgm:pt>
    <dgm:pt modelId="{29771E22-C8A9-45EC-BE7F-F91FB1C80E02}" type="parTrans" cxnId="{87B0B227-5254-44B8-BBFE-BEB60CAD8170}">
      <dgm:prSet/>
      <dgm:spPr/>
      <dgm:t>
        <a:bodyPr/>
        <a:lstStyle/>
        <a:p>
          <a:endParaRPr lang="en-GB"/>
        </a:p>
      </dgm:t>
    </dgm:pt>
    <dgm:pt modelId="{D54BEAFD-3618-47D9-BEC7-F7A7015196AE}" type="sibTrans" cxnId="{87B0B227-5254-44B8-BBFE-BEB60CAD8170}">
      <dgm:prSet/>
      <dgm:spPr/>
      <dgm:t>
        <a:bodyPr/>
        <a:lstStyle/>
        <a:p>
          <a:endParaRPr lang="en-GB"/>
        </a:p>
      </dgm:t>
    </dgm:pt>
    <dgm:pt modelId="{47F78DE5-9DDB-45BE-89BC-8A19A8560CCA}">
      <dgm:prSet phldrT="[Text]" custT="1"/>
      <dgm:spPr/>
      <dgm:t>
        <a:bodyPr/>
        <a:lstStyle/>
        <a:p>
          <a:r>
            <a:rPr lang="en-GB" sz="1100">
              <a:latin typeface="Calibri" panose="020F0502020204030204" pitchFamily="34" charset="0"/>
              <a:ea typeface="Calibri" panose="020F0502020204030204" pitchFamily="34" charset="0"/>
              <a:cs typeface="Calibri" panose="020F0502020204030204" pitchFamily="34" charset="0"/>
            </a:rPr>
            <a:t>Painful, arduous</a:t>
          </a:r>
        </a:p>
      </dgm:t>
    </dgm:pt>
    <dgm:pt modelId="{DEC4D15D-60FE-4295-A8A2-9D6CC3E75ACC}" type="parTrans" cxnId="{87AC97B9-0A7B-4EF2-8EDF-97CA1FDBB331}">
      <dgm:prSet/>
      <dgm:spPr/>
      <dgm:t>
        <a:bodyPr/>
        <a:lstStyle/>
        <a:p>
          <a:endParaRPr lang="en-GB"/>
        </a:p>
      </dgm:t>
    </dgm:pt>
    <dgm:pt modelId="{42AEB0C7-231E-46E9-911D-2728EA4E42DE}" type="sibTrans" cxnId="{87AC97B9-0A7B-4EF2-8EDF-97CA1FDBB331}">
      <dgm:prSet/>
      <dgm:spPr/>
      <dgm:t>
        <a:bodyPr/>
        <a:lstStyle/>
        <a:p>
          <a:endParaRPr lang="en-GB"/>
        </a:p>
      </dgm:t>
    </dgm:pt>
    <dgm:pt modelId="{D7F731BA-0B9A-4FD3-9C9E-F66159DA7DD0}">
      <dgm:prSet phldrT="[Text]" custT="1"/>
      <dgm:spPr/>
      <dgm:t>
        <a:bodyPr/>
        <a:lstStyle/>
        <a:p>
          <a:r>
            <a:rPr lang="en-GB" sz="1100">
              <a:latin typeface="Calibri" panose="020F0502020204030204" pitchFamily="34" charset="0"/>
              <a:ea typeface="Calibri" panose="020F0502020204030204" pitchFamily="34" charset="0"/>
              <a:cs typeface="Calibri" panose="020F0502020204030204" pitchFamily="34" charset="0"/>
            </a:rPr>
            <a:t>Boons gathered</a:t>
          </a:r>
        </a:p>
      </dgm:t>
    </dgm:pt>
    <dgm:pt modelId="{B8B1905C-0048-4EE0-9533-D0265159D48A}" type="parTrans" cxnId="{9F7CB26E-250F-4799-9252-539354B7EE7A}">
      <dgm:prSet/>
      <dgm:spPr/>
      <dgm:t>
        <a:bodyPr/>
        <a:lstStyle/>
        <a:p>
          <a:endParaRPr lang="en-GB"/>
        </a:p>
      </dgm:t>
    </dgm:pt>
    <dgm:pt modelId="{4C27C2C5-5472-4D11-B99C-2F3E833186BC}" type="sibTrans" cxnId="{9F7CB26E-250F-4799-9252-539354B7EE7A}">
      <dgm:prSet/>
      <dgm:spPr/>
      <dgm:t>
        <a:bodyPr/>
        <a:lstStyle/>
        <a:p>
          <a:endParaRPr lang="en-GB"/>
        </a:p>
      </dgm:t>
    </dgm:pt>
    <dgm:pt modelId="{BE6CC8D9-8B3F-42BF-9DE1-06185235AB63}">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Emotional sharing, openness, honesty, emotional attachment</a:t>
          </a:r>
        </a:p>
      </dgm:t>
    </dgm:pt>
    <dgm:pt modelId="{CA4776B5-2B2C-48E8-9EDC-C6EC71500A11}" type="parTrans" cxnId="{BEC7753D-516F-421C-8037-D1E9C8AE05C0}">
      <dgm:prSet/>
      <dgm:spPr/>
      <dgm:t>
        <a:bodyPr/>
        <a:lstStyle/>
        <a:p>
          <a:endParaRPr lang="en-GB"/>
        </a:p>
      </dgm:t>
    </dgm:pt>
    <dgm:pt modelId="{50039956-3921-4D26-B474-F5F4BC30A860}" type="sibTrans" cxnId="{BEC7753D-516F-421C-8037-D1E9C8AE05C0}">
      <dgm:prSet/>
      <dgm:spPr/>
      <dgm:t>
        <a:bodyPr/>
        <a:lstStyle/>
        <a:p>
          <a:endParaRPr lang="en-GB"/>
        </a:p>
      </dgm:t>
    </dgm:pt>
    <dgm:pt modelId="{E2632123-35E9-4CDB-AE3E-97CCE6085187}">
      <dgm:prSet phldrT="[Text]" custT="1"/>
      <dgm:spPr/>
      <dgm:t>
        <a:bodyPr/>
        <a:lstStyle/>
        <a:p>
          <a:r>
            <a:rPr lang="en-GB" sz="1050">
              <a:latin typeface="Calibri" panose="020F0502020204030204" pitchFamily="34" charset="0"/>
              <a:ea typeface="Calibri" panose="020F0502020204030204" pitchFamily="34" charset="0"/>
              <a:cs typeface="Calibri" panose="020F0502020204030204" pitchFamily="34" charset="0"/>
            </a:rPr>
            <a:t>Passionate committment to improvement</a:t>
          </a:r>
        </a:p>
      </dgm:t>
    </dgm:pt>
    <dgm:pt modelId="{C0FC6364-D4C3-4F05-892F-6CD78BBE2C46}" type="parTrans" cxnId="{B22853BB-E72A-45C8-8FD1-20EEDC3839E0}">
      <dgm:prSet/>
      <dgm:spPr/>
      <dgm:t>
        <a:bodyPr/>
        <a:lstStyle/>
        <a:p>
          <a:endParaRPr lang="en-GB"/>
        </a:p>
      </dgm:t>
    </dgm:pt>
    <dgm:pt modelId="{CBE1AF55-B5B6-4C1A-A8A0-4A00D6562C93}" type="sibTrans" cxnId="{B22853BB-E72A-45C8-8FD1-20EEDC3839E0}">
      <dgm:prSet/>
      <dgm:spPr/>
      <dgm:t>
        <a:bodyPr/>
        <a:lstStyle/>
        <a:p>
          <a:endParaRPr lang="en-GB"/>
        </a:p>
      </dgm:t>
    </dgm:pt>
    <dgm:pt modelId="{BD7C772E-025A-43D1-BB98-EBE08F537459}">
      <dgm:prSet phldrT="[Text]" custT="1"/>
      <dgm:spPr/>
      <dgm:t>
        <a:bodyPr/>
        <a:lstStyle/>
        <a:p>
          <a:r>
            <a:rPr lang="en-GB" sz="1050">
              <a:latin typeface="Calibri" panose="020F0502020204030204" pitchFamily="34" charset="0"/>
              <a:ea typeface="Calibri" panose="020F0502020204030204" pitchFamily="34" charset="0"/>
              <a:cs typeface="Calibri" panose="020F0502020204030204" pitchFamily="34" charset="0"/>
            </a:rPr>
            <a:t>Positive influence on current actions</a:t>
          </a:r>
        </a:p>
      </dgm:t>
    </dgm:pt>
    <dgm:pt modelId="{4E2D2362-77CE-4763-87C5-EE61686774B6}" type="parTrans" cxnId="{42AC1708-291C-47BA-AFF0-90C76634CB74}">
      <dgm:prSet/>
      <dgm:spPr/>
      <dgm:t>
        <a:bodyPr/>
        <a:lstStyle/>
        <a:p>
          <a:endParaRPr lang="en-GB"/>
        </a:p>
      </dgm:t>
    </dgm:pt>
    <dgm:pt modelId="{44788E0E-848B-4CE9-AC19-27DE5DF5D6FD}" type="sibTrans" cxnId="{42AC1708-291C-47BA-AFF0-90C76634CB74}">
      <dgm:prSet/>
      <dgm:spPr/>
      <dgm:t>
        <a:bodyPr/>
        <a:lstStyle/>
        <a:p>
          <a:endParaRPr lang="en-GB"/>
        </a:p>
      </dgm:t>
    </dgm:pt>
    <dgm:pt modelId="{EACD602C-DE91-4F69-8DBF-55B40A648C02}">
      <dgm:prSet custT="1"/>
      <dgm:spPr/>
      <dgm:t>
        <a:bodyPr/>
        <a:lstStyle/>
        <a:p>
          <a:r>
            <a:rPr lang="en-GB" sz="1050">
              <a:latin typeface="Calibri" panose="020F0502020204030204" pitchFamily="34" charset="0"/>
              <a:ea typeface="Calibri" panose="020F0502020204030204" pitchFamily="34" charset="0"/>
              <a:cs typeface="Calibri" panose="020F0502020204030204" pitchFamily="34" charset="0"/>
            </a:rPr>
            <a:t>Determination not to repeat</a:t>
          </a:r>
        </a:p>
      </dgm:t>
    </dgm:pt>
    <dgm:pt modelId="{A2A883E7-4991-4247-B874-A92302F01621}" type="parTrans" cxnId="{E235EDB3-545B-4532-9A3F-6EB32584BC61}">
      <dgm:prSet/>
      <dgm:spPr/>
      <dgm:t>
        <a:bodyPr/>
        <a:lstStyle/>
        <a:p>
          <a:endParaRPr lang="en-GB"/>
        </a:p>
      </dgm:t>
    </dgm:pt>
    <dgm:pt modelId="{88FF4405-FF03-47C4-8F17-23BE2F0BE209}" type="sibTrans" cxnId="{E235EDB3-545B-4532-9A3F-6EB32584BC61}">
      <dgm:prSet/>
      <dgm:spPr/>
      <dgm:t>
        <a:bodyPr/>
        <a:lstStyle/>
        <a:p>
          <a:endParaRPr lang="en-GB"/>
        </a:p>
      </dgm:t>
    </dgm:pt>
    <dgm:pt modelId="{C995C949-957C-4747-98C5-930104AF7050}" type="pres">
      <dgm:prSet presAssocID="{F083FA8A-6785-4C89-8AD5-7BE03D544362}" presName="outerComposite" presStyleCnt="0">
        <dgm:presLayoutVars>
          <dgm:chMax val="2"/>
          <dgm:animLvl val="lvl"/>
          <dgm:resizeHandles val="exact"/>
        </dgm:presLayoutVars>
      </dgm:prSet>
      <dgm:spPr/>
    </dgm:pt>
    <dgm:pt modelId="{E906ABC5-BA9A-4944-AAAD-01165C8CB14D}" type="pres">
      <dgm:prSet presAssocID="{F083FA8A-6785-4C89-8AD5-7BE03D544362}" presName="dummyMaxCanvas" presStyleCnt="0"/>
      <dgm:spPr/>
    </dgm:pt>
    <dgm:pt modelId="{D7DEF246-1E01-4BB5-9B3D-0C67E3C982F0}" type="pres">
      <dgm:prSet presAssocID="{F083FA8A-6785-4C89-8AD5-7BE03D544362}" presName="parentComposite" presStyleCnt="0"/>
      <dgm:spPr/>
    </dgm:pt>
    <dgm:pt modelId="{E142384A-5062-4097-A2FC-1FEBC946C6A2}" type="pres">
      <dgm:prSet presAssocID="{F083FA8A-6785-4C89-8AD5-7BE03D544362}" presName="parent1" presStyleLbl="alignAccFollowNode1" presStyleIdx="0" presStyleCnt="4">
        <dgm:presLayoutVars>
          <dgm:chMax val="4"/>
        </dgm:presLayoutVars>
      </dgm:prSet>
      <dgm:spPr/>
    </dgm:pt>
    <dgm:pt modelId="{F8E361E7-F6EA-49B6-A335-1E3AE5FF11B0}" type="pres">
      <dgm:prSet presAssocID="{F083FA8A-6785-4C89-8AD5-7BE03D544362}" presName="parent2" presStyleLbl="alignAccFollowNode1" presStyleIdx="1" presStyleCnt="4" custLinFactNeighborX="3052" custLinFactNeighborY="-43956">
        <dgm:presLayoutVars>
          <dgm:chMax val="4"/>
        </dgm:presLayoutVars>
      </dgm:prSet>
      <dgm:spPr/>
    </dgm:pt>
    <dgm:pt modelId="{9ED413AB-0FDC-4158-853E-BDF6E6E84855}" type="pres">
      <dgm:prSet presAssocID="{F083FA8A-6785-4C89-8AD5-7BE03D544362}" presName="childrenComposite" presStyleCnt="0"/>
      <dgm:spPr/>
    </dgm:pt>
    <dgm:pt modelId="{16765707-152E-4738-90D4-5BDE012CC888}" type="pres">
      <dgm:prSet presAssocID="{F083FA8A-6785-4C89-8AD5-7BE03D544362}" presName="dummyMaxCanvas_ChildArea" presStyleCnt="0"/>
      <dgm:spPr/>
    </dgm:pt>
    <dgm:pt modelId="{6A05FA2E-03B7-4CEE-BFD1-AF2D7738B1B7}" type="pres">
      <dgm:prSet presAssocID="{F083FA8A-6785-4C89-8AD5-7BE03D544362}" presName="fulcrum" presStyleLbl="alignAccFollowNode1" presStyleIdx="2" presStyleCnt="4"/>
      <dgm:spPr/>
    </dgm:pt>
    <dgm:pt modelId="{16E1A0D2-A8AC-4B0F-96EC-DC03FE400A87}" type="pres">
      <dgm:prSet presAssocID="{F083FA8A-6785-4C89-8AD5-7BE03D544362}" presName="balance_24" presStyleLbl="alignAccFollowNode1" presStyleIdx="3" presStyleCnt="4">
        <dgm:presLayoutVars>
          <dgm:bulletEnabled val="1"/>
        </dgm:presLayoutVars>
      </dgm:prSet>
      <dgm:spPr/>
    </dgm:pt>
    <dgm:pt modelId="{72721A17-DF63-4489-97DB-DF5786FB9F3C}" type="pres">
      <dgm:prSet presAssocID="{F083FA8A-6785-4C89-8AD5-7BE03D544362}" presName="right_24_1" presStyleLbl="node1" presStyleIdx="0" presStyleCnt="6">
        <dgm:presLayoutVars>
          <dgm:bulletEnabled val="1"/>
        </dgm:presLayoutVars>
      </dgm:prSet>
      <dgm:spPr/>
    </dgm:pt>
    <dgm:pt modelId="{BE6EBF07-36F0-4B9F-948A-9BCE881FB90E}" type="pres">
      <dgm:prSet presAssocID="{F083FA8A-6785-4C89-8AD5-7BE03D544362}" presName="right_24_2" presStyleLbl="node1" presStyleIdx="1" presStyleCnt="6">
        <dgm:presLayoutVars>
          <dgm:bulletEnabled val="1"/>
        </dgm:presLayoutVars>
      </dgm:prSet>
      <dgm:spPr/>
    </dgm:pt>
    <dgm:pt modelId="{EF7BED1E-E8A1-413F-B6A6-AED7D5582240}" type="pres">
      <dgm:prSet presAssocID="{F083FA8A-6785-4C89-8AD5-7BE03D544362}" presName="right_24_3" presStyleLbl="node1" presStyleIdx="2" presStyleCnt="6">
        <dgm:presLayoutVars>
          <dgm:bulletEnabled val="1"/>
        </dgm:presLayoutVars>
      </dgm:prSet>
      <dgm:spPr/>
    </dgm:pt>
    <dgm:pt modelId="{5A73EE00-28E9-45E6-A56C-9E4D67508E14}" type="pres">
      <dgm:prSet presAssocID="{F083FA8A-6785-4C89-8AD5-7BE03D544362}" presName="right_24_4" presStyleLbl="node1" presStyleIdx="3" presStyleCnt="6" custScaleY="104473">
        <dgm:presLayoutVars>
          <dgm:bulletEnabled val="1"/>
        </dgm:presLayoutVars>
      </dgm:prSet>
      <dgm:spPr/>
    </dgm:pt>
    <dgm:pt modelId="{FBCC8F0A-9AD7-4285-A813-0A94632ECC81}" type="pres">
      <dgm:prSet presAssocID="{F083FA8A-6785-4C89-8AD5-7BE03D544362}" presName="left_24_1" presStyleLbl="node1" presStyleIdx="4" presStyleCnt="6" custLinFactNeighborX="-2408" custLinFactNeighborY="-1485">
        <dgm:presLayoutVars>
          <dgm:bulletEnabled val="1"/>
        </dgm:presLayoutVars>
      </dgm:prSet>
      <dgm:spPr/>
    </dgm:pt>
    <dgm:pt modelId="{4156F335-D364-4160-835F-1DEBA0561A24}" type="pres">
      <dgm:prSet presAssocID="{F083FA8A-6785-4C89-8AD5-7BE03D544362}" presName="left_24_2" presStyleLbl="node1" presStyleIdx="5" presStyleCnt="6">
        <dgm:presLayoutVars>
          <dgm:bulletEnabled val="1"/>
        </dgm:presLayoutVars>
      </dgm:prSet>
      <dgm:spPr/>
    </dgm:pt>
  </dgm:ptLst>
  <dgm:cxnLst>
    <dgm:cxn modelId="{42AC1708-291C-47BA-AFF0-90C76634CB74}" srcId="{D7F731BA-0B9A-4FD3-9C9E-F66159DA7DD0}" destId="{BD7C772E-025A-43D1-BB98-EBE08F537459}" srcOrd="2" destOrd="0" parTransId="{4E2D2362-77CE-4763-87C5-EE61686774B6}" sibTransId="{44788E0E-848B-4CE9-AC19-27DE5DF5D6FD}"/>
    <dgm:cxn modelId="{82A4840B-10D2-47C6-8051-6B86EA1FB154}" type="presOf" srcId="{A31457C7-28CA-488B-A32A-7FB8EE9148A2}" destId="{E142384A-5062-4097-A2FC-1FEBC946C6A2}" srcOrd="0" destOrd="0" presId="urn:microsoft.com/office/officeart/2005/8/layout/balance1"/>
    <dgm:cxn modelId="{EA0DD421-FDD1-432E-99A3-590D433A4A0E}" type="presOf" srcId="{BD7C772E-025A-43D1-BB98-EBE08F537459}" destId="{EF7BED1E-E8A1-413F-B6A6-AED7D5582240}" srcOrd="0" destOrd="0" presId="urn:microsoft.com/office/officeart/2005/8/layout/balance1"/>
    <dgm:cxn modelId="{87B0B227-5254-44B8-BBFE-BEB60CAD8170}" srcId="{A31457C7-28CA-488B-A32A-7FB8EE9148A2}" destId="{86C61D7F-8935-4BCB-9E94-01DEB28DF531}" srcOrd="0" destOrd="0" parTransId="{29771E22-C8A9-45EC-BE7F-F91FB1C80E02}" sibTransId="{D54BEAFD-3618-47D9-BEC7-F7A7015196AE}"/>
    <dgm:cxn modelId="{F9EAD227-10DD-412B-A2D4-1BA9540FEBDA}" srcId="{F083FA8A-6785-4C89-8AD5-7BE03D544362}" destId="{A31457C7-28CA-488B-A32A-7FB8EE9148A2}" srcOrd="0" destOrd="0" parTransId="{213BEDA5-D90A-40C1-BC65-7AFDA620D0E4}" sibTransId="{EC865769-EE54-46AA-8903-539D0F31E763}"/>
    <dgm:cxn modelId="{BEC7753D-516F-421C-8037-D1E9C8AE05C0}" srcId="{D7F731BA-0B9A-4FD3-9C9E-F66159DA7DD0}" destId="{BE6CC8D9-8B3F-42BF-9DE1-06185235AB63}" srcOrd="0" destOrd="0" parTransId="{CA4776B5-2B2C-48E8-9EDC-C6EC71500A11}" sibTransId="{50039956-3921-4D26-B474-F5F4BC30A860}"/>
    <dgm:cxn modelId="{DF3B0065-819C-446C-A261-7600E086D822}" type="presOf" srcId="{D7F731BA-0B9A-4FD3-9C9E-F66159DA7DD0}" destId="{F8E361E7-F6EA-49B6-A335-1E3AE5FF11B0}" srcOrd="0" destOrd="0" presId="urn:microsoft.com/office/officeart/2005/8/layout/balance1"/>
    <dgm:cxn modelId="{F6AB4A6A-611C-468C-8AB1-BABEEAE5CCBD}" type="presOf" srcId="{BE6CC8D9-8B3F-42BF-9DE1-06185235AB63}" destId="{72721A17-DF63-4489-97DB-DF5786FB9F3C}" srcOrd="0" destOrd="0" presId="urn:microsoft.com/office/officeart/2005/8/layout/balance1"/>
    <dgm:cxn modelId="{9F7CB26E-250F-4799-9252-539354B7EE7A}" srcId="{F083FA8A-6785-4C89-8AD5-7BE03D544362}" destId="{D7F731BA-0B9A-4FD3-9C9E-F66159DA7DD0}" srcOrd="1" destOrd="0" parTransId="{B8B1905C-0048-4EE0-9533-D0265159D48A}" sibTransId="{4C27C2C5-5472-4D11-B99C-2F3E833186BC}"/>
    <dgm:cxn modelId="{C2C18971-0A23-4A22-AA7A-9FAEFF10067A}" type="presOf" srcId="{F083FA8A-6785-4C89-8AD5-7BE03D544362}" destId="{C995C949-957C-4747-98C5-930104AF7050}" srcOrd="0" destOrd="0" presId="urn:microsoft.com/office/officeart/2005/8/layout/balance1"/>
    <dgm:cxn modelId="{5417B373-DED4-4A68-B288-25DA81FD74D4}" type="presOf" srcId="{86C61D7F-8935-4BCB-9E94-01DEB28DF531}" destId="{FBCC8F0A-9AD7-4285-A813-0A94632ECC81}" srcOrd="0" destOrd="0" presId="urn:microsoft.com/office/officeart/2005/8/layout/balance1"/>
    <dgm:cxn modelId="{E235EDB3-545B-4532-9A3F-6EB32584BC61}" srcId="{D7F731BA-0B9A-4FD3-9C9E-F66159DA7DD0}" destId="{EACD602C-DE91-4F69-8DBF-55B40A648C02}" srcOrd="3" destOrd="0" parTransId="{A2A883E7-4991-4247-B874-A92302F01621}" sibTransId="{88FF4405-FF03-47C4-8F17-23BE2F0BE209}"/>
    <dgm:cxn modelId="{87AC97B9-0A7B-4EF2-8EDF-97CA1FDBB331}" srcId="{A31457C7-28CA-488B-A32A-7FB8EE9148A2}" destId="{47F78DE5-9DDB-45BE-89BC-8A19A8560CCA}" srcOrd="1" destOrd="0" parTransId="{DEC4D15D-60FE-4295-A8A2-9D6CC3E75ACC}" sibTransId="{42AEB0C7-231E-46E9-911D-2728EA4E42DE}"/>
    <dgm:cxn modelId="{B22853BB-E72A-45C8-8FD1-20EEDC3839E0}" srcId="{D7F731BA-0B9A-4FD3-9C9E-F66159DA7DD0}" destId="{E2632123-35E9-4CDB-AE3E-97CCE6085187}" srcOrd="1" destOrd="0" parTransId="{C0FC6364-D4C3-4F05-892F-6CD78BBE2C46}" sibTransId="{CBE1AF55-B5B6-4C1A-A8A0-4A00D6562C93}"/>
    <dgm:cxn modelId="{20EE06DD-828F-44AC-94E6-77D82EFCD10F}" type="presOf" srcId="{47F78DE5-9DDB-45BE-89BC-8A19A8560CCA}" destId="{4156F335-D364-4160-835F-1DEBA0561A24}" srcOrd="0" destOrd="0" presId="urn:microsoft.com/office/officeart/2005/8/layout/balance1"/>
    <dgm:cxn modelId="{FB4059E3-7FFB-459C-8733-4C28614C0F03}" type="presOf" srcId="{EACD602C-DE91-4F69-8DBF-55B40A648C02}" destId="{5A73EE00-28E9-45E6-A56C-9E4D67508E14}" srcOrd="0" destOrd="0" presId="urn:microsoft.com/office/officeart/2005/8/layout/balance1"/>
    <dgm:cxn modelId="{D2E421E6-4C77-4553-AF88-55BEE9AFCC58}" type="presOf" srcId="{E2632123-35E9-4CDB-AE3E-97CCE6085187}" destId="{BE6EBF07-36F0-4B9F-948A-9BCE881FB90E}" srcOrd="0" destOrd="0" presId="urn:microsoft.com/office/officeart/2005/8/layout/balance1"/>
    <dgm:cxn modelId="{13AB2FF6-44D4-4D88-B8C7-B5BAA1D591B4}" type="presParOf" srcId="{C995C949-957C-4747-98C5-930104AF7050}" destId="{E906ABC5-BA9A-4944-AAAD-01165C8CB14D}" srcOrd="0" destOrd="0" presId="urn:microsoft.com/office/officeart/2005/8/layout/balance1"/>
    <dgm:cxn modelId="{6079DD3A-7EF8-44A1-83FC-02F942F74E7E}" type="presParOf" srcId="{C995C949-957C-4747-98C5-930104AF7050}" destId="{D7DEF246-1E01-4BB5-9B3D-0C67E3C982F0}" srcOrd="1" destOrd="0" presId="urn:microsoft.com/office/officeart/2005/8/layout/balance1"/>
    <dgm:cxn modelId="{A4D37169-79A0-4BD9-B147-37921CBA88BA}" type="presParOf" srcId="{D7DEF246-1E01-4BB5-9B3D-0C67E3C982F0}" destId="{E142384A-5062-4097-A2FC-1FEBC946C6A2}" srcOrd="0" destOrd="0" presId="urn:microsoft.com/office/officeart/2005/8/layout/balance1"/>
    <dgm:cxn modelId="{62DC3AFD-28A5-4E21-904B-494A4695BF95}" type="presParOf" srcId="{D7DEF246-1E01-4BB5-9B3D-0C67E3C982F0}" destId="{F8E361E7-F6EA-49B6-A335-1E3AE5FF11B0}" srcOrd="1" destOrd="0" presId="urn:microsoft.com/office/officeart/2005/8/layout/balance1"/>
    <dgm:cxn modelId="{B226E08D-A06E-44F9-9818-DE8665ED1BD1}" type="presParOf" srcId="{C995C949-957C-4747-98C5-930104AF7050}" destId="{9ED413AB-0FDC-4158-853E-BDF6E6E84855}" srcOrd="2" destOrd="0" presId="urn:microsoft.com/office/officeart/2005/8/layout/balance1"/>
    <dgm:cxn modelId="{96A0E4EF-252E-41FF-8554-4D0B8C117198}" type="presParOf" srcId="{9ED413AB-0FDC-4158-853E-BDF6E6E84855}" destId="{16765707-152E-4738-90D4-5BDE012CC888}" srcOrd="0" destOrd="0" presId="urn:microsoft.com/office/officeart/2005/8/layout/balance1"/>
    <dgm:cxn modelId="{002CDF87-16B2-4740-BBE1-263184D20820}" type="presParOf" srcId="{9ED413AB-0FDC-4158-853E-BDF6E6E84855}" destId="{6A05FA2E-03B7-4CEE-BFD1-AF2D7738B1B7}" srcOrd="1" destOrd="0" presId="urn:microsoft.com/office/officeart/2005/8/layout/balance1"/>
    <dgm:cxn modelId="{EFC1D89D-D7F3-4CC1-BBA7-9AB6C339CE35}" type="presParOf" srcId="{9ED413AB-0FDC-4158-853E-BDF6E6E84855}" destId="{16E1A0D2-A8AC-4B0F-96EC-DC03FE400A87}" srcOrd="2" destOrd="0" presId="urn:microsoft.com/office/officeart/2005/8/layout/balance1"/>
    <dgm:cxn modelId="{C1B6BB4C-30A0-4778-9EEF-DE2312FA374F}" type="presParOf" srcId="{9ED413AB-0FDC-4158-853E-BDF6E6E84855}" destId="{72721A17-DF63-4489-97DB-DF5786FB9F3C}" srcOrd="3" destOrd="0" presId="urn:microsoft.com/office/officeart/2005/8/layout/balance1"/>
    <dgm:cxn modelId="{027DAC3A-0596-455E-83D7-B3CD22459CEC}" type="presParOf" srcId="{9ED413AB-0FDC-4158-853E-BDF6E6E84855}" destId="{BE6EBF07-36F0-4B9F-948A-9BCE881FB90E}" srcOrd="4" destOrd="0" presId="urn:microsoft.com/office/officeart/2005/8/layout/balance1"/>
    <dgm:cxn modelId="{C1377A37-851D-4BED-8F36-650F87467C80}" type="presParOf" srcId="{9ED413AB-0FDC-4158-853E-BDF6E6E84855}" destId="{EF7BED1E-E8A1-413F-B6A6-AED7D5582240}" srcOrd="5" destOrd="0" presId="urn:microsoft.com/office/officeart/2005/8/layout/balance1"/>
    <dgm:cxn modelId="{C9E4F558-5D65-4632-8DB1-7C28B0057846}" type="presParOf" srcId="{9ED413AB-0FDC-4158-853E-BDF6E6E84855}" destId="{5A73EE00-28E9-45E6-A56C-9E4D67508E14}" srcOrd="6" destOrd="0" presId="urn:microsoft.com/office/officeart/2005/8/layout/balance1"/>
    <dgm:cxn modelId="{05BBD920-FF13-4E60-AC2A-52044F085B5F}" type="presParOf" srcId="{9ED413AB-0FDC-4158-853E-BDF6E6E84855}" destId="{FBCC8F0A-9AD7-4285-A813-0A94632ECC81}" srcOrd="7" destOrd="0" presId="urn:microsoft.com/office/officeart/2005/8/layout/balance1"/>
    <dgm:cxn modelId="{7CD07716-3764-4B13-BA1A-52CAFD432573}" type="presParOf" srcId="{9ED413AB-0FDC-4158-853E-BDF6E6E84855}" destId="{4156F335-D364-4160-835F-1DEBA0561A24}" srcOrd="8" destOrd="0" presId="urn:microsoft.com/office/officeart/2005/8/layout/balance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95CC6CA-884E-4498-8990-A44770B96DE1}" type="doc">
      <dgm:prSet loTypeId="urn:microsoft.com/office/officeart/2005/8/layout/venn3" loCatId="relationship" qsTypeId="urn:microsoft.com/office/officeart/2005/8/quickstyle/simple1" qsCatId="simple" csTypeId="urn:microsoft.com/office/officeart/2005/8/colors/colorful2" csCatId="colorful" phldr="1"/>
      <dgm:spPr/>
      <dgm:t>
        <a:bodyPr/>
        <a:lstStyle/>
        <a:p>
          <a:endParaRPr lang="en-GB"/>
        </a:p>
      </dgm:t>
    </dgm:pt>
    <dgm:pt modelId="{BA40BD38-7C41-4D2F-AB43-D2AFA0DB4C88}">
      <dgm:prSet phldrT="[Text]" custT="1"/>
      <dgm:spPr/>
      <dgm:t>
        <a:bodyPr/>
        <a:lstStyle/>
        <a:p>
          <a:pPr>
            <a:buNone/>
          </a:pPr>
          <a:r>
            <a:rPr lang="en-GB" sz="900">
              <a:latin typeface="Calibri" panose="020F0502020204030204" pitchFamily="34" charset="0"/>
              <a:ea typeface="Calibri" panose="020F0502020204030204" pitchFamily="34" charset="0"/>
              <a:cs typeface="Calibri" panose="020F0502020204030204" pitchFamily="34" charset="0"/>
            </a:rPr>
            <a:t>The importance of the interviewer having a space to debrief </a:t>
          </a:r>
        </a:p>
      </dgm:t>
    </dgm:pt>
    <dgm:pt modelId="{56E51F7E-2C5F-498B-923F-D9FB4D52742E}" type="parTrans" cxnId="{1413396A-EFBA-4448-BD84-FF02FDF45641}">
      <dgm:prSet/>
      <dgm:spPr/>
      <dgm:t>
        <a:bodyPr/>
        <a:lstStyle/>
        <a:p>
          <a:endParaRPr lang="en-GB"/>
        </a:p>
      </dgm:t>
    </dgm:pt>
    <dgm:pt modelId="{8D9FDA23-FF5C-4206-B4E1-BADBD8205E33}" type="sibTrans" cxnId="{1413396A-EFBA-4448-BD84-FF02FDF45641}">
      <dgm:prSet/>
      <dgm:spPr/>
      <dgm:t>
        <a:bodyPr/>
        <a:lstStyle/>
        <a:p>
          <a:endParaRPr lang="en-GB"/>
        </a:p>
      </dgm:t>
    </dgm:pt>
    <dgm:pt modelId="{6A3AD05C-AD8D-4E27-B362-157C3CB4D984}">
      <dgm:prSet/>
      <dgm:spPr/>
      <dgm:t>
        <a:bodyPr/>
        <a:lstStyle/>
        <a:p>
          <a:pPr>
            <a:buNone/>
          </a:pPr>
          <a:r>
            <a:rPr lang="en-GB"/>
            <a:t>The need to stress the ethical responsibility of the researcher holding the individuation stories of participants</a:t>
          </a:r>
        </a:p>
      </dgm:t>
    </dgm:pt>
    <dgm:pt modelId="{A8765A5E-4DE2-41F8-89EA-B5D8EA22C8F2}" type="parTrans" cxnId="{12D6E0A6-3A42-4122-9FCE-8AECE4CD0CEA}">
      <dgm:prSet/>
      <dgm:spPr/>
      <dgm:t>
        <a:bodyPr/>
        <a:lstStyle/>
        <a:p>
          <a:endParaRPr lang="en-GB"/>
        </a:p>
      </dgm:t>
    </dgm:pt>
    <dgm:pt modelId="{A6808C2D-1353-4A54-A81E-EE4DC9878B75}" type="sibTrans" cxnId="{12D6E0A6-3A42-4122-9FCE-8AECE4CD0CEA}">
      <dgm:prSet/>
      <dgm:spPr/>
      <dgm:t>
        <a:bodyPr/>
        <a:lstStyle/>
        <a:p>
          <a:endParaRPr lang="en-GB"/>
        </a:p>
      </dgm:t>
    </dgm:pt>
    <dgm:pt modelId="{1004005E-1386-4364-AED6-F7D9838FAF89}">
      <dgm:prSet/>
      <dgm:spPr/>
      <dgm:t>
        <a:bodyPr/>
        <a:lstStyle/>
        <a:p>
          <a:pPr>
            <a:buNone/>
          </a:pPr>
          <a:r>
            <a:rPr lang="en-GB"/>
            <a:t>The shadow side of holding participants and the output or consequences of their biographical reflections </a:t>
          </a:r>
        </a:p>
      </dgm:t>
    </dgm:pt>
    <dgm:pt modelId="{041B7748-39A4-4EDA-A68D-EE856B0BF10A}" type="parTrans" cxnId="{17BB9BC7-CE54-40F2-88A0-EEBC10096C95}">
      <dgm:prSet/>
      <dgm:spPr/>
      <dgm:t>
        <a:bodyPr/>
        <a:lstStyle/>
        <a:p>
          <a:endParaRPr lang="en-GB"/>
        </a:p>
      </dgm:t>
    </dgm:pt>
    <dgm:pt modelId="{E0566FF3-47D0-4E07-95B0-5FC8BBFA4CCA}" type="sibTrans" cxnId="{17BB9BC7-CE54-40F2-88A0-EEBC10096C95}">
      <dgm:prSet/>
      <dgm:spPr/>
      <dgm:t>
        <a:bodyPr/>
        <a:lstStyle/>
        <a:p>
          <a:endParaRPr lang="en-GB"/>
        </a:p>
      </dgm:t>
    </dgm:pt>
    <dgm:pt modelId="{92FA39DA-BEE6-47AD-91EC-6B5E7FE5969D}">
      <dgm:prSet/>
      <dgm:spPr/>
      <dgm:t>
        <a:bodyPr/>
        <a:lstStyle/>
        <a:p>
          <a:pPr>
            <a:buNone/>
          </a:pPr>
          <a:r>
            <a:rPr lang="en-GB"/>
            <a:t>The need for training in interview techniques and listening skills</a:t>
          </a:r>
        </a:p>
      </dgm:t>
    </dgm:pt>
    <dgm:pt modelId="{6C8D7ABE-6E3B-4859-A69B-9AD56D9910AD}" type="parTrans" cxnId="{ADAC5CA2-0304-4CE5-A5D4-5A40B5B0607D}">
      <dgm:prSet/>
      <dgm:spPr/>
      <dgm:t>
        <a:bodyPr/>
        <a:lstStyle/>
        <a:p>
          <a:endParaRPr lang="en-GB"/>
        </a:p>
      </dgm:t>
    </dgm:pt>
    <dgm:pt modelId="{85DB6162-BD50-46DF-8DE2-B84AC2426DD3}" type="sibTrans" cxnId="{ADAC5CA2-0304-4CE5-A5D4-5A40B5B0607D}">
      <dgm:prSet/>
      <dgm:spPr/>
      <dgm:t>
        <a:bodyPr/>
        <a:lstStyle/>
        <a:p>
          <a:endParaRPr lang="en-GB"/>
        </a:p>
      </dgm:t>
    </dgm:pt>
    <dgm:pt modelId="{621572FF-6883-47F9-BA07-6378E16EA37C}" type="pres">
      <dgm:prSet presAssocID="{C95CC6CA-884E-4498-8990-A44770B96DE1}" presName="Name0" presStyleCnt="0">
        <dgm:presLayoutVars>
          <dgm:dir/>
          <dgm:resizeHandles val="exact"/>
        </dgm:presLayoutVars>
      </dgm:prSet>
      <dgm:spPr/>
    </dgm:pt>
    <dgm:pt modelId="{330ED7F2-5DDF-4BF0-88D3-19FD3A07AD0E}" type="pres">
      <dgm:prSet presAssocID="{6A3AD05C-AD8D-4E27-B362-157C3CB4D984}" presName="Name5" presStyleLbl="vennNode1" presStyleIdx="0" presStyleCnt="4">
        <dgm:presLayoutVars>
          <dgm:bulletEnabled val="1"/>
        </dgm:presLayoutVars>
      </dgm:prSet>
      <dgm:spPr/>
    </dgm:pt>
    <dgm:pt modelId="{DD2A5D0A-F434-4D4E-AB7C-4D9A0CEB9B15}" type="pres">
      <dgm:prSet presAssocID="{A6808C2D-1353-4A54-A81E-EE4DC9878B75}" presName="space" presStyleCnt="0"/>
      <dgm:spPr/>
    </dgm:pt>
    <dgm:pt modelId="{E8DA46DD-CEB0-4569-A831-69F77120647B}" type="pres">
      <dgm:prSet presAssocID="{1004005E-1386-4364-AED6-F7D9838FAF89}" presName="Name5" presStyleLbl="vennNode1" presStyleIdx="1" presStyleCnt="4">
        <dgm:presLayoutVars>
          <dgm:bulletEnabled val="1"/>
        </dgm:presLayoutVars>
      </dgm:prSet>
      <dgm:spPr/>
    </dgm:pt>
    <dgm:pt modelId="{5AB73997-5651-4B6C-94F4-F702A12753EB}" type="pres">
      <dgm:prSet presAssocID="{E0566FF3-47D0-4E07-95B0-5FC8BBFA4CCA}" presName="space" presStyleCnt="0"/>
      <dgm:spPr/>
    </dgm:pt>
    <dgm:pt modelId="{B69A7820-33F5-4E8D-8399-EFD6C0A3A62D}" type="pres">
      <dgm:prSet presAssocID="{92FA39DA-BEE6-47AD-91EC-6B5E7FE5969D}" presName="Name5" presStyleLbl="vennNode1" presStyleIdx="2" presStyleCnt="4">
        <dgm:presLayoutVars>
          <dgm:bulletEnabled val="1"/>
        </dgm:presLayoutVars>
      </dgm:prSet>
      <dgm:spPr/>
    </dgm:pt>
    <dgm:pt modelId="{58D755B5-B637-454B-90BB-953AA539BFC3}" type="pres">
      <dgm:prSet presAssocID="{85DB6162-BD50-46DF-8DE2-B84AC2426DD3}" presName="space" presStyleCnt="0"/>
      <dgm:spPr/>
    </dgm:pt>
    <dgm:pt modelId="{169B7F42-5A33-4BA8-96B3-C8BBE62DAE71}" type="pres">
      <dgm:prSet presAssocID="{BA40BD38-7C41-4D2F-AB43-D2AFA0DB4C88}" presName="Name5" presStyleLbl="vennNode1" presStyleIdx="3" presStyleCnt="4">
        <dgm:presLayoutVars>
          <dgm:bulletEnabled val="1"/>
        </dgm:presLayoutVars>
      </dgm:prSet>
      <dgm:spPr/>
    </dgm:pt>
  </dgm:ptLst>
  <dgm:cxnLst>
    <dgm:cxn modelId="{B9584312-5901-46A1-8754-EC943A8F8072}" type="presOf" srcId="{BA40BD38-7C41-4D2F-AB43-D2AFA0DB4C88}" destId="{169B7F42-5A33-4BA8-96B3-C8BBE62DAE71}" srcOrd="0" destOrd="0" presId="urn:microsoft.com/office/officeart/2005/8/layout/venn3"/>
    <dgm:cxn modelId="{1B4A8938-CBE1-43CC-909B-E9306C392817}" type="presOf" srcId="{C95CC6CA-884E-4498-8990-A44770B96DE1}" destId="{621572FF-6883-47F9-BA07-6378E16EA37C}" srcOrd="0" destOrd="0" presId="urn:microsoft.com/office/officeart/2005/8/layout/venn3"/>
    <dgm:cxn modelId="{1413396A-EFBA-4448-BD84-FF02FDF45641}" srcId="{C95CC6CA-884E-4498-8990-A44770B96DE1}" destId="{BA40BD38-7C41-4D2F-AB43-D2AFA0DB4C88}" srcOrd="3" destOrd="0" parTransId="{56E51F7E-2C5F-498B-923F-D9FB4D52742E}" sibTransId="{8D9FDA23-FF5C-4206-B4E1-BADBD8205E33}"/>
    <dgm:cxn modelId="{28B8FDA1-E7EA-497B-B3C9-3AF32370A15C}" type="presOf" srcId="{92FA39DA-BEE6-47AD-91EC-6B5E7FE5969D}" destId="{B69A7820-33F5-4E8D-8399-EFD6C0A3A62D}" srcOrd="0" destOrd="0" presId="urn:microsoft.com/office/officeart/2005/8/layout/venn3"/>
    <dgm:cxn modelId="{ADAC5CA2-0304-4CE5-A5D4-5A40B5B0607D}" srcId="{C95CC6CA-884E-4498-8990-A44770B96DE1}" destId="{92FA39DA-BEE6-47AD-91EC-6B5E7FE5969D}" srcOrd="2" destOrd="0" parTransId="{6C8D7ABE-6E3B-4859-A69B-9AD56D9910AD}" sibTransId="{85DB6162-BD50-46DF-8DE2-B84AC2426DD3}"/>
    <dgm:cxn modelId="{12D6E0A6-3A42-4122-9FCE-8AECE4CD0CEA}" srcId="{C95CC6CA-884E-4498-8990-A44770B96DE1}" destId="{6A3AD05C-AD8D-4E27-B362-157C3CB4D984}" srcOrd="0" destOrd="0" parTransId="{A8765A5E-4DE2-41F8-89EA-B5D8EA22C8F2}" sibTransId="{A6808C2D-1353-4A54-A81E-EE4DC9878B75}"/>
    <dgm:cxn modelId="{D2798EC5-B329-475D-A3C1-06336831561A}" type="presOf" srcId="{6A3AD05C-AD8D-4E27-B362-157C3CB4D984}" destId="{330ED7F2-5DDF-4BF0-88D3-19FD3A07AD0E}" srcOrd="0" destOrd="0" presId="urn:microsoft.com/office/officeart/2005/8/layout/venn3"/>
    <dgm:cxn modelId="{17BB9BC7-CE54-40F2-88A0-EEBC10096C95}" srcId="{C95CC6CA-884E-4498-8990-A44770B96DE1}" destId="{1004005E-1386-4364-AED6-F7D9838FAF89}" srcOrd="1" destOrd="0" parTransId="{041B7748-39A4-4EDA-A68D-EE856B0BF10A}" sibTransId="{E0566FF3-47D0-4E07-95B0-5FC8BBFA4CCA}"/>
    <dgm:cxn modelId="{8D1514E3-CE29-4D8B-917F-ECC7DA64BCAF}" type="presOf" srcId="{1004005E-1386-4364-AED6-F7D9838FAF89}" destId="{E8DA46DD-CEB0-4569-A831-69F77120647B}" srcOrd="0" destOrd="0" presId="urn:microsoft.com/office/officeart/2005/8/layout/venn3"/>
    <dgm:cxn modelId="{7449E85B-2599-4270-88AA-B281257A543D}" type="presParOf" srcId="{621572FF-6883-47F9-BA07-6378E16EA37C}" destId="{330ED7F2-5DDF-4BF0-88D3-19FD3A07AD0E}" srcOrd="0" destOrd="0" presId="urn:microsoft.com/office/officeart/2005/8/layout/venn3"/>
    <dgm:cxn modelId="{E2913084-C5AD-4623-9538-49E347D5CF45}" type="presParOf" srcId="{621572FF-6883-47F9-BA07-6378E16EA37C}" destId="{DD2A5D0A-F434-4D4E-AB7C-4D9A0CEB9B15}" srcOrd="1" destOrd="0" presId="urn:microsoft.com/office/officeart/2005/8/layout/venn3"/>
    <dgm:cxn modelId="{70BA4DB3-2D58-404D-8B9C-87EFF562750B}" type="presParOf" srcId="{621572FF-6883-47F9-BA07-6378E16EA37C}" destId="{E8DA46DD-CEB0-4569-A831-69F77120647B}" srcOrd="2" destOrd="0" presId="urn:microsoft.com/office/officeart/2005/8/layout/venn3"/>
    <dgm:cxn modelId="{22B2EA37-7712-4228-BC69-287A909A76DB}" type="presParOf" srcId="{621572FF-6883-47F9-BA07-6378E16EA37C}" destId="{5AB73997-5651-4B6C-94F4-F702A12753EB}" srcOrd="3" destOrd="0" presId="urn:microsoft.com/office/officeart/2005/8/layout/venn3"/>
    <dgm:cxn modelId="{B5A43366-F7B2-425E-A3BF-588E71C3D5D3}" type="presParOf" srcId="{621572FF-6883-47F9-BA07-6378E16EA37C}" destId="{B69A7820-33F5-4E8D-8399-EFD6C0A3A62D}" srcOrd="4" destOrd="0" presId="urn:microsoft.com/office/officeart/2005/8/layout/venn3"/>
    <dgm:cxn modelId="{6F230954-F812-427F-8D64-44D1D8AB6ECE}" type="presParOf" srcId="{621572FF-6883-47F9-BA07-6378E16EA37C}" destId="{58D755B5-B637-454B-90BB-953AA539BFC3}" srcOrd="5" destOrd="0" presId="urn:microsoft.com/office/officeart/2005/8/layout/venn3"/>
    <dgm:cxn modelId="{7D68CE52-C103-4853-8837-A7E0108CD824}" type="presParOf" srcId="{621572FF-6883-47F9-BA07-6378E16EA37C}" destId="{169B7F42-5A33-4BA8-96B3-C8BBE62DAE71}" srcOrd="6" destOrd="0" presId="urn:microsoft.com/office/officeart/2005/8/layout/venn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1175B89-2591-4EAC-A2C9-D8DD375436A0}"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031F281C-6F7F-442A-853E-DB01A2C91FB8}">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Pedagogic holding</a:t>
          </a:r>
        </a:p>
      </dgm:t>
    </dgm:pt>
    <dgm:pt modelId="{615A1ACC-FBFE-4DFF-BED3-D33368851943}" type="parTrans" cxnId="{11C36612-5BB3-4E0D-8F59-347725FE21E8}">
      <dgm:prSet/>
      <dgm:spPr/>
      <dgm:t>
        <a:bodyPr/>
        <a:lstStyle/>
        <a:p>
          <a:endParaRPr lang="en-GB"/>
        </a:p>
      </dgm:t>
    </dgm:pt>
    <dgm:pt modelId="{D24C50D4-E29F-400A-A8FB-EFEE0BFF0C8F}" type="sibTrans" cxnId="{11C36612-5BB3-4E0D-8F59-347725FE21E8}">
      <dgm:prSet/>
      <dgm:spPr/>
      <dgm:t>
        <a:bodyPr/>
        <a:lstStyle/>
        <a:p>
          <a:endParaRPr lang="en-GB"/>
        </a:p>
      </dgm:t>
    </dgm:pt>
    <dgm:pt modelId="{5D04C62C-5577-451A-853A-0D8C0DFC8BC6}">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Provided by a trained external supervisor</a:t>
          </a:r>
        </a:p>
      </dgm:t>
    </dgm:pt>
    <dgm:pt modelId="{28A7F64E-3C16-4EB5-B3A9-D71D0B157261}" type="parTrans" cxnId="{95CD9224-03E3-437C-96D3-E56FAE1F63CB}">
      <dgm:prSet/>
      <dgm:spPr/>
      <dgm:t>
        <a:bodyPr/>
        <a:lstStyle/>
        <a:p>
          <a:endParaRPr lang="en-GB"/>
        </a:p>
      </dgm:t>
    </dgm:pt>
    <dgm:pt modelId="{9BAA0493-933A-4792-9568-C85CE166822E}" type="sibTrans" cxnId="{95CD9224-03E3-437C-96D3-E56FAE1F63CB}">
      <dgm:prSet/>
      <dgm:spPr/>
      <dgm:t>
        <a:bodyPr/>
        <a:lstStyle/>
        <a:p>
          <a:endParaRPr lang="en-GB"/>
        </a:p>
      </dgm:t>
    </dgm:pt>
    <dgm:pt modelId="{E3725C17-7F8A-4CC4-B369-684D2D62F75C}">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holds deep reflections</a:t>
          </a:r>
        </a:p>
      </dgm:t>
    </dgm:pt>
    <dgm:pt modelId="{8BDB7F88-044C-4A4B-B5ED-43317FC739D1}" type="parTrans" cxnId="{387DC8E1-02C6-4033-A81C-D6EE2754EF8F}">
      <dgm:prSet/>
      <dgm:spPr/>
      <dgm:t>
        <a:bodyPr/>
        <a:lstStyle/>
        <a:p>
          <a:endParaRPr lang="en-GB"/>
        </a:p>
      </dgm:t>
    </dgm:pt>
    <dgm:pt modelId="{02043733-8BC5-48C9-AC54-BE17CDF1B72D}" type="sibTrans" cxnId="{387DC8E1-02C6-4033-A81C-D6EE2754EF8F}">
      <dgm:prSet/>
      <dgm:spPr/>
      <dgm:t>
        <a:bodyPr/>
        <a:lstStyle/>
        <a:p>
          <a:endParaRPr lang="en-GB"/>
        </a:p>
      </dgm:t>
    </dgm:pt>
    <dgm:pt modelId="{7144E519-2FF0-4391-8A61-377302D0DCF7}">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Safe, collaborative space</a:t>
          </a:r>
        </a:p>
      </dgm:t>
    </dgm:pt>
    <dgm:pt modelId="{748310DC-8CA5-4CBE-8675-862E1BE73D5E}" type="parTrans" cxnId="{340F1D3B-18D0-4A94-831C-92DCD114E14C}">
      <dgm:prSet/>
      <dgm:spPr/>
      <dgm:t>
        <a:bodyPr/>
        <a:lstStyle/>
        <a:p>
          <a:endParaRPr lang="en-GB"/>
        </a:p>
      </dgm:t>
    </dgm:pt>
    <dgm:pt modelId="{A664411A-611C-46D1-8E15-A9956009974F}" type="sibTrans" cxnId="{340F1D3B-18D0-4A94-831C-92DCD114E14C}">
      <dgm:prSet/>
      <dgm:spPr/>
      <dgm:t>
        <a:bodyPr/>
        <a:lstStyle/>
        <a:p>
          <a:endParaRPr lang="en-GB"/>
        </a:p>
      </dgm:t>
    </dgm:pt>
    <dgm:pt modelId="{59F628C4-3201-4088-932B-FF313575CC60}">
      <dgm:prSet phldrT="[Text]" custT="1"/>
      <dgm:spPr/>
      <dgm:t>
        <a:bodyPr/>
        <a:lstStyle/>
        <a:p>
          <a:pPr>
            <a:buNone/>
          </a:pPr>
          <a:r>
            <a:rPr lang="en-GB" sz="1000">
              <a:latin typeface="Calibri" panose="020F0502020204030204" pitchFamily="34" charset="0"/>
              <a:ea typeface="Calibri" panose="020F0502020204030204" pitchFamily="34" charset="0"/>
              <a:cs typeface="Calibri" panose="020F0502020204030204" pitchFamily="34" charset="0"/>
            </a:rPr>
            <a:t>  </a:t>
          </a:r>
        </a:p>
      </dgm:t>
    </dgm:pt>
    <dgm:pt modelId="{2CBF7E71-135F-4E23-9DEF-E8A786B6D4A9}" type="parTrans" cxnId="{EEF5A4D3-C3BF-412F-AFE0-62C76CFD3149}">
      <dgm:prSet/>
      <dgm:spPr/>
      <dgm:t>
        <a:bodyPr/>
        <a:lstStyle/>
        <a:p>
          <a:endParaRPr lang="en-GB"/>
        </a:p>
      </dgm:t>
    </dgm:pt>
    <dgm:pt modelId="{D999F3D1-407E-443D-8BCA-ED6E0AF765A4}" type="sibTrans" cxnId="{EEF5A4D3-C3BF-412F-AFE0-62C76CFD3149}">
      <dgm:prSet/>
      <dgm:spPr/>
      <dgm:t>
        <a:bodyPr/>
        <a:lstStyle/>
        <a:p>
          <a:endParaRPr lang="en-GB"/>
        </a:p>
      </dgm:t>
    </dgm:pt>
    <dgm:pt modelId="{2D485C50-74B3-4821-8FA3-429E131781A7}">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The supervisee</a:t>
          </a:r>
        </a:p>
      </dgm:t>
    </dgm:pt>
    <dgm:pt modelId="{320683C2-905D-4AD6-AA84-E1549A75DE9C}" type="parTrans" cxnId="{0D378952-D49B-4A40-87C0-D60FB69F51DF}">
      <dgm:prSet/>
      <dgm:spPr/>
      <dgm:t>
        <a:bodyPr/>
        <a:lstStyle/>
        <a:p>
          <a:endParaRPr lang="en-GB"/>
        </a:p>
      </dgm:t>
    </dgm:pt>
    <dgm:pt modelId="{AC8E224D-E8A3-43F1-B850-A0E41418B402}" type="sibTrans" cxnId="{0D378952-D49B-4A40-87C0-D60FB69F51DF}">
      <dgm:prSet/>
      <dgm:spPr/>
      <dgm:t>
        <a:bodyPr/>
        <a:lstStyle/>
        <a:p>
          <a:endParaRPr lang="en-GB"/>
        </a:p>
      </dgm:t>
    </dgm:pt>
    <dgm:pt modelId="{D99A218F-D88B-4795-88D8-B35B2B0B68A9}">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experiences being held</a:t>
          </a:r>
        </a:p>
      </dgm:t>
    </dgm:pt>
    <dgm:pt modelId="{830F844D-E83E-423A-BFD0-94FB0C8D6161}" type="parTrans" cxnId="{2FEF178E-2ACC-4488-BB4F-23435263257A}">
      <dgm:prSet/>
      <dgm:spPr/>
      <dgm:t>
        <a:bodyPr/>
        <a:lstStyle/>
        <a:p>
          <a:endParaRPr lang="en-GB"/>
        </a:p>
      </dgm:t>
    </dgm:pt>
    <dgm:pt modelId="{21682D97-EF46-4D93-8AED-7484EE38CD6C}" type="sibTrans" cxnId="{2FEF178E-2ACC-4488-BB4F-23435263257A}">
      <dgm:prSet/>
      <dgm:spPr/>
      <dgm:t>
        <a:bodyPr/>
        <a:lstStyle/>
        <a:p>
          <a:endParaRPr lang="en-GB"/>
        </a:p>
      </dgm:t>
    </dgm:pt>
    <dgm:pt modelId="{94EF7700-6B10-41CC-8DBB-CAA66B96731E}">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feels restored and reset</a:t>
          </a:r>
        </a:p>
      </dgm:t>
    </dgm:pt>
    <dgm:pt modelId="{42DC7384-E25A-434B-B2E7-A45EED42DBAA}" type="parTrans" cxnId="{F6F54F15-DDDD-476F-90B2-2645FE681390}">
      <dgm:prSet/>
      <dgm:spPr/>
      <dgm:t>
        <a:bodyPr/>
        <a:lstStyle/>
        <a:p>
          <a:endParaRPr lang="en-GB"/>
        </a:p>
      </dgm:t>
    </dgm:pt>
    <dgm:pt modelId="{959E68D6-2FA5-4C98-A300-431CB2C384E9}" type="sibTrans" cxnId="{F6F54F15-DDDD-476F-90B2-2645FE681390}">
      <dgm:prSet/>
      <dgm:spPr/>
      <dgm:t>
        <a:bodyPr/>
        <a:lstStyle/>
        <a:p>
          <a:endParaRPr lang="en-GB"/>
        </a:p>
      </dgm:t>
    </dgm:pt>
    <dgm:pt modelId="{734BFAF0-D63D-48B7-A32A-9398E3C1F7E3}">
      <dgm:prSet phldrT="[Text]" custT="1"/>
      <dgm:spPr/>
      <dgm:t>
        <a:bodyPr/>
        <a:lstStyle/>
        <a:p>
          <a:pPr>
            <a:buNone/>
          </a:pPr>
          <a:endParaRPr lang="en-GB" sz="1000">
            <a:latin typeface="Calibri" panose="020F0502020204030204" pitchFamily="34" charset="0"/>
            <a:ea typeface="Calibri" panose="020F0502020204030204" pitchFamily="34" charset="0"/>
            <a:cs typeface="Calibri" panose="020F0502020204030204" pitchFamily="34" charset="0"/>
          </a:endParaRPr>
        </a:p>
      </dgm:t>
    </dgm:pt>
    <dgm:pt modelId="{27BA5E36-14CC-4BED-814B-B1F48FA1FA1E}" type="parTrans" cxnId="{E61C4155-818D-40C0-AED6-7E3A4AADD36D}">
      <dgm:prSet/>
      <dgm:spPr/>
      <dgm:t>
        <a:bodyPr/>
        <a:lstStyle/>
        <a:p>
          <a:endParaRPr lang="en-GB"/>
        </a:p>
      </dgm:t>
    </dgm:pt>
    <dgm:pt modelId="{1419A54E-715B-431C-822A-E3965931D4E6}" type="sibTrans" cxnId="{E61C4155-818D-40C0-AED6-7E3A4AADD36D}">
      <dgm:prSet/>
      <dgm:spPr/>
      <dgm:t>
        <a:bodyPr/>
        <a:lstStyle/>
        <a:p>
          <a:endParaRPr lang="en-GB"/>
        </a:p>
      </dgm:t>
    </dgm:pt>
    <dgm:pt modelId="{3D4808A7-A107-4D0F-B537-BF6DA843CD54}">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self-development tool</a:t>
          </a:r>
        </a:p>
      </dgm:t>
    </dgm:pt>
    <dgm:pt modelId="{E04F9AFE-4FE1-45B8-819F-12BA45498587}" type="parTrans" cxnId="{D10E09C3-9E7A-44D8-9B5E-621FEF506C42}">
      <dgm:prSet/>
      <dgm:spPr/>
      <dgm:t>
        <a:bodyPr/>
        <a:lstStyle/>
        <a:p>
          <a:endParaRPr lang="en-GB"/>
        </a:p>
      </dgm:t>
    </dgm:pt>
    <dgm:pt modelId="{625849EB-83CB-49D7-99CD-353EFF98761D}" type="sibTrans" cxnId="{D10E09C3-9E7A-44D8-9B5E-621FEF506C42}">
      <dgm:prSet/>
      <dgm:spPr/>
      <dgm:t>
        <a:bodyPr/>
        <a:lstStyle/>
        <a:p>
          <a:endParaRPr lang="en-GB"/>
        </a:p>
      </dgm:t>
    </dgm:pt>
    <dgm:pt modelId="{D05B9A91-7D5D-4AEE-8DE4-83C205FF030D}">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challenged and affirmed</a:t>
          </a:r>
        </a:p>
      </dgm:t>
    </dgm:pt>
    <dgm:pt modelId="{05BAF0B2-62E0-4623-A03F-7A0D5A573E24}" type="parTrans" cxnId="{93429ADD-68EB-4769-A558-35F90B9FF157}">
      <dgm:prSet/>
      <dgm:spPr/>
      <dgm:t>
        <a:bodyPr/>
        <a:lstStyle/>
        <a:p>
          <a:endParaRPr lang="en-GB"/>
        </a:p>
      </dgm:t>
    </dgm:pt>
    <dgm:pt modelId="{8949C897-8842-4BD3-8B65-7E942DE566AE}" type="sibTrans" cxnId="{93429ADD-68EB-4769-A558-35F90B9FF157}">
      <dgm:prSet/>
      <dgm:spPr/>
      <dgm:t>
        <a:bodyPr/>
        <a:lstStyle/>
        <a:p>
          <a:endParaRPr lang="en-GB"/>
        </a:p>
      </dgm:t>
    </dgm:pt>
    <dgm:pt modelId="{DC3607AC-A2DA-4257-82CA-B96A1E2019E6}">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confidential</a:t>
          </a:r>
        </a:p>
      </dgm:t>
    </dgm:pt>
    <dgm:pt modelId="{0FBB267D-E327-4495-9819-DCCBA9112E79}" type="parTrans" cxnId="{5ADA2271-1361-4968-BF6C-604C2A6A770B}">
      <dgm:prSet/>
      <dgm:spPr/>
      <dgm:t>
        <a:bodyPr/>
        <a:lstStyle/>
        <a:p>
          <a:endParaRPr lang="en-GB"/>
        </a:p>
      </dgm:t>
    </dgm:pt>
    <dgm:pt modelId="{5AB3BC77-390D-4848-A31E-41C7D15FE619}" type="sibTrans" cxnId="{5ADA2271-1361-4968-BF6C-604C2A6A770B}">
      <dgm:prSet/>
      <dgm:spPr/>
      <dgm:t>
        <a:bodyPr/>
        <a:lstStyle/>
        <a:p>
          <a:endParaRPr lang="en-GB"/>
        </a:p>
      </dgm:t>
    </dgm:pt>
    <dgm:pt modelId="{858E7670-27E2-4209-8E1F-9737DD545108}">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ethical</a:t>
          </a:r>
        </a:p>
      </dgm:t>
    </dgm:pt>
    <dgm:pt modelId="{EAC0093B-FB3F-4757-BCFF-8D58FBB9FD62}" type="parTrans" cxnId="{BC04DE86-9CBB-46F0-BC58-5953754C449E}">
      <dgm:prSet/>
      <dgm:spPr/>
      <dgm:t>
        <a:bodyPr/>
        <a:lstStyle/>
        <a:p>
          <a:endParaRPr lang="en-GB"/>
        </a:p>
      </dgm:t>
    </dgm:pt>
    <dgm:pt modelId="{F7953890-9B7B-4094-84EB-182D24D9C554}" type="sibTrans" cxnId="{BC04DE86-9CBB-46F0-BC58-5953754C449E}">
      <dgm:prSet/>
      <dgm:spPr/>
      <dgm:t>
        <a:bodyPr/>
        <a:lstStyle/>
        <a:p>
          <a:endParaRPr lang="en-GB"/>
        </a:p>
      </dgm:t>
    </dgm:pt>
    <dgm:pt modelId="{A75D3C44-4D70-44C2-B215-74BD6EE010AC}">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develops their internal supervisor (Casement, 1985) </a:t>
          </a:r>
        </a:p>
      </dgm:t>
    </dgm:pt>
    <dgm:pt modelId="{E6F8B65F-B1F1-4A6C-AF01-1B67D520DA54}" type="parTrans" cxnId="{D9FFA086-B26E-4C3E-8343-F34E9424982A}">
      <dgm:prSet/>
      <dgm:spPr/>
      <dgm:t>
        <a:bodyPr/>
        <a:lstStyle/>
        <a:p>
          <a:endParaRPr lang="en-GB"/>
        </a:p>
      </dgm:t>
    </dgm:pt>
    <dgm:pt modelId="{9545D4C8-17E2-4CD9-8469-6C5E161B69A9}" type="sibTrans" cxnId="{D9FFA086-B26E-4C3E-8343-F34E9424982A}">
      <dgm:prSet/>
      <dgm:spPr/>
      <dgm:t>
        <a:bodyPr/>
        <a:lstStyle/>
        <a:p>
          <a:endParaRPr lang="en-GB"/>
        </a:p>
      </dgm:t>
    </dgm:pt>
    <dgm:pt modelId="{FDCF5D98-EE85-4355-9CBC-72AB1AB90BB0}">
      <dgm:prSet phldrT="[Text]" custT="1"/>
      <dgm:spPr/>
      <dgm:t>
        <a:bodyPr/>
        <a:lstStyle/>
        <a:p>
          <a:pPr>
            <a:buNone/>
          </a:pPr>
          <a:r>
            <a:rPr lang="en-GB" sz="800">
              <a:latin typeface="Calibri" panose="020F0502020204030204" pitchFamily="34" charset="0"/>
              <a:ea typeface="Calibri" panose="020F0502020204030204" pitchFamily="34" charset="0"/>
              <a:cs typeface="Calibri" panose="020F0502020204030204" pitchFamily="34" charset="0"/>
            </a:rPr>
            <a:t>  </a:t>
          </a:r>
        </a:p>
      </dgm:t>
    </dgm:pt>
    <dgm:pt modelId="{81AACB6B-2F9D-4BFF-8E6F-6ABB94F4FF10}" type="parTrans" cxnId="{CA17C7B8-D5F6-4565-894A-4EEDA79543DB}">
      <dgm:prSet/>
      <dgm:spPr/>
      <dgm:t>
        <a:bodyPr/>
        <a:lstStyle/>
        <a:p>
          <a:endParaRPr lang="en-GB"/>
        </a:p>
      </dgm:t>
    </dgm:pt>
    <dgm:pt modelId="{7ED16DC2-B39D-4F13-9416-4A4D6007732D}" type="sibTrans" cxnId="{CA17C7B8-D5F6-4565-894A-4EEDA79543DB}">
      <dgm:prSet/>
      <dgm:spPr/>
      <dgm:t>
        <a:bodyPr/>
        <a:lstStyle/>
        <a:p>
          <a:endParaRPr lang="en-GB"/>
        </a:p>
      </dgm:t>
    </dgm:pt>
    <dgm:pt modelId="{8252BA26-5D74-4C3F-A96B-A57ACC305956}">
      <dgm:prSet phldrT="[Text]" custT="1"/>
      <dgm:spPr/>
      <dgm:t>
        <a:bodyPr/>
        <a:lstStyle/>
        <a:p>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CB482254-41F4-43BA-A33C-52D9AD86CA6E}" type="parTrans" cxnId="{CA27C4DC-E5C0-4163-812B-175C1493D22D}">
      <dgm:prSet/>
      <dgm:spPr/>
    </dgm:pt>
    <dgm:pt modelId="{8AAC4B75-DC6A-4493-A229-78370E22A8F6}" type="sibTrans" cxnId="{CA27C4DC-E5C0-4163-812B-175C1493D22D}">
      <dgm:prSet/>
      <dgm:spPr/>
    </dgm:pt>
    <dgm:pt modelId="{65B71128-AE18-4FFC-86C8-E19965A06523}">
      <dgm:prSet phldrT="[Text]" custT="1"/>
      <dgm:spPr/>
      <dgm:t>
        <a:bodyPr/>
        <a:lstStyle/>
        <a:p>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DC79B7C9-1782-422A-8A95-8B59CCF0B97A}" type="parTrans" cxnId="{D62F787F-48C9-4A8F-9989-E6D4CA11A37A}">
      <dgm:prSet/>
      <dgm:spPr/>
    </dgm:pt>
    <dgm:pt modelId="{A57F362E-09D4-4B51-9517-2B67BBEA838F}" type="sibTrans" cxnId="{D62F787F-48C9-4A8F-9989-E6D4CA11A37A}">
      <dgm:prSet/>
      <dgm:spPr/>
    </dgm:pt>
    <dgm:pt modelId="{EE2236BB-1A76-4775-9FAA-B58B0D12644D}">
      <dgm:prSet phldrT="[Text]" custT="1"/>
      <dgm:spPr/>
      <dgm:t>
        <a:bodyPr/>
        <a:lstStyle/>
        <a:p>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F3B9CF67-8E25-449C-8CB4-F872092F9088}" type="parTrans" cxnId="{9089A525-C1FC-48ED-96C0-9A88E35C7F30}">
      <dgm:prSet/>
      <dgm:spPr/>
    </dgm:pt>
    <dgm:pt modelId="{CFA48675-B5E6-4288-AB17-FCE03F87FCAA}" type="sibTrans" cxnId="{9089A525-C1FC-48ED-96C0-9A88E35C7F30}">
      <dgm:prSet/>
      <dgm:spPr/>
    </dgm:pt>
    <dgm:pt modelId="{DBFA89DB-0282-4D98-9D70-FB06707BE466}">
      <dgm:prSet phldrT="[Text]" custT="1"/>
      <dgm:spPr/>
      <dgm:t>
        <a:bodyPr/>
        <a:lstStyle/>
        <a:p>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05CBD4AF-51AC-49DE-8ED2-35BE32AF9E62}" type="parTrans" cxnId="{E6C67DFD-CC9D-44BA-9A72-8305FE65F100}">
      <dgm:prSet/>
      <dgm:spPr/>
    </dgm:pt>
    <dgm:pt modelId="{307C2606-90BF-4292-8CFF-23452B914973}" type="sibTrans" cxnId="{E6C67DFD-CC9D-44BA-9A72-8305FE65F100}">
      <dgm:prSet/>
      <dgm:spPr/>
    </dgm:pt>
    <dgm:pt modelId="{13E273AD-863D-4FD8-A413-6A8E3B44079B}">
      <dgm:prSet phldrT="[Text]" custT="1"/>
      <dgm:spPr/>
      <dgm:t>
        <a:bodyPr/>
        <a:lstStyle/>
        <a:p>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63EBE199-BA62-4278-98BC-2CE4F44195A0}" type="parTrans" cxnId="{09FA19A9-4A40-4337-B865-D0857EE7132F}">
      <dgm:prSet/>
      <dgm:spPr/>
    </dgm:pt>
    <dgm:pt modelId="{F86D4F5F-282B-4B3C-8535-0B557853AE74}" type="sibTrans" cxnId="{09FA19A9-4A40-4337-B865-D0857EE7132F}">
      <dgm:prSet/>
      <dgm:spPr/>
    </dgm:pt>
    <dgm:pt modelId="{B18E732D-3F2D-4A10-9A55-DD7C8884F337}">
      <dgm:prSet phldrT="[Text]" custT="1"/>
      <dgm:spPr/>
      <dgm:t>
        <a:bodyPr/>
        <a:lstStyle/>
        <a:p>
          <a:pPr>
            <a:buNone/>
          </a:pPr>
          <a:r>
            <a:rPr lang="en-GB" sz="800">
              <a:latin typeface="Calibri" panose="020F0502020204030204" pitchFamily="34" charset="0"/>
              <a:ea typeface="Calibri" panose="020F0502020204030204" pitchFamily="34" charset="0"/>
              <a:cs typeface="Calibri" panose="020F0502020204030204" pitchFamily="34" charset="0"/>
            </a:rPr>
            <a:t>  </a:t>
          </a:r>
        </a:p>
      </dgm:t>
    </dgm:pt>
    <dgm:pt modelId="{A28DB617-7869-4F02-AA8B-D60A507AB298}" type="parTrans" cxnId="{F16C5EAA-1802-42BC-9917-1E50B8D3B36A}">
      <dgm:prSet/>
      <dgm:spPr/>
    </dgm:pt>
    <dgm:pt modelId="{8174FDE3-6DBE-47C2-9699-DDC51E0B96B0}" type="sibTrans" cxnId="{F16C5EAA-1802-42BC-9917-1E50B8D3B36A}">
      <dgm:prSet/>
      <dgm:spPr/>
    </dgm:pt>
    <dgm:pt modelId="{3D8667E7-7017-45D5-B660-0DBE54BBB0C5}">
      <dgm:prSet phldrT="[Text]" custT="1"/>
      <dgm:spPr/>
      <dgm:t>
        <a:bodyPr/>
        <a:lstStyle/>
        <a:p>
          <a:pPr>
            <a:buNone/>
          </a:pPr>
          <a:endParaRPr lang="en-GB" sz="800">
            <a:latin typeface="Calibri" panose="020F0502020204030204" pitchFamily="34" charset="0"/>
            <a:ea typeface="Calibri" panose="020F0502020204030204" pitchFamily="34" charset="0"/>
            <a:cs typeface="Calibri" panose="020F0502020204030204" pitchFamily="34" charset="0"/>
          </a:endParaRPr>
        </a:p>
      </dgm:t>
    </dgm:pt>
    <dgm:pt modelId="{4102F958-6B4A-4F57-BA84-B4FFA3C9B8A4}" type="parTrans" cxnId="{9EB95699-7953-480C-AED7-68645C59705B}">
      <dgm:prSet/>
      <dgm:spPr/>
    </dgm:pt>
    <dgm:pt modelId="{E5E9F98F-93A4-4DBE-AC9B-38D88A16DF3E}" type="sibTrans" cxnId="{9EB95699-7953-480C-AED7-68645C59705B}">
      <dgm:prSet/>
      <dgm:spPr/>
    </dgm:pt>
    <dgm:pt modelId="{9970C5D4-1AA2-4EB9-9A1B-281730FD5CDF}">
      <dgm:prSet phldrT="[Text]" custT="1"/>
      <dgm:spPr/>
      <dgm:t>
        <a:bodyPr/>
        <a:lstStyle/>
        <a:p>
          <a:pPr>
            <a:buNone/>
          </a:pPr>
          <a:r>
            <a:rPr lang="en-GB" sz="800">
              <a:latin typeface="Calibri" panose="020F0502020204030204" pitchFamily="34" charset="0"/>
              <a:ea typeface="Calibri" panose="020F0502020204030204" pitchFamily="34" charset="0"/>
              <a:cs typeface="Calibri" panose="020F0502020204030204" pitchFamily="34" charset="0"/>
            </a:rPr>
            <a:t>   didactic; emotional management and support; to share information, concerns, hopes and feelings; to discuss and manage the emotional and psychological effects of the work; grow and keep growing, to be understood and challenged; review and learn; explore and express feelings; process</a:t>
          </a:r>
        </a:p>
      </dgm:t>
    </dgm:pt>
    <dgm:pt modelId="{FD78BAE2-483C-4BCB-9670-E06073201E6F}" type="parTrans" cxnId="{25847F0F-CBFC-41A8-8FB0-7E2E59B97017}">
      <dgm:prSet/>
      <dgm:spPr/>
    </dgm:pt>
    <dgm:pt modelId="{0BF922EE-546C-4FEB-A38E-E3B9B940AA3B}" type="sibTrans" cxnId="{25847F0F-CBFC-41A8-8FB0-7E2E59B97017}">
      <dgm:prSet/>
      <dgm:spPr/>
    </dgm:pt>
    <dgm:pt modelId="{96BEBE42-D6A9-4FAA-B7D6-27B6E372F3A5}" type="pres">
      <dgm:prSet presAssocID="{11175B89-2591-4EAC-A2C9-D8DD375436A0}" presName="Name0" presStyleCnt="0">
        <dgm:presLayoutVars>
          <dgm:chMax val="7"/>
          <dgm:dir/>
          <dgm:animLvl val="lvl"/>
          <dgm:resizeHandles val="exact"/>
        </dgm:presLayoutVars>
      </dgm:prSet>
      <dgm:spPr/>
    </dgm:pt>
    <dgm:pt modelId="{4E028CAF-C740-48E1-8DE1-E1FADF153035}" type="pres">
      <dgm:prSet presAssocID="{031F281C-6F7F-442A-853E-DB01A2C91FB8}" presName="circle1" presStyleLbl="node1" presStyleIdx="0" presStyleCnt="3" custScaleX="99780" custLinFactNeighborX="5327" custLinFactNeighborY="190"/>
      <dgm:spPr/>
    </dgm:pt>
    <dgm:pt modelId="{91B7B912-BB97-446E-9E7D-0516995F6B77}" type="pres">
      <dgm:prSet presAssocID="{031F281C-6F7F-442A-853E-DB01A2C91FB8}" presName="space" presStyleCnt="0"/>
      <dgm:spPr/>
    </dgm:pt>
    <dgm:pt modelId="{03576D39-63AE-4E3E-9E24-737428CE7735}" type="pres">
      <dgm:prSet presAssocID="{031F281C-6F7F-442A-853E-DB01A2C91FB8}" presName="rect1" presStyleLbl="alignAcc1" presStyleIdx="0" presStyleCnt="3" custScaleY="100779" custLinFactNeighborX="-167" custLinFactNeighborY="37"/>
      <dgm:spPr/>
    </dgm:pt>
    <dgm:pt modelId="{92A7003B-7EB6-4165-BFB1-4B0687FE1A06}" type="pres">
      <dgm:prSet presAssocID="{7144E519-2FF0-4391-8A61-377302D0DCF7}" presName="vertSpace2" presStyleLbl="node1" presStyleIdx="0" presStyleCnt="3"/>
      <dgm:spPr/>
    </dgm:pt>
    <dgm:pt modelId="{600727B2-E62B-4CCC-AC41-A6795875F643}" type="pres">
      <dgm:prSet presAssocID="{7144E519-2FF0-4391-8A61-377302D0DCF7}" presName="circle2" presStyleLbl="node1" presStyleIdx="1" presStyleCnt="3"/>
      <dgm:spPr/>
    </dgm:pt>
    <dgm:pt modelId="{6839A774-3239-4910-9674-8BE792330EB1}" type="pres">
      <dgm:prSet presAssocID="{7144E519-2FF0-4391-8A61-377302D0DCF7}" presName="rect2" presStyleLbl="alignAcc1" presStyleIdx="1" presStyleCnt="3" custLinFactNeighborX="-163" custLinFactNeighborY="16"/>
      <dgm:spPr/>
    </dgm:pt>
    <dgm:pt modelId="{FDFF5DD1-1F63-480B-B4E4-4E3B21D4B660}" type="pres">
      <dgm:prSet presAssocID="{2D485C50-74B3-4821-8FA3-429E131781A7}" presName="vertSpace3" presStyleLbl="node1" presStyleIdx="1" presStyleCnt="3"/>
      <dgm:spPr/>
    </dgm:pt>
    <dgm:pt modelId="{2713064E-1CCB-4D72-A534-95FFF960F711}" type="pres">
      <dgm:prSet presAssocID="{2D485C50-74B3-4821-8FA3-429E131781A7}" presName="circle3" presStyleLbl="node1" presStyleIdx="2" presStyleCnt="3"/>
      <dgm:spPr/>
    </dgm:pt>
    <dgm:pt modelId="{28176D7B-BC20-4248-B00C-37FF46ACE487}" type="pres">
      <dgm:prSet presAssocID="{2D485C50-74B3-4821-8FA3-429E131781A7}" presName="rect3" presStyleLbl="alignAcc1" presStyleIdx="2" presStyleCnt="3" custLinFactNeighborY="35343"/>
      <dgm:spPr/>
    </dgm:pt>
    <dgm:pt modelId="{6EA4C840-9B31-44E8-8024-3C33A068F889}" type="pres">
      <dgm:prSet presAssocID="{031F281C-6F7F-442A-853E-DB01A2C91FB8}" presName="rect1ParTx" presStyleLbl="alignAcc1" presStyleIdx="2" presStyleCnt="3">
        <dgm:presLayoutVars>
          <dgm:chMax val="1"/>
          <dgm:bulletEnabled val="1"/>
        </dgm:presLayoutVars>
      </dgm:prSet>
      <dgm:spPr/>
    </dgm:pt>
    <dgm:pt modelId="{9B383898-0BF3-4FB6-8B56-9B8AE3F60006}" type="pres">
      <dgm:prSet presAssocID="{031F281C-6F7F-442A-853E-DB01A2C91FB8}" presName="rect1ChTx" presStyleLbl="alignAcc1" presStyleIdx="2" presStyleCnt="3">
        <dgm:presLayoutVars>
          <dgm:bulletEnabled val="1"/>
        </dgm:presLayoutVars>
      </dgm:prSet>
      <dgm:spPr/>
    </dgm:pt>
    <dgm:pt modelId="{AA8AC980-8002-431C-8B38-BC5CECEF6C60}" type="pres">
      <dgm:prSet presAssocID="{7144E519-2FF0-4391-8A61-377302D0DCF7}" presName="rect2ParTx" presStyleLbl="alignAcc1" presStyleIdx="2" presStyleCnt="3">
        <dgm:presLayoutVars>
          <dgm:chMax val="1"/>
          <dgm:bulletEnabled val="1"/>
        </dgm:presLayoutVars>
      </dgm:prSet>
      <dgm:spPr/>
    </dgm:pt>
    <dgm:pt modelId="{79557DF4-0C83-4D4A-9BF5-8156E8F44DE9}" type="pres">
      <dgm:prSet presAssocID="{7144E519-2FF0-4391-8A61-377302D0DCF7}" presName="rect2ChTx" presStyleLbl="alignAcc1" presStyleIdx="2" presStyleCnt="3" custScaleY="112745">
        <dgm:presLayoutVars>
          <dgm:bulletEnabled val="1"/>
        </dgm:presLayoutVars>
      </dgm:prSet>
      <dgm:spPr/>
    </dgm:pt>
    <dgm:pt modelId="{65CBA8EA-B4AF-4335-8E37-E45683AAB533}" type="pres">
      <dgm:prSet presAssocID="{2D485C50-74B3-4821-8FA3-429E131781A7}" presName="rect3ParTx" presStyleLbl="alignAcc1" presStyleIdx="2" presStyleCnt="3">
        <dgm:presLayoutVars>
          <dgm:chMax val="1"/>
          <dgm:bulletEnabled val="1"/>
        </dgm:presLayoutVars>
      </dgm:prSet>
      <dgm:spPr/>
    </dgm:pt>
    <dgm:pt modelId="{A265FA1E-C8F8-4350-A1FC-47DC9ACDB430}" type="pres">
      <dgm:prSet presAssocID="{2D485C50-74B3-4821-8FA3-429E131781A7}" presName="rect3ChTx" presStyleLbl="alignAcc1" presStyleIdx="2" presStyleCnt="3">
        <dgm:presLayoutVars>
          <dgm:bulletEnabled val="1"/>
        </dgm:presLayoutVars>
      </dgm:prSet>
      <dgm:spPr/>
    </dgm:pt>
  </dgm:ptLst>
  <dgm:cxnLst>
    <dgm:cxn modelId="{E5AD3E04-A82B-4FD6-8EC6-0B0329E623F0}" type="presOf" srcId="{2D485C50-74B3-4821-8FA3-429E131781A7}" destId="{65CBA8EA-B4AF-4335-8E37-E45683AAB533}" srcOrd="1" destOrd="0" presId="urn:microsoft.com/office/officeart/2005/8/layout/target3"/>
    <dgm:cxn modelId="{2540FD06-5687-4669-9719-A10E66BCA2CC}" type="presOf" srcId="{7144E519-2FF0-4391-8A61-377302D0DCF7}" destId="{AA8AC980-8002-431C-8B38-BC5CECEF6C60}" srcOrd="1" destOrd="0" presId="urn:microsoft.com/office/officeart/2005/8/layout/target3"/>
    <dgm:cxn modelId="{CFCA3608-3FC2-4113-805B-7DE89701F300}" type="presOf" srcId="{65B71128-AE18-4FFC-86C8-E19965A06523}" destId="{A265FA1E-C8F8-4350-A1FC-47DC9ACDB430}" srcOrd="0" destOrd="1" presId="urn:microsoft.com/office/officeart/2005/8/layout/target3"/>
    <dgm:cxn modelId="{39D9A208-D0CC-4EA7-AF0E-6B9B3276C085}" type="presOf" srcId="{E3725C17-7F8A-4CC4-B369-684D2D62F75C}" destId="{9B383898-0BF3-4FB6-8B56-9B8AE3F60006}" srcOrd="0" destOrd="1" presId="urn:microsoft.com/office/officeart/2005/8/layout/target3"/>
    <dgm:cxn modelId="{25847F0F-CBFC-41A8-8FB0-7E2E59B97017}" srcId="{7144E519-2FF0-4391-8A61-377302D0DCF7}" destId="{9970C5D4-1AA2-4EB9-9A1B-281730FD5CDF}" srcOrd="4" destOrd="0" parTransId="{FD78BAE2-483C-4BCB-9670-E06073201E6F}" sibTransId="{0BF922EE-546C-4FEB-A38E-E3B9B940AA3B}"/>
    <dgm:cxn modelId="{AA104B10-2F2F-4911-9CCD-460049717704}" type="presOf" srcId="{858E7670-27E2-4209-8E1F-9737DD545108}" destId="{9B383898-0BF3-4FB6-8B56-9B8AE3F60006}" srcOrd="0" destOrd="3" presId="urn:microsoft.com/office/officeart/2005/8/layout/target3"/>
    <dgm:cxn modelId="{11C36612-5BB3-4E0D-8F59-347725FE21E8}" srcId="{11175B89-2591-4EAC-A2C9-D8DD375436A0}" destId="{031F281C-6F7F-442A-853E-DB01A2C91FB8}" srcOrd="0" destOrd="0" parTransId="{615A1ACC-FBFE-4DFF-BED3-D33368851943}" sibTransId="{D24C50D4-E29F-400A-A8FB-EFEE0BFF0C8F}"/>
    <dgm:cxn modelId="{F6F54F15-DDDD-476F-90B2-2645FE681390}" srcId="{2D485C50-74B3-4821-8FA3-429E131781A7}" destId="{94EF7700-6B10-41CC-8DBB-CAA66B96731E}" srcOrd="7" destOrd="0" parTransId="{42DC7384-E25A-434B-B2E7-A45EED42DBAA}" sibTransId="{959E68D6-2FA5-4C98-A300-431CB2C384E9}"/>
    <dgm:cxn modelId="{114AC117-888C-4DCA-9DFC-4DAD33090E03}" type="presOf" srcId="{13E273AD-863D-4FD8-A413-6A8E3B44079B}" destId="{A265FA1E-C8F8-4350-A1FC-47DC9ACDB430}" srcOrd="0" destOrd="4" presId="urn:microsoft.com/office/officeart/2005/8/layout/target3"/>
    <dgm:cxn modelId="{DB70E61C-07B3-4222-BA40-39139DA1A3D6}" type="presOf" srcId="{2D485C50-74B3-4821-8FA3-429E131781A7}" destId="{28176D7B-BC20-4248-B00C-37FF46ACE487}" srcOrd="0" destOrd="0" presId="urn:microsoft.com/office/officeart/2005/8/layout/target3"/>
    <dgm:cxn modelId="{95CD9224-03E3-437C-96D3-E56FAE1F63CB}" srcId="{031F281C-6F7F-442A-853E-DB01A2C91FB8}" destId="{5D04C62C-5577-451A-853A-0D8C0DFC8BC6}" srcOrd="0" destOrd="0" parTransId="{28A7F64E-3C16-4EB5-B3A9-D71D0B157261}" sibTransId="{9BAA0493-933A-4792-9568-C85CE166822E}"/>
    <dgm:cxn modelId="{9089A525-C1FC-48ED-96C0-9A88E35C7F30}" srcId="{2D485C50-74B3-4821-8FA3-429E131781A7}" destId="{EE2236BB-1A76-4775-9FAA-B58B0D12644D}" srcOrd="2" destOrd="0" parTransId="{F3B9CF67-8E25-449C-8CB4-F872092F9088}" sibTransId="{CFA48675-B5E6-4288-AB17-FCE03F87FCAA}"/>
    <dgm:cxn modelId="{71C3982D-C86C-409F-843A-B94047FB9D87}" type="presOf" srcId="{FDCF5D98-EE85-4355-9CBC-72AB1AB90BB0}" destId="{79557DF4-0C83-4D4A-9BF5-8156E8F44DE9}" srcOrd="0" destOrd="1" presId="urn:microsoft.com/office/officeart/2005/8/layout/target3"/>
    <dgm:cxn modelId="{340F1D3B-18D0-4A94-831C-92DCD114E14C}" srcId="{11175B89-2591-4EAC-A2C9-D8DD375436A0}" destId="{7144E519-2FF0-4391-8A61-377302D0DCF7}" srcOrd="1" destOrd="0" parTransId="{748310DC-8CA5-4CBE-8675-862E1BE73D5E}" sibTransId="{A664411A-611C-46D1-8E15-A9956009974F}"/>
    <dgm:cxn modelId="{0EC0DA3D-FD82-488B-AC32-350FECFAD97D}" type="presOf" srcId="{9970C5D4-1AA2-4EB9-9A1B-281730FD5CDF}" destId="{79557DF4-0C83-4D4A-9BF5-8156E8F44DE9}" srcOrd="0" destOrd="4" presId="urn:microsoft.com/office/officeart/2005/8/layout/target3"/>
    <dgm:cxn modelId="{930D705B-49F6-4E56-95FC-2C1CF2C1CB8F}" type="presOf" srcId="{7144E519-2FF0-4391-8A61-377302D0DCF7}" destId="{6839A774-3239-4910-9674-8BE792330EB1}" srcOrd="0" destOrd="0" presId="urn:microsoft.com/office/officeart/2005/8/layout/target3"/>
    <dgm:cxn modelId="{317B935D-5966-44FF-95E4-3E890D673BCD}" type="presOf" srcId="{11175B89-2591-4EAC-A2C9-D8DD375436A0}" destId="{96BEBE42-D6A9-4FAA-B7D6-27B6E372F3A5}" srcOrd="0" destOrd="0" presId="urn:microsoft.com/office/officeart/2005/8/layout/target3"/>
    <dgm:cxn modelId="{EB77CB63-FD7B-43FC-B3CF-4E6261BC5DA5}" type="presOf" srcId="{031F281C-6F7F-442A-853E-DB01A2C91FB8}" destId="{6EA4C840-9B31-44E8-8024-3C33A068F889}" srcOrd="1" destOrd="0" presId="urn:microsoft.com/office/officeart/2005/8/layout/target3"/>
    <dgm:cxn modelId="{978DD764-EE11-46FC-BF9B-DF17711B97F4}" type="presOf" srcId="{DBFA89DB-0282-4D98-9D70-FB06707BE466}" destId="{A265FA1E-C8F8-4350-A1FC-47DC9ACDB430}" srcOrd="0" destOrd="3" presId="urn:microsoft.com/office/officeart/2005/8/layout/target3"/>
    <dgm:cxn modelId="{BE0BB649-FD3B-403C-8F11-24A3B2ACE86D}" type="presOf" srcId="{EE2236BB-1A76-4775-9FAA-B58B0D12644D}" destId="{A265FA1E-C8F8-4350-A1FC-47DC9ACDB430}" srcOrd="0" destOrd="2" presId="urn:microsoft.com/office/officeart/2005/8/layout/target3"/>
    <dgm:cxn modelId="{3902386C-5D51-4B7B-8E2C-264DD99C3614}" type="presOf" srcId="{D99A218F-D88B-4795-88D8-B35B2B0B68A9}" destId="{A265FA1E-C8F8-4350-A1FC-47DC9ACDB430}" srcOrd="0" destOrd="5" presId="urn:microsoft.com/office/officeart/2005/8/layout/target3"/>
    <dgm:cxn modelId="{97376570-1CC3-40CE-81FF-C777AC61561A}" type="presOf" srcId="{734BFAF0-D63D-48B7-A32A-9398E3C1F7E3}" destId="{79557DF4-0C83-4D4A-9BF5-8156E8F44DE9}" srcOrd="0" destOrd="5" presId="urn:microsoft.com/office/officeart/2005/8/layout/target3"/>
    <dgm:cxn modelId="{5ADA2271-1361-4968-BF6C-604C2A6A770B}" srcId="{031F281C-6F7F-442A-853E-DB01A2C91FB8}" destId="{DC3607AC-A2DA-4257-82CA-B96A1E2019E6}" srcOrd="2" destOrd="0" parTransId="{0FBB267D-E327-4495-9819-DCCBA9112E79}" sibTransId="{5AB3BC77-390D-4848-A31E-41C7D15FE619}"/>
    <dgm:cxn modelId="{0D378952-D49B-4A40-87C0-D60FB69F51DF}" srcId="{11175B89-2591-4EAC-A2C9-D8DD375436A0}" destId="{2D485C50-74B3-4821-8FA3-429E131781A7}" srcOrd="2" destOrd="0" parTransId="{320683C2-905D-4AD6-AA84-E1549A75DE9C}" sibTransId="{AC8E224D-E8A3-43F1-B850-A0E41418B402}"/>
    <dgm:cxn modelId="{DDE6DD73-5F5B-4353-B0A2-8AAC831DD5D8}" type="presOf" srcId="{59F628C4-3201-4088-932B-FF313575CC60}" destId="{79557DF4-0C83-4D4A-9BF5-8156E8F44DE9}" srcOrd="0" destOrd="0" presId="urn:microsoft.com/office/officeart/2005/8/layout/target3"/>
    <dgm:cxn modelId="{E61C4155-818D-40C0-AED6-7E3A4AADD36D}" srcId="{7144E519-2FF0-4391-8A61-377302D0DCF7}" destId="{734BFAF0-D63D-48B7-A32A-9398E3C1F7E3}" srcOrd="5" destOrd="0" parTransId="{27BA5E36-14CC-4BED-814B-B1F48FA1FA1E}" sibTransId="{1419A54E-715B-431C-822A-E3965931D4E6}"/>
    <dgm:cxn modelId="{49ACDB56-1E0B-4DFB-85FC-B058C6AA0C68}" type="presOf" srcId="{3D4808A7-A107-4D0F-B537-BF6DA843CD54}" destId="{A265FA1E-C8F8-4350-A1FC-47DC9ACDB430}" srcOrd="0" destOrd="8" presId="urn:microsoft.com/office/officeart/2005/8/layout/target3"/>
    <dgm:cxn modelId="{D62F787F-48C9-4A8F-9989-E6D4CA11A37A}" srcId="{2D485C50-74B3-4821-8FA3-429E131781A7}" destId="{65B71128-AE18-4FFC-86C8-E19965A06523}" srcOrd="1" destOrd="0" parTransId="{DC79B7C9-1782-422A-8A95-8B59CCF0B97A}" sibTransId="{A57F362E-09D4-4B51-9517-2B67BBEA838F}"/>
    <dgm:cxn modelId="{C59D2781-1996-4D63-B786-E7E21EF69A88}" type="presOf" srcId="{B18E732D-3F2D-4A10-9A55-DD7C8884F337}" destId="{79557DF4-0C83-4D4A-9BF5-8156E8F44DE9}" srcOrd="0" destOrd="3" presId="urn:microsoft.com/office/officeart/2005/8/layout/target3"/>
    <dgm:cxn modelId="{D9FFA086-B26E-4C3E-8343-F34E9424982A}" srcId="{2D485C50-74B3-4821-8FA3-429E131781A7}" destId="{A75D3C44-4D70-44C2-B215-74BD6EE010AC}" srcOrd="6" destOrd="0" parTransId="{E6F8B65F-B1F1-4A6C-AF01-1B67D520DA54}" sibTransId="{9545D4C8-17E2-4CD9-8469-6C5E161B69A9}"/>
    <dgm:cxn modelId="{BC04DE86-9CBB-46F0-BC58-5953754C449E}" srcId="{031F281C-6F7F-442A-853E-DB01A2C91FB8}" destId="{858E7670-27E2-4209-8E1F-9737DD545108}" srcOrd="3" destOrd="0" parTransId="{EAC0093B-FB3F-4757-BCFF-8D58FBB9FD62}" sibTransId="{F7953890-9B7B-4094-84EB-182D24D9C554}"/>
    <dgm:cxn modelId="{2FEF178E-2ACC-4488-BB4F-23435263257A}" srcId="{2D485C50-74B3-4821-8FA3-429E131781A7}" destId="{D99A218F-D88B-4795-88D8-B35B2B0B68A9}" srcOrd="5" destOrd="0" parTransId="{830F844D-E83E-423A-BFD0-94FB0C8D6161}" sibTransId="{21682D97-EF46-4D93-8AED-7484EE38CD6C}"/>
    <dgm:cxn modelId="{5CD4A395-B958-4BF1-9B82-1A85B069B71A}" type="presOf" srcId="{031F281C-6F7F-442A-853E-DB01A2C91FB8}" destId="{03576D39-63AE-4E3E-9E24-737428CE7735}" srcOrd="0" destOrd="0" presId="urn:microsoft.com/office/officeart/2005/8/layout/target3"/>
    <dgm:cxn modelId="{9EB95699-7953-480C-AED7-68645C59705B}" srcId="{7144E519-2FF0-4391-8A61-377302D0DCF7}" destId="{3D8667E7-7017-45D5-B660-0DBE54BBB0C5}" srcOrd="2" destOrd="0" parTransId="{4102F958-6B4A-4F57-BA84-B4FFA3C9B8A4}" sibTransId="{E5E9F98F-93A4-4DBE-AC9B-38D88A16DF3E}"/>
    <dgm:cxn modelId="{14F88299-689E-4E7E-9EF1-F209C31E7BB4}" type="presOf" srcId="{5D04C62C-5577-451A-853A-0D8C0DFC8BC6}" destId="{9B383898-0BF3-4FB6-8B56-9B8AE3F60006}" srcOrd="0" destOrd="0" presId="urn:microsoft.com/office/officeart/2005/8/layout/target3"/>
    <dgm:cxn modelId="{FDE996A2-0F8E-4EA4-AB3B-31958F08692B}" type="presOf" srcId="{8252BA26-5D74-4C3F-A96B-A57ACC305956}" destId="{A265FA1E-C8F8-4350-A1FC-47DC9ACDB430}" srcOrd="0" destOrd="0" presId="urn:microsoft.com/office/officeart/2005/8/layout/target3"/>
    <dgm:cxn modelId="{D324D0A4-AC84-4F98-829F-7F3D6BDEC25B}" type="presOf" srcId="{D05B9A91-7D5D-4AEE-8DE4-83C205FF030D}" destId="{A265FA1E-C8F8-4350-A1FC-47DC9ACDB430}" srcOrd="0" destOrd="9" presId="urn:microsoft.com/office/officeart/2005/8/layout/target3"/>
    <dgm:cxn modelId="{09FA19A9-4A40-4337-B865-D0857EE7132F}" srcId="{2D485C50-74B3-4821-8FA3-429E131781A7}" destId="{13E273AD-863D-4FD8-A413-6A8E3B44079B}" srcOrd="4" destOrd="0" parTransId="{63EBE199-BA62-4278-98BC-2CE4F44195A0}" sibTransId="{F86D4F5F-282B-4B3C-8535-0B557853AE74}"/>
    <dgm:cxn modelId="{F16C5EAA-1802-42BC-9917-1E50B8D3B36A}" srcId="{7144E519-2FF0-4391-8A61-377302D0DCF7}" destId="{B18E732D-3F2D-4A10-9A55-DD7C8884F337}" srcOrd="3" destOrd="0" parTransId="{A28DB617-7869-4F02-AA8B-D60A507AB298}" sibTransId="{8174FDE3-6DBE-47C2-9699-DDC51E0B96B0}"/>
    <dgm:cxn modelId="{DB48E9AA-7817-4BAD-A2CE-10F3E4D050F0}" type="presOf" srcId="{A75D3C44-4D70-44C2-B215-74BD6EE010AC}" destId="{A265FA1E-C8F8-4350-A1FC-47DC9ACDB430}" srcOrd="0" destOrd="6" presId="urn:microsoft.com/office/officeart/2005/8/layout/target3"/>
    <dgm:cxn modelId="{CA17C7B8-D5F6-4565-894A-4EEDA79543DB}" srcId="{7144E519-2FF0-4391-8A61-377302D0DCF7}" destId="{FDCF5D98-EE85-4355-9CBC-72AB1AB90BB0}" srcOrd="1" destOrd="0" parTransId="{81AACB6B-2F9D-4BFF-8E6F-6ABB94F4FF10}" sibTransId="{7ED16DC2-B39D-4F13-9416-4A4D6007732D}"/>
    <dgm:cxn modelId="{3C04FFBB-B532-4D98-8DFA-C0AA1F383814}" type="presOf" srcId="{DC3607AC-A2DA-4257-82CA-B96A1E2019E6}" destId="{9B383898-0BF3-4FB6-8B56-9B8AE3F60006}" srcOrd="0" destOrd="2" presId="urn:microsoft.com/office/officeart/2005/8/layout/target3"/>
    <dgm:cxn modelId="{D10E09C3-9E7A-44D8-9B5E-621FEF506C42}" srcId="{2D485C50-74B3-4821-8FA3-429E131781A7}" destId="{3D4808A7-A107-4D0F-B537-BF6DA843CD54}" srcOrd="8" destOrd="0" parTransId="{E04F9AFE-4FE1-45B8-819F-12BA45498587}" sibTransId="{625849EB-83CB-49D7-99CD-353EFF98761D}"/>
    <dgm:cxn modelId="{EEF5A4D3-C3BF-412F-AFE0-62C76CFD3149}" srcId="{7144E519-2FF0-4391-8A61-377302D0DCF7}" destId="{59F628C4-3201-4088-932B-FF313575CC60}" srcOrd="0" destOrd="0" parTransId="{2CBF7E71-135F-4E23-9DEF-E8A786B6D4A9}" sibTransId="{D999F3D1-407E-443D-8BCA-ED6E0AF765A4}"/>
    <dgm:cxn modelId="{F9EA94D5-3FDF-4A6B-A7DE-0CF7EF173A09}" type="presOf" srcId="{3D8667E7-7017-45D5-B660-0DBE54BBB0C5}" destId="{79557DF4-0C83-4D4A-9BF5-8156E8F44DE9}" srcOrd="0" destOrd="2" presId="urn:microsoft.com/office/officeart/2005/8/layout/target3"/>
    <dgm:cxn modelId="{CA27C4DC-E5C0-4163-812B-175C1493D22D}" srcId="{2D485C50-74B3-4821-8FA3-429E131781A7}" destId="{8252BA26-5D74-4C3F-A96B-A57ACC305956}" srcOrd="0" destOrd="0" parTransId="{CB482254-41F4-43BA-A33C-52D9AD86CA6E}" sibTransId="{8AAC4B75-DC6A-4493-A229-78370E22A8F6}"/>
    <dgm:cxn modelId="{93429ADD-68EB-4769-A558-35F90B9FF157}" srcId="{2D485C50-74B3-4821-8FA3-429E131781A7}" destId="{D05B9A91-7D5D-4AEE-8DE4-83C205FF030D}" srcOrd="9" destOrd="0" parTransId="{05BAF0B2-62E0-4623-A03F-7A0D5A573E24}" sibTransId="{8949C897-8842-4BD3-8B65-7E942DE566AE}"/>
    <dgm:cxn modelId="{387DC8E1-02C6-4033-A81C-D6EE2754EF8F}" srcId="{031F281C-6F7F-442A-853E-DB01A2C91FB8}" destId="{E3725C17-7F8A-4CC4-B369-684D2D62F75C}" srcOrd="1" destOrd="0" parTransId="{8BDB7F88-044C-4A4B-B5ED-43317FC739D1}" sibTransId="{02043733-8BC5-48C9-AC54-BE17CDF1B72D}"/>
    <dgm:cxn modelId="{CE889FEE-FA47-45BC-839C-0FA5FC77E9EC}" type="presOf" srcId="{94EF7700-6B10-41CC-8DBB-CAA66B96731E}" destId="{A265FA1E-C8F8-4350-A1FC-47DC9ACDB430}" srcOrd="0" destOrd="7" presId="urn:microsoft.com/office/officeart/2005/8/layout/target3"/>
    <dgm:cxn modelId="{E6C67DFD-CC9D-44BA-9A72-8305FE65F100}" srcId="{2D485C50-74B3-4821-8FA3-429E131781A7}" destId="{DBFA89DB-0282-4D98-9D70-FB06707BE466}" srcOrd="3" destOrd="0" parTransId="{05CBD4AF-51AC-49DE-8ED2-35BE32AF9E62}" sibTransId="{307C2606-90BF-4292-8CFF-23452B914973}"/>
    <dgm:cxn modelId="{014E4905-7CAC-493E-BD5A-1B91CF9073F6}" type="presParOf" srcId="{96BEBE42-D6A9-4FAA-B7D6-27B6E372F3A5}" destId="{4E028CAF-C740-48E1-8DE1-E1FADF153035}" srcOrd="0" destOrd="0" presId="urn:microsoft.com/office/officeart/2005/8/layout/target3"/>
    <dgm:cxn modelId="{7F628897-F557-4BED-B645-80DF45D23931}" type="presParOf" srcId="{96BEBE42-D6A9-4FAA-B7D6-27B6E372F3A5}" destId="{91B7B912-BB97-446E-9E7D-0516995F6B77}" srcOrd="1" destOrd="0" presId="urn:microsoft.com/office/officeart/2005/8/layout/target3"/>
    <dgm:cxn modelId="{0A9D00DD-0CCB-4C32-9F4E-57C9AE203194}" type="presParOf" srcId="{96BEBE42-D6A9-4FAA-B7D6-27B6E372F3A5}" destId="{03576D39-63AE-4E3E-9E24-737428CE7735}" srcOrd="2" destOrd="0" presId="urn:microsoft.com/office/officeart/2005/8/layout/target3"/>
    <dgm:cxn modelId="{777FB02E-B619-4EE5-BE7A-394A11D5DD6B}" type="presParOf" srcId="{96BEBE42-D6A9-4FAA-B7D6-27B6E372F3A5}" destId="{92A7003B-7EB6-4165-BFB1-4B0687FE1A06}" srcOrd="3" destOrd="0" presId="urn:microsoft.com/office/officeart/2005/8/layout/target3"/>
    <dgm:cxn modelId="{442F61B0-620D-45F8-AA27-5A8EBF4E71D4}" type="presParOf" srcId="{96BEBE42-D6A9-4FAA-B7D6-27B6E372F3A5}" destId="{600727B2-E62B-4CCC-AC41-A6795875F643}" srcOrd="4" destOrd="0" presId="urn:microsoft.com/office/officeart/2005/8/layout/target3"/>
    <dgm:cxn modelId="{701FEA76-D682-4B84-9D8D-91E0A6CA3CE9}" type="presParOf" srcId="{96BEBE42-D6A9-4FAA-B7D6-27B6E372F3A5}" destId="{6839A774-3239-4910-9674-8BE792330EB1}" srcOrd="5" destOrd="0" presId="urn:microsoft.com/office/officeart/2005/8/layout/target3"/>
    <dgm:cxn modelId="{4FE9AC05-EA53-492C-B098-AF2C92A508EC}" type="presParOf" srcId="{96BEBE42-D6A9-4FAA-B7D6-27B6E372F3A5}" destId="{FDFF5DD1-1F63-480B-B4E4-4E3B21D4B660}" srcOrd="6" destOrd="0" presId="urn:microsoft.com/office/officeart/2005/8/layout/target3"/>
    <dgm:cxn modelId="{66E8FE7C-7983-4B70-B085-1482BF4CD2FD}" type="presParOf" srcId="{96BEBE42-D6A9-4FAA-B7D6-27B6E372F3A5}" destId="{2713064E-1CCB-4D72-A534-95FFF960F711}" srcOrd="7" destOrd="0" presId="urn:microsoft.com/office/officeart/2005/8/layout/target3"/>
    <dgm:cxn modelId="{2673709D-B874-435C-B744-085CAC8BC6B8}" type="presParOf" srcId="{96BEBE42-D6A9-4FAA-B7D6-27B6E372F3A5}" destId="{28176D7B-BC20-4248-B00C-37FF46ACE487}" srcOrd="8" destOrd="0" presId="urn:microsoft.com/office/officeart/2005/8/layout/target3"/>
    <dgm:cxn modelId="{52E0D402-9981-4635-AD61-33569CE1E6CB}" type="presParOf" srcId="{96BEBE42-D6A9-4FAA-B7D6-27B6E372F3A5}" destId="{6EA4C840-9B31-44E8-8024-3C33A068F889}" srcOrd="9" destOrd="0" presId="urn:microsoft.com/office/officeart/2005/8/layout/target3"/>
    <dgm:cxn modelId="{6D8BD245-D21A-49E2-8A39-2C19027E557A}" type="presParOf" srcId="{96BEBE42-D6A9-4FAA-B7D6-27B6E372F3A5}" destId="{9B383898-0BF3-4FB6-8B56-9B8AE3F60006}" srcOrd="10" destOrd="0" presId="urn:microsoft.com/office/officeart/2005/8/layout/target3"/>
    <dgm:cxn modelId="{4B3E997B-4503-45FA-A822-26056F4AD597}" type="presParOf" srcId="{96BEBE42-D6A9-4FAA-B7D6-27B6E372F3A5}" destId="{AA8AC980-8002-431C-8B38-BC5CECEF6C60}" srcOrd="11" destOrd="0" presId="urn:microsoft.com/office/officeart/2005/8/layout/target3"/>
    <dgm:cxn modelId="{0417E8ED-9E1E-4D52-8BA9-60C51410F488}" type="presParOf" srcId="{96BEBE42-D6A9-4FAA-B7D6-27B6E372F3A5}" destId="{79557DF4-0C83-4D4A-9BF5-8156E8F44DE9}" srcOrd="12" destOrd="0" presId="urn:microsoft.com/office/officeart/2005/8/layout/target3"/>
    <dgm:cxn modelId="{203EA17E-EB7C-4B20-8C6D-D63497FB1580}" type="presParOf" srcId="{96BEBE42-D6A9-4FAA-B7D6-27B6E372F3A5}" destId="{65CBA8EA-B4AF-4335-8E37-E45683AAB533}" srcOrd="13" destOrd="0" presId="urn:microsoft.com/office/officeart/2005/8/layout/target3"/>
    <dgm:cxn modelId="{308E35BF-80F0-4F0C-A345-4D81D6FB78C2}" type="presParOf" srcId="{96BEBE42-D6A9-4FAA-B7D6-27B6E372F3A5}" destId="{A265FA1E-C8F8-4350-A1FC-47DC9ACDB430}" srcOrd="14" destOrd="0" presId="urn:microsoft.com/office/officeart/2005/8/layout/target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9D8F6CB-26CE-FB4B-938C-B63D40A72511}" type="doc">
      <dgm:prSet loTypeId="urn:microsoft.com/office/officeart/2005/8/layout/target1" loCatId="" qsTypeId="urn:microsoft.com/office/officeart/2005/8/quickstyle/simple1" qsCatId="simple" csTypeId="urn:microsoft.com/office/officeart/2005/8/colors/accent1_2" csCatId="accent1" phldr="1"/>
      <dgm:spPr/>
    </dgm:pt>
    <dgm:pt modelId="{315F02BF-8BF6-D240-9D8E-E4744ACBF69C}">
      <dgm:prSet phldrT="[Text]" custT="1"/>
      <dgm:spPr/>
      <dgm:t>
        <a:bodyPr/>
        <a:lstStyle/>
        <a:p>
          <a:r>
            <a:rPr lang="en-GB" sz="1200"/>
            <a:t>Mother holding the child</a:t>
          </a:r>
        </a:p>
      </dgm:t>
    </dgm:pt>
    <dgm:pt modelId="{CEFDEE48-5814-1F41-97EF-91B98AB338A3}" type="parTrans" cxnId="{BF584752-0A87-5246-855F-9288C4410C3D}">
      <dgm:prSet/>
      <dgm:spPr/>
      <dgm:t>
        <a:bodyPr/>
        <a:lstStyle/>
        <a:p>
          <a:endParaRPr lang="en-GB"/>
        </a:p>
      </dgm:t>
    </dgm:pt>
    <dgm:pt modelId="{CCF6C78F-3E0B-5545-BD92-45054270F12D}" type="sibTrans" cxnId="{BF584752-0A87-5246-855F-9288C4410C3D}">
      <dgm:prSet/>
      <dgm:spPr/>
      <dgm:t>
        <a:bodyPr/>
        <a:lstStyle/>
        <a:p>
          <a:endParaRPr lang="en-GB"/>
        </a:p>
      </dgm:t>
    </dgm:pt>
    <dgm:pt modelId="{26149478-4D8D-924E-838F-7ADA4671640B}">
      <dgm:prSet phldrT="[Text]" custT="1"/>
      <dgm:spPr/>
      <dgm:t>
        <a:bodyPr/>
        <a:lstStyle/>
        <a:p>
          <a:r>
            <a:rPr lang="en-GB" sz="1200"/>
            <a:t>Father holding the mother, holding the child</a:t>
          </a:r>
        </a:p>
      </dgm:t>
    </dgm:pt>
    <dgm:pt modelId="{AEC4FD50-364B-2347-8665-A2AD92BCC9E7}" type="parTrans" cxnId="{DC2D8157-6C45-8F40-8839-E34915B3C3FF}">
      <dgm:prSet/>
      <dgm:spPr/>
      <dgm:t>
        <a:bodyPr/>
        <a:lstStyle/>
        <a:p>
          <a:endParaRPr lang="en-GB"/>
        </a:p>
      </dgm:t>
    </dgm:pt>
    <dgm:pt modelId="{31AD6933-5203-1B4D-8214-2DFE133B10E3}" type="sibTrans" cxnId="{DC2D8157-6C45-8F40-8839-E34915B3C3FF}">
      <dgm:prSet/>
      <dgm:spPr/>
      <dgm:t>
        <a:bodyPr/>
        <a:lstStyle/>
        <a:p>
          <a:endParaRPr lang="en-GB"/>
        </a:p>
      </dgm:t>
    </dgm:pt>
    <dgm:pt modelId="{200701F0-FFA6-4043-BB55-563F73511B5C}">
      <dgm:prSet phldrT="[Text]" custT="1"/>
      <dgm:spPr/>
      <dgm:t>
        <a:bodyPr/>
        <a:lstStyle/>
        <a:p>
          <a:endParaRPr lang="en-GB" sz="1200"/>
        </a:p>
        <a:p>
          <a:r>
            <a:rPr lang="en-GB" sz="1200"/>
            <a:t>Society holding the father, the father holding the mother who is  holding the child</a:t>
          </a:r>
        </a:p>
      </dgm:t>
    </dgm:pt>
    <dgm:pt modelId="{5D5114E9-9379-1B44-9F42-DF6BBF37AE11}" type="parTrans" cxnId="{B6B25C12-EF5B-F04B-AE46-C12F0A45FB94}">
      <dgm:prSet/>
      <dgm:spPr/>
      <dgm:t>
        <a:bodyPr/>
        <a:lstStyle/>
        <a:p>
          <a:endParaRPr lang="en-GB"/>
        </a:p>
      </dgm:t>
    </dgm:pt>
    <dgm:pt modelId="{9E831F2B-6794-6E4B-A8BC-BFB075A4668B}" type="sibTrans" cxnId="{B6B25C12-EF5B-F04B-AE46-C12F0A45FB94}">
      <dgm:prSet/>
      <dgm:spPr/>
      <dgm:t>
        <a:bodyPr/>
        <a:lstStyle/>
        <a:p>
          <a:endParaRPr lang="en-GB"/>
        </a:p>
      </dgm:t>
    </dgm:pt>
    <dgm:pt modelId="{275BA5CC-AD17-FC4B-A185-6C8BA10CEEB0}" type="pres">
      <dgm:prSet presAssocID="{C9D8F6CB-26CE-FB4B-938C-B63D40A72511}" presName="composite" presStyleCnt="0">
        <dgm:presLayoutVars>
          <dgm:chMax val="5"/>
          <dgm:dir/>
          <dgm:resizeHandles val="exact"/>
        </dgm:presLayoutVars>
      </dgm:prSet>
      <dgm:spPr/>
    </dgm:pt>
    <dgm:pt modelId="{5085047A-4ADE-3E43-9E8E-EA08F443BCF3}" type="pres">
      <dgm:prSet presAssocID="{315F02BF-8BF6-D240-9D8E-E4744ACBF69C}" presName="circle1" presStyleLbl="lnNode1" presStyleIdx="0" presStyleCnt="3"/>
      <dgm:spPr/>
    </dgm:pt>
    <dgm:pt modelId="{36AF62BD-69CE-2B46-AC8F-31B946C063BC}" type="pres">
      <dgm:prSet presAssocID="{315F02BF-8BF6-D240-9D8E-E4744ACBF69C}" presName="text1" presStyleLbl="revTx" presStyleIdx="0" presStyleCnt="3">
        <dgm:presLayoutVars>
          <dgm:bulletEnabled val="1"/>
        </dgm:presLayoutVars>
      </dgm:prSet>
      <dgm:spPr/>
    </dgm:pt>
    <dgm:pt modelId="{48C4A973-AB74-7B4A-AED5-A89EE1AC426A}" type="pres">
      <dgm:prSet presAssocID="{315F02BF-8BF6-D240-9D8E-E4744ACBF69C}" presName="line1" presStyleLbl="callout" presStyleIdx="0" presStyleCnt="6"/>
      <dgm:spPr/>
    </dgm:pt>
    <dgm:pt modelId="{71B0DD82-D6E1-3D4A-B80E-418880101B66}" type="pres">
      <dgm:prSet presAssocID="{315F02BF-8BF6-D240-9D8E-E4744ACBF69C}" presName="d1" presStyleLbl="callout" presStyleIdx="1" presStyleCnt="6"/>
      <dgm:spPr/>
    </dgm:pt>
    <dgm:pt modelId="{FC2BCF79-64ED-694C-B6E5-59FE4EC37097}" type="pres">
      <dgm:prSet presAssocID="{26149478-4D8D-924E-838F-7ADA4671640B}" presName="circle2" presStyleLbl="lnNode1" presStyleIdx="1" presStyleCnt="3"/>
      <dgm:spPr/>
    </dgm:pt>
    <dgm:pt modelId="{55EEB049-F4B0-CD4E-B756-C3498C4EA279}" type="pres">
      <dgm:prSet presAssocID="{26149478-4D8D-924E-838F-7ADA4671640B}" presName="text2" presStyleLbl="revTx" presStyleIdx="1" presStyleCnt="3">
        <dgm:presLayoutVars>
          <dgm:bulletEnabled val="1"/>
        </dgm:presLayoutVars>
      </dgm:prSet>
      <dgm:spPr/>
    </dgm:pt>
    <dgm:pt modelId="{D80A4E0A-27F6-924E-979E-C37C7189177A}" type="pres">
      <dgm:prSet presAssocID="{26149478-4D8D-924E-838F-7ADA4671640B}" presName="line2" presStyleLbl="callout" presStyleIdx="2" presStyleCnt="6"/>
      <dgm:spPr/>
    </dgm:pt>
    <dgm:pt modelId="{324053E0-F1DC-2E4A-B000-5A9054CB01AE}" type="pres">
      <dgm:prSet presAssocID="{26149478-4D8D-924E-838F-7ADA4671640B}" presName="d2" presStyleLbl="callout" presStyleIdx="3" presStyleCnt="6"/>
      <dgm:spPr/>
    </dgm:pt>
    <dgm:pt modelId="{D9218D38-CFCA-AF4C-8917-AC4E6A3B322C}" type="pres">
      <dgm:prSet presAssocID="{200701F0-FFA6-4043-BB55-563F73511B5C}" presName="circle3" presStyleLbl="lnNode1" presStyleIdx="2" presStyleCnt="3"/>
      <dgm:spPr/>
    </dgm:pt>
    <dgm:pt modelId="{1250808D-9697-B444-99A5-CD6BAD04DA3C}" type="pres">
      <dgm:prSet presAssocID="{200701F0-FFA6-4043-BB55-563F73511B5C}" presName="text3" presStyleLbl="revTx" presStyleIdx="2" presStyleCnt="3" custScaleX="108000" custScaleY="88310">
        <dgm:presLayoutVars>
          <dgm:bulletEnabled val="1"/>
        </dgm:presLayoutVars>
      </dgm:prSet>
      <dgm:spPr/>
    </dgm:pt>
    <dgm:pt modelId="{F50C2C03-81BA-B244-B26B-A4C03A744D49}" type="pres">
      <dgm:prSet presAssocID="{200701F0-FFA6-4043-BB55-563F73511B5C}" presName="line3" presStyleLbl="callout" presStyleIdx="4" presStyleCnt="6"/>
      <dgm:spPr/>
    </dgm:pt>
    <dgm:pt modelId="{ECE3B1DB-3DF9-2C49-A230-DE4C64924E0A}" type="pres">
      <dgm:prSet presAssocID="{200701F0-FFA6-4043-BB55-563F73511B5C}" presName="d3" presStyleLbl="callout" presStyleIdx="5" presStyleCnt="6"/>
      <dgm:spPr/>
    </dgm:pt>
  </dgm:ptLst>
  <dgm:cxnLst>
    <dgm:cxn modelId="{B6B25C12-EF5B-F04B-AE46-C12F0A45FB94}" srcId="{C9D8F6CB-26CE-FB4B-938C-B63D40A72511}" destId="{200701F0-FFA6-4043-BB55-563F73511B5C}" srcOrd="2" destOrd="0" parTransId="{5D5114E9-9379-1B44-9F42-DF6BBF37AE11}" sibTransId="{9E831F2B-6794-6E4B-A8BC-BFB075A4668B}"/>
    <dgm:cxn modelId="{02914B21-10AE-5543-9572-12E3F82E30D8}" type="presOf" srcId="{26149478-4D8D-924E-838F-7ADA4671640B}" destId="{55EEB049-F4B0-CD4E-B756-C3498C4EA279}" srcOrd="0" destOrd="0" presId="urn:microsoft.com/office/officeart/2005/8/layout/target1"/>
    <dgm:cxn modelId="{BF584752-0A87-5246-855F-9288C4410C3D}" srcId="{C9D8F6CB-26CE-FB4B-938C-B63D40A72511}" destId="{315F02BF-8BF6-D240-9D8E-E4744ACBF69C}" srcOrd="0" destOrd="0" parTransId="{CEFDEE48-5814-1F41-97EF-91B98AB338A3}" sibTransId="{CCF6C78F-3E0B-5545-BD92-45054270F12D}"/>
    <dgm:cxn modelId="{DC2D8157-6C45-8F40-8839-E34915B3C3FF}" srcId="{C9D8F6CB-26CE-FB4B-938C-B63D40A72511}" destId="{26149478-4D8D-924E-838F-7ADA4671640B}" srcOrd="1" destOrd="0" parTransId="{AEC4FD50-364B-2347-8665-A2AD92BCC9E7}" sibTransId="{31AD6933-5203-1B4D-8214-2DFE133B10E3}"/>
    <dgm:cxn modelId="{90DE7297-9D2A-3C4D-8D17-5DB8C75C5049}" type="presOf" srcId="{200701F0-FFA6-4043-BB55-563F73511B5C}" destId="{1250808D-9697-B444-99A5-CD6BAD04DA3C}" srcOrd="0" destOrd="0" presId="urn:microsoft.com/office/officeart/2005/8/layout/target1"/>
    <dgm:cxn modelId="{A4BBE4A9-A901-804C-B64E-13B86396A5A5}" type="presOf" srcId="{C9D8F6CB-26CE-FB4B-938C-B63D40A72511}" destId="{275BA5CC-AD17-FC4B-A185-6C8BA10CEEB0}" srcOrd="0" destOrd="0" presId="urn:microsoft.com/office/officeart/2005/8/layout/target1"/>
    <dgm:cxn modelId="{D098B9DE-B854-B743-B193-DC302169A453}" type="presOf" srcId="{315F02BF-8BF6-D240-9D8E-E4744ACBF69C}" destId="{36AF62BD-69CE-2B46-AC8F-31B946C063BC}" srcOrd="0" destOrd="0" presId="urn:microsoft.com/office/officeart/2005/8/layout/target1"/>
    <dgm:cxn modelId="{C317C3A4-1B16-314C-A360-2953D5A17E7F}" type="presParOf" srcId="{275BA5CC-AD17-FC4B-A185-6C8BA10CEEB0}" destId="{5085047A-4ADE-3E43-9E8E-EA08F443BCF3}" srcOrd="0" destOrd="0" presId="urn:microsoft.com/office/officeart/2005/8/layout/target1"/>
    <dgm:cxn modelId="{761C720D-5681-BC43-8054-C97B7B832A51}" type="presParOf" srcId="{275BA5CC-AD17-FC4B-A185-6C8BA10CEEB0}" destId="{36AF62BD-69CE-2B46-AC8F-31B946C063BC}" srcOrd="1" destOrd="0" presId="urn:microsoft.com/office/officeart/2005/8/layout/target1"/>
    <dgm:cxn modelId="{AA942985-4CC6-7B45-97B9-8558337D6C37}" type="presParOf" srcId="{275BA5CC-AD17-FC4B-A185-6C8BA10CEEB0}" destId="{48C4A973-AB74-7B4A-AED5-A89EE1AC426A}" srcOrd="2" destOrd="0" presId="urn:microsoft.com/office/officeart/2005/8/layout/target1"/>
    <dgm:cxn modelId="{6EEEEA06-E3BE-CD48-8413-FF28FC52729E}" type="presParOf" srcId="{275BA5CC-AD17-FC4B-A185-6C8BA10CEEB0}" destId="{71B0DD82-D6E1-3D4A-B80E-418880101B66}" srcOrd="3" destOrd="0" presId="urn:microsoft.com/office/officeart/2005/8/layout/target1"/>
    <dgm:cxn modelId="{1DDBB37C-249F-6F41-B880-BDAFEDB02A90}" type="presParOf" srcId="{275BA5CC-AD17-FC4B-A185-6C8BA10CEEB0}" destId="{FC2BCF79-64ED-694C-B6E5-59FE4EC37097}" srcOrd="4" destOrd="0" presId="urn:microsoft.com/office/officeart/2005/8/layout/target1"/>
    <dgm:cxn modelId="{0CC8CFEE-2D28-3F48-979E-24591A0EF731}" type="presParOf" srcId="{275BA5CC-AD17-FC4B-A185-6C8BA10CEEB0}" destId="{55EEB049-F4B0-CD4E-B756-C3498C4EA279}" srcOrd="5" destOrd="0" presId="urn:microsoft.com/office/officeart/2005/8/layout/target1"/>
    <dgm:cxn modelId="{0EFFBC44-23AB-3C42-BF71-220D79167587}" type="presParOf" srcId="{275BA5CC-AD17-FC4B-A185-6C8BA10CEEB0}" destId="{D80A4E0A-27F6-924E-979E-C37C7189177A}" srcOrd="6" destOrd="0" presId="urn:microsoft.com/office/officeart/2005/8/layout/target1"/>
    <dgm:cxn modelId="{74DB546E-F74D-F545-9DCC-51241EF91E7F}" type="presParOf" srcId="{275BA5CC-AD17-FC4B-A185-6C8BA10CEEB0}" destId="{324053E0-F1DC-2E4A-B000-5A9054CB01AE}" srcOrd="7" destOrd="0" presId="urn:microsoft.com/office/officeart/2005/8/layout/target1"/>
    <dgm:cxn modelId="{00C65A23-B5F2-8C47-B922-CE1E9DC22FF0}" type="presParOf" srcId="{275BA5CC-AD17-FC4B-A185-6C8BA10CEEB0}" destId="{D9218D38-CFCA-AF4C-8917-AC4E6A3B322C}" srcOrd="8" destOrd="0" presId="urn:microsoft.com/office/officeart/2005/8/layout/target1"/>
    <dgm:cxn modelId="{7DA754C5-70E9-8349-8A2A-854A061B95F0}" type="presParOf" srcId="{275BA5CC-AD17-FC4B-A185-6C8BA10CEEB0}" destId="{1250808D-9697-B444-99A5-CD6BAD04DA3C}" srcOrd="9" destOrd="0" presId="urn:microsoft.com/office/officeart/2005/8/layout/target1"/>
    <dgm:cxn modelId="{1903D215-F99B-B64F-9632-354D7A6C12DA}" type="presParOf" srcId="{275BA5CC-AD17-FC4B-A185-6C8BA10CEEB0}" destId="{F50C2C03-81BA-B244-B26B-A4C03A744D49}" srcOrd="10" destOrd="0" presId="urn:microsoft.com/office/officeart/2005/8/layout/target1"/>
    <dgm:cxn modelId="{5348860D-F210-8F48-8100-D1C71C6B5979}" type="presParOf" srcId="{275BA5CC-AD17-FC4B-A185-6C8BA10CEEB0}" destId="{ECE3B1DB-3DF9-2C49-A230-DE4C64924E0A}" srcOrd="11" destOrd="0" presId="urn:microsoft.com/office/officeart/2005/8/layout/target1"/>
  </dgm:cxnLst>
  <dgm:bg/>
  <dgm:whole/>
  <dgm:extLst>
    <a:ext uri="http://schemas.microsoft.com/office/drawing/2008/diagram">
      <dsp:dataModelExt xmlns:dsp="http://schemas.microsoft.com/office/drawing/2008/diagram" relId="rId51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96D0EF3-8D3B-3D4C-925D-B0B2F8C1F5FF}" type="doc">
      <dgm:prSet loTypeId="urn:microsoft.com/office/officeart/2005/8/layout/target1" loCatId="" qsTypeId="urn:microsoft.com/office/officeart/2005/8/quickstyle/simple1" qsCatId="simple" csTypeId="urn:microsoft.com/office/officeart/2005/8/colors/accent1_2" csCatId="accent1" phldr="1"/>
      <dgm:spPr/>
    </dgm:pt>
    <dgm:pt modelId="{60393632-CC16-884D-94E9-4456625C80FA}">
      <dgm:prSet phldrT="[Text]" custT="1"/>
      <dgm:spPr/>
      <dgm:t>
        <a:bodyPr/>
        <a:lstStyle/>
        <a:p>
          <a:r>
            <a:rPr lang="en-GB" sz="1200"/>
            <a:t>The teacher holding the student</a:t>
          </a:r>
        </a:p>
      </dgm:t>
    </dgm:pt>
    <dgm:pt modelId="{DD231BD4-09B5-AC44-BF91-B04EA86E45EA}" type="parTrans" cxnId="{4B784F85-C00E-B74E-9194-272494DAAA72}">
      <dgm:prSet/>
      <dgm:spPr/>
      <dgm:t>
        <a:bodyPr/>
        <a:lstStyle/>
        <a:p>
          <a:endParaRPr lang="en-GB"/>
        </a:p>
      </dgm:t>
    </dgm:pt>
    <dgm:pt modelId="{8A7A414C-2C08-9246-8965-701ACFE9B7B3}" type="sibTrans" cxnId="{4B784F85-C00E-B74E-9194-272494DAAA72}">
      <dgm:prSet/>
      <dgm:spPr/>
      <dgm:t>
        <a:bodyPr/>
        <a:lstStyle/>
        <a:p>
          <a:endParaRPr lang="en-GB"/>
        </a:p>
      </dgm:t>
    </dgm:pt>
    <dgm:pt modelId="{170EA97F-D096-4145-B431-41E88FE30BC1}">
      <dgm:prSet phldrT="[Text]" custT="1"/>
      <dgm:spPr/>
      <dgm:t>
        <a:bodyPr/>
        <a:lstStyle/>
        <a:p>
          <a:r>
            <a:rPr lang="en-GB" sz="1200"/>
            <a:t>The university       holding the teacher, holding the student</a:t>
          </a:r>
        </a:p>
      </dgm:t>
    </dgm:pt>
    <dgm:pt modelId="{94F32523-EB49-9A4C-8564-55408C8C88AE}" type="parTrans" cxnId="{58772EF1-7887-3241-B936-55258105CAB9}">
      <dgm:prSet/>
      <dgm:spPr/>
      <dgm:t>
        <a:bodyPr/>
        <a:lstStyle/>
        <a:p>
          <a:endParaRPr lang="en-GB"/>
        </a:p>
      </dgm:t>
    </dgm:pt>
    <dgm:pt modelId="{DFFA1A58-6247-494D-BFE9-5AB644E77F3D}" type="sibTrans" cxnId="{58772EF1-7887-3241-B936-55258105CAB9}">
      <dgm:prSet/>
      <dgm:spPr/>
      <dgm:t>
        <a:bodyPr/>
        <a:lstStyle/>
        <a:p>
          <a:endParaRPr lang="en-GB"/>
        </a:p>
      </dgm:t>
    </dgm:pt>
    <dgm:pt modelId="{16D6A2E9-082B-C14D-9C4B-E285FCCBE2E3}">
      <dgm:prSet phldrT="[Text]" custT="1"/>
      <dgm:spPr/>
      <dgm:t>
        <a:bodyPr/>
        <a:lstStyle/>
        <a:p>
          <a:endParaRPr lang="en-GB" sz="1200"/>
        </a:p>
        <a:p>
          <a:endParaRPr lang="en-GB" sz="1200"/>
        </a:p>
        <a:p>
          <a:r>
            <a:rPr lang="en-GB" sz="1200"/>
            <a:t>Society holding the         university, the university holding the teacher, the teacher holding the student</a:t>
          </a:r>
        </a:p>
      </dgm:t>
    </dgm:pt>
    <dgm:pt modelId="{878CC5A4-2D89-F040-A25C-D93ED8BDE39C}" type="parTrans" cxnId="{EF2BC8A4-1DD9-0F40-8017-A72B65C23B3D}">
      <dgm:prSet/>
      <dgm:spPr/>
      <dgm:t>
        <a:bodyPr/>
        <a:lstStyle/>
        <a:p>
          <a:endParaRPr lang="en-GB"/>
        </a:p>
      </dgm:t>
    </dgm:pt>
    <dgm:pt modelId="{135E64CD-3F97-A14B-AFCF-8A119D9EC74C}" type="sibTrans" cxnId="{EF2BC8A4-1DD9-0F40-8017-A72B65C23B3D}">
      <dgm:prSet/>
      <dgm:spPr/>
      <dgm:t>
        <a:bodyPr/>
        <a:lstStyle/>
        <a:p>
          <a:endParaRPr lang="en-GB"/>
        </a:p>
      </dgm:t>
    </dgm:pt>
    <dgm:pt modelId="{2DA12511-A0DD-0440-BD93-BA3A336B3F80}" type="pres">
      <dgm:prSet presAssocID="{696D0EF3-8D3B-3D4C-925D-B0B2F8C1F5FF}" presName="composite" presStyleCnt="0">
        <dgm:presLayoutVars>
          <dgm:chMax val="5"/>
          <dgm:dir/>
          <dgm:resizeHandles val="exact"/>
        </dgm:presLayoutVars>
      </dgm:prSet>
      <dgm:spPr/>
    </dgm:pt>
    <dgm:pt modelId="{010463F2-08AC-9D42-ADA5-9E143A4DF715}" type="pres">
      <dgm:prSet presAssocID="{60393632-CC16-884D-94E9-4456625C80FA}" presName="circle1" presStyleLbl="lnNode1" presStyleIdx="0" presStyleCnt="3"/>
      <dgm:spPr/>
    </dgm:pt>
    <dgm:pt modelId="{60519C87-E32B-194E-A025-C9D370EEA5B2}" type="pres">
      <dgm:prSet presAssocID="{60393632-CC16-884D-94E9-4456625C80FA}" presName="text1" presStyleLbl="revTx" presStyleIdx="0" presStyleCnt="3">
        <dgm:presLayoutVars>
          <dgm:bulletEnabled val="1"/>
        </dgm:presLayoutVars>
      </dgm:prSet>
      <dgm:spPr/>
    </dgm:pt>
    <dgm:pt modelId="{EA145874-0C10-7E49-9A7A-2A26396ED3A8}" type="pres">
      <dgm:prSet presAssocID="{60393632-CC16-884D-94E9-4456625C80FA}" presName="line1" presStyleLbl="callout" presStyleIdx="0" presStyleCnt="6"/>
      <dgm:spPr/>
    </dgm:pt>
    <dgm:pt modelId="{92D27D6B-6670-7142-AD3B-A3541ACF39B0}" type="pres">
      <dgm:prSet presAssocID="{60393632-CC16-884D-94E9-4456625C80FA}" presName="d1" presStyleLbl="callout" presStyleIdx="1" presStyleCnt="6"/>
      <dgm:spPr/>
    </dgm:pt>
    <dgm:pt modelId="{A1E6FA09-AD2B-3446-9337-0954A251F6B9}" type="pres">
      <dgm:prSet presAssocID="{170EA97F-D096-4145-B431-41E88FE30BC1}" presName="circle2" presStyleLbl="lnNode1" presStyleIdx="1" presStyleCnt="3"/>
      <dgm:spPr/>
    </dgm:pt>
    <dgm:pt modelId="{A1E81CBD-08A1-F14F-B367-37B8937709E1}" type="pres">
      <dgm:prSet presAssocID="{170EA97F-D096-4145-B431-41E88FE30BC1}" presName="text2" presStyleLbl="revTx" presStyleIdx="1" presStyleCnt="3" custScaleX="118385" custScaleY="69894" custLinFactNeighborX="4267">
        <dgm:presLayoutVars>
          <dgm:bulletEnabled val="1"/>
        </dgm:presLayoutVars>
      </dgm:prSet>
      <dgm:spPr/>
    </dgm:pt>
    <dgm:pt modelId="{F813BF5A-E3BC-E94D-B9F3-7EFCEC337AB7}" type="pres">
      <dgm:prSet presAssocID="{170EA97F-D096-4145-B431-41E88FE30BC1}" presName="line2" presStyleLbl="callout" presStyleIdx="2" presStyleCnt="6" custLinFactY="-104800" custLinFactNeighborY="-200000"/>
      <dgm:spPr/>
    </dgm:pt>
    <dgm:pt modelId="{FADE4559-787C-9440-9A9E-275390BD7F96}" type="pres">
      <dgm:prSet presAssocID="{170EA97F-D096-4145-B431-41E88FE30BC1}" presName="d2" presStyleLbl="callout" presStyleIdx="3" presStyleCnt="6" custLinFactNeighborY="-7966"/>
      <dgm:spPr/>
    </dgm:pt>
    <dgm:pt modelId="{9419A9C1-81BF-0C43-812E-1BE885424223}" type="pres">
      <dgm:prSet presAssocID="{16D6A2E9-082B-C14D-9C4B-E285FCCBE2E3}" presName="circle3" presStyleLbl="lnNode1" presStyleIdx="2" presStyleCnt="3"/>
      <dgm:spPr/>
    </dgm:pt>
    <dgm:pt modelId="{0A96B98B-73A7-FD4E-B560-BCB8405408F2}" type="pres">
      <dgm:prSet presAssocID="{16D6A2E9-082B-C14D-9C4B-E285FCCBE2E3}" presName="text3" presStyleLbl="revTx" presStyleIdx="2" presStyleCnt="3" custScaleX="107440" custScaleY="82040">
        <dgm:presLayoutVars>
          <dgm:bulletEnabled val="1"/>
        </dgm:presLayoutVars>
      </dgm:prSet>
      <dgm:spPr/>
    </dgm:pt>
    <dgm:pt modelId="{021E1DCB-2909-0643-8648-22130F7F2241}" type="pres">
      <dgm:prSet presAssocID="{16D6A2E9-082B-C14D-9C4B-E285FCCBE2E3}" presName="line3" presStyleLbl="callout" presStyleIdx="4" presStyleCnt="6"/>
      <dgm:spPr/>
    </dgm:pt>
    <dgm:pt modelId="{E5E58B2A-9842-9B4C-AEB9-32CAF58662C7}" type="pres">
      <dgm:prSet presAssocID="{16D6A2E9-082B-C14D-9C4B-E285FCCBE2E3}" presName="d3" presStyleLbl="callout" presStyleIdx="5" presStyleCnt="6"/>
      <dgm:spPr/>
    </dgm:pt>
  </dgm:ptLst>
  <dgm:cxnLst>
    <dgm:cxn modelId="{BC6C5A08-9755-904B-B1EA-A3E83C6D495F}" type="presOf" srcId="{170EA97F-D096-4145-B431-41E88FE30BC1}" destId="{A1E81CBD-08A1-F14F-B367-37B8937709E1}" srcOrd="0" destOrd="0" presId="urn:microsoft.com/office/officeart/2005/8/layout/target1"/>
    <dgm:cxn modelId="{4B784F85-C00E-B74E-9194-272494DAAA72}" srcId="{696D0EF3-8D3B-3D4C-925D-B0B2F8C1F5FF}" destId="{60393632-CC16-884D-94E9-4456625C80FA}" srcOrd="0" destOrd="0" parTransId="{DD231BD4-09B5-AC44-BF91-B04EA86E45EA}" sibTransId="{8A7A414C-2C08-9246-8965-701ACFE9B7B3}"/>
    <dgm:cxn modelId="{DDEA7285-FC39-B846-85F1-34AD09C9567E}" type="presOf" srcId="{16D6A2E9-082B-C14D-9C4B-E285FCCBE2E3}" destId="{0A96B98B-73A7-FD4E-B560-BCB8405408F2}" srcOrd="0" destOrd="0" presId="urn:microsoft.com/office/officeart/2005/8/layout/target1"/>
    <dgm:cxn modelId="{EF2BC8A4-1DD9-0F40-8017-A72B65C23B3D}" srcId="{696D0EF3-8D3B-3D4C-925D-B0B2F8C1F5FF}" destId="{16D6A2E9-082B-C14D-9C4B-E285FCCBE2E3}" srcOrd="2" destOrd="0" parTransId="{878CC5A4-2D89-F040-A25C-D93ED8BDE39C}" sibTransId="{135E64CD-3F97-A14B-AFCF-8A119D9EC74C}"/>
    <dgm:cxn modelId="{627F22C6-80D8-784F-926D-7B72A5F895E6}" type="presOf" srcId="{60393632-CC16-884D-94E9-4456625C80FA}" destId="{60519C87-E32B-194E-A025-C9D370EEA5B2}" srcOrd="0" destOrd="0" presId="urn:microsoft.com/office/officeart/2005/8/layout/target1"/>
    <dgm:cxn modelId="{16F15CEB-CC1B-5E47-A6E3-1C073EFEACEA}" type="presOf" srcId="{696D0EF3-8D3B-3D4C-925D-B0B2F8C1F5FF}" destId="{2DA12511-A0DD-0440-BD93-BA3A336B3F80}" srcOrd="0" destOrd="0" presId="urn:microsoft.com/office/officeart/2005/8/layout/target1"/>
    <dgm:cxn modelId="{58772EF1-7887-3241-B936-55258105CAB9}" srcId="{696D0EF3-8D3B-3D4C-925D-B0B2F8C1F5FF}" destId="{170EA97F-D096-4145-B431-41E88FE30BC1}" srcOrd="1" destOrd="0" parTransId="{94F32523-EB49-9A4C-8564-55408C8C88AE}" sibTransId="{DFFA1A58-6247-494D-BFE9-5AB644E77F3D}"/>
    <dgm:cxn modelId="{553E07B1-1AFE-5747-9D78-669BC32675C9}" type="presParOf" srcId="{2DA12511-A0DD-0440-BD93-BA3A336B3F80}" destId="{010463F2-08AC-9D42-ADA5-9E143A4DF715}" srcOrd="0" destOrd="0" presId="urn:microsoft.com/office/officeart/2005/8/layout/target1"/>
    <dgm:cxn modelId="{40BED46C-4B29-0A46-A4FF-DE2355559861}" type="presParOf" srcId="{2DA12511-A0DD-0440-BD93-BA3A336B3F80}" destId="{60519C87-E32B-194E-A025-C9D370EEA5B2}" srcOrd="1" destOrd="0" presId="urn:microsoft.com/office/officeart/2005/8/layout/target1"/>
    <dgm:cxn modelId="{08921FE0-A98E-8243-AB72-D0AFADE7E6F4}" type="presParOf" srcId="{2DA12511-A0DD-0440-BD93-BA3A336B3F80}" destId="{EA145874-0C10-7E49-9A7A-2A26396ED3A8}" srcOrd="2" destOrd="0" presId="urn:microsoft.com/office/officeart/2005/8/layout/target1"/>
    <dgm:cxn modelId="{D542842B-0300-504C-A8DF-3DB8FE857EE5}" type="presParOf" srcId="{2DA12511-A0DD-0440-BD93-BA3A336B3F80}" destId="{92D27D6B-6670-7142-AD3B-A3541ACF39B0}" srcOrd="3" destOrd="0" presId="urn:microsoft.com/office/officeart/2005/8/layout/target1"/>
    <dgm:cxn modelId="{8E435FD3-28E4-7845-A193-E737A4A55670}" type="presParOf" srcId="{2DA12511-A0DD-0440-BD93-BA3A336B3F80}" destId="{A1E6FA09-AD2B-3446-9337-0954A251F6B9}" srcOrd="4" destOrd="0" presId="urn:microsoft.com/office/officeart/2005/8/layout/target1"/>
    <dgm:cxn modelId="{8BA8319E-3859-C441-9894-0913EA10D5C4}" type="presParOf" srcId="{2DA12511-A0DD-0440-BD93-BA3A336B3F80}" destId="{A1E81CBD-08A1-F14F-B367-37B8937709E1}" srcOrd="5" destOrd="0" presId="urn:microsoft.com/office/officeart/2005/8/layout/target1"/>
    <dgm:cxn modelId="{2368BCF0-AD13-394D-A959-890EE4EBFB09}" type="presParOf" srcId="{2DA12511-A0DD-0440-BD93-BA3A336B3F80}" destId="{F813BF5A-E3BC-E94D-B9F3-7EFCEC337AB7}" srcOrd="6" destOrd="0" presId="urn:microsoft.com/office/officeart/2005/8/layout/target1"/>
    <dgm:cxn modelId="{5F21140B-2473-324F-84F9-22E1861816BA}" type="presParOf" srcId="{2DA12511-A0DD-0440-BD93-BA3A336B3F80}" destId="{FADE4559-787C-9440-9A9E-275390BD7F96}" srcOrd="7" destOrd="0" presId="urn:microsoft.com/office/officeart/2005/8/layout/target1"/>
    <dgm:cxn modelId="{0BB102F5-9C6D-CD47-ABAC-B14E3AD82D23}" type="presParOf" srcId="{2DA12511-A0DD-0440-BD93-BA3A336B3F80}" destId="{9419A9C1-81BF-0C43-812E-1BE885424223}" srcOrd="8" destOrd="0" presId="urn:microsoft.com/office/officeart/2005/8/layout/target1"/>
    <dgm:cxn modelId="{9535294F-E929-6741-BC61-99E05D7A4A20}" type="presParOf" srcId="{2DA12511-A0DD-0440-BD93-BA3A336B3F80}" destId="{0A96B98B-73A7-FD4E-B560-BCB8405408F2}" srcOrd="9" destOrd="0" presId="urn:microsoft.com/office/officeart/2005/8/layout/target1"/>
    <dgm:cxn modelId="{75A3A0CF-EE62-FA4C-A0BE-87C00D70D962}" type="presParOf" srcId="{2DA12511-A0DD-0440-BD93-BA3A336B3F80}" destId="{021E1DCB-2909-0643-8648-22130F7F2241}" srcOrd="10" destOrd="0" presId="urn:microsoft.com/office/officeart/2005/8/layout/target1"/>
    <dgm:cxn modelId="{866EA8EB-B0D4-E242-AD0B-1FF8B74AB179}" type="presParOf" srcId="{2DA12511-A0DD-0440-BD93-BA3A336B3F80}" destId="{E5E58B2A-9842-9B4C-AEB9-32CAF58662C7}" srcOrd="11" destOrd="0" presId="urn:microsoft.com/office/officeart/2005/8/layout/target1"/>
  </dgm:cxnLst>
  <dgm:bg/>
  <dgm:whole/>
  <dgm:extLst>
    <a:ext uri="http://schemas.microsoft.com/office/drawing/2008/diagram">
      <dsp:dataModelExt xmlns:dsp="http://schemas.microsoft.com/office/drawing/2008/diagram" relId="rId52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497EB18-335C-4E70-AC6B-0A8542D1C719}" type="doc">
      <dgm:prSet loTypeId="urn:microsoft.com/office/officeart/2005/8/layout/process4" loCatId="process" qsTypeId="urn:microsoft.com/office/officeart/2005/8/quickstyle/simple1" qsCatId="simple" csTypeId="urn:microsoft.com/office/officeart/2005/8/colors/accent5_1" csCatId="accent5" phldr="1"/>
      <dgm:spPr/>
      <dgm:t>
        <a:bodyPr/>
        <a:lstStyle/>
        <a:p>
          <a:endParaRPr lang="en-GB"/>
        </a:p>
      </dgm:t>
    </dgm:pt>
    <dgm:pt modelId="{4044FD4B-F0B2-478B-8254-7CFA6C65BC49}">
      <dgm:prSet phldrT="[Text]" custT="1"/>
      <dgm:spPr>
        <a:xfrm rot="10800000">
          <a:off x="0" y="0"/>
          <a:ext cx="5836919" cy="3226498"/>
        </a:xfrm>
        <a:prstGeom prst="upArrowCallou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Data Analyis Process</a:t>
          </a:r>
        </a:p>
      </dgm:t>
    </dgm:pt>
    <dgm:pt modelId="{FCDBB7C4-EA91-428D-B40C-3720A056B3F9}" type="parTrans" cxnId="{47F805C4-7B72-47D7-BB09-F7F3A362A550}">
      <dgm:prSet/>
      <dgm:spPr/>
      <dgm:t>
        <a:bodyPr/>
        <a:lstStyle/>
        <a:p>
          <a:endParaRPr lang="en-GB"/>
        </a:p>
      </dgm:t>
    </dgm:pt>
    <dgm:pt modelId="{260E911D-5D2C-4AFB-8282-0A8615F4C5F4}" type="sibTrans" cxnId="{47F805C4-7B72-47D7-BB09-F7F3A362A550}">
      <dgm:prSet/>
      <dgm:spPr/>
      <dgm:t>
        <a:bodyPr/>
        <a:lstStyle/>
        <a:p>
          <a:endParaRPr lang="en-GB"/>
        </a:p>
      </dgm:t>
    </dgm:pt>
    <dgm:pt modelId="{E1D6F964-AE3A-459F-9BDA-F7D0618591B7}">
      <dgm:prSet phldrT="[Text]" custT="1"/>
      <dgm:spPr>
        <a:xfrm>
          <a:off x="1498" y="1051103"/>
          <a:ext cx="3032680" cy="1128079"/>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Transcription</a:t>
          </a:r>
        </a:p>
      </dgm:t>
    </dgm:pt>
    <dgm:pt modelId="{9631BC6B-801C-4C55-B63C-4EBD67DC28E9}" type="parTrans" cxnId="{D546DA21-7CCB-4361-9575-E570561D7740}">
      <dgm:prSet/>
      <dgm:spPr/>
      <dgm:t>
        <a:bodyPr/>
        <a:lstStyle/>
        <a:p>
          <a:endParaRPr lang="en-GB"/>
        </a:p>
      </dgm:t>
    </dgm:pt>
    <dgm:pt modelId="{E0D4655C-F196-4546-9B7C-ED421C92D4CF}" type="sibTrans" cxnId="{D546DA21-7CCB-4361-9575-E570561D7740}">
      <dgm:prSet/>
      <dgm:spPr/>
      <dgm:t>
        <a:bodyPr/>
        <a:lstStyle/>
        <a:p>
          <a:endParaRPr lang="en-GB"/>
        </a:p>
      </dgm:t>
    </dgm:pt>
    <dgm:pt modelId="{002F00FD-B441-41C9-A518-54EB7BB6CB5A}">
      <dgm:prSet phldrT="[Text]" custT="1"/>
      <dgm:spPr>
        <a:xfrm>
          <a:off x="3034178" y="1032142"/>
          <a:ext cx="2801242" cy="1166002"/>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transcription was generated automatically after each interview and corrections were made by the researcher to ensure accuracy of language. This was shared with participants to check for accuracy.</a:t>
          </a:r>
        </a:p>
      </dgm:t>
    </dgm:pt>
    <dgm:pt modelId="{CC749461-BEEE-4974-955E-5E173B94D133}" type="parTrans" cxnId="{9D0F3994-74E3-4E8E-9F3C-9FE568481E37}">
      <dgm:prSet/>
      <dgm:spPr/>
      <dgm:t>
        <a:bodyPr/>
        <a:lstStyle/>
        <a:p>
          <a:endParaRPr lang="en-GB"/>
        </a:p>
      </dgm:t>
    </dgm:pt>
    <dgm:pt modelId="{C3E66B71-8631-4671-8840-EA2BA580236B}" type="sibTrans" cxnId="{9D0F3994-74E3-4E8E-9F3C-9FE568481E37}">
      <dgm:prSet/>
      <dgm:spPr/>
      <dgm:t>
        <a:bodyPr/>
        <a:lstStyle/>
        <a:p>
          <a:endParaRPr lang="en-GB"/>
        </a:p>
      </dgm:t>
    </dgm:pt>
    <dgm:pt modelId="{FAA890E9-555E-4568-9210-EF26A4D8C5E4}">
      <dgm:prSet phldrT="[Text]" custT="1"/>
      <dgm:spPr>
        <a:xfrm rot="10800000">
          <a:off x="0" y="3195311"/>
          <a:ext cx="5836919" cy="3226498"/>
        </a:xfrm>
        <a:prstGeom prst="upArrowCallou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Familiarisation and noting salient thoughts and ideas of interest across the data set</a:t>
          </a:r>
        </a:p>
      </dgm:t>
    </dgm:pt>
    <dgm:pt modelId="{8230431D-7C72-4C8D-8564-01DBD3C8ABA7}" type="parTrans" cxnId="{EE305070-B048-41A5-B714-CEC5C1110EB3}">
      <dgm:prSet/>
      <dgm:spPr/>
      <dgm:t>
        <a:bodyPr/>
        <a:lstStyle/>
        <a:p>
          <a:endParaRPr lang="en-GB"/>
        </a:p>
      </dgm:t>
    </dgm:pt>
    <dgm:pt modelId="{1378F1DB-DFAE-4A6D-9BEB-0C8B073757A9}" type="sibTrans" cxnId="{EE305070-B048-41A5-B714-CEC5C1110EB3}">
      <dgm:prSet/>
      <dgm:spPr/>
      <dgm:t>
        <a:bodyPr/>
        <a:lstStyle/>
        <a:p>
          <a:endParaRPr lang="en-GB"/>
        </a:p>
      </dgm:t>
    </dgm:pt>
    <dgm:pt modelId="{D998E3C4-BCDA-4E94-A534-B50B9D2207F0}">
      <dgm:prSet phldrT="[Text]" custT="1"/>
      <dgm:spPr>
        <a:xfrm>
          <a:off x="0" y="4305488"/>
          <a:ext cx="2918460" cy="964723"/>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a:t>
          </a:r>
          <a:r>
            <a:rPr lang="en-GB" sz="1050" baseline="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 research questions, aims and transcriptions were re-read several times. Interview recordings listened to over a period of six months</a:t>
          </a:r>
          <a:endPar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endParaRPr>
        </a:p>
      </dgm:t>
    </dgm:pt>
    <dgm:pt modelId="{78BFD022-CAEE-47B0-B296-78626FEDEB74}" type="parTrans" cxnId="{016FFC1E-AFDE-4D66-8DA5-7C713F3273E1}">
      <dgm:prSet/>
      <dgm:spPr/>
      <dgm:t>
        <a:bodyPr/>
        <a:lstStyle/>
        <a:p>
          <a:endParaRPr lang="en-GB"/>
        </a:p>
      </dgm:t>
    </dgm:pt>
    <dgm:pt modelId="{4F0B3BFA-3485-4AAD-A438-B085E229A573}" type="sibTrans" cxnId="{016FFC1E-AFDE-4D66-8DA5-7C713F3273E1}">
      <dgm:prSet/>
      <dgm:spPr/>
      <dgm:t>
        <a:bodyPr/>
        <a:lstStyle/>
        <a:p>
          <a:endParaRPr lang="en-GB"/>
        </a:p>
      </dgm:t>
    </dgm:pt>
    <dgm:pt modelId="{ECA0A67C-0195-4270-B42A-9EE5DF588088}">
      <dgm:prSet phldrT="[Text]" custT="1"/>
      <dgm:spPr>
        <a:xfrm>
          <a:off x="2918460" y="4305040"/>
          <a:ext cx="2918460" cy="1010267"/>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Explanatory notes made whilst listening to the recordings and rereading the transcripts. Salient comments highlighted in colour coding. Visual aids created in the form of diagrams on flipchart paper. Mind maps created</a:t>
          </a:r>
        </a:p>
      </dgm:t>
    </dgm:pt>
    <dgm:pt modelId="{78F30A43-92A4-4EE5-9B0D-56117AE492AC}" type="parTrans" cxnId="{37E09064-1902-4002-B885-C6829DBA9601}">
      <dgm:prSet/>
      <dgm:spPr/>
      <dgm:t>
        <a:bodyPr/>
        <a:lstStyle/>
        <a:p>
          <a:endParaRPr lang="en-GB"/>
        </a:p>
      </dgm:t>
    </dgm:pt>
    <dgm:pt modelId="{7924DDC7-005E-454B-8CBA-AE29FE9EBD17}" type="sibTrans" cxnId="{37E09064-1902-4002-B885-C6829DBA9601}">
      <dgm:prSet/>
      <dgm:spPr/>
      <dgm:t>
        <a:bodyPr/>
        <a:lstStyle/>
        <a:p>
          <a:endParaRPr lang="en-GB"/>
        </a:p>
      </dgm:t>
    </dgm:pt>
    <dgm:pt modelId="{B9974D73-91C9-4436-BC78-D0FEA7F85333}">
      <dgm:prSet phldrT="[Text]" custT="1"/>
      <dgm:spPr>
        <a:xfrm>
          <a:off x="0" y="6390342"/>
          <a:ext cx="5836919" cy="2075196"/>
        </a:xfrm>
        <a:prstGeom prst="rec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Themes identified</a:t>
          </a:r>
        </a:p>
      </dgm:t>
    </dgm:pt>
    <dgm:pt modelId="{D581ADA0-3F13-458A-A141-9C5AB5BA91F4}" type="parTrans" cxnId="{CC2EF235-8669-4C7C-89CB-E5765BC3BDA9}">
      <dgm:prSet/>
      <dgm:spPr/>
      <dgm:t>
        <a:bodyPr/>
        <a:lstStyle/>
        <a:p>
          <a:endParaRPr lang="en-GB"/>
        </a:p>
      </dgm:t>
    </dgm:pt>
    <dgm:pt modelId="{A1305098-FCC6-430A-812E-AC28072527FF}" type="sibTrans" cxnId="{CC2EF235-8669-4C7C-89CB-E5765BC3BDA9}">
      <dgm:prSet/>
      <dgm:spPr/>
      <dgm:t>
        <a:bodyPr/>
        <a:lstStyle/>
        <a:p>
          <a:endParaRPr lang="en-GB"/>
        </a:p>
      </dgm:t>
    </dgm:pt>
    <dgm:pt modelId="{47475969-B7EA-448B-BE2B-AD57B2EDEAFC}">
      <dgm:prSet phldrT="[Text]" custT="1"/>
      <dgm:spPr>
        <a:xfrm>
          <a:off x="23" y="7469897"/>
          <a:ext cx="2941260" cy="965012"/>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Mind maps created, synopsis and miniature case studies, more notes in colour coding to identify themes</a:t>
          </a:r>
        </a:p>
      </dgm:t>
    </dgm:pt>
    <dgm:pt modelId="{CC5836EE-9D04-4685-8D4D-362FED04E4E4}" type="parTrans" cxnId="{4E9DF19C-5C22-41A4-8E8E-7BF650C71571}">
      <dgm:prSet/>
      <dgm:spPr/>
      <dgm:t>
        <a:bodyPr/>
        <a:lstStyle/>
        <a:p>
          <a:endParaRPr lang="en-GB"/>
        </a:p>
      </dgm:t>
    </dgm:pt>
    <dgm:pt modelId="{A3D6BC47-EDCE-4E33-B295-8418EE30EB17}" type="sibTrans" cxnId="{4E9DF19C-5C22-41A4-8E8E-7BF650C71571}">
      <dgm:prSet/>
      <dgm:spPr/>
      <dgm:t>
        <a:bodyPr/>
        <a:lstStyle/>
        <a:p>
          <a:endParaRPr lang="en-GB"/>
        </a:p>
      </dgm:t>
    </dgm:pt>
    <dgm:pt modelId="{F00002F6-86A3-4A62-BC07-6D44BCD5DB7A}">
      <dgm:prSet phldrT="[Text]" custT="1"/>
      <dgm:spPr>
        <a:xfrm>
          <a:off x="2941284" y="7464097"/>
          <a:ext cx="2895612" cy="976611"/>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Relevant themes to address the research questions were noticed, then refined and defined resulting in five main themes.  Themes subsequently presented in the analysis chapter</a:t>
          </a:r>
        </a:p>
      </dgm:t>
    </dgm:pt>
    <dgm:pt modelId="{3AD09CF0-06CE-467C-868A-4908552C10E7}" type="parTrans" cxnId="{3D6B846A-10AA-4135-8FF3-BC88CDD2D73F}">
      <dgm:prSet/>
      <dgm:spPr/>
      <dgm:t>
        <a:bodyPr/>
        <a:lstStyle/>
        <a:p>
          <a:endParaRPr lang="en-GB"/>
        </a:p>
      </dgm:t>
    </dgm:pt>
    <dgm:pt modelId="{3D1FF8CA-AF09-481B-9A1B-F8CF85D279A2}" type="sibTrans" cxnId="{3D6B846A-10AA-4135-8FF3-BC88CDD2D73F}">
      <dgm:prSet/>
      <dgm:spPr/>
      <dgm:t>
        <a:bodyPr/>
        <a:lstStyle/>
        <a:p>
          <a:endParaRPr lang="en-GB"/>
        </a:p>
      </dgm:t>
    </dgm:pt>
    <dgm:pt modelId="{047A3C1D-7707-44DF-B795-661BFB474132}" type="pres">
      <dgm:prSet presAssocID="{F497EB18-335C-4E70-AC6B-0A8542D1C719}" presName="Name0" presStyleCnt="0">
        <dgm:presLayoutVars>
          <dgm:dir/>
          <dgm:animLvl val="lvl"/>
          <dgm:resizeHandles val="exact"/>
        </dgm:presLayoutVars>
      </dgm:prSet>
      <dgm:spPr/>
    </dgm:pt>
    <dgm:pt modelId="{1811DF6C-675A-48E1-A231-74488F9293C7}" type="pres">
      <dgm:prSet presAssocID="{B9974D73-91C9-4436-BC78-D0FEA7F85333}" presName="boxAndChildren" presStyleCnt="0"/>
      <dgm:spPr/>
    </dgm:pt>
    <dgm:pt modelId="{0B636F29-2E73-4309-9B33-1203608BD8E4}" type="pres">
      <dgm:prSet presAssocID="{B9974D73-91C9-4436-BC78-D0FEA7F85333}" presName="parentTextBox" presStyleLbl="node1" presStyleIdx="0" presStyleCnt="3"/>
      <dgm:spPr/>
    </dgm:pt>
    <dgm:pt modelId="{54B02C57-4677-4C59-83C1-B225973D8F6D}" type="pres">
      <dgm:prSet presAssocID="{B9974D73-91C9-4436-BC78-D0FEA7F85333}" presName="entireBox" presStyleLbl="node1" presStyleIdx="0" presStyleCnt="3" custScaleY="98920"/>
      <dgm:spPr/>
    </dgm:pt>
    <dgm:pt modelId="{993EB468-37A3-4A21-8779-7BEF84F4CF19}" type="pres">
      <dgm:prSet presAssocID="{B9974D73-91C9-4436-BC78-D0FEA7F85333}" presName="descendantBox" presStyleCnt="0"/>
      <dgm:spPr/>
    </dgm:pt>
    <dgm:pt modelId="{21469BD4-A5D1-4E1E-A3F2-B94FF9A8BC60}" type="pres">
      <dgm:prSet presAssocID="{47475969-B7EA-448B-BE2B-AD57B2EDEAFC}" presName="childTextBox" presStyleLbl="fgAccFollowNode1" presStyleIdx="0" presStyleCnt="6">
        <dgm:presLayoutVars>
          <dgm:bulletEnabled val="1"/>
        </dgm:presLayoutVars>
      </dgm:prSet>
      <dgm:spPr/>
    </dgm:pt>
    <dgm:pt modelId="{1DE30191-9356-4C07-ACAB-DC0457AFB45B}" type="pres">
      <dgm:prSet presAssocID="{F00002F6-86A3-4A62-BC07-6D44BCD5DB7A}" presName="childTextBox" presStyleLbl="fgAccFollowNode1" presStyleIdx="1" presStyleCnt="6" custScaleX="98448" custScaleY="101202">
        <dgm:presLayoutVars>
          <dgm:bulletEnabled val="1"/>
        </dgm:presLayoutVars>
      </dgm:prSet>
      <dgm:spPr/>
    </dgm:pt>
    <dgm:pt modelId="{024A39B7-880A-405B-939F-1E8B4EA6BDC7}" type="pres">
      <dgm:prSet presAssocID="{1378F1DB-DFAE-4A6D-9BEB-0C8B073757A9}" presName="sp" presStyleCnt="0"/>
      <dgm:spPr/>
    </dgm:pt>
    <dgm:pt modelId="{89E3D5C3-6502-42A7-AE5C-7A59202B367E}" type="pres">
      <dgm:prSet presAssocID="{FAA890E9-555E-4568-9210-EF26A4D8C5E4}" presName="arrowAndChildren" presStyleCnt="0"/>
      <dgm:spPr/>
    </dgm:pt>
    <dgm:pt modelId="{C9B15537-2E22-42C4-A520-B4109C8D802B}" type="pres">
      <dgm:prSet presAssocID="{FAA890E9-555E-4568-9210-EF26A4D8C5E4}" presName="parentTextArrow" presStyleLbl="node1" presStyleIdx="0" presStyleCnt="3"/>
      <dgm:spPr/>
    </dgm:pt>
    <dgm:pt modelId="{A2AB9004-A1E4-4CCE-A87D-1ED0621EFAE6}" type="pres">
      <dgm:prSet presAssocID="{FAA890E9-555E-4568-9210-EF26A4D8C5E4}" presName="arrow" presStyleLbl="node1" presStyleIdx="1" presStyleCnt="3"/>
      <dgm:spPr/>
    </dgm:pt>
    <dgm:pt modelId="{55946991-322B-4A37-B8D4-4DBD159A76AB}" type="pres">
      <dgm:prSet presAssocID="{FAA890E9-555E-4568-9210-EF26A4D8C5E4}" presName="descendantArrow" presStyleCnt="0"/>
      <dgm:spPr/>
    </dgm:pt>
    <dgm:pt modelId="{71D999B3-1D8E-4144-B3E1-2C316DDFD665}" type="pres">
      <dgm:prSet presAssocID="{D998E3C4-BCDA-4E94-A534-B50B9D2207F0}" presName="childTextArrow" presStyleLbl="fgAccFollowNode1" presStyleIdx="2" presStyleCnt="6" custLinFactNeighborY="-2314">
        <dgm:presLayoutVars>
          <dgm:bulletEnabled val="1"/>
        </dgm:presLayoutVars>
      </dgm:prSet>
      <dgm:spPr/>
    </dgm:pt>
    <dgm:pt modelId="{90FCAAEC-5F59-4687-AEF5-97B7D72168A3}" type="pres">
      <dgm:prSet presAssocID="{ECA0A67C-0195-4270-B42A-9EE5DF588088}" presName="childTextArrow" presStyleLbl="fgAccFollowNode1" presStyleIdx="3" presStyleCnt="6" custScaleY="104721">
        <dgm:presLayoutVars>
          <dgm:bulletEnabled val="1"/>
        </dgm:presLayoutVars>
      </dgm:prSet>
      <dgm:spPr/>
    </dgm:pt>
    <dgm:pt modelId="{3F79F53D-D0F1-444F-A7F8-21E7F6CD49B9}" type="pres">
      <dgm:prSet presAssocID="{260E911D-5D2C-4AFB-8282-0A8615F4C5F4}" presName="sp" presStyleCnt="0"/>
      <dgm:spPr/>
    </dgm:pt>
    <dgm:pt modelId="{EB2614B9-C08F-46C2-8C74-5F80643DF503}" type="pres">
      <dgm:prSet presAssocID="{4044FD4B-F0B2-478B-8254-7CFA6C65BC49}" presName="arrowAndChildren" presStyleCnt="0"/>
      <dgm:spPr/>
    </dgm:pt>
    <dgm:pt modelId="{B9E7A371-CC6E-4730-A09F-0E610F47F3D1}" type="pres">
      <dgm:prSet presAssocID="{4044FD4B-F0B2-478B-8254-7CFA6C65BC49}" presName="parentTextArrow" presStyleLbl="node1" presStyleIdx="1" presStyleCnt="3"/>
      <dgm:spPr/>
    </dgm:pt>
    <dgm:pt modelId="{7BCF4BDA-183A-4432-8086-CA5B1DA34238}" type="pres">
      <dgm:prSet presAssocID="{4044FD4B-F0B2-478B-8254-7CFA6C65BC49}" presName="arrow" presStyleLbl="node1" presStyleIdx="2" presStyleCnt="3" custScaleY="125701" custLinFactNeighborX="-133" custLinFactNeighborY="7688"/>
      <dgm:spPr/>
    </dgm:pt>
    <dgm:pt modelId="{74CD3A59-5D30-4D1F-973A-997BCA5D6EA4}" type="pres">
      <dgm:prSet presAssocID="{4044FD4B-F0B2-478B-8254-7CFA6C65BC49}" presName="descendantArrow" presStyleCnt="0"/>
      <dgm:spPr/>
    </dgm:pt>
    <dgm:pt modelId="{8557CEE1-D564-49C1-B331-5CB98E4EB087}" type="pres">
      <dgm:prSet presAssocID="{E1D6F964-AE3A-459F-9BDA-F7D0618591B7}" presName="childTextArrow" presStyleLbl="fgAccFollowNode1" presStyleIdx="4" presStyleCnt="6" custScaleX="105773" custScaleY="116933">
        <dgm:presLayoutVars>
          <dgm:bulletEnabled val="1"/>
        </dgm:presLayoutVars>
      </dgm:prSet>
      <dgm:spPr/>
    </dgm:pt>
    <dgm:pt modelId="{CFFE300A-4189-4A09-BD68-A5AD2FF7B660}" type="pres">
      <dgm:prSet presAssocID="{002F00FD-B441-41C9-A518-54EB7BB6CB5A}" presName="childTextArrow" presStyleLbl="fgAccFollowNode1" presStyleIdx="5" presStyleCnt="6" custScaleX="97701" custScaleY="120864">
        <dgm:presLayoutVars>
          <dgm:bulletEnabled val="1"/>
        </dgm:presLayoutVars>
      </dgm:prSet>
      <dgm:spPr/>
    </dgm:pt>
  </dgm:ptLst>
  <dgm:cxnLst>
    <dgm:cxn modelId="{26251708-71FF-4A2B-8813-21996B0B6AFA}" type="presOf" srcId="{B9974D73-91C9-4436-BC78-D0FEA7F85333}" destId="{54B02C57-4677-4C59-83C1-B225973D8F6D}" srcOrd="1" destOrd="0" presId="urn:microsoft.com/office/officeart/2005/8/layout/process4"/>
    <dgm:cxn modelId="{B2EAD60D-A74E-4FD9-A49E-5C62855166B8}" type="presOf" srcId="{F497EB18-335C-4E70-AC6B-0A8542D1C719}" destId="{047A3C1D-7707-44DF-B795-661BFB474132}" srcOrd="0" destOrd="0" presId="urn:microsoft.com/office/officeart/2005/8/layout/process4"/>
    <dgm:cxn modelId="{ACFD2F0E-002B-488D-AC36-BA75C9CE27F4}" type="presOf" srcId="{4044FD4B-F0B2-478B-8254-7CFA6C65BC49}" destId="{7BCF4BDA-183A-4432-8086-CA5B1DA34238}" srcOrd="1" destOrd="0" presId="urn:microsoft.com/office/officeart/2005/8/layout/process4"/>
    <dgm:cxn modelId="{016FFC1E-AFDE-4D66-8DA5-7C713F3273E1}" srcId="{FAA890E9-555E-4568-9210-EF26A4D8C5E4}" destId="{D998E3C4-BCDA-4E94-A534-B50B9D2207F0}" srcOrd="0" destOrd="0" parTransId="{78BFD022-CAEE-47B0-B296-78626FEDEB74}" sibTransId="{4F0B3BFA-3485-4AAD-A438-B085E229A573}"/>
    <dgm:cxn modelId="{D546DA21-7CCB-4361-9575-E570561D7740}" srcId="{4044FD4B-F0B2-478B-8254-7CFA6C65BC49}" destId="{E1D6F964-AE3A-459F-9BDA-F7D0618591B7}" srcOrd="0" destOrd="0" parTransId="{9631BC6B-801C-4C55-B63C-4EBD67DC28E9}" sibTransId="{E0D4655C-F196-4546-9B7C-ED421C92D4CF}"/>
    <dgm:cxn modelId="{8C2E9122-3606-437B-B1B4-694D955DB3E1}" type="presOf" srcId="{FAA890E9-555E-4568-9210-EF26A4D8C5E4}" destId="{C9B15537-2E22-42C4-A520-B4109C8D802B}" srcOrd="0" destOrd="0" presId="urn:microsoft.com/office/officeart/2005/8/layout/process4"/>
    <dgm:cxn modelId="{CC2EF235-8669-4C7C-89CB-E5765BC3BDA9}" srcId="{F497EB18-335C-4E70-AC6B-0A8542D1C719}" destId="{B9974D73-91C9-4436-BC78-D0FEA7F85333}" srcOrd="2" destOrd="0" parTransId="{D581ADA0-3F13-458A-A141-9C5AB5BA91F4}" sibTransId="{A1305098-FCC6-430A-812E-AC28072527FF}"/>
    <dgm:cxn modelId="{37E09064-1902-4002-B885-C6829DBA9601}" srcId="{FAA890E9-555E-4568-9210-EF26A4D8C5E4}" destId="{ECA0A67C-0195-4270-B42A-9EE5DF588088}" srcOrd="1" destOrd="0" parTransId="{78F30A43-92A4-4EE5-9B0D-56117AE492AC}" sibTransId="{7924DDC7-005E-454B-8CBA-AE29FE9EBD17}"/>
    <dgm:cxn modelId="{BCA21269-60F2-4839-8695-9AC4F1979579}" type="presOf" srcId="{F00002F6-86A3-4A62-BC07-6D44BCD5DB7A}" destId="{1DE30191-9356-4C07-ACAB-DC0457AFB45B}" srcOrd="0" destOrd="0" presId="urn:microsoft.com/office/officeart/2005/8/layout/process4"/>
    <dgm:cxn modelId="{03FFB369-F54B-436D-9B08-547119F415B1}" type="presOf" srcId="{4044FD4B-F0B2-478B-8254-7CFA6C65BC49}" destId="{B9E7A371-CC6E-4730-A09F-0E610F47F3D1}" srcOrd="0" destOrd="0" presId="urn:microsoft.com/office/officeart/2005/8/layout/process4"/>
    <dgm:cxn modelId="{AD74456A-E3E3-4E8F-BA3B-88F09B13B75E}" type="presOf" srcId="{E1D6F964-AE3A-459F-9BDA-F7D0618591B7}" destId="{8557CEE1-D564-49C1-B331-5CB98E4EB087}" srcOrd="0" destOrd="0" presId="urn:microsoft.com/office/officeart/2005/8/layout/process4"/>
    <dgm:cxn modelId="{3D6B846A-10AA-4135-8FF3-BC88CDD2D73F}" srcId="{B9974D73-91C9-4436-BC78-D0FEA7F85333}" destId="{F00002F6-86A3-4A62-BC07-6D44BCD5DB7A}" srcOrd="1" destOrd="0" parTransId="{3AD09CF0-06CE-467C-868A-4908552C10E7}" sibTransId="{3D1FF8CA-AF09-481B-9A1B-F8CF85D279A2}"/>
    <dgm:cxn modelId="{EE305070-B048-41A5-B714-CEC5C1110EB3}" srcId="{F497EB18-335C-4E70-AC6B-0A8542D1C719}" destId="{FAA890E9-555E-4568-9210-EF26A4D8C5E4}" srcOrd="1" destOrd="0" parTransId="{8230431D-7C72-4C8D-8564-01DBD3C8ABA7}" sibTransId="{1378F1DB-DFAE-4A6D-9BEB-0C8B073757A9}"/>
    <dgm:cxn modelId="{59BC7554-EE62-4FD1-953C-68629BBEBD55}" type="presOf" srcId="{FAA890E9-555E-4568-9210-EF26A4D8C5E4}" destId="{A2AB9004-A1E4-4CCE-A87D-1ED0621EFAE6}" srcOrd="1" destOrd="0" presId="urn:microsoft.com/office/officeart/2005/8/layout/process4"/>
    <dgm:cxn modelId="{9D0F3994-74E3-4E8E-9F3C-9FE568481E37}" srcId="{4044FD4B-F0B2-478B-8254-7CFA6C65BC49}" destId="{002F00FD-B441-41C9-A518-54EB7BB6CB5A}" srcOrd="1" destOrd="0" parTransId="{CC749461-BEEE-4974-955E-5E173B94D133}" sibTransId="{C3E66B71-8631-4671-8840-EA2BA580236B}"/>
    <dgm:cxn modelId="{4E9DF19C-5C22-41A4-8E8E-7BF650C71571}" srcId="{B9974D73-91C9-4436-BC78-D0FEA7F85333}" destId="{47475969-B7EA-448B-BE2B-AD57B2EDEAFC}" srcOrd="0" destOrd="0" parTransId="{CC5836EE-9D04-4685-8D4D-362FED04E4E4}" sibTransId="{A3D6BC47-EDCE-4E33-B295-8418EE30EB17}"/>
    <dgm:cxn modelId="{594F47B2-2F75-4F8C-AECF-55C9045264C3}" type="presOf" srcId="{47475969-B7EA-448B-BE2B-AD57B2EDEAFC}" destId="{21469BD4-A5D1-4E1E-A3F2-B94FF9A8BC60}" srcOrd="0" destOrd="0" presId="urn:microsoft.com/office/officeart/2005/8/layout/process4"/>
    <dgm:cxn modelId="{121E60BE-3E98-4C9F-9FBD-11D33DCE92EC}" type="presOf" srcId="{D998E3C4-BCDA-4E94-A534-B50B9D2207F0}" destId="{71D999B3-1D8E-4144-B3E1-2C316DDFD665}" srcOrd="0" destOrd="0" presId="urn:microsoft.com/office/officeart/2005/8/layout/process4"/>
    <dgm:cxn modelId="{47F805C4-7B72-47D7-BB09-F7F3A362A550}" srcId="{F497EB18-335C-4E70-AC6B-0A8542D1C719}" destId="{4044FD4B-F0B2-478B-8254-7CFA6C65BC49}" srcOrd="0" destOrd="0" parTransId="{FCDBB7C4-EA91-428D-B40C-3720A056B3F9}" sibTransId="{260E911D-5D2C-4AFB-8282-0A8615F4C5F4}"/>
    <dgm:cxn modelId="{38C1B6D4-2AEB-456A-951B-7D653724CA45}" type="presOf" srcId="{ECA0A67C-0195-4270-B42A-9EE5DF588088}" destId="{90FCAAEC-5F59-4687-AEF5-97B7D72168A3}" srcOrd="0" destOrd="0" presId="urn:microsoft.com/office/officeart/2005/8/layout/process4"/>
    <dgm:cxn modelId="{E85AD3DA-0CE7-45FC-B9C4-B1BBEA3F9300}" type="presOf" srcId="{B9974D73-91C9-4436-BC78-D0FEA7F85333}" destId="{0B636F29-2E73-4309-9B33-1203608BD8E4}" srcOrd="0" destOrd="0" presId="urn:microsoft.com/office/officeart/2005/8/layout/process4"/>
    <dgm:cxn modelId="{5B1988E4-DEDA-4EB8-A9C3-4355A45FE9C6}" type="presOf" srcId="{002F00FD-B441-41C9-A518-54EB7BB6CB5A}" destId="{CFFE300A-4189-4A09-BD68-A5AD2FF7B660}" srcOrd="0" destOrd="0" presId="urn:microsoft.com/office/officeart/2005/8/layout/process4"/>
    <dgm:cxn modelId="{BFE44EDA-FE3D-47C5-9CE7-1BA89C04E32D}" type="presParOf" srcId="{047A3C1D-7707-44DF-B795-661BFB474132}" destId="{1811DF6C-675A-48E1-A231-74488F9293C7}" srcOrd="0" destOrd="0" presId="urn:microsoft.com/office/officeart/2005/8/layout/process4"/>
    <dgm:cxn modelId="{DE74A921-767E-443A-805D-76B478D397AE}" type="presParOf" srcId="{1811DF6C-675A-48E1-A231-74488F9293C7}" destId="{0B636F29-2E73-4309-9B33-1203608BD8E4}" srcOrd="0" destOrd="0" presId="urn:microsoft.com/office/officeart/2005/8/layout/process4"/>
    <dgm:cxn modelId="{D6F1E076-BA07-4939-AC4F-D1860BA23AA2}" type="presParOf" srcId="{1811DF6C-675A-48E1-A231-74488F9293C7}" destId="{54B02C57-4677-4C59-83C1-B225973D8F6D}" srcOrd="1" destOrd="0" presId="urn:microsoft.com/office/officeart/2005/8/layout/process4"/>
    <dgm:cxn modelId="{644C8391-12A4-4637-BCE8-22E493AE2B0D}" type="presParOf" srcId="{1811DF6C-675A-48E1-A231-74488F9293C7}" destId="{993EB468-37A3-4A21-8779-7BEF84F4CF19}" srcOrd="2" destOrd="0" presId="urn:microsoft.com/office/officeart/2005/8/layout/process4"/>
    <dgm:cxn modelId="{EAE9B81A-B8F7-4E13-8CD2-C7215953A453}" type="presParOf" srcId="{993EB468-37A3-4A21-8779-7BEF84F4CF19}" destId="{21469BD4-A5D1-4E1E-A3F2-B94FF9A8BC60}" srcOrd="0" destOrd="0" presId="urn:microsoft.com/office/officeart/2005/8/layout/process4"/>
    <dgm:cxn modelId="{CBBD5A16-8EE8-46E8-BE6A-5899F7337131}" type="presParOf" srcId="{993EB468-37A3-4A21-8779-7BEF84F4CF19}" destId="{1DE30191-9356-4C07-ACAB-DC0457AFB45B}" srcOrd="1" destOrd="0" presId="urn:microsoft.com/office/officeart/2005/8/layout/process4"/>
    <dgm:cxn modelId="{37D69D5D-1ACD-49A4-A901-004D12C44DE1}" type="presParOf" srcId="{047A3C1D-7707-44DF-B795-661BFB474132}" destId="{024A39B7-880A-405B-939F-1E8B4EA6BDC7}" srcOrd="1" destOrd="0" presId="urn:microsoft.com/office/officeart/2005/8/layout/process4"/>
    <dgm:cxn modelId="{B0095466-A31C-4829-8CB4-78B686F0E99E}" type="presParOf" srcId="{047A3C1D-7707-44DF-B795-661BFB474132}" destId="{89E3D5C3-6502-42A7-AE5C-7A59202B367E}" srcOrd="2" destOrd="0" presId="urn:microsoft.com/office/officeart/2005/8/layout/process4"/>
    <dgm:cxn modelId="{24AC5FA5-49C7-4EC8-896E-8F9DDE5BEC48}" type="presParOf" srcId="{89E3D5C3-6502-42A7-AE5C-7A59202B367E}" destId="{C9B15537-2E22-42C4-A520-B4109C8D802B}" srcOrd="0" destOrd="0" presId="urn:microsoft.com/office/officeart/2005/8/layout/process4"/>
    <dgm:cxn modelId="{E3E2A82A-230B-4425-A2C7-19351505D612}" type="presParOf" srcId="{89E3D5C3-6502-42A7-AE5C-7A59202B367E}" destId="{A2AB9004-A1E4-4CCE-A87D-1ED0621EFAE6}" srcOrd="1" destOrd="0" presId="urn:microsoft.com/office/officeart/2005/8/layout/process4"/>
    <dgm:cxn modelId="{3C5D71FD-F59D-4FBD-AECE-51168D7454BE}" type="presParOf" srcId="{89E3D5C3-6502-42A7-AE5C-7A59202B367E}" destId="{55946991-322B-4A37-B8D4-4DBD159A76AB}" srcOrd="2" destOrd="0" presId="urn:microsoft.com/office/officeart/2005/8/layout/process4"/>
    <dgm:cxn modelId="{69DE81E5-746F-49CC-ABB3-049F7CA30C9A}" type="presParOf" srcId="{55946991-322B-4A37-B8D4-4DBD159A76AB}" destId="{71D999B3-1D8E-4144-B3E1-2C316DDFD665}" srcOrd="0" destOrd="0" presId="urn:microsoft.com/office/officeart/2005/8/layout/process4"/>
    <dgm:cxn modelId="{82AB3A74-4992-49AC-92DC-06A8467AD51B}" type="presParOf" srcId="{55946991-322B-4A37-B8D4-4DBD159A76AB}" destId="{90FCAAEC-5F59-4687-AEF5-97B7D72168A3}" srcOrd="1" destOrd="0" presId="urn:microsoft.com/office/officeart/2005/8/layout/process4"/>
    <dgm:cxn modelId="{88327087-82F6-4829-9813-37A42DBE161F}" type="presParOf" srcId="{047A3C1D-7707-44DF-B795-661BFB474132}" destId="{3F79F53D-D0F1-444F-A7F8-21E7F6CD49B9}" srcOrd="3" destOrd="0" presId="urn:microsoft.com/office/officeart/2005/8/layout/process4"/>
    <dgm:cxn modelId="{E91C6B6B-3C84-40DC-A35F-E48FB326B1A9}" type="presParOf" srcId="{047A3C1D-7707-44DF-B795-661BFB474132}" destId="{EB2614B9-C08F-46C2-8C74-5F80643DF503}" srcOrd="4" destOrd="0" presId="urn:microsoft.com/office/officeart/2005/8/layout/process4"/>
    <dgm:cxn modelId="{329C86AD-E582-4FEE-B92F-AF0817320D83}" type="presParOf" srcId="{EB2614B9-C08F-46C2-8C74-5F80643DF503}" destId="{B9E7A371-CC6E-4730-A09F-0E610F47F3D1}" srcOrd="0" destOrd="0" presId="urn:microsoft.com/office/officeart/2005/8/layout/process4"/>
    <dgm:cxn modelId="{B9B04504-E67A-4A3E-85C8-4FDD1AB6287A}" type="presParOf" srcId="{EB2614B9-C08F-46C2-8C74-5F80643DF503}" destId="{7BCF4BDA-183A-4432-8086-CA5B1DA34238}" srcOrd="1" destOrd="0" presId="urn:microsoft.com/office/officeart/2005/8/layout/process4"/>
    <dgm:cxn modelId="{28E41673-ED9D-40F1-96BA-82C2F7C7B8B9}" type="presParOf" srcId="{EB2614B9-C08F-46C2-8C74-5F80643DF503}" destId="{74CD3A59-5D30-4D1F-973A-997BCA5D6EA4}" srcOrd="2" destOrd="0" presId="urn:microsoft.com/office/officeart/2005/8/layout/process4"/>
    <dgm:cxn modelId="{24F025F2-E051-4132-A64A-E6AE73CD1772}" type="presParOf" srcId="{74CD3A59-5D30-4D1F-973A-997BCA5D6EA4}" destId="{8557CEE1-D564-49C1-B331-5CB98E4EB087}" srcOrd="0" destOrd="0" presId="urn:microsoft.com/office/officeart/2005/8/layout/process4"/>
    <dgm:cxn modelId="{939B86FA-8D50-4826-9BCB-2A398A48378F}" type="presParOf" srcId="{74CD3A59-5D30-4D1F-973A-997BCA5D6EA4}" destId="{CFFE300A-4189-4A09-BD68-A5AD2FF7B660}" srcOrd="1" destOrd="0" presId="urn:microsoft.com/office/officeart/2005/8/layout/process4"/>
  </dgm:cxnLst>
  <dgm:bg/>
  <dgm:whole/>
  <dgm:extLst>
    <a:ext uri="http://schemas.microsoft.com/office/drawing/2008/diagram">
      <dsp:dataModelExt xmlns:dsp="http://schemas.microsoft.com/office/drawing/2008/diagram" relId="rId533"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56C3E72C-D9CD-4CE5-BC33-960759BBFF8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A08504D-10E3-4027-8B6E-5619732A7050}">
      <dgm:prSet phldrT="[Text]"/>
      <dgm:spPr/>
      <dgm:t>
        <a:bodyPr/>
        <a:lstStyle/>
        <a:p>
          <a:r>
            <a:rPr lang="en-GB" sz="1600"/>
            <a:t>A p</a:t>
          </a:r>
          <a:r>
            <a:rPr lang="en-GB"/>
            <a:t>rofessional</a:t>
          </a:r>
          <a:r>
            <a:rPr lang="en-GB" sz="1600"/>
            <a:t> life memoir </a:t>
          </a:r>
        </a:p>
      </dgm:t>
    </dgm:pt>
    <dgm:pt modelId="{B4FEA4B6-FFCC-49B8-B552-9635555417E2}" type="parTrans" cxnId="{BE777A0A-522B-4CA1-940F-454035C92CF8}">
      <dgm:prSet/>
      <dgm:spPr/>
      <dgm:t>
        <a:bodyPr/>
        <a:lstStyle/>
        <a:p>
          <a:endParaRPr lang="en-GB"/>
        </a:p>
      </dgm:t>
    </dgm:pt>
    <dgm:pt modelId="{F3617B10-33A4-4526-B530-C9CC0F1F7048}" type="sibTrans" cxnId="{BE777A0A-522B-4CA1-940F-454035C92CF8}">
      <dgm:prSet/>
      <dgm:spPr/>
      <dgm:t>
        <a:bodyPr/>
        <a:lstStyle/>
        <a:p>
          <a:endParaRPr lang="en-GB"/>
        </a:p>
      </dgm:t>
    </dgm:pt>
    <dgm:pt modelId="{B87AA359-9E4A-4CD6-9E97-0EF2F8EC92FD}">
      <dgm:prSet phldrT="[Text]"/>
      <dgm:spPr/>
      <dgm:t>
        <a:bodyPr/>
        <a:lstStyle/>
        <a:p>
          <a:r>
            <a:rPr lang="en-GB"/>
            <a:t> Reminiscence</a:t>
          </a:r>
        </a:p>
      </dgm:t>
    </dgm:pt>
    <dgm:pt modelId="{DF55A5B7-51EF-44FF-8843-E465914DC162}" type="parTrans" cxnId="{B8C7D30F-167A-476D-A184-DDE3CCB58F48}">
      <dgm:prSet/>
      <dgm:spPr/>
      <dgm:t>
        <a:bodyPr/>
        <a:lstStyle/>
        <a:p>
          <a:endParaRPr lang="en-GB"/>
        </a:p>
      </dgm:t>
    </dgm:pt>
    <dgm:pt modelId="{3EF02F1C-73FE-43E6-84A0-FA306046D9B3}" type="sibTrans" cxnId="{B8C7D30F-167A-476D-A184-DDE3CCB58F48}">
      <dgm:prSet/>
      <dgm:spPr/>
      <dgm:t>
        <a:bodyPr/>
        <a:lstStyle/>
        <a:p>
          <a:endParaRPr lang="en-GB"/>
        </a:p>
      </dgm:t>
    </dgm:pt>
    <dgm:pt modelId="{FFB3B671-58C0-4211-85FF-DE5C26912162}">
      <dgm:prSet phldrT="[Text]"/>
      <dgm:spPr/>
      <dgm:t>
        <a:bodyPr/>
        <a:lstStyle/>
        <a:p>
          <a:r>
            <a:rPr lang="en-GB"/>
            <a:t>Analytical reminiscence</a:t>
          </a:r>
        </a:p>
      </dgm:t>
    </dgm:pt>
    <dgm:pt modelId="{A33A3F11-1F7C-4F01-A8E0-180040C6360B}" type="parTrans" cxnId="{355215C9-D0F3-4802-A778-2497A179E545}">
      <dgm:prSet/>
      <dgm:spPr/>
      <dgm:t>
        <a:bodyPr/>
        <a:lstStyle/>
        <a:p>
          <a:endParaRPr lang="en-GB"/>
        </a:p>
      </dgm:t>
    </dgm:pt>
    <dgm:pt modelId="{2CB1198C-527D-42B4-8C05-B5F5D0E18D2B}" type="sibTrans" cxnId="{355215C9-D0F3-4802-A778-2497A179E545}">
      <dgm:prSet/>
      <dgm:spPr/>
      <dgm:t>
        <a:bodyPr/>
        <a:lstStyle/>
        <a:p>
          <a:endParaRPr lang="en-GB"/>
        </a:p>
      </dgm:t>
    </dgm:pt>
    <dgm:pt modelId="{1961832E-AFD5-433D-8EFD-B1AF2024CB58}">
      <dgm:prSet phldrT="[Text]"/>
      <dgm:spPr/>
      <dgm:t>
        <a:bodyPr/>
        <a:lstStyle/>
        <a:p>
          <a:r>
            <a:rPr lang="en-GB"/>
            <a:t>The learning and future learning</a:t>
          </a:r>
        </a:p>
      </dgm:t>
    </dgm:pt>
    <dgm:pt modelId="{266C9D10-FC69-488A-A927-4A8E1EAEBE65}" type="parTrans" cxnId="{D3EA4AFE-C965-48FC-925C-37CC07B121CC}">
      <dgm:prSet/>
      <dgm:spPr/>
      <dgm:t>
        <a:bodyPr/>
        <a:lstStyle/>
        <a:p>
          <a:endParaRPr lang="en-GB"/>
        </a:p>
      </dgm:t>
    </dgm:pt>
    <dgm:pt modelId="{B59C74C7-C2DC-4152-95EB-382D85765F47}" type="sibTrans" cxnId="{D3EA4AFE-C965-48FC-925C-37CC07B121CC}">
      <dgm:prSet/>
      <dgm:spPr/>
      <dgm:t>
        <a:bodyPr/>
        <a:lstStyle/>
        <a:p>
          <a:endParaRPr lang="en-GB"/>
        </a:p>
      </dgm:t>
    </dgm:pt>
    <dgm:pt modelId="{FA80A73F-0B31-4DD0-90EC-6E290C1437EF}" type="pres">
      <dgm:prSet presAssocID="{56C3E72C-D9CD-4CE5-BC33-960759BBFF80}" presName="hierChild1" presStyleCnt="0">
        <dgm:presLayoutVars>
          <dgm:orgChart val="1"/>
          <dgm:chPref val="1"/>
          <dgm:dir/>
          <dgm:animOne val="branch"/>
          <dgm:animLvl val="lvl"/>
          <dgm:resizeHandles/>
        </dgm:presLayoutVars>
      </dgm:prSet>
      <dgm:spPr/>
    </dgm:pt>
    <dgm:pt modelId="{DF508955-08F1-4BAD-8499-CCD0DB33DF9A}" type="pres">
      <dgm:prSet presAssocID="{6A08504D-10E3-4027-8B6E-5619732A7050}" presName="hierRoot1" presStyleCnt="0">
        <dgm:presLayoutVars>
          <dgm:hierBranch val="init"/>
        </dgm:presLayoutVars>
      </dgm:prSet>
      <dgm:spPr/>
    </dgm:pt>
    <dgm:pt modelId="{C68B8CE9-CFA2-41BB-91AB-94B71176BD95}" type="pres">
      <dgm:prSet presAssocID="{6A08504D-10E3-4027-8B6E-5619732A7050}" presName="rootComposite1" presStyleCnt="0"/>
      <dgm:spPr/>
    </dgm:pt>
    <dgm:pt modelId="{7DD39F5E-8EBA-4A46-B5BF-1D3FC9C19C5F}" type="pres">
      <dgm:prSet presAssocID="{6A08504D-10E3-4027-8B6E-5619732A7050}" presName="rootText1" presStyleLbl="node0" presStyleIdx="0" presStyleCnt="1">
        <dgm:presLayoutVars>
          <dgm:chPref val="3"/>
        </dgm:presLayoutVars>
      </dgm:prSet>
      <dgm:spPr/>
    </dgm:pt>
    <dgm:pt modelId="{94C00306-B147-40FC-BC0D-ECD44BEADC31}" type="pres">
      <dgm:prSet presAssocID="{6A08504D-10E3-4027-8B6E-5619732A7050}" presName="rootConnector1" presStyleLbl="node1" presStyleIdx="0" presStyleCnt="0"/>
      <dgm:spPr/>
    </dgm:pt>
    <dgm:pt modelId="{4F6FDC9A-184B-43E9-A2FB-562A7FE44FAA}" type="pres">
      <dgm:prSet presAssocID="{6A08504D-10E3-4027-8B6E-5619732A7050}" presName="hierChild2" presStyleCnt="0"/>
      <dgm:spPr/>
    </dgm:pt>
    <dgm:pt modelId="{37C04F39-AB98-46EF-98AD-50BA897A9600}" type="pres">
      <dgm:prSet presAssocID="{DF55A5B7-51EF-44FF-8843-E465914DC162}" presName="Name37" presStyleLbl="parChTrans1D2" presStyleIdx="0" presStyleCnt="3"/>
      <dgm:spPr/>
    </dgm:pt>
    <dgm:pt modelId="{F26AF44A-A261-4424-916C-A2FBA621F381}" type="pres">
      <dgm:prSet presAssocID="{B87AA359-9E4A-4CD6-9E97-0EF2F8EC92FD}" presName="hierRoot2" presStyleCnt="0">
        <dgm:presLayoutVars>
          <dgm:hierBranch val="init"/>
        </dgm:presLayoutVars>
      </dgm:prSet>
      <dgm:spPr/>
    </dgm:pt>
    <dgm:pt modelId="{213CE2B2-4BF4-4C14-B93A-D5F7067FAAAF}" type="pres">
      <dgm:prSet presAssocID="{B87AA359-9E4A-4CD6-9E97-0EF2F8EC92FD}" presName="rootComposite" presStyleCnt="0"/>
      <dgm:spPr/>
    </dgm:pt>
    <dgm:pt modelId="{104B6D2B-49E5-4035-8AF7-C5F5620B11C2}" type="pres">
      <dgm:prSet presAssocID="{B87AA359-9E4A-4CD6-9E97-0EF2F8EC92FD}" presName="rootText" presStyleLbl="node2" presStyleIdx="0" presStyleCnt="3">
        <dgm:presLayoutVars>
          <dgm:chPref val="3"/>
        </dgm:presLayoutVars>
      </dgm:prSet>
      <dgm:spPr/>
    </dgm:pt>
    <dgm:pt modelId="{1D716EEA-A080-4AED-9A24-46201118D33C}" type="pres">
      <dgm:prSet presAssocID="{B87AA359-9E4A-4CD6-9E97-0EF2F8EC92FD}" presName="rootConnector" presStyleLbl="node2" presStyleIdx="0" presStyleCnt="3"/>
      <dgm:spPr/>
    </dgm:pt>
    <dgm:pt modelId="{1357EB59-7E7F-4D74-A829-0EBCB17DB2E3}" type="pres">
      <dgm:prSet presAssocID="{B87AA359-9E4A-4CD6-9E97-0EF2F8EC92FD}" presName="hierChild4" presStyleCnt="0"/>
      <dgm:spPr/>
    </dgm:pt>
    <dgm:pt modelId="{DDDCD2BE-BBE8-4043-A61F-5F6980F4292C}" type="pres">
      <dgm:prSet presAssocID="{B87AA359-9E4A-4CD6-9E97-0EF2F8EC92FD}" presName="hierChild5" presStyleCnt="0"/>
      <dgm:spPr/>
    </dgm:pt>
    <dgm:pt modelId="{64042E9D-44E2-4EFF-A889-761E27741077}" type="pres">
      <dgm:prSet presAssocID="{A33A3F11-1F7C-4F01-A8E0-180040C6360B}" presName="Name37" presStyleLbl="parChTrans1D2" presStyleIdx="1" presStyleCnt="3"/>
      <dgm:spPr/>
    </dgm:pt>
    <dgm:pt modelId="{0DB6485B-E78E-4E02-9DDA-F1EBE01727DF}" type="pres">
      <dgm:prSet presAssocID="{FFB3B671-58C0-4211-85FF-DE5C26912162}" presName="hierRoot2" presStyleCnt="0">
        <dgm:presLayoutVars>
          <dgm:hierBranch val="init"/>
        </dgm:presLayoutVars>
      </dgm:prSet>
      <dgm:spPr/>
    </dgm:pt>
    <dgm:pt modelId="{923BCE4E-893A-4817-9CFC-35727C8484DB}" type="pres">
      <dgm:prSet presAssocID="{FFB3B671-58C0-4211-85FF-DE5C26912162}" presName="rootComposite" presStyleCnt="0"/>
      <dgm:spPr/>
    </dgm:pt>
    <dgm:pt modelId="{B79D8C30-1597-44B1-A51C-22D2BBCF0181}" type="pres">
      <dgm:prSet presAssocID="{FFB3B671-58C0-4211-85FF-DE5C26912162}" presName="rootText" presStyleLbl="node2" presStyleIdx="1" presStyleCnt="3">
        <dgm:presLayoutVars>
          <dgm:chPref val="3"/>
        </dgm:presLayoutVars>
      </dgm:prSet>
      <dgm:spPr/>
    </dgm:pt>
    <dgm:pt modelId="{2347D237-682A-48D4-BDE5-0D142754FB45}" type="pres">
      <dgm:prSet presAssocID="{FFB3B671-58C0-4211-85FF-DE5C26912162}" presName="rootConnector" presStyleLbl="node2" presStyleIdx="1" presStyleCnt="3"/>
      <dgm:spPr/>
    </dgm:pt>
    <dgm:pt modelId="{97294825-50BA-40C1-A4C9-3985440AF7E6}" type="pres">
      <dgm:prSet presAssocID="{FFB3B671-58C0-4211-85FF-DE5C26912162}" presName="hierChild4" presStyleCnt="0"/>
      <dgm:spPr/>
    </dgm:pt>
    <dgm:pt modelId="{9E280D2F-354E-49D9-963D-9313D3CAAEE2}" type="pres">
      <dgm:prSet presAssocID="{FFB3B671-58C0-4211-85FF-DE5C26912162}" presName="hierChild5" presStyleCnt="0"/>
      <dgm:spPr/>
    </dgm:pt>
    <dgm:pt modelId="{8B0346E7-8756-429C-A6E3-7C6C90B7EE99}" type="pres">
      <dgm:prSet presAssocID="{266C9D10-FC69-488A-A927-4A8E1EAEBE65}" presName="Name37" presStyleLbl="parChTrans1D2" presStyleIdx="2" presStyleCnt="3"/>
      <dgm:spPr/>
    </dgm:pt>
    <dgm:pt modelId="{B5CD4B24-B6D2-407D-A42A-028D9CBF079C}" type="pres">
      <dgm:prSet presAssocID="{1961832E-AFD5-433D-8EFD-B1AF2024CB58}" presName="hierRoot2" presStyleCnt="0">
        <dgm:presLayoutVars>
          <dgm:hierBranch val="init"/>
        </dgm:presLayoutVars>
      </dgm:prSet>
      <dgm:spPr/>
    </dgm:pt>
    <dgm:pt modelId="{320F74ED-365D-45DF-B5B4-472267130492}" type="pres">
      <dgm:prSet presAssocID="{1961832E-AFD5-433D-8EFD-B1AF2024CB58}" presName="rootComposite" presStyleCnt="0"/>
      <dgm:spPr/>
    </dgm:pt>
    <dgm:pt modelId="{1B7C3016-646C-4A66-9633-A3D9AC9EF16F}" type="pres">
      <dgm:prSet presAssocID="{1961832E-AFD5-433D-8EFD-B1AF2024CB58}" presName="rootText" presStyleLbl="node2" presStyleIdx="2" presStyleCnt="3">
        <dgm:presLayoutVars>
          <dgm:chPref val="3"/>
        </dgm:presLayoutVars>
      </dgm:prSet>
      <dgm:spPr/>
    </dgm:pt>
    <dgm:pt modelId="{0403672E-2886-4FE4-A75D-0AF8AC4E48C4}" type="pres">
      <dgm:prSet presAssocID="{1961832E-AFD5-433D-8EFD-B1AF2024CB58}" presName="rootConnector" presStyleLbl="node2" presStyleIdx="2" presStyleCnt="3"/>
      <dgm:spPr/>
    </dgm:pt>
    <dgm:pt modelId="{19D5AF89-05AD-427E-87CA-473D1AE5FEF1}" type="pres">
      <dgm:prSet presAssocID="{1961832E-AFD5-433D-8EFD-B1AF2024CB58}" presName="hierChild4" presStyleCnt="0"/>
      <dgm:spPr/>
    </dgm:pt>
    <dgm:pt modelId="{F34B998F-1EFD-41DA-B69B-0381739C6365}" type="pres">
      <dgm:prSet presAssocID="{1961832E-AFD5-433D-8EFD-B1AF2024CB58}" presName="hierChild5" presStyleCnt="0"/>
      <dgm:spPr/>
    </dgm:pt>
    <dgm:pt modelId="{53ABE958-71FC-482D-9C11-0F77B36C064E}" type="pres">
      <dgm:prSet presAssocID="{6A08504D-10E3-4027-8B6E-5619732A7050}" presName="hierChild3" presStyleCnt="0"/>
      <dgm:spPr/>
    </dgm:pt>
  </dgm:ptLst>
  <dgm:cxnLst>
    <dgm:cxn modelId="{BE777A0A-522B-4CA1-940F-454035C92CF8}" srcId="{56C3E72C-D9CD-4CE5-BC33-960759BBFF80}" destId="{6A08504D-10E3-4027-8B6E-5619732A7050}" srcOrd="0" destOrd="0" parTransId="{B4FEA4B6-FFCC-49B8-B552-9635555417E2}" sibTransId="{F3617B10-33A4-4526-B530-C9CC0F1F7048}"/>
    <dgm:cxn modelId="{B8C7D30F-167A-476D-A184-DDE3CCB58F48}" srcId="{6A08504D-10E3-4027-8B6E-5619732A7050}" destId="{B87AA359-9E4A-4CD6-9E97-0EF2F8EC92FD}" srcOrd="0" destOrd="0" parTransId="{DF55A5B7-51EF-44FF-8843-E465914DC162}" sibTransId="{3EF02F1C-73FE-43E6-84A0-FA306046D9B3}"/>
    <dgm:cxn modelId="{781F7910-9457-49A2-A665-DD9B539221DC}" type="presOf" srcId="{A33A3F11-1F7C-4F01-A8E0-180040C6360B}" destId="{64042E9D-44E2-4EFF-A889-761E27741077}" srcOrd="0" destOrd="0" presId="urn:microsoft.com/office/officeart/2005/8/layout/orgChart1"/>
    <dgm:cxn modelId="{A3114D22-5C10-4BCC-86FE-9A506CBF9888}" type="presOf" srcId="{6A08504D-10E3-4027-8B6E-5619732A7050}" destId="{7DD39F5E-8EBA-4A46-B5BF-1D3FC9C19C5F}" srcOrd="0" destOrd="0" presId="urn:microsoft.com/office/officeart/2005/8/layout/orgChart1"/>
    <dgm:cxn modelId="{9682B667-C642-4584-AC53-BCCACF23CED0}" type="presOf" srcId="{FFB3B671-58C0-4211-85FF-DE5C26912162}" destId="{B79D8C30-1597-44B1-A51C-22D2BBCF0181}" srcOrd="0" destOrd="0" presId="urn:microsoft.com/office/officeart/2005/8/layout/orgChart1"/>
    <dgm:cxn modelId="{7F383B4A-6D80-42D9-AB1D-8C4BB883D329}" type="presOf" srcId="{1961832E-AFD5-433D-8EFD-B1AF2024CB58}" destId="{1B7C3016-646C-4A66-9633-A3D9AC9EF16F}" srcOrd="0" destOrd="0" presId="urn:microsoft.com/office/officeart/2005/8/layout/orgChart1"/>
    <dgm:cxn modelId="{2FBF0A6E-816E-4643-BDD1-9B8269051E2B}" type="presOf" srcId="{DF55A5B7-51EF-44FF-8843-E465914DC162}" destId="{37C04F39-AB98-46EF-98AD-50BA897A9600}" srcOrd="0" destOrd="0" presId="urn:microsoft.com/office/officeart/2005/8/layout/orgChart1"/>
    <dgm:cxn modelId="{8C7A8A75-F5F0-4B1D-9CE7-FBBE19F31A51}" type="presOf" srcId="{B87AA359-9E4A-4CD6-9E97-0EF2F8EC92FD}" destId="{104B6D2B-49E5-4035-8AF7-C5F5620B11C2}" srcOrd="0" destOrd="0" presId="urn:microsoft.com/office/officeart/2005/8/layout/orgChart1"/>
    <dgm:cxn modelId="{E2BD665A-0D6C-4C4B-8B83-1520E090E253}" type="presOf" srcId="{56C3E72C-D9CD-4CE5-BC33-960759BBFF80}" destId="{FA80A73F-0B31-4DD0-90EC-6E290C1437EF}" srcOrd="0" destOrd="0" presId="urn:microsoft.com/office/officeart/2005/8/layout/orgChart1"/>
    <dgm:cxn modelId="{4B1E91B1-6355-4422-A17C-FA3A58241B75}" type="presOf" srcId="{6A08504D-10E3-4027-8B6E-5619732A7050}" destId="{94C00306-B147-40FC-BC0D-ECD44BEADC31}" srcOrd="1" destOrd="0" presId="urn:microsoft.com/office/officeart/2005/8/layout/orgChart1"/>
    <dgm:cxn modelId="{355215C9-D0F3-4802-A778-2497A179E545}" srcId="{6A08504D-10E3-4027-8B6E-5619732A7050}" destId="{FFB3B671-58C0-4211-85FF-DE5C26912162}" srcOrd="1" destOrd="0" parTransId="{A33A3F11-1F7C-4F01-A8E0-180040C6360B}" sibTransId="{2CB1198C-527D-42B4-8C05-B5F5D0E18D2B}"/>
    <dgm:cxn modelId="{56B5A5D1-C62A-4735-B4E5-2466A3D458FA}" type="presOf" srcId="{266C9D10-FC69-488A-A927-4A8E1EAEBE65}" destId="{8B0346E7-8756-429C-A6E3-7C6C90B7EE99}" srcOrd="0" destOrd="0" presId="urn:microsoft.com/office/officeart/2005/8/layout/orgChart1"/>
    <dgm:cxn modelId="{B78003E9-4F05-4396-A4DA-F1BF1517367A}" type="presOf" srcId="{B87AA359-9E4A-4CD6-9E97-0EF2F8EC92FD}" destId="{1D716EEA-A080-4AED-9A24-46201118D33C}" srcOrd="1" destOrd="0" presId="urn:microsoft.com/office/officeart/2005/8/layout/orgChart1"/>
    <dgm:cxn modelId="{076F4AEF-3F75-4A38-BF75-8102D4EBB61D}" type="presOf" srcId="{1961832E-AFD5-433D-8EFD-B1AF2024CB58}" destId="{0403672E-2886-4FE4-A75D-0AF8AC4E48C4}" srcOrd="1" destOrd="0" presId="urn:microsoft.com/office/officeart/2005/8/layout/orgChart1"/>
    <dgm:cxn modelId="{959F89F4-7CCA-4F3D-B708-B3C1F576E000}" type="presOf" srcId="{FFB3B671-58C0-4211-85FF-DE5C26912162}" destId="{2347D237-682A-48D4-BDE5-0D142754FB45}" srcOrd="1" destOrd="0" presId="urn:microsoft.com/office/officeart/2005/8/layout/orgChart1"/>
    <dgm:cxn modelId="{D3EA4AFE-C965-48FC-925C-37CC07B121CC}" srcId="{6A08504D-10E3-4027-8B6E-5619732A7050}" destId="{1961832E-AFD5-433D-8EFD-B1AF2024CB58}" srcOrd="2" destOrd="0" parTransId="{266C9D10-FC69-488A-A927-4A8E1EAEBE65}" sibTransId="{B59C74C7-C2DC-4152-95EB-382D85765F47}"/>
    <dgm:cxn modelId="{DEDC9622-A3DF-4349-9D97-057D8E170603}" type="presParOf" srcId="{FA80A73F-0B31-4DD0-90EC-6E290C1437EF}" destId="{DF508955-08F1-4BAD-8499-CCD0DB33DF9A}" srcOrd="0" destOrd="0" presId="urn:microsoft.com/office/officeart/2005/8/layout/orgChart1"/>
    <dgm:cxn modelId="{FFC6A46D-13ED-4FF1-8694-B3E23BDE5DF1}" type="presParOf" srcId="{DF508955-08F1-4BAD-8499-CCD0DB33DF9A}" destId="{C68B8CE9-CFA2-41BB-91AB-94B71176BD95}" srcOrd="0" destOrd="0" presId="urn:microsoft.com/office/officeart/2005/8/layout/orgChart1"/>
    <dgm:cxn modelId="{6AD2163F-5224-4C6B-96EE-2BAB98BBE95A}" type="presParOf" srcId="{C68B8CE9-CFA2-41BB-91AB-94B71176BD95}" destId="{7DD39F5E-8EBA-4A46-B5BF-1D3FC9C19C5F}" srcOrd="0" destOrd="0" presId="urn:microsoft.com/office/officeart/2005/8/layout/orgChart1"/>
    <dgm:cxn modelId="{FC158C83-C692-493D-8CDA-B4882634CBBE}" type="presParOf" srcId="{C68B8CE9-CFA2-41BB-91AB-94B71176BD95}" destId="{94C00306-B147-40FC-BC0D-ECD44BEADC31}" srcOrd="1" destOrd="0" presId="urn:microsoft.com/office/officeart/2005/8/layout/orgChart1"/>
    <dgm:cxn modelId="{924EB668-7F10-4D9B-895B-FCC2B7D8A150}" type="presParOf" srcId="{DF508955-08F1-4BAD-8499-CCD0DB33DF9A}" destId="{4F6FDC9A-184B-43E9-A2FB-562A7FE44FAA}" srcOrd="1" destOrd="0" presId="urn:microsoft.com/office/officeart/2005/8/layout/orgChart1"/>
    <dgm:cxn modelId="{A561B860-0E32-4395-BF52-941FAA7CE740}" type="presParOf" srcId="{4F6FDC9A-184B-43E9-A2FB-562A7FE44FAA}" destId="{37C04F39-AB98-46EF-98AD-50BA897A9600}" srcOrd="0" destOrd="0" presId="urn:microsoft.com/office/officeart/2005/8/layout/orgChart1"/>
    <dgm:cxn modelId="{0B38DD07-B06D-4B5D-931D-27BEBDDB9098}" type="presParOf" srcId="{4F6FDC9A-184B-43E9-A2FB-562A7FE44FAA}" destId="{F26AF44A-A261-4424-916C-A2FBA621F381}" srcOrd="1" destOrd="0" presId="urn:microsoft.com/office/officeart/2005/8/layout/orgChart1"/>
    <dgm:cxn modelId="{3FF201A7-6DB0-4593-89C0-289FCFF49801}" type="presParOf" srcId="{F26AF44A-A261-4424-916C-A2FBA621F381}" destId="{213CE2B2-4BF4-4C14-B93A-D5F7067FAAAF}" srcOrd="0" destOrd="0" presId="urn:microsoft.com/office/officeart/2005/8/layout/orgChart1"/>
    <dgm:cxn modelId="{A174BA1F-48B0-4DC0-82B1-06F4190FD153}" type="presParOf" srcId="{213CE2B2-4BF4-4C14-B93A-D5F7067FAAAF}" destId="{104B6D2B-49E5-4035-8AF7-C5F5620B11C2}" srcOrd="0" destOrd="0" presId="urn:microsoft.com/office/officeart/2005/8/layout/orgChart1"/>
    <dgm:cxn modelId="{FF1E46D1-4CE1-4136-81BC-CDDEA4DC49C0}" type="presParOf" srcId="{213CE2B2-4BF4-4C14-B93A-D5F7067FAAAF}" destId="{1D716EEA-A080-4AED-9A24-46201118D33C}" srcOrd="1" destOrd="0" presId="urn:microsoft.com/office/officeart/2005/8/layout/orgChart1"/>
    <dgm:cxn modelId="{34ED6F50-988A-4147-BAF5-FA22B7BC9B80}" type="presParOf" srcId="{F26AF44A-A261-4424-916C-A2FBA621F381}" destId="{1357EB59-7E7F-4D74-A829-0EBCB17DB2E3}" srcOrd="1" destOrd="0" presId="urn:microsoft.com/office/officeart/2005/8/layout/orgChart1"/>
    <dgm:cxn modelId="{7D58C5A4-CCA0-4DE6-BE03-39C42A620E65}" type="presParOf" srcId="{F26AF44A-A261-4424-916C-A2FBA621F381}" destId="{DDDCD2BE-BBE8-4043-A61F-5F6980F4292C}" srcOrd="2" destOrd="0" presId="urn:microsoft.com/office/officeart/2005/8/layout/orgChart1"/>
    <dgm:cxn modelId="{CB361997-2B7A-4494-9D28-0A3858B589D2}" type="presParOf" srcId="{4F6FDC9A-184B-43E9-A2FB-562A7FE44FAA}" destId="{64042E9D-44E2-4EFF-A889-761E27741077}" srcOrd="2" destOrd="0" presId="urn:microsoft.com/office/officeart/2005/8/layout/orgChart1"/>
    <dgm:cxn modelId="{B350F0D8-640D-41F6-9CF8-4A486FCBC3DA}" type="presParOf" srcId="{4F6FDC9A-184B-43E9-A2FB-562A7FE44FAA}" destId="{0DB6485B-E78E-4E02-9DDA-F1EBE01727DF}" srcOrd="3" destOrd="0" presId="urn:microsoft.com/office/officeart/2005/8/layout/orgChart1"/>
    <dgm:cxn modelId="{EDDD0E01-3117-498C-A088-615A54C57B4B}" type="presParOf" srcId="{0DB6485B-E78E-4E02-9DDA-F1EBE01727DF}" destId="{923BCE4E-893A-4817-9CFC-35727C8484DB}" srcOrd="0" destOrd="0" presId="urn:microsoft.com/office/officeart/2005/8/layout/orgChart1"/>
    <dgm:cxn modelId="{C591E46F-C319-45F6-B1D4-A2D935FBE6EC}" type="presParOf" srcId="{923BCE4E-893A-4817-9CFC-35727C8484DB}" destId="{B79D8C30-1597-44B1-A51C-22D2BBCF0181}" srcOrd="0" destOrd="0" presId="urn:microsoft.com/office/officeart/2005/8/layout/orgChart1"/>
    <dgm:cxn modelId="{ECBCD511-0CC5-4A00-AC99-1BC06EEE3612}" type="presParOf" srcId="{923BCE4E-893A-4817-9CFC-35727C8484DB}" destId="{2347D237-682A-48D4-BDE5-0D142754FB45}" srcOrd="1" destOrd="0" presId="urn:microsoft.com/office/officeart/2005/8/layout/orgChart1"/>
    <dgm:cxn modelId="{1E65369D-B2CD-4EA0-A2D7-D479D4B0678C}" type="presParOf" srcId="{0DB6485B-E78E-4E02-9DDA-F1EBE01727DF}" destId="{97294825-50BA-40C1-A4C9-3985440AF7E6}" srcOrd="1" destOrd="0" presId="urn:microsoft.com/office/officeart/2005/8/layout/orgChart1"/>
    <dgm:cxn modelId="{C861FD83-2575-43BC-8BDA-4EB42AB8B0F5}" type="presParOf" srcId="{0DB6485B-E78E-4E02-9DDA-F1EBE01727DF}" destId="{9E280D2F-354E-49D9-963D-9313D3CAAEE2}" srcOrd="2" destOrd="0" presId="urn:microsoft.com/office/officeart/2005/8/layout/orgChart1"/>
    <dgm:cxn modelId="{69C0823D-027E-4618-A4F6-53D50F767142}" type="presParOf" srcId="{4F6FDC9A-184B-43E9-A2FB-562A7FE44FAA}" destId="{8B0346E7-8756-429C-A6E3-7C6C90B7EE99}" srcOrd="4" destOrd="0" presId="urn:microsoft.com/office/officeart/2005/8/layout/orgChart1"/>
    <dgm:cxn modelId="{87F1CC7A-2AB2-4848-904D-C66982ED6ECE}" type="presParOf" srcId="{4F6FDC9A-184B-43E9-A2FB-562A7FE44FAA}" destId="{B5CD4B24-B6D2-407D-A42A-028D9CBF079C}" srcOrd="5" destOrd="0" presId="urn:microsoft.com/office/officeart/2005/8/layout/orgChart1"/>
    <dgm:cxn modelId="{DA0BDDF7-8C14-4E1D-8AE2-C83983B8A8A7}" type="presParOf" srcId="{B5CD4B24-B6D2-407D-A42A-028D9CBF079C}" destId="{320F74ED-365D-45DF-B5B4-472267130492}" srcOrd="0" destOrd="0" presId="urn:microsoft.com/office/officeart/2005/8/layout/orgChart1"/>
    <dgm:cxn modelId="{B0267FF5-B5A7-44DE-9AE1-2A39C4EE5A7B}" type="presParOf" srcId="{320F74ED-365D-45DF-B5B4-472267130492}" destId="{1B7C3016-646C-4A66-9633-A3D9AC9EF16F}" srcOrd="0" destOrd="0" presId="urn:microsoft.com/office/officeart/2005/8/layout/orgChart1"/>
    <dgm:cxn modelId="{EC32B4E6-4526-42E4-9C64-AE55A3999E00}" type="presParOf" srcId="{320F74ED-365D-45DF-B5B4-472267130492}" destId="{0403672E-2886-4FE4-A75D-0AF8AC4E48C4}" srcOrd="1" destOrd="0" presId="urn:microsoft.com/office/officeart/2005/8/layout/orgChart1"/>
    <dgm:cxn modelId="{2BFC1925-9E7C-4C3D-B929-4547CB5EA39A}" type="presParOf" srcId="{B5CD4B24-B6D2-407D-A42A-028D9CBF079C}" destId="{19D5AF89-05AD-427E-87CA-473D1AE5FEF1}" srcOrd="1" destOrd="0" presId="urn:microsoft.com/office/officeart/2005/8/layout/orgChart1"/>
    <dgm:cxn modelId="{4727BA48-0CAB-4D23-AA76-A6322D097625}" type="presParOf" srcId="{B5CD4B24-B6D2-407D-A42A-028D9CBF079C}" destId="{F34B998F-1EFD-41DA-B69B-0381739C6365}" srcOrd="2" destOrd="0" presId="urn:microsoft.com/office/officeart/2005/8/layout/orgChart1"/>
    <dgm:cxn modelId="{6F0791B8-B856-4568-B6A3-A00303432707}" type="presParOf" srcId="{DF508955-08F1-4BAD-8499-CCD0DB33DF9A}" destId="{53ABE958-71FC-482D-9C11-0F77B36C064E}" srcOrd="2" destOrd="0" presId="urn:microsoft.com/office/officeart/2005/8/layout/orgChart1"/>
  </dgm:cxnLst>
  <dgm:bg/>
  <dgm:whole/>
  <dgm:extLst>
    <a:ext uri="http://schemas.microsoft.com/office/drawing/2008/diagram">
      <dsp:dataModelExt xmlns:dsp="http://schemas.microsoft.com/office/drawing/2008/diagram" relId="rId53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94B5D6D-6B8D-4EF4-9440-0AD7E1BDA59A}" type="doc">
      <dgm:prSet loTypeId="urn:microsoft.com/office/officeart/2005/8/layout/equation1" loCatId="process" qsTypeId="urn:microsoft.com/office/officeart/2005/8/quickstyle/simple1" qsCatId="simple" csTypeId="urn:microsoft.com/office/officeart/2005/8/colors/accent1_2" csCatId="accent1" phldr="1"/>
      <dgm:spPr/>
    </dgm:pt>
    <dgm:pt modelId="{347AA48E-7A56-4221-B6E6-73E0DD8F017C}">
      <dgm:prSet phldrT="[Text]"/>
      <dgm:spPr/>
      <dgm:t>
        <a:bodyPr/>
        <a:lstStyle/>
        <a:p>
          <a:r>
            <a:rPr lang="en-GB"/>
            <a:t>The Encounter</a:t>
          </a:r>
        </a:p>
      </dgm:t>
    </dgm:pt>
    <dgm:pt modelId="{1FC591BE-CE0C-4CCA-B0BF-26985BFD2168}" type="parTrans" cxnId="{05A9B6E5-FD5E-484E-BC42-75094B0BBE1C}">
      <dgm:prSet/>
      <dgm:spPr/>
      <dgm:t>
        <a:bodyPr/>
        <a:lstStyle/>
        <a:p>
          <a:endParaRPr lang="en-GB"/>
        </a:p>
      </dgm:t>
    </dgm:pt>
    <dgm:pt modelId="{B191D30A-4C11-49F1-A5D3-833B3D2926FE}" type="sibTrans" cxnId="{05A9B6E5-FD5E-484E-BC42-75094B0BBE1C}">
      <dgm:prSet/>
      <dgm:spPr/>
      <dgm:t>
        <a:bodyPr/>
        <a:lstStyle/>
        <a:p>
          <a:endParaRPr lang="en-GB"/>
        </a:p>
      </dgm:t>
    </dgm:pt>
    <dgm:pt modelId="{B14D1D65-40C0-408B-A828-826A28F1196D}">
      <dgm:prSet phldrT="[Text]"/>
      <dgm:spPr/>
      <dgm:t>
        <a:bodyPr/>
        <a:lstStyle/>
        <a:p>
          <a:r>
            <a:rPr lang="en-GB"/>
            <a:t>The Conquest</a:t>
          </a:r>
        </a:p>
      </dgm:t>
    </dgm:pt>
    <dgm:pt modelId="{1C6EBA5A-072B-4DA0-AADE-70FCB8EB6EFB}" type="parTrans" cxnId="{2BA842AF-8E0E-4544-9DFB-B7C48756E64D}">
      <dgm:prSet/>
      <dgm:spPr/>
      <dgm:t>
        <a:bodyPr/>
        <a:lstStyle/>
        <a:p>
          <a:endParaRPr lang="en-GB"/>
        </a:p>
      </dgm:t>
    </dgm:pt>
    <dgm:pt modelId="{86604F87-9460-4C24-BC5B-09B855CFC704}" type="sibTrans" cxnId="{2BA842AF-8E0E-4544-9DFB-B7C48756E64D}">
      <dgm:prSet/>
      <dgm:spPr/>
      <dgm:t>
        <a:bodyPr/>
        <a:lstStyle/>
        <a:p>
          <a:endParaRPr lang="en-GB"/>
        </a:p>
      </dgm:t>
    </dgm:pt>
    <dgm:pt modelId="{EC51DA1B-FEF7-4670-9961-F6886E258E0D}">
      <dgm:prSet phldrT="[Text]"/>
      <dgm:spPr/>
      <dgm:t>
        <a:bodyPr/>
        <a:lstStyle/>
        <a:p>
          <a:r>
            <a:rPr lang="en-GB"/>
            <a:t>The Celebration</a:t>
          </a:r>
        </a:p>
      </dgm:t>
    </dgm:pt>
    <dgm:pt modelId="{402DC5AB-812A-4021-AA5A-F7BB8A77F57C}" type="parTrans" cxnId="{7A9F436D-E46C-4EC5-B426-167EED15C690}">
      <dgm:prSet/>
      <dgm:spPr/>
      <dgm:t>
        <a:bodyPr/>
        <a:lstStyle/>
        <a:p>
          <a:endParaRPr lang="en-GB"/>
        </a:p>
      </dgm:t>
    </dgm:pt>
    <dgm:pt modelId="{E32B615D-99D0-4CF8-95D2-6C9A15562BA9}" type="sibTrans" cxnId="{7A9F436D-E46C-4EC5-B426-167EED15C690}">
      <dgm:prSet/>
      <dgm:spPr/>
      <dgm:t>
        <a:bodyPr/>
        <a:lstStyle/>
        <a:p>
          <a:endParaRPr lang="en-GB"/>
        </a:p>
      </dgm:t>
    </dgm:pt>
    <dgm:pt modelId="{5D0C9AFD-B45D-4A2F-887B-1E2A66DB4D64}">
      <dgm:prSet/>
      <dgm:spPr/>
      <dgm:t>
        <a:bodyPr/>
        <a:lstStyle/>
        <a:p>
          <a:r>
            <a:rPr lang="en-GB" sz="1400"/>
            <a:t>The Crossing</a:t>
          </a:r>
        </a:p>
      </dgm:t>
    </dgm:pt>
    <dgm:pt modelId="{AA131CCE-F188-4CDD-9159-B3D84D774282}" type="parTrans" cxnId="{11718841-7952-4AD9-B655-55F33C40B5DC}">
      <dgm:prSet/>
      <dgm:spPr/>
      <dgm:t>
        <a:bodyPr/>
        <a:lstStyle/>
        <a:p>
          <a:endParaRPr lang="en-GB"/>
        </a:p>
      </dgm:t>
    </dgm:pt>
    <dgm:pt modelId="{A8179044-0221-4C38-BDB9-23361493B355}" type="sibTrans" cxnId="{11718841-7952-4AD9-B655-55F33C40B5DC}">
      <dgm:prSet/>
      <dgm:spPr/>
      <dgm:t>
        <a:bodyPr/>
        <a:lstStyle/>
        <a:p>
          <a:endParaRPr lang="en-GB"/>
        </a:p>
      </dgm:t>
    </dgm:pt>
    <dgm:pt modelId="{99CD0150-1E1A-4E93-A501-2F2B75CBE6EB}" type="pres">
      <dgm:prSet presAssocID="{E94B5D6D-6B8D-4EF4-9440-0AD7E1BDA59A}" presName="linearFlow" presStyleCnt="0">
        <dgm:presLayoutVars>
          <dgm:dir/>
          <dgm:resizeHandles val="exact"/>
        </dgm:presLayoutVars>
      </dgm:prSet>
      <dgm:spPr/>
    </dgm:pt>
    <dgm:pt modelId="{A646AABA-62C0-4F66-A55F-AAB36A995FF0}" type="pres">
      <dgm:prSet presAssocID="{5D0C9AFD-B45D-4A2F-887B-1E2A66DB4D64}" presName="node" presStyleLbl="node1" presStyleIdx="0" presStyleCnt="4">
        <dgm:presLayoutVars>
          <dgm:bulletEnabled val="1"/>
        </dgm:presLayoutVars>
      </dgm:prSet>
      <dgm:spPr/>
    </dgm:pt>
    <dgm:pt modelId="{6196BE2E-9225-4E7A-8236-0EEDFDE9757C}" type="pres">
      <dgm:prSet presAssocID="{A8179044-0221-4C38-BDB9-23361493B355}" presName="spacerL" presStyleCnt="0"/>
      <dgm:spPr/>
    </dgm:pt>
    <dgm:pt modelId="{93AB535E-8004-4D78-98E4-19C78A4B810E}" type="pres">
      <dgm:prSet presAssocID="{A8179044-0221-4C38-BDB9-23361493B355}" presName="sibTrans" presStyleLbl="sibTrans2D1" presStyleIdx="0" presStyleCnt="3"/>
      <dgm:spPr/>
    </dgm:pt>
    <dgm:pt modelId="{ABC66FB6-227A-45E4-A8FD-6DB9BCB51B5F}" type="pres">
      <dgm:prSet presAssocID="{A8179044-0221-4C38-BDB9-23361493B355}" presName="spacerR" presStyleCnt="0"/>
      <dgm:spPr/>
    </dgm:pt>
    <dgm:pt modelId="{4023B373-DEFD-47CD-B2EC-1714AA341004}" type="pres">
      <dgm:prSet presAssocID="{347AA48E-7A56-4221-B6E6-73E0DD8F017C}" presName="node" presStyleLbl="node1" presStyleIdx="1" presStyleCnt="4">
        <dgm:presLayoutVars>
          <dgm:bulletEnabled val="1"/>
        </dgm:presLayoutVars>
      </dgm:prSet>
      <dgm:spPr/>
    </dgm:pt>
    <dgm:pt modelId="{E56A7406-30C4-422F-ACA8-BB772175391C}" type="pres">
      <dgm:prSet presAssocID="{B191D30A-4C11-49F1-A5D3-833B3D2926FE}" presName="spacerL" presStyleCnt="0"/>
      <dgm:spPr/>
    </dgm:pt>
    <dgm:pt modelId="{3289AFFA-6A17-4DB3-B77E-32D027C5C3AA}" type="pres">
      <dgm:prSet presAssocID="{B191D30A-4C11-49F1-A5D3-833B3D2926FE}" presName="sibTrans" presStyleLbl="sibTrans2D1" presStyleIdx="1" presStyleCnt="3"/>
      <dgm:spPr/>
    </dgm:pt>
    <dgm:pt modelId="{C5627EE2-C997-49C3-958E-A0806DA05E3C}" type="pres">
      <dgm:prSet presAssocID="{B191D30A-4C11-49F1-A5D3-833B3D2926FE}" presName="spacerR" presStyleCnt="0"/>
      <dgm:spPr/>
    </dgm:pt>
    <dgm:pt modelId="{C923420A-F1C7-4B16-9273-A7ED93163088}" type="pres">
      <dgm:prSet presAssocID="{B14D1D65-40C0-408B-A828-826A28F1196D}" presName="node" presStyleLbl="node1" presStyleIdx="2" presStyleCnt="4">
        <dgm:presLayoutVars>
          <dgm:bulletEnabled val="1"/>
        </dgm:presLayoutVars>
      </dgm:prSet>
      <dgm:spPr/>
    </dgm:pt>
    <dgm:pt modelId="{2B0B55F3-78C4-4611-BFD7-9AAE089413FB}" type="pres">
      <dgm:prSet presAssocID="{86604F87-9460-4C24-BC5B-09B855CFC704}" presName="spacerL" presStyleCnt="0"/>
      <dgm:spPr/>
    </dgm:pt>
    <dgm:pt modelId="{485AB3E1-1B10-44BF-AE5D-EE0090A1B318}" type="pres">
      <dgm:prSet presAssocID="{86604F87-9460-4C24-BC5B-09B855CFC704}" presName="sibTrans" presStyleLbl="sibTrans2D1" presStyleIdx="2" presStyleCnt="3"/>
      <dgm:spPr/>
    </dgm:pt>
    <dgm:pt modelId="{C7A703F3-91B5-43A4-84EB-F5AB8E4C6ED1}" type="pres">
      <dgm:prSet presAssocID="{86604F87-9460-4C24-BC5B-09B855CFC704}" presName="spacerR" presStyleCnt="0"/>
      <dgm:spPr/>
    </dgm:pt>
    <dgm:pt modelId="{8A79DF07-9AAC-4840-8BF1-4DC740084106}" type="pres">
      <dgm:prSet presAssocID="{EC51DA1B-FEF7-4670-9961-F6886E258E0D}" presName="node" presStyleLbl="node1" presStyleIdx="3" presStyleCnt="4">
        <dgm:presLayoutVars>
          <dgm:bulletEnabled val="1"/>
        </dgm:presLayoutVars>
      </dgm:prSet>
      <dgm:spPr/>
    </dgm:pt>
  </dgm:ptLst>
  <dgm:cxnLst>
    <dgm:cxn modelId="{6F010E06-C36E-470C-9B63-9E931008B7E4}" type="presOf" srcId="{EC51DA1B-FEF7-4670-9961-F6886E258E0D}" destId="{8A79DF07-9AAC-4840-8BF1-4DC740084106}" srcOrd="0" destOrd="0" presId="urn:microsoft.com/office/officeart/2005/8/layout/equation1"/>
    <dgm:cxn modelId="{58F78610-DE1E-4B63-AEC9-5C8B966A3BCC}" type="presOf" srcId="{5D0C9AFD-B45D-4A2F-887B-1E2A66DB4D64}" destId="{A646AABA-62C0-4F66-A55F-AAB36A995FF0}" srcOrd="0" destOrd="0" presId="urn:microsoft.com/office/officeart/2005/8/layout/equation1"/>
    <dgm:cxn modelId="{B0E1F916-220A-4255-A8EF-5348F911D2A9}" type="presOf" srcId="{347AA48E-7A56-4221-B6E6-73E0DD8F017C}" destId="{4023B373-DEFD-47CD-B2EC-1714AA341004}" srcOrd="0" destOrd="0" presId="urn:microsoft.com/office/officeart/2005/8/layout/equation1"/>
    <dgm:cxn modelId="{FD272E3F-160C-44A5-8000-7D361BE48AED}" type="presOf" srcId="{E94B5D6D-6B8D-4EF4-9440-0AD7E1BDA59A}" destId="{99CD0150-1E1A-4E93-A501-2F2B75CBE6EB}" srcOrd="0" destOrd="0" presId="urn:microsoft.com/office/officeart/2005/8/layout/equation1"/>
    <dgm:cxn modelId="{11718841-7952-4AD9-B655-55F33C40B5DC}" srcId="{E94B5D6D-6B8D-4EF4-9440-0AD7E1BDA59A}" destId="{5D0C9AFD-B45D-4A2F-887B-1E2A66DB4D64}" srcOrd="0" destOrd="0" parTransId="{AA131CCE-F188-4CDD-9159-B3D84D774282}" sibTransId="{A8179044-0221-4C38-BDB9-23361493B355}"/>
    <dgm:cxn modelId="{7A9F436D-E46C-4EC5-B426-167EED15C690}" srcId="{E94B5D6D-6B8D-4EF4-9440-0AD7E1BDA59A}" destId="{EC51DA1B-FEF7-4670-9961-F6886E258E0D}" srcOrd="3" destOrd="0" parTransId="{402DC5AB-812A-4021-AA5A-F7BB8A77F57C}" sibTransId="{E32B615D-99D0-4CF8-95D2-6C9A15562BA9}"/>
    <dgm:cxn modelId="{ACCAA679-446E-4DBA-955D-6015881BD939}" type="presOf" srcId="{86604F87-9460-4C24-BC5B-09B855CFC704}" destId="{485AB3E1-1B10-44BF-AE5D-EE0090A1B318}" srcOrd="0" destOrd="0" presId="urn:microsoft.com/office/officeart/2005/8/layout/equation1"/>
    <dgm:cxn modelId="{589C7292-DD1A-4E9A-B254-0FEDAA5045FF}" type="presOf" srcId="{B14D1D65-40C0-408B-A828-826A28F1196D}" destId="{C923420A-F1C7-4B16-9273-A7ED93163088}" srcOrd="0" destOrd="0" presId="urn:microsoft.com/office/officeart/2005/8/layout/equation1"/>
    <dgm:cxn modelId="{B3BAF8A0-7073-47FD-8993-EFE204CF6975}" type="presOf" srcId="{B191D30A-4C11-49F1-A5D3-833B3D2926FE}" destId="{3289AFFA-6A17-4DB3-B77E-32D027C5C3AA}" srcOrd="0" destOrd="0" presId="urn:microsoft.com/office/officeart/2005/8/layout/equation1"/>
    <dgm:cxn modelId="{2BA842AF-8E0E-4544-9DFB-B7C48756E64D}" srcId="{E94B5D6D-6B8D-4EF4-9440-0AD7E1BDA59A}" destId="{B14D1D65-40C0-408B-A828-826A28F1196D}" srcOrd="2" destOrd="0" parTransId="{1C6EBA5A-072B-4DA0-AADE-70FCB8EB6EFB}" sibTransId="{86604F87-9460-4C24-BC5B-09B855CFC704}"/>
    <dgm:cxn modelId="{05A9B6E5-FD5E-484E-BC42-75094B0BBE1C}" srcId="{E94B5D6D-6B8D-4EF4-9440-0AD7E1BDA59A}" destId="{347AA48E-7A56-4221-B6E6-73E0DD8F017C}" srcOrd="1" destOrd="0" parTransId="{1FC591BE-CE0C-4CCA-B0BF-26985BFD2168}" sibTransId="{B191D30A-4C11-49F1-A5D3-833B3D2926FE}"/>
    <dgm:cxn modelId="{388602F1-0079-47E3-9F8A-C069B0603D37}" type="presOf" srcId="{A8179044-0221-4C38-BDB9-23361493B355}" destId="{93AB535E-8004-4D78-98E4-19C78A4B810E}" srcOrd="0" destOrd="0" presId="urn:microsoft.com/office/officeart/2005/8/layout/equation1"/>
    <dgm:cxn modelId="{A4894407-F5C3-413C-8104-CAE17B9554E3}" type="presParOf" srcId="{99CD0150-1E1A-4E93-A501-2F2B75CBE6EB}" destId="{A646AABA-62C0-4F66-A55F-AAB36A995FF0}" srcOrd="0" destOrd="0" presId="urn:microsoft.com/office/officeart/2005/8/layout/equation1"/>
    <dgm:cxn modelId="{49E7699B-68C8-4341-A601-70A80C984B88}" type="presParOf" srcId="{99CD0150-1E1A-4E93-A501-2F2B75CBE6EB}" destId="{6196BE2E-9225-4E7A-8236-0EEDFDE9757C}" srcOrd="1" destOrd="0" presId="urn:microsoft.com/office/officeart/2005/8/layout/equation1"/>
    <dgm:cxn modelId="{31A13C76-2A3D-460C-849E-723357E08CC5}" type="presParOf" srcId="{99CD0150-1E1A-4E93-A501-2F2B75CBE6EB}" destId="{93AB535E-8004-4D78-98E4-19C78A4B810E}" srcOrd="2" destOrd="0" presId="urn:microsoft.com/office/officeart/2005/8/layout/equation1"/>
    <dgm:cxn modelId="{DD7A316C-A792-4A8F-9C57-B583F640A415}" type="presParOf" srcId="{99CD0150-1E1A-4E93-A501-2F2B75CBE6EB}" destId="{ABC66FB6-227A-45E4-A8FD-6DB9BCB51B5F}" srcOrd="3" destOrd="0" presId="urn:microsoft.com/office/officeart/2005/8/layout/equation1"/>
    <dgm:cxn modelId="{D84ABB55-5EE4-4AD2-BE5A-FBAACDF388E6}" type="presParOf" srcId="{99CD0150-1E1A-4E93-A501-2F2B75CBE6EB}" destId="{4023B373-DEFD-47CD-B2EC-1714AA341004}" srcOrd="4" destOrd="0" presId="urn:microsoft.com/office/officeart/2005/8/layout/equation1"/>
    <dgm:cxn modelId="{AF194B7B-10CF-443B-B575-1B456E4A2878}" type="presParOf" srcId="{99CD0150-1E1A-4E93-A501-2F2B75CBE6EB}" destId="{E56A7406-30C4-422F-ACA8-BB772175391C}" srcOrd="5" destOrd="0" presId="urn:microsoft.com/office/officeart/2005/8/layout/equation1"/>
    <dgm:cxn modelId="{11FD8BA7-E1C8-41D2-B0C6-E12FB89DB60E}" type="presParOf" srcId="{99CD0150-1E1A-4E93-A501-2F2B75CBE6EB}" destId="{3289AFFA-6A17-4DB3-B77E-32D027C5C3AA}" srcOrd="6" destOrd="0" presId="urn:microsoft.com/office/officeart/2005/8/layout/equation1"/>
    <dgm:cxn modelId="{1CE8B9CF-D23C-4D81-BAFD-390F395471B4}" type="presParOf" srcId="{99CD0150-1E1A-4E93-A501-2F2B75CBE6EB}" destId="{C5627EE2-C997-49C3-958E-A0806DA05E3C}" srcOrd="7" destOrd="0" presId="urn:microsoft.com/office/officeart/2005/8/layout/equation1"/>
    <dgm:cxn modelId="{1EA7DAB6-F3E6-4331-B0EC-437F79A2DC0B}" type="presParOf" srcId="{99CD0150-1E1A-4E93-A501-2F2B75CBE6EB}" destId="{C923420A-F1C7-4B16-9273-A7ED93163088}" srcOrd="8" destOrd="0" presId="urn:microsoft.com/office/officeart/2005/8/layout/equation1"/>
    <dgm:cxn modelId="{AFAB373C-338F-4950-9EF6-67277F27FE4A}" type="presParOf" srcId="{99CD0150-1E1A-4E93-A501-2F2B75CBE6EB}" destId="{2B0B55F3-78C4-4611-BFD7-9AAE089413FB}" srcOrd="9" destOrd="0" presId="urn:microsoft.com/office/officeart/2005/8/layout/equation1"/>
    <dgm:cxn modelId="{7B6233D6-F0B9-4BD0-85C0-9FB4B25D5985}" type="presParOf" srcId="{99CD0150-1E1A-4E93-A501-2F2B75CBE6EB}" destId="{485AB3E1-1B10-44BF-AE5D-EE0090A1B318}" srcOrd="10" destOrd="0" presId="urn:microsoft.com/office/officeart/2005/8/layout/equation1"/>
    <dgm:cxn modelId="{6264C269-6294-45D1-B408-D45D039D8820}" type="presParOf" srcId="{99CD0150-1E1A-4E93-A501-2F2B75CBE6EB}" destId="{C7A703F3-91B5-43A4-84EB-F5AB8E4C6ED1}" srcOrd="11" destOrd="0" presId="urn:microsoft.com/office/officeart/2005/8/layout/equation1"/>
    <dgm:cxn modelId="{82B800F0-5161-4E21-95CA-297DC17B98AC}" type="presParOf" srcId="{99CD0150-1E1A-4E93-A501-2F2B75CBE6EB}" destId="{8A79DF07-9AAC-4840-8BF1-4DC740084106}" srcOrd="12" destOrd="0" presId="urn:microsoft.com/office/officeart/2005/8/layout/equation1"/>
  </dgm:cxnLst>
  <dgm:bg/>
  <dgm:whole/>
  <dgm:extLst>
    <a:ext uri="http://schemas.microsoft.com/office/drawing/2008/diagram">
      <dsp:dataModelExt xmlns:dsp="http://schemas.microsoft.com/office/drawing/2008/diagram" relId="rId54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B44BC8E-DD0D-4DCF-8878-395C75F2DC84}"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A2F57A7D-1EE2-42AD-8C46-791AEDF41F46}">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The Past</a:t>
          </a:r>
        </a:p>
      </dgm:t>
    </dgm:pt>
    <dgm:pt modelId="{A2C2E500-A9D7-42B5-82FE-8C1E9702A4A8}" type="parTrans" cxnId="{E6A4C6C4-2E39-42BA-8731-F6C2105D6349}">
      <dgm:prSet/>
      <dgm:spPr/>
      <dgm:t>
        <a:bodyPr/>
        <a:lstStyle/>
        <a:p>
          <a:endParaRPr lang="en-GB"/>
        </a:p>
      </dgm:t>
    </dgm:pt>
    <dgm:pt modelId="{BBB3F935-8564-48F8-A2D3-EE1B87D17DEB}" type="sibTrans" cxnId="{E6A4C6C4-2E39-42BA-8731-F6C2105D6349}">
      <dgm:prSet/>
      <dgm:spPr/>
      <dgm:t>
        <a:bodyPr/>
        <a:lstStyle/>
        <a:p>
          <a:endParaRPr lang="en-GB"/>
        </a:p>
      </dgm:t>
    </dgm:pt>
    <dgm:pt modelId="{530DE7FF-5C8F-4D9B-8CF4-08DCB5CC1EFC}">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The Present</a:t>
          </a:r>
        </a:p>
      </dgm:t>
    </dgm:pt>
    <dgm:pt modelId="{EAA4E9FD-F207-4162-B69B-9EBE221DD19E}" type="parTrans" cxnId="{12DF8747-8E44-4A70-B0AC-1138EAF657D1}">
      <dgm:prSet/>
      <dgm:spPr/>
      <dgm:t>
        <a:bodyPr/>
        <a:lstStyle/>
        <a:p>
          <a:endParaRPr lang="en-GB"/>
        </a:p>
      </dgm:t>
    </dgm:pt>
    <dgm:pt modelId="{9F362E0A-24F8-4967-AAA7-6D8E3817692F}" type="sibTrans" cxnId="{12DF8747-8E44-4A70-B0AC-1138EAF657D1}">
      <dgm:prSet/>
      <dgm:spPr/>
      <dgm:t>
        <a:bodyPr/>
        <a:lstStyle/>
        <a:p>
          <a:endParaRPr lang="en-GB"/>
        </a:p>
      </dgm:t>
    </dgm:pt>
    <dgm:pt modelId="{C7916552-3AC7-4715-8B9A-4419B72DE28F}">
      <dgm:prSet phldrT="[Text]" custT="1"/>
      <dgm:spPr/>
      <dgm:t>
        <a:bodyPr/>
        <a:lstStyle/>
        <a:p>
          <a:r>
            <a:rPr lang="en-GB" sz="2000">
              <a:latin typeface="Calibri" panose="020F0502020204030204" pitchFamily="34" charset="0"/>
              <a:ea typeface="Calibri" panose="020F0502020204030204" pitchFamily="34" charset="0"/>
              <a:cs typeface="Calibri" panose="020F0502020204030204" pitchFamily="34" charset="0"/>
            </a:rPr>
            <a:t>The Future</a:t>
          </a:r>
        </a:p>
      </dgm:t>
    </dgm:pt>
    <dgm:pt modelId="{631117E2-8729-4382-A951-A583C64D6FE1}" type="parTrans" cxnId="{7AECD17C-9764-4AB5-A722-993F5D7A2E37}">
      <dgm:prSet/>
      <dgm:spPr/>
      <dgm:t>
        <a:bodyPr/>
        <a:lstStyle/>
        <a:p>
          <a:endParaRPr lang="en-GB"/>
        </a:p>
      </dgm:t>
    </dgm:pt>
    <dgm:pt modelId="{F202C054-A146-43CB-94F0-4D128A1152C9}" type="sibTrans" cxnId="{7AECD17C-9764-4AB5-A722-993F5D7A2E37}">
      <dgm:prSet/>
      <dgm:spPr/>
      <dgm:t>
        <a:bodyPr/>
        <a:lstStyle/>
        <a:p>
          <a:endParaRPr lang="en-GB"/>
        </a:p>
      </dgm:t>
    </dgm:pt>
    <dgm:pt modelId="{FD7C60E5-09B4-4BC2-95AE-CD6B02D8A32A}" type="pres">
      <dgm:prSet presAssocID="{5B44BC8E-DD0D-4DCF-8878-395C75F2DC84}" presName="Name0" presStyleCnt="0">
        <dgm:presLayoutVars>
          <dgm:chMax val="11"/>
          <dgm:chPref val="11"/>
          <dgm:dir/>
          <dgm:resizeHandles/>
        </dgm:presLayoutVars>
      </dgm:prSet>
      <dgm:spPr/>
    </dgm:pt>
    <dgm:pt modelId="{F5F76889-8B2F-453C-B45B-98AD64E98897}" type="pres">
      <dgm:prSet presAssocID="{C7916552-3AC7-4715-8B9A-4419B72DE28F}" presName="Accent3" presStyleCnt="0"/>
      <dgm:spPr/>
    </dgm:pt>
    <dgm:pt modelId="{3A282564-22C4-40AF-A719-3F69FF2F2AB1}" type="pres">
      <dgm:prSet presAssocID="{C7916552-3AC7-4715-8B9A-4419B72DE28F}" presName="Accent" presStyleLbl="node1" presStyleIdx="0" presStyleCnt="3"/>
      <dgm:spPr/>
    </dgm:pt>
    <dgm:pt modelId="{56687DD8-6FAB-4581-8B6E-8A3016CFD9C7}" type="pres">
      <dgm:prSet presAssocID="{C7916552-3AC7-4715-8B9A-4419B72DE28F}" presName="ParentBackground3" presStyleCnt="0"/>
      <dgm:spPr/>
    </dgm:pt>
    <dgm:pt modelId="{46ECC438-362B-4FD7-A86E-3D83C18AB146}" type="pres">
      <dgm:prSet presAssocID="{C7916552-3AC7-4715-8B9A-4419B72DE28F}" presName="ParentBackground" presStyleLbl="fgAcc1" presStyleIdx="0" presStyleCnt="3"/>
      <dgm:spPr/>
    </dgm:pt>
    <dgm:pt modelId="{7CFAB25A-B31C-4D3C-8AC4-F3B981730E5F}" type="pres">
      <dgm:prSet presAssocID="{C7916552-3AC7-4715-8B9A-4419B72DE28F}" presName="Parent3" presStyleLbl="revTx" presStyleIdx="0" presStyleCnt="0">
        <dgm:presLayoutVars>
          <dgm:chMax val="1"/>
          <dgm:chPref val="1"/>
          <dgm:bulletEnabled val="1"/>
        </dgm:presLayoutVars>
      </dgm:prSet>
      <dgm:spPr/>
    </dgm:pt>
    <dgm:pt modelId="{55EA0AF9-A04D-478E-B5C2-8942901A14FD}" type="pres">
      <dgm:prSet presAssocID="{530DE7FF-5C8F-4D9B-8CF4-08DCB5CC1EFC}" presName="Accent2" presStyleCnt="0"/>
      <dgm:spPr/>
    </dgm:pt>
    <dgm:pt modelId="{55F40FD1-4B97-4E59-83F7-488B449A10AD}" type="pres">
      <dgm:prSet presAssocID="{530DE7FF-5C8F-4D9B-8CF4-08DCB5CC1EFC}" presName="Accent" presStyleLbl="node1" presStyleIdx="1" presStyleCnt="3"/>
      <dgm:spPr/>
    </dgm:pt>
    <dgm:pt modelId="{481D6DA5-2125-4C19-9705-2686FAA1AA1C}" type="pres">
      <dgm:prSet presAssocID="{530DE7FF-5C8F-4D9B-8CF4-08DCB5CC1EFC}" presName="ParentBackground2" presStyleCnt="0"/>
      <dgm:spPr/>
    </dgm:pt>
    <dgm:pt modelId="{FD00EE51-E377-4C81-9BE4-410B885D835F}" type="pres">
      <dgm:prSet presAssocID="{530DE7FF-5C8F-4D9B-8CF4-08DCB5CC1EFC}" presName="ParentBackground" presStyleLbl="fgAcc1" presStyleIdx="1" presStyleCnt="3"/>
      <dgm:spPr/>
    </dgm:pt>
    <dgm:pt modelId="{491FEFAA-0967-45F2-B4BE-3D39D28BBED9}" type="pres">
      <dgm:prSet presAssocID="{530DE7FF-5C8F-4D9B-8CF4-08DCB5CC1EFC}" presName="Parent2" presStyleLbl="revTx" presStyleIdx="0" presStyleCnt="0">
        <dgm:presLayoutVars>
          <dgm:chMax val="1"/>
          <dgm:chPref val="1"/>
          <dgm:bulletEnabled val="1"/>
        </dgm:presLayoutVars>
      </dgm:prSet>
      <dgm:spPr/>
    </dgm:pt>
    <dgm:pt modelId="{1E925ADE-5BC6-48CE-A401-35A8851D1733}" type="pres">
      <dgm:prSet presAssocID="{A2F57A7D-1EE2-42AD-8C46-791AEDF41F46}" presName="Accent1" presStyleCnt="0"/>
      <dgm:spPr/>
    </dgm:pt>
    <dgm:pt modelId="{829EFE30-48FB-4499-B4F4-45C10AC8D374}" type="pres">
      <dgm:prSet presAssocID="{A2F57A7D-1EE2-42AD-8C46-791AEDF41F46}" presName="Accent" presStyleLbl="node1" presStyleIdx="2" presStyleCnt="3"/>
      <dgm:spPr/>
    </dgm:pt>
    <dgm:pt modelId="{4F16C904-0300-4F3A-8A49-92E096731793}" type="pres">
      <dgm:prSet presAssocID="{A2F57A7D-1EE2-42AD-8C46-791AEDF41F46}" presName="ParentBackground1" presStyleCnt="0"/>
      <dgm:spPr/>
    </dgm:pt>
    <dgm:pt modelId="{324F419C-1F82-493E-B24C-562A859005D9}" type="pres">
      <dgm:prSet presAssocID="{A2F57A7D-1EE2-42AD-8C46-791AEDF41F46}" presName="ParentBackground" presStyleLbl="fgAcc1" presStyleIdx="2" presStyleCnt="3"/>
      <dgm:spPr/>
    </dgm:pt>
    <dgm:pt modelId="{2DCA2B57-5210-45B4-A934-EDA10B9D8343}" type="pres">
      <dgm:prSet presAssocID="{A2F57A7D-1EE2-42AD-8C46-791AEDF41F46}" presName="Parent1" presStyleLbl="revTx" presStyleIdx="0" presStyleCnt="0">
        <dgm:presLayoutVars>
          <dgm:chMax val="1"/>
          <dgm:chPref val="1"/>
          <dgm:bulletEnabled val="1"/>
        </dgm:presLayoutVars>
      </dgm:prSet>
      <dgm:spPr/>
    </dgm:pt>
  </dgm:ptLst>
  <dgm:cxnLst>
    <dgm:cxn modelId="{B112B30C-1B3B-43B7-AAB1-B14C8B5D2C6B}" type="presOf" srcId="{530DE7FF-5C8F-4D9B-8CF4-08DCB5CC1EFC}" destId="{FD00EE51-E377-4C81-9BE4-410B885D835F}" srcOrd="0" destOrd="0" presId="urn:microsoft.com/office/officeart/2011/layout/CircleProcess"/>
    <dgm:cxn modelId="{94DB4717-17F4-4A67-8F95-02B1950D7C26}" type="presOf" srcId="{C7916552-3AC7-4715-8B9A-4419B72DE28F}" destId="{46ECC438-362B-4FD7-A86E-3D83C18AB146}" srcOrd="0" destOrd="0" presId="urn:microsoft.com/office/officeart/2011/layout/CircleProcess"/>
    <dgm:cxn modelId="{51ED8C2D-9DE4-4604-A844-D0CB71DF91B1}" type="presOf" srcId="{C7916552-3AC7-4715-8B9A-4419B72DE28F}" destId="{7CFAB25A-B31C-4D3C-8AC4-F3B981730E5F}" srcOrd="1" destOrd="0" presId="urn:microsoft.com/office/officeart/2011/layout/CircleProcess"/>
    <dgm:cxn modelId="{12DF8747-8E44-4A70-B0AC-1138EAF657D1}" srcId="{5B44BC8E-DD0D-4DCF-8878-395C75F2DC84}" destId="{530DE7FF-5C8F-4D9B-8CF4-08DCB5CC1EFC}" srcOrd="1" destOrd="0" parTransId="{EAA4E9FD-F207-4162-B69B-9EBE221DD19E}" sibTransId="{9F362E0A-24F8-4967-AAA7-6D8E3817692F}"/>
    <dgm:cxn modelId="{2C7B9679-AC63-42ED-8D25-F712855C1685}" type="presOf" srcId="{5B44BC8E-DD0D-4DCF-8878-395C75F2DC84}" destId="{FD7C60E5-09B4-4BC2-95AE-CD6B02D8A32A}" srcOrd="0" destOrd="0" presId="urn:microsoft.com/office/officeart/2011/layout/CircleProcess"/>
    <dgm:cxn modelId="{7AECD17C-9764-4AB5-A722-993F5D7A2E37}" srcId="{5B44BC8E-DD0D-4DCF-8878-395C75F2DC84}" destId="{C7916552-3AC7-4715-8B9A-4419B72DE28F}" srcOrd="2" destOrd="0" parTransId="{631117E2-8729-4382-A951-A583C64D6FE1}" sibTransId="{F202C054-A146-43CB-94F0-4D128A1152C9}"/>
    <dgm:cxn modelId="{FC4F2B81-8B24-4469-A251-EFFDE331584A}" type="presOf" srcId="{530DE7FF-5C8F-4D9B-8CF4-08DCB5CC1EFC}" destId="{491FEFAA-0967-45F2-B4BE-3D39D28BBED9}" srcOrd="1" destOrd="0" presId="urn:microsoft.com/office/officeart/2011/layout/CircleProcess"/>
    <dgm:cxn modelId="{E6A4C6C4-2E39-42BA-8731-F6C2105D6349}" srcId="{5B44BC8E-DD0D-4DCF-8878-395C75F2DC84}" destId="{A2F57A7D-1EE2-42AD-8C46-791AEDF41F46}" srcOrd="0" destOrd="0" parTransId="{A2C2E500-A9D7-42B5-82FE-8C1E9702A4A8}" sibTransId="{BBB3F935-8564-48F8-A2D3-EE1B87D17DEB}"/>
    <dgm:cxn modelId="{6B4B9FCF-69CF-48CE-BE41-3CDBDD843DC2}" type="presOf" srcId="{A2F57A7D-1EE2-42AD-8C46-791AEDF41F46}" destId="{324F419C-1F82-493E-B24C-562A859005D9}" srcOrd="0" destOrd="0" presId="urn:microsoft.com/office/officeart/2011/layout/CircleProcess"/>
    <dgm:cxn modelId="{0BA5D1DC-23CC-4B3F-83AB-6DDEBF2389D1}" type="presOf" srcId="{A2F57A7D-1EE2-42AD-8C46-791AEDF41F46}" destId="{2DCA2B57-5210-45B4-A934-EDA10B9D8343}" srcOrd="1" destOrd="0" presId="urn:microsoft.com/office/officeart/2011/layout/CircleProcess"/>
    <dgm:cxn modelId="{907D4AEF-C352-430A-BB3F-829E23B5B908}" type="presParOf" srcId="{FD7C60E5-09B4-4BC2-95AE-CD6B02D8A32A}" destId="{F5F76889-8B2F-453C-B45B-98AD64E98897}" srcOrd="0" destOrd="0" presId="urn:microsoft.com/office/officeart/2011/layout/CircleProcess"/>
    <dgm:cxn modelId="{8550BF52-CD20-436C-917E-AC203C262461}" type="presParOf" srcId="{F5F76889-8B2F-453C-B45B-98AD64E98897}" destId="{3A282564-22C4-40AF-A719-3F69FF2F2AB1}" srcOrd="0" destOrd="0" presId="urn:microsoft.com/office/officeart/2011/layout/CircleProcess"/>
    <dgm:cxn modelId="{D107B17B-9BE3-44C7-B2C1-A2321BFB8DD2}" type="presParOf" srcId="{FD7C60E5-09B4-4BC2-95AE-CD6B02D8A32A}" destId="{56687DD8-6FAB-4581-8B6E-8A3016CFD9C7}" srcOrd="1" destOrd="0" presId="urn:microsoft.com/office/officeart/2011/layout/CircleProcess"/>
    <dgm:cxn modelId="{7B3F8086-8A78-405E-B0E5-35DF2C549E76}" type="presParOf" srcId="{56687DD8-6FAB-4581-8B6E-8A3016CFD9C7}" destId="{46ECC438-362B-4FD7-A86E-3D83C18AB146}" srcOrd="0" destOrd="0" presId="urn:microsoft.com/office/officeart/2011/layout/CircleProcess"/>
    <dgm:cxn modelId="{9A1670D1-4944-4623-9431-FF4CDCA2562E}" type="presParOf" srcId="{FD7C60E5-09B4-4BC2-95AE-CD6B02D8A32A}" destId="{7CFAB25A-B31C-4D3C-8AC4-F3B981730E5F}" srcOrd="2" destOrd="0" presId="urn:microsoft.com/office/officeart/2011/layout/CircleProcess"/>
    <dgm:cxn modelId="{18E8DEEA-CB3D-461B-8392-B21E06C8689B}" type="presParOf" srcId="{FD7C60E5-09B4-4BC2-95AE-CD6B02D8A32A}" destId="{55EA0AF9-A04D-478E-B5C2-8942901A14FD}" srcOrd="3" destOrd="0" presId="urn:microsoft.com/office/officeart/2011/layout/CircleProcess"/>
    <dgm:cxn modelId="{702787A8-13A2-4103-AA08-2E1BCF106117}" type="presParOf" srcId="{55EA0AF9-A04D-478E-B5C2-8942901A14FD}" destId="{55F40FD1-4B97-4E59-83F7-488B449A10AD}" srcOrd="0" destOrd="0" presId="urn:microsoft.com/office/officeart/2011/layout/CircleProcess"/>
    <dgm:cxn modelId="{B67C2294-E2E8-4357-8868-250917F1C9C2}" type="presParOf" srcId="{FD7C60E5-09B4-4BC2-95AE-CD6B02D8A32A}" destId="{481D6DA5-2125-4C19-9705-2686FAA1AA1C}" srcOrd="4" destOrd="0" presId="urn:microsoft.com/office/officeart/2011/layout/CircleProcess"/>
    <dgm:cxn modelId="{6911B444-8E9C-4BDF-A450-76A958CFFBBD}" type="presParOf" srcId="{481D6DA5-2125-4C19-9705-2686FAA1AA1C}" destId="{FD00EE51-E377-4C81-9BE4-410B885D835F}" srcOrd="0" destOrd="0" presId="urn:microsoft.com/office/officeart/2011/layout/CircleProcess"/>
    <dgm:cxn modelId="{D049EBD6-092E-43DD-AF45-542F8A44758A}" type="presParOf" srcId="{FD7C60E5-09B4-4BC2-95AE-CD6B02D8A32A}" destId="{491FEFAA-0967-45F2-B4BE-3D39D28BBED9}" srcOrd="5" destOrd="0" presId="urn:microsoft.com/office/officeart/2011/layout/CircleProcess"/>
    <dgm:cxn modelId="{3FF4E996-3469-480E-92F6-74567647C352}" type="presParOf" srcId="{FD7C60E5-09B4-4BC2-95AE-CD6B02D8A32A}" destId="{1E925ADE-5BC6-48CE-A401-35A8851D1733}" srcOrd="6" destOrd="0" presId="urn:microsoft.com/office/officeart/2011/layout/CircleProcess"/>
    <dgm:cxn modelId="{F3C02E9A-645E-4AF4-A7F1-40011F7C304D}" type="presParOf" srcId="{1E925ADE-5BC6-48CE-A401-35A8851D1733}" destId="{829EFE30-48FB-4499-B4F4-45C10AC8D374}" srcOrd="0" destOrd="0" presId="urn:microsoft.com/office/officeart/2011/layout/CircleProcess"/>
    <dgm:cxn modelId="{E301DBDB-1CC2-4563-9509-D5E4AF1312D2}" type="presParOf" srcId="{FD7C60E5-09B4-4BC2-95AE-CD6B02D8A32A}" destId="{4F16C904-0300-4F3A-8A49-92E096731793}" srcOrd="7" destOrd="0" presId="urn:microsoft.com/office/officeart/2011/layout/CircleProcess"/>
    <dgm:cxn modelId="{06D2B496-B259-4CAA-B509-036264F3B9B8}" type="presParOf" srcId="{4F16C904-0300-4F3A-8A49-92E096731793}" destId="{324F419C-1F82-493E-B24C-562A859005D9}" srcOrd="0" destOrd="0" presId="urn:microsoft.com/office/officeart/2011/layout/CircleProcess"/>
    <dgm:cxn modelId="{2B92F637-FA13-4931-BE34-D0FF2246A1BB}" type="presParOf" srcId="{FD7C60E5-09B4-4BC2-95AE-CD6B02D8A32A}" destId="{2DCA2B57-5210-45B4-A934-EDA10B9D8343}" srcOrd="8" destOrd="0" presId="urn:microsoft.com/office/officeart/2011/layout/CircleProcess"/>
  </dgm:cxnLst>
  <dgm:bg/>
  <dgm:whole/>
  <dgm:extLst>
    <a:ext uri="http://schemas.microsoft.com/office/drawing/2008/diagram">
      <dsp:dataModelExt xmlns:dsp="http://schemas.microsoft.com/office/drawing/2008/diagram" relId="rId5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2F437-8B0E-400D-AE5D-4373221A8AD8}" type="doc">
      <dgm:prSet loTypeId="urn:microsoft.com/office/officeart/2005/8/layout/target1" loCatId="relationship" qsTypeId="urn:microsoft.com/office/officeart/2005/8/quickstyle/simple1" qsCatId="simple" csTypeId="urn:microsoft.com/office/officeart/2005/8/colors/accent1_2" csCatId="accent1" phldr="1"/>
      <dgm:spPr/>
    </dgm:pt>
    <dgm:pt modelId="{0B989EE3-DCEC-422C-AB3C-5D0D190FA344}">
      <dgm:prSet phldrT="[Text]" custT="1"/>
      <dgm:spPr/>
      <dgm:t>
        <a:bodyPr/>
        <a:lstStyle/>
        <a:p>
          <a:r>
            <a:rPr lang="en-GB" sz="1100"/>
            <a:t>The student</a:t>
          </a:r>
        </a:p>
      </dgm:t>
    </dgm:pt>
    <dgm:pt modelId="{C7F48434-77FA-4EA0-934A-9D09CF414E72}" type="parTrans" cxnId="{C940DF34-D150-4B92-B0EB-0B10CECF4EB6}">
      <dgm:prSet/>
      <dgm:spPr/>
      <dgm:t>
        <a:bodyPr/>
        <a:lstStyle/>
        <a:p>
          <a:endParaRPr lang="en-GB"/>
        </a:p>
      </dgm:t>
    </dgm:pt>
    <dgm:pt modelId="{89850F08-BC93-46A4-9C06-4659C7090935}" type="sibTrans" cxnId="{C940DF34-D150-4B92-B0EB-0B10CECF4EB6}">
      <dgm:prSet/>
      <dgm:spPr/>
      <dgm:t>
        <a:bodyPr/>
        <a:lstStyle/>
        <a:p>
          <a:endParaRPr lang="en-GB"/>
        </a:p>
      </dgm:t>
    </dgm:pt>
    <dgm:pt modelId="{C917902B-D5B7-48A2-A293-79F1385F09A9}">
      <dgm:prSet phldrT="[Text]" custT="1"/>
      <dgm:spPr/>
      <dgm:t>
        <a:bodyPr/>
        <a:lstStyle/>
        <a:p>
          <a:r>
            <a:rPr lang="en-GB" sz="1100"/>
            <a:t>The teacher holding the student/s</a:t>
          </a:r>
        </a:p>
      </dgm:t>
    </dgm:pt>
    <dgm:pt modelId="{0DBD3F58-6952-46AC-AEBE-872B3A142B37}" type="parTrans" cxnId="{7448F8A5-F9EA-4739-A02B-22636C8BD7C6}">
      <dgm:prSet/>
      <dgm:spPr/>
      <dgm:t>
        <a:bodyPr/>
        <a:lstStyle/>
        <a:p>
          <a:endParaRPr lang="en-GB"/>
        </a:p>
      </dgm:t>
    </dgm:pt>
    <dgm:pt modelId="{81035A7A-6873-4633-9238-A79023B25A5F}" type="sibTrans" cxnId="{7448F8A5-F9EA-4739-A02B-22636C8BD7C6}">
      <dgm:prSet/>
      <dgm:spPr/>
      <dgm:t>
        <a:bodyPr/>
        <a:lstStyle/>
        <a:p>
          <a:endParaRPr lang="en-GB"/>
        </a:p>
      </dgm:t>
    </dgm:pt>
    <dgm:pt modelId="{38B6FDB8-D9ED-4971-B261-DED9357D886F}">
      <dgm:prSet phldrT="[Text]" custT="1"/>
      <dgm:spPr/>
      <dgm:t>
        <a:bodyPr/>
        <a:lstStyle/>
        <a:p>
          <a:r>
            <a:rPr lang="en-GB" sz="1100"/>
            <a:t>The employer, holding the teacher, holding the student</a:t>
          </a:r>
        </a:p>
      </dgm:t>
    </dgm:pt>
    <dgm:pt modelId="{3731E9D1-DCD4-4D25-AFA0-525E9B7488F9}" type="parTrans" cxnId="{8263E6B6-9933-4A11-B102-1321F312FBB5}">
      <dgm:prSet/>
      <dgm:spPr/>
      <dgm:t>
        <a:bodyPr/>
        <a:lstStyle/>
        <a:p>
          <a:endParaRPr lang="en-GB"/>
        </a:p>
      </dgm:t>
    </dgm:pt>
    <dgm:pt modelId="{05D11CE9-5D16-4883-A7D3-647E0F2D1570}" type="sibTrans" cxnId="{8263E6B6-9933-4A11-B102-1321F312FBB5}">
      <dgm:prSet/>
      <dgm:spPr/>
      <dgm:t>
        <a:bodyPr/>
        <a:lstStyle/>
        <a:p>
          <a:endParaRPr lang="en-GB"/>
        </a:p>
      </dgm:t>
    </dgm:pt>
    <dgm:pt modelId="{1C8D11D1-6C9E-4505-9FAA-BB2427839AE7}" type="pres">
      <dgm:prSet presAssocID="{6A02F437-8B0E-400D-AE5D-4373221A8AD8}" presName="composite" presStyleCnt="0">
        <dgm:presLayoutVars>
          <dgm:chMax val="5"/>
          <dgm:dir/>
          <dgm:resizeHandles val="exact"/>
        </dgm:presLayoutVars>
      </dgm:prSet>
      <dgm:spPr/>
    </dgm:pt>
    <dgm:pt modelId="{54A2099E-3C55-4BF8-A2A7-4E581A2B79C0}" type="pres">
      <dgm:prSet presAssocID="{0B989EE3-DCEC-422C-AB3C-5D0D190FA344}" presName="circle1" presStyleLbl="lnNode1" presStyleIdx="0" presStyleCnt="3"/>
      <dgm:spPr/>
    </dgm:pt>
    <dgm:pt modelId="{47BCB308-F3D5-4210-BF56-D111A1DCC48C}" type="pres">
      <dgm:prSet presAssocID="{0B989EE3-DCEC-422C-AB3C-5D0D190FA344}" presName="text1" presStyleLbl="revTx" presStyleIdx="0" presStyleCnt="3">
        <dgm:presLayoutVars>
          <dgm:bulletEnabled val="1"/>
        </dgm:presLayoutVars>
      </dgm:prSet>
      <dgm:spPr/>
    </dgm:pt>
    <dgm:pt modelId="{4EDCD0F2-5C6D-4BC8-B51D-F13C11C32296}" type="pres">
      <dgm:prSet presAssocID="{0B989EE3-DCEC-422C-AB3C-5D0D190FA344}" presName="line1" presStyleLbl="callout" presStyleIdx="0" presStyleCnt="6"/>
      <dgm:spPr/>
    </dgm:pt>
    <dgm:pt modelId="{79D875C2-FAAE-4F49-BC28-91CB6A09299D}" type="pres">
      <dgm:prSet presAssocID="{0B989EE3-DCEC-422C-AB3C-5D0D190FA344}" presName="d1" presStyleLbl="callout" presStyleIdx="1" presStyleCnt="6"/>
      <dgm:spPr/>
    </dgm:pt>
    <dgm:pt modelId="{09667D21-13FE-4649-B8C9-EB3E86FD0A5D}" type="pres">
      <dgm:prSet presAssocID="{C917902B-D5B7-48A2-A293-79F1385F09A9}" presName="circle2" presStyleLbl="lnNode1" presStyleIdx="1" presStyleCnt="3" custLinFactNeighborX="1058" custLinFactNeighborY="-1058"/>
      <dgm:spPr/>
    </dgm:pt>
    <dgm:pt modelId="{652BD8CA-EE78-4ED4-821D-380ED39024ED}" type="pres">
      <dgm:prSet presAssocID="{C917902B-D5B7-48A2-A293-79F1385F09A9}" presName="text2" presStyleLbl="revTx" presStyleIdx="1" presStyleCnt="3">
        <dgm:presLayoutVars>
          <dgm:bulletEnabled val="1"/>
        </dgm:presLayoutVars>
      </dgm:prSet>
      <dgm:spPr/>
    </dgm:pt>
    <dgm:pt modelId="{03F2A756-B2F3-4FE6-9AFC-F8BA8B36A10F}" type="pres">
      <dgm:prSet presAssocID="{C917902B-D5B7-48A2-A293-79F1385F09A9}" presName="line2" presStyleLbl="callout" presStyleIdx="2" presStyleCnt="6"/>
      <dgm:spPr/>
    </dgm:pt>
    <dgm:pt modelId="{6F7C880A-2FBD-4C57-A3AB-01C638EF74DC}" type="pres">
      <dgm:prSet presAssocID="{C917902B-D5B7-48A2-A293-79F1385F09A9}" presName="d2" presStyleLbl="callout" presStyleIdx="3" presStyleCnt="6"/>
      <dgm:spPr/>
    </dgm:pt>
    <dgm:pt modelId="{13630D31-0DED-4093-95E1-6C52E89F24BC}" type="pres">
      <dgm:prSet presAssocID="{38B6FDB8-D9ED-4971-B261-DED9357D886F}" presName="circle3" presStyleLbl="lnNode1" presStyleIdx="2" presStyleCnt="3" custLinFactNeighborX="1587" custLinFactNeighborY="1270"/>
      <dgm:spPr/>
    </dgm:pt>
    <dgm:pt modelId="{5ACA4609-CB2F-440F-9BF6-6C19B085EFEB}" type="pres">
      <dgm:prSet presAssocID="{38B6FDB8-D9ED-4971-B261-DED9357D886F}" presName="text3" presStyleLbl="revTx" presStyleIdx="2" presStyleCnt="3" custScaleY="120408">
        <dgm:presLayoutVars>
          <dgm:bulletEnabled val="1"/>
        </dgm:presLayoutVars>
      </dgm:prSet>
      <dgm:spPr/>
    </dgm:pt>
    <dgm:pt modelId="{760FA4DA-CFE0-4CBE-B6B9-E7577C6F9B9E}" type="pres">
      <dgm:prSet presAssocID="{38B6FDB8-D9ED-4971-B261-DED9357D886F}" presName="line3" presStyleLbl="callout" presStyleIdx="4" presStyleCnt="6"/>
      <dgm:spPr/>
    </dgm:pt>
    <dgm:pt modelId="{B68621ED-03BF-4233-9F19-7DD915D1107E}" type="pres">
      <dgm:prSet presAssocID="{38B6FDB8-D9ED-4971-B261-DED9357D886F}" presName="d3" presStyleLbl="callout" presStyleIdx="5" presStyleCnt="6"/>
      <dgm:spPr/>
    </dgm:pt>
  </dgm:ptLst>
  <dgm:cxnLst>
    <dgm:cxn modelId="{F2E44133-60C2-4B94-A828-B07A3E6A4877}" type="presOf" srcId="{38B6FDB8-D9ED-4971-B261-DED9357D886F}" destId="{5ACA4609-CB2F-440F-9BF6-6C19B085EFEB}" srcOrd="0" destOrd="0" presId="urn:microsoft.com/office/officeart/2005/8/layout/target1"/>
    <dgm:cxn modelId="{C940DF34-D150-4B92-B0EB-0B10CECF4EB6}" srcId="{6A02F437-8B0E-400D-AE5D-4373221A8AD8}" destId="{0B989EE3-DCEC-422C-AB3C-5D0D190FA344}" srcOrd="0" destOrd="0" parTransId="{C7F48434-77FA-4EA0-934A-9D09CF414E72}" sibTransId="{89850F08-BC93-46A4-9C06-4659C7090935}"/>
    <dgm:cxn modelId="{12AB9141-7F11-4D3A-9280-96A681B877B1}" type="presOf" srcId="{6A02F437-8B0E-400D-AE5D-4373221A8AD8}" destId="{1C8D11D1-6C9E-4505-9FAA-BB2427839AE7}" srcOrd="0" destOrd="0" presId="urn:microsoft.com/office/officeart/2005/8/layout/target1"/>
    <dgm:cxn modelId="{FA908E85-7E59-4B75-9CCD-FA8D677B3D16}" type="presOf" srcId="{0B989EE3-DCEC-422C-AB3C-5D0D190FA344}" destId="{47BCB308-F3D5-4210-BF56-D111A1DCC48C}" srcOrd="0" destOrd="0" presId="urn:microsoft.com/office/officeart/2005/8/layout/target1"/>
    <dgm:cxn modelId="{7448F8A5-F9EA-4739-A02B-22636C8BD7C6}" srcId="{6A02F437-8B0E-400D-AE5D-4373221A8AD8}" destId="{C917902B-D5B7-48A2-A293-79F1385F09A9}" srcOrd="1" destOrd="0" parTransId="{0DBD3F58-6952-46AC-AEBE-872B3A142B37}" sibTransId="{81035A7A-6873-4633-9238-A79023B25A5F}"/>
    <dgm:cxn modelId="{73B367B3-12DC-470A-A260-28CFBF5CBDF2}" type="presOf" srcId="{C917902B-D5B7-48A2-A293-79F1385F09A9}" destId="{652BD8CA-EE78-4ED4-821D-380ED39024ED}" srcOrd="0" destOrd="0" presId="urn:microsoft.com/office/officeart/2005/8/layout/target1"/>
    <dgm:cxn modelId="{8263E6B6-9933-4A11-B102-1321F312FBB5}" srcId="{6A02F437-8B0E-400D-AE5D-4373221A8AD8}" destId="{38B6FDB8-D9ED-4971-B261-DED9357D886F}" srcOrd="2" destOrd="0" parTransId="{3731E9D1-DCD4-4D25-AFA0-525E9B7488F9}" sibTransId="{05D11CE9-5D16-4883-A7D3-647E0F2D1570}"/>
    <dgm:cxn modelId="{C9DE533C-E3E4-4991-91EC-6D26A99BFE47}" type="presParOf" srcId="{1C8D11D1-6C9E-4505-9FAA-BB2427839AE7}" destId="{54A2099E-3C55-4BF8-A2A7-4E581A2B79C0}" srcOrd="0" destOrd="0" presId="urn:microsoft.com/office/officeart/2005/8/layout/target1"/>
    <dgm:cxn modelId="{D4390A59-A0DE-4679-97E5-433A98C8852B}" type="presParOf" srcId="{1C8D11D1-6C9E-4505-9FAA-BB2427839AE7}" destId="{47BCB308-F3D5-4210-BF56-D111A1DCC48C}" srcOrd="1" destOrd="0" presId="urn:microsoft.com/office/officeart/2005/8/layout/target1"/>
    <dgm:cxn modelId="{9A94F4C7-6B22-4189-AB2F-F0DC2190CEC7}" type="presParOf" srcId="{1C8D11D1-6C9E-4505-9FAA-BB2427839AE7}" destId="{4EDCD0F2-5C6D-4BC8-B51D-F13C11C32296}" srcOrd="2" destOrd="0" presId="urn:microsoft.com/office/officeart/2005/8/layout/target1"/>
    <dgm:cxn modelId="{5F43BBE2-0752-49D7-8F49-45416F3F9DAD}" type="presParOf" srcId="{1C8D11D1-6C9E-4505-9FAA-BB2427839AE7}" destId="{79D875C2-FAAE-4F49-BC28-91CB6A09299D}" srcOrd="3" destOrd="0" presId="urn:microsoft.com/office/officeart/2005/8/layout/target1"/>
    <dgm:cxn modelId="{75258E43-A095-4488-9689-3A5032B84ED6}" type="presParOf" srcId="{1C8D11D1-6C9E-4505-9FAA-BB2427839AE7}" destId="{09667D21-13FE-4649-B8C9-EB3E86FD0A5D}" srcOrd="4" destOrd="0" presId="urn:microsoft.com/office/officeart/2005/8/layout/target1"/>
    <dgm:cxn modelId="{A8C45EB3-1DA2-484F-9ED6-2A1B51041C1D}" type="presParOf" srcId="{1C8D11D1-6C9E-4505-9FAA-BB2427839AE7}" destId="{652BD8CA-EE78-4ED4-821D-380ED39024ED}" srcOrd="5" destOrd="0" presId="urn:microsoft.com/office/officeart/2005/8/layout/target1"/>
    <dgm:cxn modelId="{281E45E1-7E3B-4826-84A7-1D1E0AC61F65}" type="presParOf" srcId="{1C8D11D1-6C9E-4505-9FAA-BB2427839AE7}" destId="{03F2A756-B2F3-4FE6-9AFC-F8BA8B36A10F}" srcOrd="6" destOrd="0" presId="urn:microsoft.com/office/officeart/2005/8/layout/target1"/>
    <dgm:cxn modelId="{E43A7D47-CF87-4DA7-967F-37B2EED850C0}" type="presParOf" srcId="{1C8D11D1-6C9E-4505-9FAA-BB2427839AE7}" destId="{6F7C880A-2FBD-4C57-A3AB-01C638EF74DC}" srcOrd="7" destOrd="0" presId="urn:microsoft.com/office/officeart/2005/8/layout/target1"/>
    <dgm:cxn modelId="{453FB5FE-ED58-47BD-8D54-C297FEB42803}" type="presParOf" srcId="{1C8D11D1-6C9E-4505-9FAA-BB2427839AE7}" destId="{13630D31-0DED-4093-95E1-6C52E89F24BC}" srcOrd="8" destOrd="0" presId="urn:microsoft.com/office/officeart/2005/8/layout/target1"/>
    <dgm:cxn modelId="{6742E20B-1791-4FB3-A949-2B4B601194E0}" type="presParOf" srcId="{1C8D11D1-6C9E-4505-9FAA-BB2427839AE7}" destId="{5ACA4609-CB2F-440F-9BF6-6C19B085EFEB}" srcOrd="9" destOrd="0" presId="urn:microsoft.com/office/officeart/2005/8/layout/target1"/>
    <dgm:cxn modelId="{D46C9C66-1202-41EC-A27A-3992C23CE6D9}" type="presParOf" srcId="{1C8D11D1-6C9E-4505-9FAA-BB2427839AE7}" destId="{760FA4DA-CFE0-4CBE-B6B9-E7577C6F9B9E}" srcOrd="10" destOrd="0" presId="urn:microsoft.com/office/officeart/2005/8/layout/target1"/>
    <dgm:cxn modelId="{FC7C7713-F32F-4A3D-9AAC-64555EEF5B9C}" type="presParOf" srcId="{1C8D11D1-6C9E-4505-9FAA-BB2427839AE7}" destId="{B68621ED-03BF-4233-9F19-7DD915D1107E}" srcOrd="11" destOrd="0" presId="urn:microsoft.com/office/officeart/2005/8/layout/targe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02F437-8B0E-400D-AE5D-4373221A8AD8}" type="doc">
      <dgm:prSet loTypeId="urn:microsoft.com/office/officeart/2005/8/layout/target1" loCatId="relationship" qsTypeId="urn:microsoft.com/office/officeart/2005/8/quickstyle/simple1" qsCatId="simple" csTypeId="urn:microsoft.com/office/officeart/2005/8/colors/accent1_2" csCatId="accent1" phldr="1"/>
      <dgm:spPr/>
    </dgm:pt>
    <dgm:pt modelId="{0B989EE3-DCEC-422C-AB3C-5D0D190FA344}">
      <dgm:prSet phldrT="[Text]" custT="1"/>
      <dgm:spPr/>
      <dgm:t>
        <a:bodyPr/>
        <a:lstStyle/>
        <a:p>
          <a:r>
            <a:rPr lang="en-GB" sz="1100"/>
            <a:t>The participant, their feelings nd reflections on their journey</a:t>
          </a:r>
        </a:p>
      </dgm:t>
    </dgm:pt>
    <dgm:pt modelId="{C7F48434-77FA-4EA0-934A-9D09CF414E72}" type="parTrans" cxnId="{C940DF34-D150-4B92-B0EB-0B10CECF4EB6}">
      <dgm:prSet/>
      <dgm:spPr/>
      <dgm:t>
        <a:bodyPr/>
        <a:lstStyle/>
        <a:p>
          <a:endParaRPr lang="en-GB"/>
        </a:p>
      </dgm:t>
    </dgm:pt>
    <dgm:pt modelId="{89850F08-BC93-46A4-9C06-4659C7090935}" type="sibTrans" cxnId="{C940DF34-D150-4B92-B0EB-0B10CECF4EB6}">
      <dgm:prSet/>
      <dgm:spPr/>
      <dgm:t>
        <a:bodyPr/>
        <a:lstStyle/>
        <a:p>
          <a:endParaRPr lang="en-GB"/>
        </a:p>
      </dgm:t>
    </dgm:pt>
    <dgm:pt modelId="{C917902B-D5B7-48A2-A293-79F1385F09A9}">
      <dgm:prSet phldrT="[Text]" custT="1"/>
      <dgm:spPr/>
      <dgm:t>
        <a:bodyPr/>
        <a:lstStyle/>
        <a:p>
          <a:r>
            <a:rPr lang="en-GB" sz="1100"/>
            <a:t>Winnicott and object relations.  Depth psychology</a:t>
          </a:r>
        </a:p>
      </dgm:t>
    </dgm:pt>
    <dgm:pt modelId="{0DBD3F58-6952-46AC-AEBE-872B3A142B37}" type="parTrans" cxnId="{7448F8A5-F9EA-4739-A02B-22636C8BD7C6}">
      <dgm:prSet/>
      <dgm:spPr/>
      <dgm:t>
        <a:bodyPr/>
        <a:lstStyle/>
        <a:p>
          <a:endParaRPr lang="en-GB"/>
        </a:p>
      </dgm:t>
    </dgm:pt>
    <dgm:pt modelId="{81035A7A-6873-4633-9238-A79023B25A5F}" type="sibTrans" cxnId="{7448F8A5-F9EA-4739-A02B-22636C8BD7C6}">
      <dgm:prSet/>
      <dgm:spPr/>
      <dgm:t>
        <a:bodyPr/>
        <a:lstStyle/>
        <a:p>
          <a:endParaRPr lang="en-GB"/>
        </a:p>
      </dgm:t>
    </dgm:pt>
    <dgm:pt modelId="{38B6FDB8-D9ED-4971-B261-DED9357D886F}">
      <dgm:prSet phldrT="[Text]" custT="1"/>
      <dgm:spPr/>
      <dgm:t>
        <a:bodyPr/>
        <a:lstStyle/>
        <a:p>
          <a:endParaRPr lang="en-GB" sz="1100"/>
        </a:p>
        <a:p>
          <a:r>
            <a:rPr lang="en-GB" sz="1100"/>
            <a:t>Depth pedagogy; the holder of the individuation process and hero's journey</a:t>
          </a:r>
        </a:p>
      </dgm:t>
    </dgm:pt>
    <dgm:pt modelId="{3731E9D1-DCD4-4D25-AFA0-525E9B7488F9}" type="parTrans" cxnId="{8263E6B6-9933-4A11-B102-1321F312FBB5}">
      <dgm:prSet/>
      <dgm:spPr/>
      <dgm:t>
        <a:bodyPr/>
        <a:lstStyle/>
        <a:p>
          <a:endParaRPr lang="en-GB"/>
        </a:p>
      </dgm:t>
    </dgm:pt>
    <dgm:pt modelId="{05D11CE9-5D16-4883-A7D3-647E0F2D1570}" type="sibTrans" cxnId="{8263E6B6-9933-4A11-B102-1321F312FBB5}">
      <dgm:prSet/>
      <dgm:spPr/>
      <dgm:t>
        <a:bodyPr/>
        <a:lstStyle/>
        <a:p>
          <a:endParaRPr lang="en-GB"/>
        </a:p>
      </dgm:t>
    </dgm:pt>
    <dgm:pt modelId="{1C8D11D1-6C9E-4505-9FAA-BB2427839AE7}" type="pres">
      <dgm:prSet presAssocID="{6A02F437-8B0E-400D-AE5D-4373221A8AD8}" presName="composite" presStyleCnt="0">
        <dgm:presLayoutVars>
          <dgm:chMax val="5"/>
          <dgm:dir/>
          <dgm:resizeHandles val="exact"/>
        </dgm:presLayoutVars>
      </dgm:prSet>
      <dgm:spPr/>
    </dgm:pt>
    <dgm:pt modelId="{54A2099E-3C55-4BF8-A2A7-4E581A2B79C0}" type="pres">
      <dgm:prSet presAssocID="{0B989EE3-DCEC-422C-AB3C-5D0D190FA344}" presName="circle1" presStyleLbl="lnNode1" presStyleIdx="0" presStyleCnt="3"/>
      <dgm:spPr/>
    </dgm:pt>
    <dgm:pt modelId="{47BCB308-F3D5-4210-BF56-D111A1DCC48C}" type="pres">
      <dgm:prSet presAssocID="{0B989EE3-DCEC-422C-AB3C-5D0D190FA344}" presName="text1" presStyleLbl="revTx" presStyleIdx="0" presStyleCnt="3">
        <dgm:presLayoutVars>
          <dgm:bulletEnabled val="1"/>
        </dgm:presLayoutVars>
      </dgm:prSet>
      <dgm:spPr/>
    </dgm:pt>
    <dgm:pt modelId="{4EDCD0F2-5C6D-4BC8-B51D-F13C11C32296}" type="pres">
      <dgm:prSet presAssocID="{0B989EE3-DCEC-422C-AB3C-5D0D190FA344}" presName="line1" presStyleLbl="callout" presStyleIdx="0" presStyleCnt="6"/>
      <dgm:spPr/>
    </dgm:pt>
    <dgm:pt modelId="{79D875C2-FAAE-4F49-BC28-91CB6A09299D}" type="pres">
      <dgm:prSet presAssocID="{0B989EE3-DCEC-422C-AB3C-5D0D190FA344}" presName="d1" presStyleLbl="callout" presStyleIdx="1" presStyleCnt="6"/>
      <dgm:spPr/>
    </dgm:pt>
    <dgm:pt modelId="{09667D21-13FE-4649-B8C9-EB3E86FD0A5D}" type="pres">
      <dgm:prSet presAssocID="{C917902B-D5B7-48A2-A293-79F1385F09A9}" presName="circle2" presStyleLbl="lnNode1" presStyleIdx="1" presStyleCnt="3" custLinFactNeighborX="1058" custLinFactNeighborY="-1058"/>
      <dgm:spPr/>
    </dgm:pt>
    <dgm:pt modelId="{652BD8CA-EE78-4ED4-821D-380ED39024ED}" type="pres">
      <dgm:prSet presAssocID="{C917902B-D5B7-48A2-A293-79F1385F09A9}" presName="text2" presStyleLbl="revTx" presStyleIdx="1" presStyleCnt="3">
        <dgm:presLayoutVars>
          <dgm:bulletEnabled val="1"/>
        </dgm:presLayoutVars>
      </dgm:prSet>
      <dgm:spPr/>
    </dgm:pt>
    <dgm:pt modelId="{03F2A756-B2F3-4FE6-9AFC-F8BA8B36A10F}" type="pres">
      <dgm:prSet presAssocID="{C917902B-D5B7-48A2-A293-79F1385F09A9}" presName="line2" presStyleLbl="callout" presStyleIdx="2" presStyleCnt="6"/>
      <dgm:spPr/>
    </dgm:pt>
    <dgm:pt modelId="{6F7C880A-2FBD-4C57-A3AB-01C638EF74DC}" type="pres">
      <dgm:prSet presAssocID="{C917902B-D5B7-48A2-A293-79F1385F09A9}" presName="d2" presStyleLbl="callout" presStyleIdx="3" presStyleCnt="6"/>
      <dgm:spPr/>
    </dgm:pt>
    <dgm:pt modelId="{13630D31-0DED-4093-95E1-6C52E89F24BC}" type="pres">
      <dgm:prSet presAssocID="{38B6FDB8-D9ED-4971-B261-DED9357D886F}" presName="circle3" presStyleLbl="lnNode1" presStyleIdx="2" presStyleCnt="3" custLinFactNeighborX="1587" custLinFactNeighborY="1270"/>
      <dgm:spPr/>
    </dgm:pt>
    <dgm:pt modelId="{5ACA4609-CB2F-440F-9BF6-6C19B085EFEB}" type="pres">
      <dgm:prSet presAssocID="{38B6FDB8-D9ED-4971-B261-DED9357D886F}" presName="text3" presStyleLbl="revTx" presStyleIdx="2" presStyleCnt="3" custScaleY="120408">
        <dgm:presLayoutVars>
          <dgm:bulletEnabled val="1"/>
        </dgm:presLayoutVars>
      </dgm:prSet>
      <dgm:spPr/>
    </dgm:pt>
    <dgm:pt modelId="{760FA4DA-CFE0-4CBE-B6B9-E7577C6F9B9E}" type="pres">
      <dgm:prSet presAssocID="{38B6FDB8-D9ED-4971-B261-DED9357D886F}" presName="line3" presStyleLbl="callout" presStyleIdx="4" presStyleCnt="6"/>
      <dgm:spPr/>
    </dgm:pt>
    <dgm:pt modelId="{B68621ED-03BF-4233-9F19-7DD915D1107E}" type="pres">
      <dgm:prSet presAssocID="{38B6FDB8-D9ED-4971-B261-DED9357D886F}" presName="d3" presStyleLbl="callout" presStyleIdx="5" presStyleCnt="6"/>
      <dgm:spPr/>
    </dgm:pt>
  </dgm:ptLst>
  <dgm:cxnLst>
    <dgm:cxn modelId="{F2E44133-60C2-4B94-A828-B07A3E6A4877}" type="presOf" srcId="{38B6FDB8-D9ED-4971-B261-DED9357D886F}" destId="{5ACA4609-CB2F-440F-9BF6-6C19B085EFEB}" srcOrd="0" destOrd="0" presId="urn:microsoft.com/office/officeart/2005/8/layout/target1"/>
    <dgm:cxn modelId="{C940DF34-D150-4B92-B0EB-0B10CECF4EB6}" srcId="{6A02F437-8B0E-400D-AE5D-4373221A8AD8}" destId="{0B989EE3-DCEC-422C-AB3C-5D0D190FA344}" srcOrd="0" destOrd="0" parTransId="{C7F48434-77FA-4EA0-934A-9D09CF414E72}" sibTransId="{89850F08-BC93-46A4-9C06-4659C7090935}"/>
    <dgm:cxn modelId="{12AB9141-7F11-4D3A-9280-96A681B877B1}" type="presOf" srcId="{6A02F437-8B0E-400D-AE5D-4373221A8AD8}" destId="{1C8D11D1-6C9E-4505-9FAA-BB2427839AE7}" srcOrd="0" destOrd="0" presId="urn:microsoft.com/office/officeart/2005/8/layout/target1"/>
    <dgm:cxn modelId="{FA908E85-7E59-4B75-9CCD-FA8D677B3D16}" type="presOf" srcId="{0B989EE3-DCEC-422C-AB3C-5D0D190FA344}" destId="{47BCB308-F3D5-4210-BF56-D111A1DCC48C}" srcOrd="0" destOrd="0" presId="urn:microsoft.com/office/officeart/2005/8/layout/target1"/>
    <dgm:cxn modelId="{7448F8A5-F9EA-4739-A02B-22636C8BD7C6}" srcId="{6A02F437-8B0E-400D-AE5D-4373221A8AD8}" destId="{C917902B-D5B7-48A2-A293-79F1385F09A9}" srcOrd="1" destOrd="0" parTransId="{0DBD3F58-6952-46AC-AEBE-872B3A142B37}" sibTransId="{81035A7A-6873-4633-9238-A79023B25A5F}"/>
    <dgm:cxn modelId="{73B367B3-12DC-470A-A260-28CFBF5CBDF2}" type="presOf" srcId="{C917902B-D5B7-48A2-A293-79F1385F09A9}" destId="{652BD8CA-EE78-4ED4-821D-380ED39024ED}" srcOrd="0" destOrd="0" presId="urn:microsoft.com/office/officeart/2005/8/layout/target1"/>
    <dgm:cxn modelId="{8263E6B6-9933-4A11-B102-1321F312FBB5}" srcId="{6A02F437-8B0E-400D-AE5D-4373221A8AD8}" destId="{38B6FDB8-D9ED-4971-B261-DED9357D886F}" srcOrd="2" destOrd="0" parTransId="{3731E9D1-DCD4-4D25-AFA0-525E9B7488F9}" sibTransId="{05D11CE9-5D16-4883-A7D3-647E0F2D1570}"/>
    <dgm:cxn modelId="{C9DE533C-E3E4-4991-91EC-6D26A99BFE47}" type="presParOf" srcId="{1C8D11D1-6C9E-4505-9FAA-BB2427839AE7}" destId="{54A2099E-3C55-4BF8-A2A7-4E581A2B79C0}" srcOrd="0" destOrd="0" presId="urn:microsoft.com/office/officeart/2005/8/layout/target1"/>
    <dgm:cxn modelId="{D4390A59-A0DE-4679-97E5-433A98C8852B}" type="presParOf" srcId="{1C8D11D1-6C9E-4505-9FAA-BB2427839AE7}" destId="{47BCB308-F3D5-4210-BF56-D111A1DCC48C}" srcOrd="1" destOrd="0" presId="urn:microsoft.com/office/officeart/2005/8/layout/target1"/>
    <dgm:cxn modelId="{9A94F4C7-6B22-4189-AB2F-F0DC2190CEC7}" type="presParOf" srcId="{1C8D11D1-6C9E-4505-9FAA-BB2427839AE7}" destId="{4EDCD0F2-5C6D-4BC8-B51D-F13C11C32296}" srcOrd="2" destOrd="0" presId="urn:microsoft.com/office/officeart/2005/8/layout/target1"/>
    <dgm:cxn modelId="{5F43BBE2-0752-49D7-8F49-45416F3F9DAD}" type="presParOf" srcId="{1C8D11D1-6C9E-4505-9FAA-BB2427839AE7}" destId="{79D875C2-FAAE-4F49-BC28-91CB6A09299D}" srcOrd="3" destOrd="0" presId="urn:microsoft.com/office/officeart/2005/8/layout/target1"/>
    <dgm:cxn modelId="{75258E43-A095-4488-9689-3A5032B84ED6}" type="presParOf" srcId="{1C8D11D1-6C9E-4505-9FAA-BB2427839AE7}" destId="{09667D21-13FE-4649-B8C9-EB3E86FD0A5D}" srcOrd="4" destOrd="0" presId="urn:microsoft.com/office/officeart/2005/8/layout/target1"/>
    <dgm:cxn modelId="{A8C45EB3-1DA2-484F-9ED6-2A1B51041C1D}" type="presParOf" srcId="{1C8D11D1-6C9E-4505-9FAA-BB2427839AE7}" destId="{652BD8CA-EE78-4ED4-821D-380ED39024ED}" srcOrd="5" destOrd="0" presId="urn:microsoft.com/office/officeart/2005/8/layout/target1"/>
    <dgm:cxn modelId="{281E45E1-7E3B-4826-84A7-1D1E0AC61F65}" type="presParOf" srcId="{1C8D11D1-6C9E-4505-9FAA-BB2427839AE7}" destId="{03F2A756-B2F3-4FE6-9AFC-F8BA8B36A10F}" srcOrd="6" destOrd="0" presId="urn:microsoft.com/office/officeart/2005/8/layout/target1"/>
    <dgm:cxn modelId="{E43A7D47-CF87-4DA7-967F-37B2EED850C0}" type="presParOf" srcId="{1C8D11D1-6C9E-4505-9FAA-BB2427839AE7}" destId="{6F7C880A-2FBD-4C57-A3AB-01C638EF74DC}" srcOrd="7" destOrd="0" presId="urn:microsoft.com/office/officeart/2005/8/layout/target1"/>
    <dgm:cxn modelId="{453FB5FE-ED58-47BD-8D54-C297FEB42803}" type="presParOf" srcId="{1C8D11D1-6C9E-4505-9FAA-BB2427839AE7}" destId="{13630D31-0DED-4093-95E1-6C52E89F24BC}" srcOrd="8" destOrd="0" presId="urn:microsoft.com/office/officeart/2005/8/layout/target1"/>
    <dgm:cxn modelId="{6742E20B-1791-4FB3-A949-2B4B601194E0}" type="presParOf" srcId="{1C8D11D1-6C9E-4505-9FAA-BB2427839AE7}" destId="{5ACA4609-CB2F-440F-9BF6-6C19B085EFEB}" srcOrd="9" destOrd="0" presId="urn:microsoft.com/office/officeart/2005/8/layout/target1"/>
    <dgm:cxn modelId="{D46C9C66-1202-41EC-A27A-3992C23CE6D9}" type="presParOf" srcId="{1C8D11D1-6C9E-4505-9FAA-BB2427839AE7}" destId="{760FA4DA-CFE0-4CBE-B6B9-E7577C6F9B9E}" srcOrd="10" destOrd="0" presId="urn:microsoft.com/office/officeart/2005/8/layout/target1"/>
    <dgm:cxn modelId="{FC7C7713-F32F-4A3D-9AAC-64555EEF5B9C}" type="presParOf" srcId="{1C8D11D1-6C9E-4505-9FAA-BB2427839AE7}" destId="{B68621ED-03BF-4233-9F19-7DD915D1107E}" srcOrd="11" destOrd="0" presId="urn:microsoft.com/office/officeart/2005/8/layout/targe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2F5F15-15B9-442D-B462-12B578CF1969}"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GB"/>
        </a:p>
      </dgm:t>
    </dgm:pt>
    <dgm:pt modelId="{606E7565-58BC-425B-BA7D-959648A502BD}">
      <dgm:prSet phldrT="[Text]" custT="1"/>
      <dgm:spPr>
        <a:xfrm>
          <a:off x="1905000" y="774142"/>
          <a:ext cx="1676399" cy="513278"/>
        </a:xfrm>
        <a:prstGeom prst="rect">
          <a:avLst/>
        </a:prstGeom>
        <a:noFill/>
        <a:ln w="12700" cap="flat" cmpd="sng" algn="ctr">
          <a:noFill/>
          <a:prstDash val="solid"/>
          <a:miter lim="800000"/>
        </a:ln>
        <a:effectLst/>
        <a:sp3d/>
      </dgm:spPr>
      <dgm:t>
        <a:bodyPr/>
        <a:lstStyle/>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professional narrative - a journey of temporal curiosity</a:t>
          </a:r>
        </a:p>
      </dgm:t>
    </dgm:pt>
    <dgm:pt modelId="{9934BD28-6E41-4864-9D5B-A3A5010C06C5}" type="parTrans" cxnId="{2E29132E-93A5-45E8-8F05-76886AD5559E}">
      <dgm:prSet/>
      <dgm:spPr/>
      <dgm:t>
        <a:bodyPr/>
        <a:lstStyle/>
        <a:p>
          <a:endParaRPr lang="en-GB" sz="1200"/>
        </a:p>
      </dgm:t>
    </dgm:pt>
    <dgm:pt modelId="{9F787654-0754-4AF4-801C-297A05FF74BB}" type="sibTrans" cxnId="{2E29132E-93A5-45E8-8F05-76886AD5559E}">
      <dgm:prSet/>
      <dgm:spPr/>
      <dgm:t>
        <a:bodyPr/>
        <a:lstStyle/>
        <a:p>
          <a:endParaRPr lang="en-GB" sz="1200"/>
        </a:p>
      </dgm:t>
    </dgm:pt>
    <dgm:pt modelId="{243CEE8D-37E3-45FB-84EC-DB6C7446BE97}">
      <dgm:prSet phldrT="[Text]" custT="1"/>
      <dgm:spPr>
        <a:xfrm>
          <a:off x="368" y="1912979"/>
          <a:ext cx="1603995" cy="513278"/>
        </a:xfrm>
        <a:prstGeom prst="rect">
          <a:avLst/>
        </a:prstGeom>
        <a:noFill/>
        <a:ln w="12700" cap="flat" cmpd="sng" algn="ctr">
          <a:noFill/>
          <a:prstDash val="solid"/>
          <a:miter lim="800000"/>
        </a:ln>
        <a:effectLst/>
        <a:sp3d/>
      </dgm:spPr>
      <dgm:t>
        <a:bodyPr/>
        <a:lstStyle/>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Support during the teacher training journey- the "what"?</a:t>
          </a:r>
        </a:p>
      </dgm:t>
    </dgm:pt>
    <dgm:pt modelId="{44ED82EC-6877-45A1-B8FE-9DCF59DB9376}" type="parTrans" cxnId="{4646845F-65A7-4A47-9996-116F4F65AA85}">
      <dgm:prSet/>
      <dgm: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B04B75FD-8F35-4746-BFAB-E20B144A34EC}" type="sibTrans" cxnId="{4646845F-65A7-4A47-9996-116F4F65AA85}">
      <dgm:prSet/>
      <dgm:spPr/>
      <dgm:t>
        <a:bodyPr/>
        <a:lstStyle/>
        <a:p>
          <a:endParaRPr lang="en-GB" sz="1200"/>
        </a:p>
      </dgm:t>
    </dgm:pt>
    <dgm:pt modelId="{98765ABB-3FF0-46CE-8727-A18117F2DCE7}">
      <dgm:prSet phldrT="[Text]" custT="1"/>
      <dgm:spPr>
        <a:xfrm>
          <a:off x="1941202" y="1912979"/>
          <a:ext cx="1603995" cy="513278"/>
        </a:xfrm>
        <a:prstGeom prst="rect">
          <a:avLst/>
        </a:prstGeom>
        <a:noFill/>
        <a:ln w="12700" cap="flat" cmpd="sng" algn="ctr">
          <a:noFill/>
          <a:prstDash val="solid"/>
          <a:miter lim="800000"/>
        </a:ln>
        <a:effectLst/>
        <a:sp3d/>
      </dgm:spPr>
      <dgm:t>
        <a:bodyPr/>
        <a:lstStyle/>
        <a:p>
          <a:pPr>
            <a:buNone/>
          </a:pPr>
          <a:r>
            <a:rPr lang="en-GB" sz="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Teacher identity- the "so what"?</a:t>
          </a:r>
        </a:p>
      </dgm:t>
    </dgm:pt>
    <dgm:pt modelId="{6E7E44CE-3E3F-4CB6-A315-8E85E63D9E1A}" type="parTrans" cxnId="{78EB13E9-992B-4045-B512-D380DA7D69AF}">
      <dgm:prSet/>
      <dgm:spPr>
        <a:xfrm>
          <a:off x="2697480" y="1431780"/>
          <a:ext cx="91440" cy="336838"/>
        </a:xfrm>
        <a:custGeom>
          <a:avLst/>
          <a:gdLst/>
          <a:ahLst/>
          <a:cxnLst/>
          <a:rect l="0" t="0" r="0" b="0"/>
          <a:pathLst>
            <a:path>
              <a:moveTo>
                <a:pt x="45720" y="0"/>
              </a:moveTo>
              <a:lnTo>
                <a:pt x="45720"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92CE8F1B-4401-455A-95F6-DDDC06BC9A2E}" type="sibTrans" cxnId="{78EB13E9-992B-4045-B512-D380DA7D69AF}">
      <dgm:prSet/>
      <dgm:spPr/>
      <dgm:t>
        <a:bodyPr/>
        <a:lstStyle/>
        <a:p>
          <a:endParaRPr lang="en-GB" sz="1200"/>
        </a:p>
      </dgm:t>
    </dgm:pt>
    <dgm:pt modelId="{DDF354DF-0CF9-4DA2-84D4-A884D84CD55D}">
      <dgm:prSet phldrT="[Text]" custT="1"/>
      <dgm:spPr>
        <a:xfrm>
          <a:off x="3882036" y="1912979"/>
          <a:ext cx="1603995" cy="513278"/>
        </a:xfrm>
        <a:prstGeom prst="rect">
          <a:avLst/>
        </a:prstGeom>
        <a:noFill/>
        <a:ln w="12700" cap="flat" cmpd="sng" algn="ctr">
          <a:noFill/>
          <a:prstDash val="solid"/>
          <a:miter lim="800000"/>
        </a:ln>
        <a:effectLst/>
        <a:sp3d/>
      </dgm:spPr>
      <dgm:t>
        <a:bodyPr/>
        <a:lstStyle/>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Learning from  retrospective reminiscening - the "now what"?</a:t>
          </a:r>
        </a:p>
      </dgm:t>
    </dgm:pt>
    <dgm:pt modelId="{48A030DD-1570-4065-803E-3C772C728BBE}" type="parTrans" cxnId="{A9B951C4-3CB1-4021-8E72-BF3DF7A8A291}">
      <dgm:prSet/>
      <dgm: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DAD0EEAE-B65F-4500-93B7-FD8FA3B29DCB}" type="sibTrans" cxnId="{A9B951C4-3CB1-4021-8E72-BF3DF7A8A291}">
      <dgm:prSet/>
      <dgm:spPr/>
      <dgm:t>
        <a:bodyPr/>
        <a:lstStyle/>
        <a:p>
          <a:endParaRPr lang="en-GB" sz="1200"/>
        </a:p>
      </dgm:t>
    </dgm:pt>
    <dgm:pt modelId="{4C7FBF42-6280-4FBE-93F4-BDEF9E5B2874}" type="pres">
      <dgm:prSet presAssocID="{862F5F15-15B9-442D-B462-12B578CF1969}" presName="Name0" presStyleCnt="0">
        <dgm:presLayoutVars>
          <dgm:orgChart val="1"/>
          <dgm:chPref val="1"/>
          <dgm:dir/>
          <dgm:animOne val="branch"/>
          <dgm:animLvl val="lvl"/>
          <dgm:resizeHandles/>
        </dgm:presLayoutVars>
      </dgm:prSet>
      <dgm:spPr/>
    </dgm:pt>
    <dgm:pt modelId="{8B1E25D3-CA1D-4B44-BBE6-38699EAFF787}" type="pres">
      <dgm:prSet presAssocID="{606E7565-58BC-425B-BA7D-959648A502BD}" presName="hierRoot1" presStyleCnt="0">
        <dgm:presLayoutVars>
          <dgm:hierBranch val="init"/>
        </dgm:presLayoutVars>
      </dgm:prSet>
      <dgm:spPr/>
    </dgm:pt>
    <dgm:pt modelId="{F05B521C-5BF2-4523-A705-9352BF68C0F5}" type="pres">
      <dgm:prSet presAssocID="{606E7565-58BC-425B-BA7D-959648A502BD}" presName="rootComposite1" presStyleCnt="0"/>
      <dgm:spPr/>
    </dgm:pt>
    <dgm:pt modelId="{178D30EB-F60A-467F-A019-0ED767B40B97}" type="pres">
      <dgm:prSet presAssocID="{606E7565-58BC-425B-BA7D-959648A502BD}" presName="rootText1" presStyleLbl="alignAcc1" presStyleIdx="0" presStyleCnt="0" custScaleX="104514" custLinFactNeighborX="475" custLinFactNeighborY="-1485">
        <dgm:presLayoutVars>
          <dgm:chPref val="3"/>
        </dgm:presLayoutVars>
      </dgm:prSet>
      <dgm:spPr/>
    </dgm:pt>
    <dgm:pt modelId="{1A09DBD4-803A-4C4C-92F4-EA16A8319F96}" type="pres">
      <dgm:prSet presAssocID="{606E7565-58BC-425B-BA7D-959648A502BD}" presName="topArc1" presStyleLbl="parChTrans1D1" presStyleIdx="0" presStyleCnt="8"/>
      <dgm:spPr>
        <a:xfrm>
          <a:off x="2324100" y="629782"/>
          <a:ext cx="838199"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C1889C60-2BEC-47E9-8E46-75DD061855F8}" type="pres">
      <dgm:prSet presAssocID="{606E7565-58BC-425B-BA7D-959648A502BD}" presName="bottomArc1" presStyleLbl="parChTrans1D1" presStyleIdx="1" presStyleCnt="8"/>
      <dgm:spPr>
        <a:xfrm>
          <a:off x="2324100" y="629782"/>
          <a:ext cx="838199"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7EA2E110-868A-4264-9C06-E934DA1067FD}" type="pres">
      <dgm:prSet presAssocID="{606E7565-58BC-425B-BA7D-959648A502BD}" presName="topConnNode1" presStyleLbl="node1" presStyleIdx="0" presStyleCnt="0"/>
      <dgm:spPr/>
    </dgm:pt>
    <dgm:pt modelId="{10290A2E-2000-4B82-831D-8D7BBFA18270}" type="pres">
      <dgm:prSet presAssocID="{606E7565-58BC-425B-BA7D-959648A502BD}" presName="hierChild2" presStyleCnt="0"/>
      <dgm:spPr/>
    </dgm:pt>
    <dgm:pt modelId="{B77B8943-F4F0-4523-A84C-8A3D42C0232C}" type="pres">
      <dgm:prSet presAssocID="{44ED82EC-6877-45A1-B8FE-9DCF59DB9376}" presName="Name28" presStyleLbl="parChTrans1D2" presStyleIdx="0" presStyleCnt="3"/>
      <dgm:spPr/>
    </dgm:pt>
    <dgm:pt modelId="{54366C4E-238A-4404-8E66-B36A9E1CA9BA}" type="pres">
      <dgm:prSet presAssocID="{243CEE8D-37E3-45FB-84EC-DB6C7446BE97}" presName="hierRoot2" presStyleCnt="0">
        <dgm:presLayoutVars>
          <dgm:hierBranch val="init"/>
        </dgm:presLayoutVars>
      </dgm:prSet>
      <dgm:spPr/>
    </dgm:pt>
    <dgm:pt modelId="{C252D987-CC6D-4816-ADA7-7440EEC43124}" type="pres">
      <dgm:prSet presAssocID="{243CEE8D-37E3-45FB-84EC-DB6C7446BE97}" presName="rootComposite2" presStyleCnt="0"/>
      <dgm:spPr/>
    </dgm:pt>
    <dgm:pt modelId="{67A48B9C-3FBE-4C23-B1CD-3013B195EDE7}" type="pres">
      <dgm:prSet presAssocID="{243CEE8D-37E3-45FB-84EC-DB6C7446BE97}" presName="rootText2" presStyleLbl="alignAcc1" presStyleIdx="0" presStyleCnt="0">
        <dgm:presLayoutVars>
          <dgm:chPref val="3"/>
        </dgm:presLayoutVars>
      </dgm:prSet>
      <dgm:spPr/>
    </dgm:pt>
    <dgm:pt modelId="{A52C0AF7-2731-4BAA-BD15-0852F7B67EF7}" type="pres">
      <dgm:prSet presAssocID="{243CEE8D-37E3-45FB-84EC-DB6C7446BE97}" presName="topArc2" presStyleLbl="parChTrans1D1" presStyleIdx="2" presStyleCnt="8"/>
      <dgm:spPr>
        <a:xfrm>
          <a:off x="401367"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E1A6D556-2521-404D-B31D-90C1E441A494}" type="pres">
      <dgm:prSet presAssocID="{243CEE8D-37E3-45FB-84EC-DB6C7446BE97}" presName="bottomArc2" presStyleLbl="parChTrans1D1" presStyleIdx="3" presStyleCnt="8"/>
      <dgm:spPr>
        <a:xfrm>
          <a:off x="401367"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8593C9CC-3C17-4FD9-A620-C3BB52050314}" type="pres">
      <dgm:prSet presAssocID="{243CEE8D-37E3-45FB-84EC-DB6C7446BE97}" presName="topConnNode2" presStyleLbl="node2" presStyleIdx="0" presStyleCnt="0"/>
      <dgm:spPr/>
    </dgm:pt>
    <dgm:pt modelId="{B6CB3BCB-AE9D-4807-AA26-7BB8E4727218}" type="pres">
      <dgm:prSet presAssocID="{243CEE8D-37E3-45FB-84EC-DB6C7446BE97}" presName="hierChild4" presStyleCnt="0"/>
      <dgm:spPr/>
    </dgm:pt>
    <dgm:pt modelId="{5B9EB10C-6C9B-4681-91A3-3085631B5096}" type="pres">
      <dgm:prSet presAssocID="{243CEE8D-37E3-45FB-84EC-DB6C7446BE97}" presName="hierChild5" presStyleCnt="0"/>
      <dgm:spPr/>
    </dgm:pt>
    <dgm:pt modelId="{DEA1F3B8-8956-4BC1-AC9E-EEF739F614BE}" type="pres">
      <dgm:prSet presAssocID="{6E7E44CE-3E3F-4CB6-A315-8E85E63D9E1A}" presName="Name28" presStyleLbl="parChTrans1D2" presStyleIdx="1" presStyleCnt="3"/>
      <dgm:spPr/>
    </dgm:pt>
    <dgm:pt modelId="{66197C0D-9AB9-4717-909A-FCA1973473EA}" type="pres">
      <dgm:prSet presAssocID="{98765ABB-3FF0-46CE-8727-A18117F2DCE7}" presName="hierRoot2" presStyleCnt="0">
        <dgm:presLayoutVars>
          <dgm:hierBranch val="init"/>
        </dgm:presLayoutVars>
      </dgm:prSet>
      <dgm:spPr/>
    </dgm:pt>
    <dgm:pt modelId="{AAC19CE7-03B0-4C3E-A96B-1AD601858080}" type="pres">
      <dgm:prSet presAssocID="{98765ABB-3FF0-46CE-8727-A18117F2DCE7}" presName="rootComposite2" presStyleCnt="0"/>
      <dgm:spPr/>
    </dgm:pt>
    <dgm:pt modelId="{5EE3AD0F-60FD-4E1B-BED6-CA691081E03E}" type="pres">
      <dgm:prSet presAssocID="{98765ABB-3FF0-46CE-8727-A18117F2DCE7}" presName="rootText2" presStyleLbl="alignAcc1" presStyleIdx="0" presStyleCnt="0">
        <dgm:presLayoutVars>
          <dgm:chPref val="3"/>
        </dgm:presLayoutVars>
      </dgm:prSet>
      <dgm:spPr/>
    </dgm:pt>
    <dgm:pt modelId="{BB41F39E-30A2-4634-9BB8-E09B5F575E03}" type="pres">
      <dgm:prSet presAssocID="{98765ABB-3FF0-46CE-8727-A18117F2DCE7}" presName="topArc2" presStyleLbl="parChTrans1D1" presStyleIdx="4" presStyleCnt="8"/>
      <dgm:spPr>
        <a:xfrm>
          <a:off x="2342201"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531B716F-B5A5-4075-8EB3-2A7F5DE36C86}" type="pres">
      <dgm:prSet presAssocID="{98765ABB-3FF0-46CE-8727-A18117F2DCE7}" presName="bottomArc2" presStyleLbl="parChTrans1D1" presStyleIdx="5" presStyleCnt="8"/>
      <dgm:spPr>
        <a:xfrm>
          <a:off x="2342201"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D09E91FD-0BC1-4E7B-BE6D-6B14392AEFA1}" type="pres">
      <dgm:prSet presAssocID="{98765ABB-3FF0-46CE-8727-A18117F2DCE7}" presName="topConnNode2" presStyleLbl="node2" presStyleIdx="0" presStyleCnt="0"/>
      <dgm:spPr/>
    </dgm:pt>
    <dgm:pt modelId="{DBD39D02-D1A9-4F9D-A380-D33A8CA3A940}" type="pres">
      <dgm:prSet presAssocID="{98765ABB-3FF0-46CE-8727-A18117F2DCE7}" presName="hierChild4" presStyleCnt="0"/>
      <dgm:spPr/>
    </dgm:pt>
    <dgm:pt modelId="{E1DF42AF-2D5A-4172-9996-1D183FFC4C9B}" type="pres">
      <dgm:prSet presAssocID="{98765ABB-3FF0-46CE-8727-A18117F2DCE7}" presName="hierChild5" presStyleCnt="0"/>
      <dgm:spPr/>
    </dgm:pt>
    <dgm:pt modelId="{41968CF2-7909-497D-BF69-057B78CBE1F4}" type="pres">
      <dgm:prSet presAssocID="{48A030DD-1570-4065-803E-3C772C728BBE}" presName="Name28" presStyleLbl="parChTrans1D2" presStyleIdx="2" presStyleCnt="3"/>
      <dgm:spPr/>
    </dgm:pt>
    <dgm:pt modelId="{4A2AC35F-7685-473E-9F92-245F201C5D33}" type="pres">
      <dgm:prSet presAssocID="{DDF354DF-0CF9-4DA2-84D4-A884D84CD55D}" presName="hierRoot2" presStyleCnt="0">
        <dgm:presLayoutVars>
          <dgm:hierBranch val="init"/>
        </dgm:presLayoutVars>
      </dgm:prSet>
      <dgm:spPr/>
    </dgm:pt>
    <dgm:pt modelId="{B18898F9-8E3A-4B8F-8E08-9B4D4D715BD6}" type="pres">
      <dgm:prSet presAssocID="{DDF354DF-0CF9-4DA2-84D4-A884D84CD55D}" presName="rootComposite2" presStyleCnt="0"/>
      <dgm:spPr/>
    </dgm:pt>
    <dgm:pt modelId="{F531A591-CEBD-41A0-B21A-A66B3A942BEE}" type="pres">
      <dgm:prSet presAssocID="{DDF354DF-0CF9-4DA2-84D4-A884D84CD55D}" presName="rootText2" presStyleLbl="alignAcc1" presStyleIdx="0" presStyleCnt="0">
        <dgm:presLayoutVars>
          <dgm:chPref val="3"/>
        </dgm:presLayoutVars>
      </dgm:prSet>
      <dgm:spPr/>
    </dgm:pt>
    <dgm:pt modelId="{B0B87E16-D555-42BA-82CC-FB89AA561BD7}" type="pres">
      <dgm:prSet presAssocID="{DDF354DF-0CF9-4DA2-84D4-A884D84CD55D}" presName="topArc2" presStyleLbl="parChTrans1D1" presStyleIdx="6" presStyleCnt="8"/>
      <dgm:spPr>
        <a:xfrm>
          <a:off x="4283035"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D10FE752-BFE2-4A5B-80BA-0C84EC577B88}" type="pres">
      <dgm:prSet presAssocID="{DDF354DF-0CF9-4DA2-84D4-A884D84CD55D}" presName="bottomArc2" presStyleLbl="parChTrans1D1" presStyleIdx="7" presStyleCnt="8"/>
      <dgm:spPr>
        <a:xfrm>
          <a:off x="4283035"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B5DAD3FB-F144-4D03-8169-BD1BB9D4CA48}" type="pres">
      <dgm:prSet presAssocID="{DDF354DF-0CF9-4DA2-84D4-A884D84CD55D}" presName="topConnNode2" presStyleLbl="node2" presStyleIdx="0" presStyleCnt="0"/>
      <dgm:spPr/>
    </dgm:pt>
    <dgm:pt modelId="{79E2ADA7-A46F-4C4C-A94F-C73804D92F4A}" type="pres">
      <dgm:prSet presAssocID="{DDF354DF-0CF9-4DA2-84D4-A884D84CD55D}" presName="hierChild4" presStyleCnt="0"/>
      <dgm:spPr/>
    </dgm:pt>
    <dgm:pt modelId="{C2F4C4C2-6D71-43E7-93F3-516EFEB165B3}" type="pres">
      <dgm:prSet presAssocID="{DDF354DF-0CF9-4DA2-84D4-A884D84CD55D}" presName="hierChild5" presStyleCnt="0"/>
      <dgm:spPr/>
    </dgm:pt>
    <dgm:pt modelId="{2FCB585C-3A4B-4FA6-AE92-8703FC3796C6}" type="pres">
      <dgm:prSet presAssocID="{606E7565-58BC-425B-BA7D-959648A502BD}" presName="hierChild3" presStyleCnt="0"/>
      <dgm:spPr/>
    </dgm:pt>
  </dgm:ptLst>
  <dgm:cxnLst>
    <dgm:cxn modelId="{C457360B-E459-4F15-B566-2E27ABD372C4}" type="presOf" srcId="{44ED82EC-6877-45A1-B8FE-9DCF59DB9376}" destId="{B77B8943-F4F0-4523-A84C-8A3D42C0232C}" srcOrd="0" destOrd="0" presId="urn:microsoft.com/office/officeart/2008/layout/HalfCircleOrganizationChart"/>
    <dgm:cxn modelId="{2E29132E-93A5-45E8-8F05-76886AD5559E}" srcId="{862F5F15-15B9-442D-B462-12B578CF1969}" destId="{606E7565-58BC-425B-BA7D-959648A502BD}" srcOrd="0" destOrd="0" parTransId="{9934BD28-6E41-4864-9D5B-A3A5010C06C5}" sibTransId="{9F787654-0754-4AF4-801C-297A05FF74BB}"/>
    <dgm:cxn modelId="{12BCAB31-391C-47C7-B67B-F9857968C354}" type="presOf" srcId="{DDF354DF-0CF9-4DA2-84D4-A884D84CD55D}" destId="{B5DAD3FB-F144-4D03-8169-BD1BB9D4CA48}" srcOrd="1" destOrd="0" presId="urn:microsoft.com/office/officeart/2008/layout/HalfCircleOrganizationChart"/>
    <dgm:cxn modelId="{4646845F-65A7-4A47-9996-116F4F65AA85}" srcId="{606E7565-58BC-425B-BA7D-959648A502BD}" destId="{243CEE8D-37E3-45FB-84EC-DB6C7446BE97}" srcOrd="0" destOrd="0" parTransId="{44ED82EC-6877-45A1-B8FE-9DCF59DB9376}" sibTransId="{B04B75FD-8F35-4746-BFAB-E20B144A34EC}"/>
    <dgm:cxn modelId="{4C942E54-E721-46B5-9D98-3BC8E0C834E2}" type="presOf" srcId="{DDF354DF-0CF9-4DA2-84D4-A884D84CD55D}" destId="{F531A591-CEBD-41A0-B21A-A66B3A942BEE}" srcOrd="0" destOrd="0" presId="urn:microsoft.com/office/officeart/2008/layout/HalfCircleOrganizationChart"/>
    <dgm:cxn modelId="{30FF2158-E6CC-45F2-AB5A-FD58D36235AF}" type="presOf" srcId="{606E7565-58BC-425B-BA7D-959648A502BD}" destId="{178D30EB-F60A-467F-A019-0ED767B40B97}" srcOrd="0" destOrd="0" presId="urn:microsoft.com/office/officeart/2008/layout/HalfCircleOrganizationChart"/>
    <dgm:cxn modelId="{BA6A2281-F51B-4F09-A550-A17CC3F3384F}" type="presOf" srcId="{243CEE8D-37E3-45FB-84EC-DB6C7446BE97}" destId="{8593C9CC-3C17-4FD9-A620-C3BB52050314}" srcOrd="1" destOrd="0" presId="urn:microsoft.com/office/officeart/2008/layout/HalfCircleOrganizationChart"/>
    <dgm:cxn modelId="{47FCA789-422A-4954-BF88-AF88DC6C0F9F}" type="presOf" srcId="{862F5F15-15B9-442D-B462-12B578CF1969}" destId="{4C7FBF42-6280-4FBE-93F4-BDEF9E5B2874}" srcOrd="0" destOrd="0" presId="urn:microsoft.com/office/officeart/2008/layout/HalfCircleOrganizationChart"/>
    <dgm:cxn modelId="{E266EA95-F7FD-4F52-9146-8E93E322445C}" type="presOf" srcId="{98765ABB-3FF0-46CE-8727-A18117F2DCE7}" destId="{D09E91FD-0BC1-4E7B-BE6D-6B14392AEFA1}" srcOrd="1" destOrd="0" presId="urn:microsoft.com/office/officeart/2008/layout/HalfCircleOrganizationChart"/>
    <dgm:cxn modelId="{0E7A829B-9BFC-4BE6-95CE-1EE46841C5C5}" type="presOf" srcId="{606E7565-58BC-425B-BA7D-959648A502BD}" destId="{7EA2E110-868A-4264-9C06-E934DA1067FD}" srcOrd="1" destOrd="0" presId="urn:microsoft.com/office/officeart/2008/layout/HalfCircleOrganizationChart"/>
    <dgm:cxn modelId="{A834D3A7-E3F3-4A3B-95B5-A0C0B30CEAF1}" type="presOf" srcId="{48A030DD-1570-4065-803E-3C772C728BBE}" destId="{41968CF2-7909-497D-BF69-057B78CBE1F4}" srcOrd="0" destOrd="0" presId="urn:microsoft.com/office/officeart/2008/layout/HalfCircleOrganizationChart"/>
    <dgm:cxn modelId="{927DD1B0-35CC-4BBD-B7EE-2B29B76A5F1B}" type="presOf" srcId="{6E7E44CE-3E3F-4CB6-A315-8E85E63D9E1A}" destId="{DEA1F3B8-8956-4BC1-AC9E-EEF739F614BE}" srcOrd="0" destOrd="0" presId="urn:microsoft.com/office/officeart/2008/layout/HalfCircleOrganizationChart"/>
    <dgm:cxn modelId="{CC0498B2-41B2-4C6B-ADE5-2C88ADBFB8A9}" type="presOf" srcId="{243CEE8D-37E3-45FB-84EC-DB6C7446BE97}" destId="{67A48B9C-3FBE-4C23-B1CD-3013B195EDE7}" srcOrd="0" destOrd="0" presId="urn:microsoft.com/office/officeart/2008/layout/HalfCircleOrganizationChart"/>
    <dgm:cxn modelId="{A9B951C4-3CB1-4021-8E72-BF3DF7A8A291}" srcId="{606E7565-58BC-425B-BA7D-959648A502BD}" destId="{DDF354DF-0CF9-4DA2-84D4-A884D84CD55D}" srcOrd="2" destOrd="0" parTransId="{48A030DD-1570-4065-803E-3C772C728BBE}" sibTransId="{DAD0EEAE-B65F-4500-93B7-FD8FA3B29DCB}"/>
    <dgm:cxn modelId="{02EC55C4-A84B-4544-A413-03452F6E6DDD}" type="presOf" srcId="{98765ABB-3FF0-46CE-8727-A18117F2DCE7}" destId="{5EE3AD0F-60FD-4E1B-BED6-CA691081E03E}" srcOrd="0" destOrd="0" presId="urn:microsoft.com/office/officeart/2008/layout/HalfCircleOrganizationChart"/>
    <dgm:cxn modelId="{78EB13E9-992B-4045-B512-D380DA7D69AF}" srcId="{606E7565-58BC-425B-BA7D-959648A502BD}" destId="{98765ABB-3FF0-46CE-8727-A18117F2DCE7}" srcOrd="1" destOrd="0" parTransId="{6E7E44CE-3E3F-4CB6-A315-8E85E63D9E1A}" sibTransId="{92CE8F1B-4401-455A-95F6-DDDC06BC9A2E}"/>
    <dgm:cxn modelId="{A5FD9C1E-5DCF-498A-8044-AC3819F4486B}" type="presParOf" srcId="{4C7FBF42-6280-4FBE-93F4-BDEF9E5B2874}" destId="{8B1E25D3-CA1D-4B44-BBE6-38699EAFF787}" srcOrd="0" destOrd="0" presId="urn:microsoft.com/office/officeart/2008/layout/HalfCircleOrganizationChart"/>
    <dgm:cxn modelId="{E2947A47-3C98-458F-B314-7224DD4F06BC}" type="presParOf" srcId="{8B1E25D3-CA1D-4B44-BBE6-38699EAFF787}" destId="{F05B521C-5BF2-4523-A705-9352BF68C0F5}" srcOrd="0" destOrd="0" presId="urn:microsoft.com/office/officeart/2008/layout/HalfCircleOrganizationChart"/>
    <dgm:cxn modelId="{56A46FED-8DAE-4F53-B862-8DF15AFF264A}" type="presParOf" srcId="{F05B521C-5BF2-4523-A705-9352BF68C0F5}" destId="{178D30EB-F60A-467F-A019-0ED767B40B97}" srcOrd="0" destOrd="0" presId="urn:microsoft.com/office/officeart/2008/layout/HalfCircleOrganizationChart"/>
    <dgm:cxn modelId="{73B2C59A-73FF-48B4-BCFC-A44A5644BE6B}" type="presParOf" srcId="{F05B521C-5BF2-4523-A705-9352BF68C0F5}" destId="{1A09DBD4-803A-4C4C-92F4-EA16A8319F96}" srcOrd="1" destOrd="0" presId="urn:microsoft.com/office/officeart/2008/layout/HalfCircleOrganizationChart"/>
    <dgm:cxn modelId="{3F219FFE-A45B-44D6-B4AF-3C8D6BA17B91}" type="presParOf" srcId="{F05B521C-5BF2-4523-A705-9352BF68C0F5}" destId="{C1889C60-2BEC-47E9-8E46-75DD061855F8}" srcOrd="2" destOrd="0" presId="urn:microsoft.com/office/officeart/2008/layout/HalfCircleOrganizationChart"/>
    <dgm:cxn modelId="{29D6BCC1-052F-4871-886B-3642332E5841}" type="presParOf" srcId="{F05B521C-5BF2-4523-A705-9352BF68C0F5}" destId="{7EA2E110-868A-4264-9C06-E934DA1067FD}" srcOrd="3" destOrd="0" presId="urn:microsoft.com/office/officeart/2008/layout/HalfCircleOrganizationChart"/>
    <dgm:cxn modelId="{07858005-5814-4B8A-8213-49070B7ECBE7}" type="presParOf" srcId="{8B1E25D3-CA1D-4B44-BBE6-38699EAFF787}" destId="{10290A2E-2000-4B82-831D-8D7BBFA18270}" srcOrd="1" destOrd="0" presId="urn:microsoft.com/office/officeart/2008/layout/HalfCircleOrganizationChart"/>
    <dgm:cxn modelId="{45E08F4D-67B5-421C-B031-3CA2D894A639}" type="presParOf" srcId="{10290A2E-2000-4B82-831D-8D7BBFA18270}" destId="{B77B8943-F4F0-4523-A84C-8A3D42C0232C}" srcOrd="0" destOrd="0" presId="urn:microsoft.com/office/officeart/2008/layout/HalfCircleOrganizationChart"/>
    <dgm:cxn modelId="{B5729C08-1924-482D-B993-6E488423E98B}" type="presParOf" srcId="{10290A2E-2000-4B82-831D-8D7BBFA18270}" destId="{54366C4E-238A-4404-8E66-B36A9E1CA9BA}" srcOrd="1" destOrd="0" presId="urn:microsoft.com/office/officeart/2008/layout/HalfCircleOrganizationChart"/>
    <dgm:cxn modelId="{D9783F33-9131-4C0E-BF91-970F710BDBAF}" type="presParOf" srcId="{54366C4E-238A-4404-8E66-B36A9E1CA9BA}" destId="{C252D987-CC6D-4816-ADA7-7440EEC43124}" srcOrd="0" destOrd="0" presId="urn:microsoft.com/office/officeart/2008/layout/HalfCircleOrganizationChart"/>
    <dgm:cxn modelId="{16AF9C12-A372-4EF0-BF84-64EB66A0733D}" type="presParOf" srcId="{C252D987-CC6D-4816-ADA7-7440EEC43124}" destId="{67A48B9C-3FBE-4C23-B1CD-3013B195EDE7}" srcOrd="0" destOrd="0" presId="urn:microsoft.com/office/officeart/2008/layout/HalfCircleOrganizationChart"/>
    <dgm:cxn modelId="{22A9B7E6-B6CB-4E04-9A4C-F48E80CD6028}" type="presParOf" srcId="{C252D987-CC6D-4816-ADA7-7440EEC43124}" destId="{A52C0AF7-2731-4BAA-BD15-0852F7B67EF7}" srcOrd="1" destOrd="0" presId="urn:microsoft.com/office/officeart/2008/layout/HalfCircleOrganizationChart"/>
    <dgm:cxn modelId="{1DC5CF25-47F4-4CDE-A6E3-B24990ED59C1}" type="presParOf" srcId="{C252D987-CC6D-4816-ADA7-7440EEC43124}" destId="{E1A6D556-2521-404D-B31D-90C1E441A494}" srcOrd="2" destOrd="0" presId="urn:microsoft.com/office/officeart/2008/layout/HalfCircleOrganizationChart"/>
    <dgm:cxn modelId="{8AAF662A-267C-4265-AF52-279F04F05026}" type="presParOf" srcId="{C252D987-CC6D-4816-ADA7-7440EEC43124}" destId="{8593C9CC-3C17-4FD9-A620-C3BB52050314}" srcOrd="3" destOrd="0" presId="urn:microsoft.com/office/officeart/2008/layout/HalfCircleOrganizationChart"/>
    <dgm:cxn modelId="{A1114C33-0AD1-49CF-9978-23498E50D734}" type="presParOf" srcId="{54366C4E-238A-4404-8E66-B36A9E1CA9BA}" destId="{B6CB3BCB-AE9D-4807-AA26-7BB8E4727218}" srcOrd="1" destOrd="0" presId="urn:microsoft.com/office/officeart/2008/layout/HalfCircleOrganizationChart"/>
    <dgm:cxn modelId="{FE2B1A48-2028-4DFB-ABFE-1904809F085E}" type="presParOf" srcId="{54366C4E-238A-4404-8E66-B36A9E1CA9BA}" destId="{5B9EB10C-6C9B-4681-91A3-3085631B5096}" srcOrd="2" destOrd="0" presId="urn:microsoft.com/office/officeart/2008/layout/HalfCircleOrganizationChart"/>
    <dgm:cxn modelId="{552F7B50-0709-4401-9887-7B43777311D8}" type="presParOf" srcId="{10290A2E-2000-4B82-831D-8D7BBFA18270}" destId="{DEA1F3B8-8956-4BC1-AC9E-EEF739F614BE}" srcOrd="2" destOrd="0" presId="urn:microsoft.com/office/officeart/2008/layout/HalfCircleOrganizationChart"/>
    <dgm:cxn modelId="{B2EACDCA-06E8-421F-9C30-60CF2794C592}" type="presParOf" srcId="{10290A2E-2000-4B82-831D-8D7BBFA18270}" destId="{66197C0D-9AB9-4717-909A-FCA1973473EA}" srcOrd="3" destOrd="0" presId="urn:microsoft.com/office/officeart/2008/layout/HalfCircleOrganizationChart"/>
    <dgm:cxn modelId="{749A207F-FFC9-4449-BB9F-62FE2422A23D}" type="presParOf" srcId="{66197C0D-9AB9-4717-909A-FCA1973473EA}" destId="{AAC19CE7-03B0-4C3E-A96B-1AD601858080}" srcOrd="0" destOrd="0" presId="urn:microsoft.com/office/officeart/2008/layout/HalfCircleOrganizationChart"/>
    <dgm:cxn modelId="{D500F0E8-BA2D-440A-A136-15B1038CB48E}" type="presParOf" srcId="{AAC19CE7-03B0-4C3E-A96B-1AD601858080}" destId="{5EE3AD0F-60FD-4E1B-BED6-CA691081E03E}" srcOrd="0" destOrd="0" presId="urn:microsoft.com/office/officeart/2008/layout/HalfCircleOrganizationChart"/>
    <dgm:cxn modelId="{0E68CA0A-2756-45BA-B308-D945B81D7B3C}" type="presParOf" srcId="{AAC19CE7-03B0-4C3E-A96B-1AD601858080}" destId="{BB41F39E-30A2-4634-9BB8-E09B5F575E03}" srcOrd="1" destOrd="0" presId="urn:microsoft.com/office/officeart/2008/layout/HalfCircleOrganizationChart"/>
    <dgm:cxn modelId="{7A3EF89F-0A1F-4542-BB8A-7CC54D12415E}" type="presParOf" srcId="{AAC19CE7-03B0-4C3E-A96B-1AD601858080}" destId="{531B716F-B5A5-4075-8EB3-2A7F5DE36C86}" srcOrd="2" destOrd="0" presId="urn:microsoft.com/office/officeart/2008/layout/HalfCircleOrganizationChart"/>
    <dgm:cxn modelId="{676011D5-D672-4D15-AC92-8D6194647C06}" type="presParOf" srcId="{AAC19CE7-03B0-4C3E-A96B-1AD601858080}" destId="{D09E91FD-0BC1-4E7B-BE6D-6B14392AEFA1}" srcOrd="3" destOrd="0" presId="urn:microsoft.com/office/officeart/2008/layout/HalfCircleOrganizationChart"/>
    <dgm:cxn modelId="{DCC7FC5D-C096-4B69-B0F8-2B39A9BB57C0}" type="presParOf" srcId="{66197C0D-9AB9-4717-909A-FCA1973473EA}" destId="{DBD39D02-D1A9-4F9D-A380-D33A8CA3A940}" srcOrd="1" destOrd="0" presId="urn:microsoft.com/office/officeart/2008/layout/HalfCircleOrganizationChart"/>
    <dgm:cxn modelId="{A4A39DE6-93B6-4344-B93C-ED7E718C92B1}" type="presParOf" srcId="{66197C0D-9AB9-4717-909A-FCA1973473EA}" destId="{E1DF42AF-2D5A-4172-9996-1D183FFC4C9B}" srcOrd="2" destOrd="0" presId="urn:microsoft.com/office/officeart/2008/layout/HalfCircleOrganizationChart"/>
    <dgm:cxn modelId="{AFCD5646-2039-4FFE-8404-DBFDA67ED845}" type="presParOf" srcId="{10290A2E-2000-4B82-831D-8D7BBFA18270}" destId="{41968CF2-7909-497D-BF69-057B78CBE1F4}" srcOrd="4" destOrd="0" presId="urn:microsoft.com/office/officeart/2008/layout/HalfCircleOrganizationChart"/>
    <dgm:cxn modelId="{2493F5F5-1EFA-4459-B5BB-9DDCBD7C9994}" type="presParOf" srcId="{10290A2E-2000-4B82-831D-8D7BBFA18270}" destId="{4A2AC35F-7685-473E-9F92-245F201C5D33}" srcOrd="5" destOrd="0" presId="urn:microsoft.com/office/officeart/2008/layout/HalfCircleOrganizationChart"/>
    <dgm:cxn modelId="{7F837A85-7E52-4D50-BC7A-BC6693A3163B}" type="presParOf" srcId="{4A2AC35F-7685-473E-9F92-245F201C5D33}" destId="{B18898F9-8E3A-4B8F-8E08-9B4D4D715BD6}" srcOrd="0" destOrd="0" presId="urn:microsoft.com/office/officeart/2008/layout/HalfCircleOrganizationChart"/>
    <dgm:cxn modelId="{2A4FC8B2-3285-4BD3-B172-E45EDE6DA003}" type="presParOf" srcId="{B18898F9-8E3A-4B8F-8E08-9B4D4D715BD6}" destId="{F531A591-CEBD-41A0-B21A-A66B3A942BEE}" srcOrd="0" destOrd="0" presId="urn:microsoft.com/office/officeart/2008/layout/HalfCircleOrganizationChart"/>
    <dgm:cxn modelId="{9B845344-304B-43B9-8879-5B0D0FCDBC66}" type="presParOf" srcId="{B18898F9-8E3A-4B8F-8E08-9B4D4D715BD6}" destId="{B0B87E16-D555-42BA-82CC-FB89AA561BD7}" srcOrd="1" destOrd="0" presId="urn:microsoft.com/office/officeart/2008/layout/HalfCircleOrganizationChart"/>
    <dgm:cxn modelId="{DC921E7F-FB68-477B-B530-569ADE2C2DA3}" type="presParOf" srcId="{B18898F9-8E3A-4B8F-8E08-9B4D4D715BD6}" destId="{D10FE752-BFE2-4A5B-80BA-0C84EC577B88}" srcOrd="2" destOrd="0" presId="urn:microsoft.com/office/officeart/2008/layout/HalfCircleOrganizationChart"/>
    <dgm:cxn modelId="{308A09FF-7D80-4832-880E-C3A6A1CC7C50}" type="presParOf" srcId="{B18898F9-8E3A-4B8F-8E08-9B4D4D715BD6}" destId="{B5DAD3FB-F144-4D03-8169-BD1BB9D4CA48}" srcOrd="3" destOrd="0" presId="urn:microsoft.com/office/officeart/2008/layout/HalfCircleOrganizationChart"/>
    <dgm:cxn modelId="{39CFEDEA-C8F5-4373-92BE-91BD1C2C2D34}" type="presParOf" srcId="{4A2AC35F-7685-473E-9F92-245F201C5D33}" destId="{79E2ADA7-A46F-4C4C-A94F-C73804D92F4A}" srcOrd="1" destOrd="0" presId="urn:microsoft.com/office/officeart/2008/layout/HalfCircleOrganizationChart"/>
    <dgm:cxn modelId="{D76D3860-0BD3-496A-B685-6BE3E1236F5B}" type="presParOf" srcId="{4A2AC35F-7685-473E-9F92-245F201C5D33}" destId="{C2F4C4C2-6D71-43E7-93F3-516EFEB165B3}" srcOrd="2" destOrd="0" presId="urn:microsoft.com/office/officeart/2008/layout/HalfCircleOrganizationChart"/>
    <dgm:cxn modelId="{D3405832-AC3C-4559-AC83-FFC78B2F13A1}" type="presParOf" srcId="{8B1E25D3-CA1D-4B44-BBE6-38699EAFF787}" destId="{2FCB585C-3A4B-4FA6-AE92-8703FC3796C6}" srcOrd="2" destOrd="0" presId="urn:microsoft.com/office/officeart/2008/layout/HalfCircleOrganizationChar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2F5F15-15B9-442D-B462-12B578CF1969}"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GB"/>
        </a:p>
      </dgm:t>
    </dgm:pt>
    <dgm:pt modelId="{606E7565-58BC-425B-BA7D-959648A502BD}">
      <dgm:prSet phldrT="[Text]" custT="1"/>
      <dgm:spPr>
        <a:xfrm>
          <a:off x="1905000" y="774142"/>
          <a:ext cx="1676399" cy="513278"/>
        </a:xfrm>
        <a:prstGeom prst="rect">
          <a:avLst/>
        </a:prstGeom>
        <a:noFill/>
        <a:ln w="12700" cap="flat" cmpd="sng" algn="ctr">
          <a:noFill/>
          <a:prstDash val="solid"/>
          <a:miter lim="800000"/>
        </a:ln>
        <a:effectLst/>
        <a:sp3d/>
      </dgm:spPr>
      <dgm:t>
        <a:bodyPr/>
        <a:lstStyle/>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Overarching coding</a:t>
          </a:r>
        </a:p>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professional narrative - a journey of temporal curiosity</a:t>
          </a:r>
        </a:p>
      </dgm:t>
    </dgm:pt>
    <dgm:pt modelId="{9934BD28-6E41-4864-9D5B-A3A5010C06C5}" type="parTrans" cxnId="{2E29132E-93A5-45E8-8F05-76886AD5559E}">
      <dgm:prSet/>
      <dgm:spPr/>
      <dgm:t>
        <a:bodyPr/>
        <a:lstStyle/>
        <a:p>
          <a:endParaRPr lang="en-GB" sz="1200"/>
        </a:p>
      </dgm:t>
    </dgm:pt>
    <dgm:pt modelId="{9F787654-0754-4AF4-801C-297A05FF74BB}" type="sibTrans" cxnId="{2E29132E-93A5-45E8-8F05-76886AD5559E}">
      <dgm:prSet/>
      <dgm:spPr/>
      <dgm:t>
        <a:bodyPr/>
        <a:lstStyle/>
        <a:p>
          <a:endParaRPr lang="en-GB" sz="1200"/>
        </a:p>
      </dgm:t>
    </dgm:pt>
    <dgm:pt modelId="{243CEE8D-37E3-45FB-84EC-DB6C7446BE97}">
      <dgm:prSet phldrT="[Text]" custT="1"/>
      <dgm:spPr>
        <a:xfrm>
          <a:off x="368" y="1912979"/>
          <a:ext cx="1603995" cy="513278"/>
        </a:xfrm>
        <a:prstGeom prst="rect">
          <a:avLst/>
        </a:prstGeom>
        <a:noFill/>
        <a:ln w="12700" cap="flat" cmpd="sng" algn="ctr">
          <a:noFill/>
          <a:prstDash val="solid"/>
          <a:miter lim="800000"/>
        </a:ln>
        <a:effectLst/>
        <a:sp3d/>
      </dgm:spPr>
      <dgm:t>
        <a:bodyPr/>
        <a:lstStyle/>
        <a:p>
          <a:pPr>
            <a:buNone/>
          </a:pPr>
          <a:r>
            <a:rPr lang="en-GB" sz="11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 teacher training journey - the "what?"</a:t>
          </a:r>
        </a:p>
      </dgm:t>
    </dgm:pt>
    <dgm:pt modelId="{44ED82EC-6877-45A1-B8FE-9DCF59DB9376}" type="parTrans" cxnId="{4646845F-65A7-4A47-9996-116F4F65AA85}">
      <dgm:prSet/>
      <dgm: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B04B75FD-8F35-4746-BFAB-E20B144A34EC}" type="sibTrans" cxnId="{4646845F-65A7-4A47-9996-116F4F65AA85}">
      <dgm:prSet/>
      <dgm:spPr/>
      <dgm:t>
        <a:bodyPr/>
        <a:lstStyle/>
        <a:p>
          <a:endParaRPr lang="en-GB" sz="1200"/>
        </a:p>
      </dgm:t>
    </dgm:pt>
    <dgm:pt modelId="{98765ABB-3FF0-46CE-8727-A18117F2DCE7}">
      <dgm:prSet phldrT="[Text]" custT="1"/>
      <dgm:spPr>
        <a:xfrm>
          <a:off x="1941202" y="1912979"/>
          <a:ext cx="1603995" cy="513278"/>
        </a:xfrm>
        <a:prstGeom prst="rect">
          <a:avLst/>
        </a:prstGeom>
        <a:noFill/>
        <a:ln w="12700" cap="flat" cmpd="sng" algn="ctr">
          <a:noFill/>
          <a:prstDash val="solid"/>
          <a:miter lim="800000"/>
        </a:ln>
        <a:effectLst/>
        <a:sp3d/>
      </dgm:spPr>
      <dgm:t>
        <a:bodyPr/>
        <a:lstStyle/>
        <a:p>
          <a:pPr>
            <a:buNone/>
          </a:pPr>
          <a:endParaRPr lang="en-GB" sz="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endParaRPr>
        </a:p>
      </dgm:t>
    </dgm:pt>
    <dgm:pt modelId="{6E7E44CE-3E3F-4CB6-A315-8E85E63D9E1A}" type="parTrans" cxnId="{78EB13E9-992B-4045-B512-D380DA7D69AF}">
      <dgm:prSet/>
      <dgm:spPr>
        <a:xfrm>
          <a:off x="2697480" y="1431780"/>
          <a:ext cx="91440" cy="336838"/>
        </a:xfrm>
        <a:custGeom>
          <a:avLst/>
          <a:gdLst/>
          <a:ahLst/>
          <a:cxnLst/>
          <a:rect l="0" t="0" r="0" b="0"/>
          <a:pathLst>
            <a:path>
              <a:moveTo>
                <a:pt x="45720" y="0"/>
              </a:moveTo>
              <a:lnTo>
                <a:pt x="45720"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92CE8F1B-4401-455A-95F6-DDDC06BC9A2E}" type="sibTrans" cxnId="{78EB13E9-992B-4045-B512-D380DA7D69AF}">
      <dgm:prSet/>
      <dgm:spPr/>
      <dgm:t>
        <a:bodyPr/>
        <a:lstStyle/>
        <a:p>
          <a:endParaRPr lang="en-GB" sz="1200"/>
        </a:p>
      </dgm:t>
    </dgm:pt>
    <dgm:pt modelId="{DDF354DF-0CF9-4DA2-84D4-A884D84CD55D}">
      <dgm:prSet phldrT="[Text]" custT="1"/>
      <dgm:spPr>
        <a:xfrm>
          <a:off x="3882036" y="1912979"/>
          <a:ext cx="1603995" cy="513278"/>
        </a:xfrm>
        <a:prstGeom prst="rect">
          <a:avLst/>
        </a:prstGeom>
        <a:noFill/>
        <a:ln w="12700" cap="flat" cmpd="sng" algn="ctr">
          <a:noFill/>
          <a:prstDash val="solid"/>
          <a:miter lim="800000"/>
        </a:ln>
        <a:effectLst/>
        <a:sp3d/>
      </dgm:spPr>
      <dgm:t>
        <a:bodyPr/>
        <a:lstStyle/>
        <a:p>
          <a:pPr>
            <a:buNone/>
          </a:pPr>
          <a:r>
            <a:rPr lang="en-GB" sz="105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Learning from  retrospective reminiscening - the "now what?"</a:t>
          </a:r>
        </a:p>
      </dgm:t>
    </dgm:pt>
    <dgm:pt modelId="{48A030DD-1570-4065-803E-3C772C728BBE}" type="parTrans" cxnId="{A9B951C4-3CB1-4021-8E72-BF3DF7A8A291}">
      <dgm:prSet/>
      <dgm: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E84C22">
              <a:shade val="60000"/>
              <a:hueOff val="0"/>
              <a:satOff val="0"/>
              <a:lumOff val="0"/>
              <a:alphaOff val="0"/>
            </a:srgbClr>
          </a:solidFill>
          <a:prstDash val="solid"/>
          <a:miter lim="800000"/>
        </a:ln>
        <a:effectLst/>
      </dgm:spPr>
      <dgm:t>
        <a:bodyPr/>
        <a:lstStyle/>
        <a:p>
          <a:endParaRPr lang="en-GB" sz="1200"/>
        </a:p>
      </dgm:t>
    </dgm:pt>
    <dgm:pt modelId="{DAD0EEAE-B65F-4500-93B7-FD8FA3B29DCB}" type="sibTrans" cxnId="{A9B951C4-3CB1-4021-8E72-BF3DF7A8A291}">
      <dgm:prSet/>
      <dgm:spPr/>
      <dgm:t>
        <a:bodyPr/>
        <a:lstStyle/>
        <a:p>
          <a:endParaRPr lang="en-GB" sz="1200"/>
        </a:p>
      </dgm:t>
    </dgm:pt>
    <dgm:pt modelId="{4C7FBF42-6280-4FBE-93F4-BDEF9E5B2874}" type="pres">
      <dgm:prSet presAssocID="{862F5F15-15B9-442D-B462-12B578CF1969}" presName="Name0" presStyleCnt="0">
        <dgm:presLayoutVars>
          <dgm:orgChart val="1"/>
          <dgm:chPref val="1"/>
          <dgm:dir/>
          <dgm:animOne val="branch"/>
          <dgm:animLvl val="lvl"/>
          <dgm:resizeHandles/>
        </dgm:presLayoutVars>
      </dgm:prSet>
      <dgm:spPr/>
    </dgm:pt>
    <dgm:pt modelId="{8B1E25D3-CA1D-4B44-BBE6-38699EAFF787}" type="pres">
      <dgm:prSet presAssocID="{606E7565-58BC-425B-BA7D-959648A502BD}" presName="hierRoot1" presStyleCnt="0">
        <dgm:presLayoutVars>
          <dgm:hierBranch val="init"/>
        </dgm:presLayoutVars>
      </dgm:prSet>
      <dgm:spPr/>
    </dgm:pt>
    <dgm:pt modelId="{F05B521C-5BF2-4523-A705-9352BF68C0F5}" type="pres">
      <dgm:prSet presAssocID="{606E7565-58BC-425B-BA7D-959648A502BD}" presName="rootComposite1" presStyleCnt="0"/>
      <dgm:spPr/>
    </dgm:pt>
    <dgm:pt modelId="{178D30EB-F60A-467F-A019-0ED767B40B97}" type="pres">
      <dgm:prSet presAssocID="{606E7565-58BC-425B-BA7D-959648A502BD}" presName="rootText1" presStyleLbl="alignAcc1" presStyleIdx="0" presStyleCnt="0" custScaleX="133310" custScaleY="104499">
        <dgm:presLayoutVars>
          <dgm:chPref val="3"/>
        </dgm:presLayoutVars>
      </dgm:prSet>
      <dgm:spPr/>
    </dgm:pt>
    <dgm:pt modelId="{1A09DBD4-803A-4C4C-92F4-EA16A8319F96}" type="pres">
      <dgm:prSet presAssocID="{606E7565-58BC-425B-BA7D-959648A502BD}" presName="topArc1" presStyleLbl="parChTrans1D1" presStyleIdx="0" presStyleCnt="8"/>
      <dgm:spPr>
        <a:xfrm>
          <a:off x="2324100" y="629782"/>
          <a:ext cx="838199"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C1889C60-2BEC-47E9-8E46-75DD061855F8}" type="pres">
      <dgm:prSet presAssocID="{606E7565-58BC-425B-BA7D-959648A502BD}" presName="bottomArc1" presStyleLbl="parChTrans1D1" presStyleIdx="1" presStyleCnt="8"/>
      <dgm:spPr>
        <a:xfrm>
          <a:off x="2324100" y="629782"/>
          <a:ext cx="838199"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7EA2E110-868A-4264-9C06-E934DA1067FD}" type="pres">
      <dgm:prSet presAssocID="{606E7565-58BC-425B-BA7D-959648A502BD}" presName="topConnNode1" presStyleLbl="node1" presStyleIdx="0" presStyleCnt="0"/>
      <dgm:spPr/>
    </dgm:pt>
    <dgm:pt modelId="{10290A2E-2000-4B82-831D-8D7BBFA18270}" type="pres">
      <dgm:prSet presAssocID="{606E7565-58BC-425B-BA7D-959648A502BD}" presName="hierChild2" presStyleCnt="0"/>
      <dgm:spPr/>
    </dgm:pt>
    <dgm:pt modelId="{B77B8943-F4F0-4523-A84C-8A3D42C0232C}" type="pres">
      <dgm:prSet presAssocID="{44ED82EC-6877-45A1-B8FE-9DCF59DB9376}" presName="Name28" presStyleLbl="parChTrans1D2" presStyleIdx="0" presStyleCnt="3"/>
      <dgm:spPr/>
    </dgm:pt>
    <dgm:pt modelId="{54366C4E-238A-4404-8E66-B36A9E1CA9BA}" type="pres">
      <dgm:prSet presAssocID="{243CEE8D-37E3-45FB-84EC-DB6C7446BE97}" presName="hierRoot2" presStyleCnt="0">
        <dgm:presLayoutVars>
          <dgm:hierBranch val="init"/>
        </dgm:presLayoutVars>
      </dgm:prSet>
      <dgm:spPr/>
    </dgm:pt>
    <dgm:pt modelId="{C252D987-CC6D-4816-ADA7-7440EEC43124}" type="pres">
      <dgm:prSet presAssocID="{243CEE8D-37E3-45FB-84EC-DB6C7446BE97}" presName="rootComposite2" presStyleCnt="0"/>
      <dgm:spPr/>
    </dgm:pt>
    <dgm:pt modelId="{67A48B9C-3FBE-4C23-B1CD-3013B195EDE7}" type="pres">
      <dgm:prSet presAssocID="{243CEE8D-37E3-45FB-84EC-DB6C7446BE97}" presName="rootText2" presStyleLbl="alignAcc1" presStyleIdx="0" presStyleCnt="0">
        <dgm:presLayoutVars>
          <dgm:chPref val="3"/>
        </dgm:presLayoutVars>
      </dgm:prSet>
      <dgm:spPr/>
    </dgm:pt>
    <dgm:pt modelId="{A52C0AF7-2731-4BAA-BD15-0852F7B67EF7}" type="pres">
      <dgm:prSet presAssocID="{243CEE8D-37E3-45FB-84EC-DB6C7446BE97}" presName="topArc2" presStyleLbl="parChTrans1D1" presStyleIdx="2" presStyleCnt="8"/>
      <dgm:spPr>
        <a:xfrm>
          <a:off x="401367"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E1A6D556-2521-404D-B31D-90C1E441A494}" type="pres">
      <dgm:prSet presAssocID="{243CEE8D-37E3-45FB-84EC-DB6C7446BE97}" presName="bottomArc2" presStyleLbl="parChTrans1D1" presStyleIdx="3" presStyleCnt="8"/>
      <dgm:spPr>
        <a:xfrm>
          <a:off x="401367"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8593C9CC-3C17-4FD9-A620-C3BB52050314}" type="pres">
      <dgm:prSet presAssocID="{243CEE8D-37E3-45FB-84EC-DB6C7446BE97}" presName="topConnNode2" presStyleLbl="node2" presStyleIdx="0" presStyleCnt="0"/>
      <dgm:spPr/>
    </dgm:pt>
    <dgm:pt modelId="{B6CB3BCB-AE9D-4807-AA26-7BB8E4727218}" type="pres">
      <dgm:prSet presAssocID="{243CEE8D-37E3-45FB-84EC-DB6C7446BE97}" presName="hierChild4" presStyleCnt="0"/>
      <dgm:spPr/>
    </dgm:pt>
    <dgm:pt modelId="{5B9EB10C-6C9B-4681-91A3-3085631B5096}" type="pres">
      <dgm:prSet presAssocID="{243CEE8D-37E3-45FB-84EC-DB6C7446BE97}" presName="hierChild5" presStyleCnt="0"/>
      <dgm:spPr/>
    </dgm:pt>
    <dgm:pt modelId="{DEA1F3B8-8956-4BC1-AC9E-EEF739F614BE}" type="pres">
      <dgm:prSet presAssocID="{6E7E44CE-3E3F-4CB6-A315-8E85E63D9E1A}" presName="Name28" presStyleLbl="parChTrans1D2" presStyleIdx="1" presStyleCnt="3"/>
      <dgm:spPr/>
    </dgm:pt>
    <dgm:pt modelId="{66197C0D-9AB9-4717-909A-FCA1973473EA}" type="pres">
      <dgm:prSet presAssocID="{98765ABB-3FF0-46CE-8727-A18117F2DCE7}" presName="hierRoot2" presStyleCnt="0">
        <dgm:presLayoutVars>
          <dgm:hierBranch val="init"/>
        </dgm:presLayoutVars>
      </dgm:prSet>
      <dgm:spPr/>
    </dgm:pt>
    <dgm:pt modelId="{AAC19CE7-03B0-4C3E-A96B-1AD601858080}" type="pres">
      <dgm:prSet presAssocID="{98765ABB-3FF0-46CE-8727-A18117F2DCE7}" presName="rootComposite2" presStyleCnt="0"/>
      <dgm:spPr/>
    </dgm:pt>
    <dgm:pt modelId="{5EE3AD0F-60FD-4E1B-BED6-CA691081E03E}" type="pres">
      <dgm:prSet presAssocID="{98765ABB-3FF0-46CE-8727-A18117F2DCE7}" presName="rootText2" presStyleLbl="alignAcc1" presStyleIdx="0" presStyleCnt="0">
        <dgm:presLayoutVars>
          <dgm:chPref val="3"/>
        </dgm:presLayoutVars>
      </dgm:prSet>
      <dgm:spPr/>
    </dgm:pt>
    <dgm:pt modelId="{BB41F39E-30A2-4634-9BB8-E09B5F575E03}" type="pres">
      <dgm:prSet presAssocID="{98765ABB-3FF0-46CE-8727-A18117F2DCE7}" presName="topArc2" presStyleLbl="parChTrans1D1" presStyleIdx="4" presStyleCnt="8"/>
      <dgm:spPr>
        <a:xfrm>
          <a:off x="2342201"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531B716F-B5A5-4075-8EB3-2A7F5DE36C86}" type="pres">
      <dgm:prSet presAssocID="{98765ABB-3FF0-46CE-8727-A18117F2DCE7}" presName="bottomArc2" presStyleLbl="parChTrans1D1" presStyleIdx="5" presStyleCnt="8"/>
      <dgm:spPr>
        <a:xfrm>
          <a:off x="2342201"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D09E91FD-0BC1-4E7B-BE6D-6B14392AEFA1}" type="pres">
      <dgm:prSet presAssocID="{98765ABB-3FF0-46CE-8727-A18117F2DCE7}" presName="topConnNode2" presStyleLbl="node2" presStyleIdx="0" presStyleCnt="0"/>
      <dgm:spPr/>
    </dgm:pt>
    <dgm:pt modelId="{DBD39D02-D1A9-4F9D-A380-D33A8CA3A940}" type="pres">
      <dgm:prSet presAssocID="{98765ABB-3FF0-46CE-8727-A18117F2DCE7}" presName="hierChild4" presStyleCnt="0"/>
      <dgm:spPr/>
    </dgm:pt>
    <dgm:pt modelId="{E1DF42AF-2D5A-4172-9996-1D183FFC4C9B}" type="pres">
      <dgm:prSet presAssocID="{98765ABB-3FF0-46CE-8727-A18117F2DCE7}" presName="hierChild5" presStyleCnt="0"/>
      <dgm:spPr/>
    </dgm:pt>
    <dgm:pt modelId="{41968CF2-7909-497D-BF69-057B78CBE1F4}" type="pres">
      <dgm:prSet presAssocID="{48A030DD-1570-4065-803E-3C772C728BBE}" presName="Name28" presStyleLbl="parChTrans1D2" presStyleIdx="2" presStyleCnt="3"/>
      <dgm:spPr/>
    </dgm:pt>
    <dgm:pt modelId="{4A2AC35F-7685-473E-9F92-245F201C5D33}" type="pres">
      <dgm:prSet presAssocID="{DDF354DF-0CF9-4DA2-84D4-A884D84CD55D}" presName="hierRoot2" presStyleCnt="0">
        <dgm:presLayoutVars>
          <dgm:hierBranch val="init"/>
        </dgm:presLayoutVars>
      </dgm:prSet>
      <dgm:spPr/>
    </dgm:pt>
    <dgm:pt modelId="{B18898F9-8E3A-4B8F-8E08-9B4D4D715BD6}" type="pres">
      <dgm:prSet presAssocID="{DDF354DF-0CF9-4DA2-84D4-A884D84CD55D}" presName="rootComposite2" presStyleCnt="0"/>
      <dgm:spPr/>
    </dgm:pt>
    <dgm:pt modelId="{F531A591-CEBD-41A0-B21A-A66B3A942BEE}" type="pres">
      <dgm:prSet presAssocID="{DDF354DF-0CF9-4DA2-84D4-A884D84CD55D}" presName="rootText2" presStyleLbl="alignAcc1" presStyleIdx="0" presStyleCnt="0" custScaleY="105212">
        <dgm:presLayoutVars>
          <dgm:chPref val="3"/>
        </dgm:presLayoutVars>
      </dgm:prSet>
      <dgm:spPr/>
    </dgm:pt>
    <dgm:pt modelId="{B0B87E16-D555-42BA-82CC-FB89AA561BD7}" type="pres">
      <dgm:prSet presAssocID="{DDF354DF-0CF9-4DA2-84D4-A884D84CD55D}" presName="topArc2" presStyleLbl="parChTrans1D1" presStyleIdx="6" presStyleCnt="8"/>
      <dgm:spPr>
        <a:xfrm>
          <a:off x="4283035" y="176861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gm:spPr>
    </dgm:pt>
    <dgm:pt modelId="{D10FE752-BFE2-4A5B-80BA-0C84EC577B88}" type="pres">
      <dgm:prSet presAssocID="{DDF354DF-0CF9-4DA2-84D4-A884D84CD55D}" presName="bottomArc2" presStyleLbl="parChTrans1D1" presStyleIdx="7" presStyleCnt="8"/>
      <dgm:spPr>
        <a:xfrm>
          <a:off x="4283035" y="176861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gm:spPr>
    </dgm:pt>
    <dgm:pt modelId="{B5DAD3FB-F144-4D03-8169-BD1BB9D4CA48}" type="pres">
      <dgm:prSet presAssocID="{DDF354DF-0CF9-4DA2-84D4-A884D84CD55D}" presName="topConnNode2" presStyleLbl="node2" presStyleIdx="0" presStyleCnt="0"/>
      <dgm:spPr/>
    </dgm:pt>
    <dgm:pt modelId="{79E2ADA7-A46F-4C4C-A94F-C73804D92F4A}" type="pres">
      <dgm:prSet presAssocID="{DDF354DF-0CF9-4DA2-84D4-A884D84CD55D}" presName="hierChild4" presStyleCnt="0"/>
      <dgm:spPr/>
    </dgm:pt>
    <dgm:pt modelId="{C2F4C4C2-6D71-43E7-93F3-516EFEB165B3}" type="pres">
      <dgm:prSet presAssocID="{DDF354DF-0CF9-4DA2-84D4-A884D84CD55D}" presName="hierChild5" presStyleCnt="0"/>
      <dgm:spPr/>
    </dgm:pt>
    <dgm:pt modelId="{2FCB585C-3A4B-4FA6-AE92-8703FC3796C6}" type="pres">
      <dgm:prSet presAssocID="{606E7565-58BC-425B-BA7D-959648A502BD}" presName="hierChild3" presStyleCnt="0"/>
      <dgm:spPr/>
    </dgm:pt>
  </dgm:ptLst>
  <dgm:cxnLst>
    <dgm:cxn modelId="{C457360B-E459-4F15-B566-2E27ABD372C4}" type="presOf" srcId="{44ED82EC-6877-45A1-B8FE-9DCF59DB9376}" destId="{B77B8943-F4F0-4523-A84C-8A3D42C0232C}" srcOrd="0" destOrd="0" presId="urn:microsoft.com/office/officeart/2008/layout/HalfCircleOrganizationChart"/>
    <dgm:cxn modelId="{2E29132E-93A5-45E8-8F05-76886AD5559E}" srcId="{862F5F15-15B9-442D-B462-12B578CF1969}" destId="{606E7565-58BC-425B-BA7D-959648A502BD}" srcOrd="0" destOrd="0" parTransId="{9934BD28-6E41-4864-9D5B-A3A5010C06C5}" sibTransId="{9F787654-0754-4AF4-801C-297A05FF74BB}"/>
    <dgm:cxn modelId="{12BCAB31-391C-47C7-B67B-F9857968C354}" type="presOf" srcId="{DDF354DF-0CF9-4DA2-84D4-A884D84CD55D}" destId="{B5DAD3FB-F144-4D03-8169-BD1BB9D4CA48}" srcOrd="1" destOrd="0" presId="urn:microsoft.com/office/officeart/2008/layout/HalfCircleOrganizationChart"/>
    <dgm:cxn modelId="{4646845F-65A7-4A47-9996-116F4F65AA85}" srcId="{606E7565-58BC-425B-BA7D-959648A502BD}" destId="{243CEE8D-37E3-45FB-84EC-DB6C7446BE97}" srcOrd="0" destOrd="0" parTransId="{44ED82EC-6877-45A1-B8FE-9DCF59DB9376}" sibTransId="{B04B75FD-8F35-4746-BFAB-E20B144A34EC}"/>
    <dgm:cxn modelId="{4C942E54-E721-46B5-9D98-3BC8E0C834E2}" type="presOf" srcId="{DDF354DF-0CF9-4DA2-84D4-A884D84CD55D}" destId="{F531A591-CEBD-41A0-B21A-A66B3A942BEE}" srcOrd="0" destOrd="0" presId="urn:microsoft.com/office/officeart/2008/layout/HalfCircleOrganizationChart"/>
    <dgm:cxn modelId="{30FF2158-E6CC-45F2-AB5A-FD58D36235AF}" type="presOf" srcId="{606E7565-58BC-425B-BA7D-959648A502BD}" destId="{178D30EB-F60A-467F-A019-0ED767B40B97}" srcOrd="0" destOrd="0" presId="urn:microsoft.com/office/officeart/2008/layout/HalfCircleOrganizationChart"/>
    <dgm:cxn modelId="{BA6A2281-F51B-4F09-A550-A17CC3F3384F}" type="presOf" srcId="{243CEE8D-37E3-45FB-84EC-DB6C7446BE97}" destId="{8593C9CC-3C17-4FD9-A620-C3BB52050314}" srcOrd="1" destOrd="0" presId="urn:microsoft.com/office/officeart/2008/layout/HalfCircleOrganizationChart"/>
    <dgm:cxn modelId="{47FCA789-422A-4954-BF88-AF88DC6C0F9F}" type="presOf" srcId="{862F5F15-15B9-442D-B462-12B578CF1969}" destId="{4C7FBF42-6280-4FBE-93F4-BDEF9E5B2874}" srcOrd="0" destOrd="0" presId="urn:microsoft.com/office/officeart/2008/layout/HalfCircleOrganizationChart"/>
    <dgm:cxn modelId="{E266EA95-F7FD-4F52-9146-8E93E322445C}" type="presOf" srcId="{98765ABB-3FF0-46CE-8727-A18117F2DCE7}" destId="{D09E91FD-0BC1-4E7B-BE6D-6B14392AEFA1}" srcOrd="1" destOrd="0" presId="urn:microsoft.com/office/officeart/2008/layout/HalfCircleOrganizationChart"/>
    <dgm:cxn modelId="{0E7A829B-9BFC-4BE6-95CE-1EE46841C5C5}" type="presOf" srcId="{606E7565-58BC-425B-BA7D-959648A502BD}" destId="{7EA2E110-868A-4264-9C06-E934DA1067FD}" srcOrd="1" destOrd="0" presId="urn:microsoft.com/office/officeart/2008/layout/HalfCircleOrganizationChart"/>
    <dgm:cxn modelId="{A834D3A7-E3F3-4A3B-95B5-A0C0B30CEAF1}" type="presOf" srcId="{48A030DD-1570-4065-803E-3C772C728BBE}" destId="{41968CF2-7909-497D-BF69-057B78CBE1F4}" srcOrd="0" destOrd="0" presId="urn:microsoft.com/office/officeart/2008/layout/HalfCircleOrganizationChart"/>
    <dgm:cxn modelId="{927DD1B0-35CC-4BBD-B7EE-2B29B76A5F1B}" type="presOf" srcId="{6E7E44CE-3E3F-4CB6-A315-8E85E63D9E1A}" destId="{DEA1F3B8-8956-4BC1-AC9E-EEF739F614BE}" srcOrd="0" destOrd="0" presId="urn:microsoft.com/office/officeart/2008/layout/HalfCircleOrganizationChart"/>
    <dgm:cxn modelId="{CC0498B2-41B2-4C6B-ADE5-2C88ADBFB8A9}" type="presOf" srcId="{243CEE8D-37E3-45FB-84EC-DB6C7446BE97}" destId="{67A48B9C-3FBE-4C23-B1CD-3013B195EDE7}" srcOrd="0" destOrd="0" presId="urn:microsoft.com/office/officeart/2008/layout/HalfCircleOrganizationChart"/>
    <dgm:cxn modelId="{A9B951C4-3CB1-4021-8E72-BF3DF7A8A291}" srcId="{606E7565-58BC-425B-BA7D-959648A502BD}" destId="{DDF354DF-0CF9-4DA2-84D4-A884D84CD55D}" srcOrd="2" destOrd="0" parTransId="{48A030DD-1570-4065-803E-3C772C728BBE}" sibTransId="{DAD0EEAE-B65F-4500-93B7-FD8FA3B29DCB}"/>
    <dgm:cxn modelId="{02EC55C4-A84B-4544-A413-03452F6E6DDD}" type="presOf" srcId="{98765ABB-3FF0-46CE-8727-A18117F2DCE7}" destId="{5EE3AD0F-60FD-4E1B-BED6-CA691081E03E}" srcOrd="0" destOrd="0" presId="urn:microsoft.com/office/officeart/2008/layout/HalfCircleOrganizationChart"/>
    <dgm:cxn modelId="{78EB13E9-992B-4045-B512-D380DA7D69AF}" srcId="{606E7565-58BC-425B-BA7D-959648A502BD}" destId="{98765ABB-3FF0-46CE-8727-A18117F2DCE7}" srcOrd="1" destOrd="0" parTransId="{6E7E44CE-3E3F-4CB6-A315-8E85E63D9E1A}" sibTransId="{92CE8F1B-4401-455A-95F6-DDDC06BC9A2E}"/>
    <dgm:cxn modelId="{A5FD9C1E-5DCF-498A-8044-AC3819F4486B}" type="presParOf" srcId="{4C7FBF42-6280-4FBE-93F4-BDEF9E5B2874}" destId="{8B1E25D3-CA1D-4B44-BBE6-38699EAFF787}" srcOrd="0" destOrd="0" presId="urn:microsoft.com/office/officeart/2008/layout/HalfCircleOrganizationChart"/>
    <dgm:cxn modelId="{E2947A47-3C98-458F-B314-7224DD4F06BC}" type="presParOf" srcId="{8B1E25D3-CA1D-4B44-BBE6-38699EAFF787}" destId="{F05B521C-5BF2-4523-A705-9352BF68C0F5}" srcOrd="0" destOrd="0" presId="urn:microsoft.com/office/officeart/2008/layout/HalfCircleOrganizationChart"/>
    <dgm:cxn modelId="{56A46FED-8DAE-4F53-B862-8DF15AFF264A}" type="presParOf" srcId="{F05B521C-5BF2-4523-A705-9352BF68C0F5}" destId="{178D30EB-F60A-467F-A019-0ED767B40B97}" srcOrd="0" destOrd="0" presId="urn:microsoft.com/office/officeart/2008/layout/HalfCircleOrganizationChart"/>
    <dgm:cxn modelId="{73B2C59A-73FF-48B4-BCFC-A44A5644BE6B}" type="presParOf" srcId="{F05B521C-5BF2-4523-A705-9352BF68C0F5}" destId="{1A09DBD4-803A-4C4C-92F4-EA16A8319F96}" srcOrd="1" destOrd="0" presId="urn:microsoft.com/office/officeart/2008/layout/HalfCircleOrganizationChart"/>
    <dgm:cxn modelId="{3F219FFE-A45B-44D6-B4AF-3C8D6BA17B91}" type="presParOf" srcId="{F05B521C-5BF2-4523-A705-9352BF68C0F5}" destId="{C1889C60-2BEC-47E9-8E46-75DD061855F8}" srcOrd="2" destOrd="0" presId="urn:microsoft.com/office/officeart/2008/layout/HalfCircleOrganizationChart"/>
    <dgm:cxn modelId="{29D6BCC1-052F-4871-886B-3642332E5841}" type="presParOf" srcId="{F05B521C-5BF2-4523-A705-9352BF68C0F5}" destId="{7EA2E110-868A-4264-9C06-E934DA1067FD}" srcOrd="3" destOrd="0" presId="urn:microsoft.com/office/officeart/2008/layout/HalfCircleOrganizationChart"/>
    <dgm:cxn modelId="{07858005-5814-4B8A-8213-49070B7ECBE7}" type="presParOf" srcId="{8B1E25D3-CA1D-4B44-BBE6-38699EAFF787}" destId="{10290A2E-2000-4B82-831D-8D7BBFA18270}" srcOrd="1" destOrd="0" presId="urn:microsoft.com/office/officeart/2008/layout/HalfCircleOrganizationChart"/>
    <dgm:cxn modelId="{45E08F4D-67B5-421C-B031-3CA2D894A639}" type="presParOf" srcId="{10290A2E-2000-4B82-831D-8D7BBFA18270}" destId="{B77B8943-F4F0-4523-A84C-8A3D42C0232C}" srcOrd="0" destOrd="0" presId="urn:microsoft.com/office/officeart/2008/layout/HalfCircleOrganizationChart"/>
    <dgm:cxn modelId="{B5729C08-1924-482D-B993-6E488423E98B}" type="presParOf" srcId="{10290A2E-2000-4B82-831D-8D7BBFA18270}" destId="{54366C4E-238A-4404-8E66-B36A9E1CA9BA}" srcOrd="1" destOrd="0" presId="urn:microsoft.com/office/officeart/2008/layout/HalfCircleOrganizationChart"/>
    <dgm:cxn modelId="{D9783F33-9131-4C0E-BF91-970F710BDBAF}" type="presParOf" srcId="{54366C4E-238A-4404-8E66-B36A9E1CA9BA}" destId="{C252D987-CC6D-4816-ADA7-7440EEC43124}" srcOrd="0" destOrd="0" presId="urn:microsoft.com/office/officeart/2008/layout/HalfCircleOrganizationChart"/>
    <dgm:cxn modelId="{16AF9C12-A372-4EF0-BF84-64EB66A0733D}" type="presParOf" srcId="{C252D987-CC6D-4816-ADA7-7440EEC43124}" destId="{67A48B9C-3FBE-4C23-B1CD-3013B195EDE7}" srcOrd="0" destOrd="0" presId="urn:microsoft.com/office/officeart/2008/layout/HalfCircleOrganizationChart"/>
    <dgm:cxn modelId="{22A9B7E6-B6CB-4E04-9A4C-F48E80CD6028}" type="presParOf" srcId="{C252D987-CC6D-4816-ADA7-7440EEC43124}" destId="{A52C0AF7-2731-4BAA-BD15-0852F7B67EF7}" srcOrd="1" destOrd="0" presId="urn:microsoft.com/office/officeart/2008/layout/HalfCircleOrganizationChart"/>
    <dgm:cxn modelId="{1DC5CF25-47F4-4CDE-A6E3-B24990ED59C1}" type="presParOf" srcId="{C252D987-CC6D-4816-ADA7-7440EEC43124}" destId="{E1A6D556-2521-404D-B31D-90C1E441A494}" srcOrd="2" destOrd="0" presId="urn:microsoft.com/office/officeart/2008/layout/HalfCircleOrganizationChart"/>
    <dgm:cxn modelId="{8AAF662A-267C-4265-AF52-279F04F05026}" type="presParOf" srcId="{C252D987-CC6D-4816-ADA7-7440EEC43124}" destId="{8593C9CC-3C17-4FD9-A620-C3BB52050314}" srcOrd="3" destOrd="0" presId="urn:microsoft.com/office/officeart/2008/layout/HalfCircleOrganizationChart"/>
    <dgm:cxn modelId="{A1114C33-0AD1-49CF-9978-23498E50D734}" type="presParOf" srcId="{54366C4E-238A-4404-8E66-B36A9E1CA9BA}" destId="{B6CB3BCB-AE9D-4807-AA26-7BB8E4727218}" srcOrd="1" destOrd="0" presId="urn:microsoft.com/office/officeart/2008/layout/HalfCircleOrganizationChart"/>
    <dgm:cxn modelId="{FE2B1A48-2028-4DFB-ABFE-1904809F085E}" type="presParOf" srcId="{54366C4E-238A-4404-8E66-B36A9E1CA9BA}" destId="{5B9EB10C-6C9B-4681-91A3-3085631B5096}" srcOrd="2" destOrd="0" presId="urn:microsoft.com/office/officeart/2008/layout/HalfCircleOrganizationChart"/>
    <dgm:cxn modelId="{552F7B50-0709-4401-9887-7B43777311D8}" type="presParOf" srcId="{10290A2E-2000-4B82-831D-8D7BBFA18270}" destId="{DEA1F3B8-8956-4BC1-AC9E-EEF739F614BE}" srcOrd="2" destOrd="0" presId="urn:microsoft.com/office/officeart/2008/layout/HalfCircleOrganizationChart"/>
    <dgm:cxn modelId="{B2EACDCA-06E8-421F-9C30-60CF2794C592}" type="presParOf" srcId="{10290A2E-2000-4B82-831D-8D7BBFA18270}" destId="{66197C0D-9AB9-4717-909A-FCA1973473EA}" srcOrd="3" destOrd="0" presId="urn:microsoft.com/office/officeart/2008/layout/HalfCircleOrganizationChart"/>
    <dgm:cxn modelId="{749A207F-FFC9-4449-BB9F-62FE2422A23D}" type="presParOf" srcId="{66197C0D-9AB9-4717-909A-FCA1973473EA}" destId="{AAC19CE7-03B0-4C3E-A96B-1AD601858080}" srcOrd="0" destOrd="0" presId="urn:microsoft.com/office/officeart/2008/layout/HalfCircleOrganizationChart"/>
    <dgm:cxn modelId="{D500F0E8-BA2D-440A-A136-15B1038CB48E}" type="presParOf" srcId="{AAC19CE7-03B0-4C3E-A96B-1AD601858080}" destId="{5EE3AD0F-60FD-4E1B-BED6-CA691081E03E}" srcOrd="0" destOrd="0" presId="urn:microsoft.com/office/officeart/2008/layout/HalfCircleOrganizationChart"/>
    <dgm:cxn modelId="{0E68CA0A-2756-45BA-B308-D945B81D7B3C}" type="presParOf" srcId="{AAC19CE7-03B0-4C3E-A96B-1AD601858080}" destId="{BB41F39E-30A2-4634-9BB8-E09B5F575E03}" srcOrd="1" destOrd="0" presId="urn:microsoft.com/office/officeart/2008/layout/HalfCircleOrganizationChart"/>
    <dgm:cxn modelId="{7A3EF89F-0A1F-4542-BB8A-7CC54D12415E}" type="presParOf" srcId="{AAC19CE7-03B0-4C3E-A96B-1AD601858080}" destId="{531B716F-B5A5-4075-8EB3-2A7F5DE36C86}" srcOrd="2" destOrd="0" presId="urn:microsoft.com/office/officeart/2008/layout/HalfCircleOrganizationChart"/>
    <dgm:cxn modelId="{676011D5-D672-4D15-AC92-8D6194647C06}" type="presParOf" srcId="{AAC19CE7-03B0-4C3E-A96B-1AD601858080}" destId="{D09E91FD-0BC1-4E7B-BE6D-6B14392AEFA1}" srcOrd="3" destOrd="0" presId="urn:microsoft.com/office/officeart/2008/layout/HalfCircleOrganizationChart"/>
    <dgm:cxn modelId="{DCC7FC5D-C096-4B69-B0F8-2B39A9BB57C0}" type="presParOf" srcId="{66197C0D-9AB9-4717-909A-FCA1973473EA}" destId="{DBD39D02-D1A9-4F9D-A380-D33A8CA3A940}" srcOrd="1" destOrd="0" presId="urn:microsoft.com/office/officeart/2008/layout/HalfCircleOrganizationChart"/>
    <dgm:cxn modelId="{A4A39DE6-93B6-4344-B93C-ED7E718C92B1}" type="presParOf" srcId="{66197C0D-9AB9-4717-909A-FCA1973473EA}" destId="{E1DF42AF-2D5A-4172-9996-1D183FFC4C9B}" srcOrd="2" destOrd="0" presId="urn:microsoft.com/office/officeart/2008/layout/HalfCircleOrganizationChart"/>
    <dgm:cxn modelId="{AFCD5646-2039-4FFE-8404-DBFDA67ED845}" type="presParOf" srcId="{10290A2E-2000-4B82-831D-8D7BBFA18270}" destId="{41968CF2-7909-497D-BF69-057B78CBE1F4}" srcOrd="4" destOrd="0" presId="urn:microsoft.com/office/officeart/2008/layout/HalfCircleOrganizationChart"/>
    <dgm:cxn modelId="{2493F5F5-1EFA-4459-B5BB-9DDCBD7C9994}" type="presParOf" srcId="{10290A2E-2000-4B82-831D-8D7BBFA18270}" destId="{4A2AC35F-7685-473E-9F92-245F201C5D33}" srcOrd="5" destOrd="0" presId="urn:microsoft.com/office/officeart/2008/layout/HalfCircleOrganizationChart"/>
    <dgm:cxn modelId="{7F837A85-7E52-4D50-BC7A-BC6693A3163B}" type="presParOf" srcId="{4A2AC35F-7685-473E-9F92-245F201C5D33}" destId="{B18898F9-8E3A-4B8F-8E08-9B4D4D715BD6}" srcOrd="0" destOrd="0" presId="urn:microsoft.com/office/officeart/2008/layout/HalfCircleOrganizationChart"/>
    <dgm:cxn modelId="{2A4FC8B2-3285-4BD3-B172-E45EDE6DA003}" type="presParOf" srcId="{B18898F9-8E3A-4B8F-8E08-9B4D4D715BD6}" destId="{F531A591-CEBD-41A0-B21A-A66B3A942BEE}" srcOrd="0" destOrd="0" presId="urn:microsoft.com/office/officeart/2008/layout/HalfCircleOrganizationChart"/>
    <dgm:cxn modelId="{9B845344-304B-43B9-8879-5B0D0FCDBC66}" type="presParOf" srcId="{B18898F9-8E3A-4B8F-8E08-9B4D4D715BD6}" destId="{B0B87E16-D555-42BA-82CC-FB89AA561BD7}" srcOrd="1" destOrd="0" presId="urn:microsoft.com/office/officeart/2008/layout/HalfCircleOrganizationChart"/>
    <dgm:cxn modelId="{DC921E7F-FB68-477B-B530-569ADE2C2DA3}" type="presParOf" srcId="{B18898F9-8E3A-4B8F-8E08-9B4D4D715BD6}" destId="{D10FE752-BFE2-4A5B-80BA-0C84EC577B88}" srcOrd="2" destOrd="0" presId="urn:microsoft.com/office/officeart/2008/layout/HalfCircleOrganizationChart"/>
    <dgm:cxn modelId="{308A09FF-7D80-4832-880E-C3A6A1CC7C50}" type="presParOf" srcId="{B18898F9-8E3A-4B8F-8E08-9B4D4D715BD6}" destId="{B5DAD3FB-F144-4D03-8169-BD1BB9D4CA48}" srcOrd="3" destOrd="0" presId="urn:microsoft.com/office/officeart/2008/layout/HalfCircleOrganizationChart"/>
    <dgm:cxn modelId="{39CFEDEA-C8F5-4373-92BE-91BD1C2C2D34}" type="presParOf" srcId="{4A2AC35F-7685-473E-9F92-245F201C5D33}" destId="{79E2ADA7-A46F-4C4C-A94F-C73804D92F4A}" srcOrd="1" destOrd="0" presId="urn:microsoft.com/office/officeart/2008/layout/HalfCircleOrganizationChart"/>
    <dgm:cxn modelId="{D76D3860-0BD3-496A-B685-6BE3E1236F5B}" type="presParOf" srcId="{4A2AC35F-7685-473E-9F92-245F201C5D33}" destId="{C2F4C4C2-6D71-43E7-93F3-516EFEB165B3}" srcOrd="2" destOrd="0" presId="urn:microsoft.com/office/officeart/2008/layout/HalfCircleOrganizationChart"/>
    <dgm:cxn modelId="{D3405832-AC3C-4559-AC83-FFC78B2F13A1}" type="presParOf" srcId="{8B1E25D3-CA1D-4B44-BBE6-38699EAFF787}" destId="{2FCB585C-3A4B-4FA6-AE92-8703FC3796C6}" srcOrd="2" destOrd="0" presId="urn:microsoft.com/office/officeart/2008/layout/HalfCircleOrganizationChar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9D8F6CB-26CE-FB4B-938C-B63D40A72511}" type="doc">
      <dgm:prSet loTypeId="urn:microsoft.com/office/officeart/2005/8/layout/target1" loCatId="" qsTypeId="urn:microsoft.com/office/officeart/2005/8/quickstyle/simple1" qsCatId="simple" csTypeId="urn:microsoft.com/office/officeart/2005/8/colors/accent1_2" csCatId="accent1" phldr="1"/>
      <dgm:spPr/>
    </dgm:pt>
    <dgm:pt modelId="{315F02BF-8BF6-D240-9D8E-E4744ACBF69C}">
      <dgm:prSet phldrT="[Text]" custT="1"/>
      <dgm:spPr>
        <a:xfrm>
          <a:off x="3391087" y="0"/>
          <a:ext cx="1200150" cy="700087"/>
        </a:xfrm>
        <a:prstGeom prst="rect">
          <a:avLst/>
        </a:prstGeom>
        <a:noFill/>
        <a:ln>
          <a:noFill/>
        </a:ln>
        <a:effectLst/>
      </dgm:spPr>
      <dgm:t>
        <a:bodyPr/>
        <a:lstStyle/>
        <a:p>
          <a:pPr>
            <a:buNone/>
          </a:pPr>
          <a:r>
            <a:rPr lang="en-GB" sz="1100">
              <a:solidFill>
                <a:sysClr val="windowText" lastClr="000000">
                  <a:hueOff val="0"/>
                  <a:satOff val="0"/>
                  <a:lumOff val="0"/>
                  <a:alphaOff val="0"/>
                </a:sysClr>
              </a:solidFill>
              <a:latin typeface="Calibri" panose="020F0502020204030204"/>
              <a:ea typeface="+mn-ea"/>
              <a:cs typeface="+mn-cs"/>
            </a:rPr>
            <a:t>Mother holding the child</a:t>
          </a:r>
        </a:p>
      </dgm:t>
    </dgm:pt>
    <dgm:pt modelId="{CEFDEE48-5814-1F41-97EF-91B98AB338A3}" type="parTrans" cxnId="{BF584752-0A87-5246-855F-9288C4410C3D}">
      <dgm:prSet/>
      <dgm:spPr/>
      <dgm:t>
        <a:bodyPr/>
        <a:lstStyle/>
        <a:p>
          <a:endParaRPr lang="en-GB"/>
        </a:p>
      </dgm:t>
    </dgm:pt>
    <dgm:pt modelId="{CCF6C78F-3E0B-5545-BD92-45054270F12D}" type="sibTrans" cxnId="{BF584752-0A87-5246-855F-9288C4410C3D}">
      <dgm:prSet/>
      <dgm:spPr/>
      <dgm:t>
        <a:bodyPr/>
        <a:lstStyle/>
        <a:p>
          <a:endParaRPr lang="en-GB"/>
        </a:p>
      </dgm:t>
    </dgm:pt>
    <dgm:pt modelId="{26149478-4D8D-924E-838F-7ADA4671640B}">
      <dgm:prSet phldrT="[Text]" custT="1"/>
      <dgm:spPr>
        <a:xfrm>
          <a:off x="3391087" y="700087"/>
          <a:ext cx="1200150" cy="700087"/>
        </a:xfrm>
        <a:prstGeom prst="rect">
          <a:avLst/>
        </a:prstGeom>
        <a:noFill/>
        <a:ln>
          <a:noFill/>
        </a:ln>
        <a:effectLst/>
      </dgm:spPr>
      <dgm:t>
        <a:bodyPr/>
        <a:lstStyle/>
        <a:p>
          <a:pPr>
            <a:buNone/>
          </a:pPr>
          <a:r>
            <a:rPr lang="en-GB" sz="1100">
              <a:solidFill>
                <a:sysClr val="windowText" lastClr="000000">
                  <a:hueOff val="0"/>
                  <a:satOff val="0"/>
                  <a:lumOff val="0"/>
                  <a:alphaOff val="0"/>
                </a:sysClr>
              </a:solidFill>
              <a:latin typeface="Calibri" panose="020F0502020204030204"/>
              <a:ea typeface="+mn-ea"/>
              <a:cs typeface="+mn-cs"/>
            </a:rPr>
            <a:t>Father holding the mother, holding the child</a:t>
          </a:r>
        </a:p>
      </dgm:t>
    </dgm:pt>
    <dgm:pt modelId="{AEC4FD50-364B-2347-8665-A2AD92BCC9E7}" type="parTrans" cxnId="{DC2D8157-6C45-8F40-8839-E34915B3C3FF}">
      <dgm:prSet/>
      <dgm:spPr/>
      <dgm:t>
        <a:bodyPr/>
        <a:lstStyle/>
        <a:p>
          <a:endParaRPr lang="en-GB"/>
        </a:p>
      </dgm:t>
    </dgm:pt>
    <dgm:pt modelId="{31AD6933-5203-1B4D-8214-2DFE133B10E3}" type="sibTrans" cxnId="{DC2D8157-6C45-8F40-8839-E34915B3C3FF}">
      <dgm:prSet/>
      <dgm:spPr/>
      <dgm:t>
        <a:bodyPr/>
        <a:lstStyle/>
        <a:p>
          <a:endParaRPr lang="en-GB"/>
        </a:p>
      </dgm:t>
    </dgm:pt>
    <dgm:pt modelId="{200701F0-FFA6-4043-BB55-563F73511B5C}">
      <dgm:prSet phldrT="[Text]" custT="1"/>
      <dgm:spPr>
        <a:xfrm>
          <a:off x="3086663" y="1390835"/>
          <a:ext cx="1808998" cy="718765"/>
        </a:xfrm>
        <a:prstGeom prst="rect">
          <a:avLst/>
        </a:prstGeom>
        <a:noFill/>
        <a:ln>
          <a:noFill/>
        </a:ln>
        <a:effectLst/>
      </dgm:spPr>
      <dgm:t>
        <a:bodyPr/>
        <a:lstStyle/>
        <a:p>
          <a:pPr>
            <a:buNone/>
          </a:pPr>
          <a:endParaRPr lang="en-GB" sz="1100">
            <a:solidFill>
              <a:sysClr val="windowText" lastClr="000000">
                <a:hueOff val="0"/>
                <a:satOff val="0"/>
                <a:lumOff val="0"/>
                <a:alphaOff val="0"/>
              </a:sysClr>
            </a:solidFill>
            <a:latin typeface="Calibri" panose="020F0502020204030204"/>
            <a:ea typeface="+mn-ea"/>
            <a:cs typeface="+mn-cs"/>
          </a:endParaRPr>
        </a:p>
        <a:p>
          <a:pPr>
            <a:buNone/>
          </a:pPr>
          <a:r>
            <a:rPr lang="en-GB" sz="1100">
              <a:solidFill>
                <a:sysClr val="windowText" lastClr="000000">
                  <a:hueOff val="0"/>
                  <a:satOff val="0"/>
                  <a:lumOff val="0"/>
                  <a:alphaOff val="0"/>
                </a:sysClr>
              </a:solidFill>
              <a:latin typeface="Calibri" panose="020F0502020204030204"/>
              <a:ea typeface="+mn-ea"/>
              <a:cs typeface="+mn-cs"/>
            </a:rPr>
            <a:t>Society holding the father, holding the mother holding the child</a:t>
          </a:r>
        </a:p>
      </dgm:t>
    </dgm:pt>
    <dgm:pt modelId="{5D5114E9-9379-1B44-9F42-DF6BBF37AE11}" type="parTrans" cxnId="{B6B25C12-EF5B-F04B-AE46-C12F0A45FB94}">
      <dgm:prSet/>
      <dgm:spPr/>
      <dgm:t>
        <a:bodyPr/>
        <a:lstStyle/>
        <a:p>
          <a:endParaRPr lang="en-GB"/>
        </a:p>
      </dgm:t>
    </dgm:pt>
    <dgm:pt modelId="{9E831F2B-6794-6E4B-A8BC-BFB075A4668B}" type="sibTrans" cxnId="{B6B25C12-EF5B-F04B-AE46-C12F0A45FB94}">
      <dgm:prSet/>
      <dgm:spPr/>
      <dgm:t>
        <a:bodyPr/>
        <a:lstStyle/>
        <a:p>
          <a:endParaRPr lang="en-GB"/>
        </a:p>
      </dgm:t>
    </dgm:pt>
    <dgm:pt modelId="{275BA5CC-AD17-FC4B-A185-6C8BA10CEEB0}" type="pres">
      <dgm:prSet presAssocID="{C9D8F6CB-26CE-FB4B-938C-B63D40A72511}" presName="composite" presStyleCnt="0">
        <dgm:presLayoutVars>
          <dgm:chMax val="5"/>
          <dgm:dir/>
          <dgm:resizeHandles val="exact"/>
        </dgm:presLayoutVars>
      </dgm:prSet>
      <dgm:spPr/>
    </dgm:pt>
    <dgm:pt modelId="{5085047A-4ADE-3E43-9E8E-EA08F443BCF3}" type="pres">
      <dgm:prSet presAssocID="{315F02BF-8BF6-D240-9D8E-E4744ACBF69C}" presName="circle1" presStyleLbl="lnNode1" presStyleIdx="0" presStyleCnt="3"/>
      <dgm:spPr>
        <a:xfrm>
          <a:off x="1550857" y="1760220"/>
          <a:ext cx="480060" cy="4800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6AF62BD-69CE-2B46-AC8F-31B946C063BC}" type="pres">
      <dgm:prSet presAssocID="{315F02BF-8BF6-D240-9D8E-E4744ACBF69C}" presName="text1" presStyleLbl="revTx" presStyleIdx="0" presStyleCnt="3">
        <dgm:presLayoutVars>
          <dgm:bulletEnabled val="1"/>
        </dgm:presLayoutVars>
      </dgm:prSet>
      <dgm:spPr/>
    </dgm:pt>
    <dgm:pt modelId="{48C4A973-AB74-7B4A-AED5-A89EE1AC426A}" type="pres">
      <dgm:prSet presAssocID="{315F02BF-8BF6-D240-9D8E-E4744ACBF69C}" presName="line1" presStyleLbl="callout" presStyleIdx="0" presStyleCnt="6"/>
      <dgm:spPr>
        <a:xfrm>
          <a:off x="3091050" y="350043"/>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71B0DD82-D6E1-3D4A-B80E-418880101B66}" type="pres">
      <dgm:prSet presAssocID="{315F02BF-8BF6-D240-9D8E-E4744ACBF69C}" presName="d1" presStyleLbl="callout" presStyleIdx="1" presStyleCnt="6"/>
      <dgm:spPr>
        <a:xfrm rot="5400000">
          <a:off x="1615466" y="525865"/>
          <a:ext cx="1649806" cy="1298962"/>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FC2BCF79-64ED-694C-B6E5-59FE4EC37097}" type="pres">
      <dgm:prSet presAssocID="{26149478-4D8D-924E-838F-7ADA4671640B}" presName="circle2" presStyleLbl="lnNode1" presStyleIdx="1" presStyleCnt="3"/>
      <dgm:spPr>
        <a:xfrm>
          <a:off x="1070797" y="1280160"/>
          <a:ext cx="1440180" cy="144018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5EEB049-F4B0-CD4E-B756-C3498C4EA279}" type="pres">
      <dgm:prSet presAssocID="{26149478-4D8D-924E-838F-7ADA4671640B}" presName="text2" presStyleLbl="revTx" presStyleIdx="1" presStyleCnt="3" custScaleX="101069" custScaleY="107240">
        <dgm:presLayoutVars>
          <dgm:bulletEnabled val="1"/>
        </dgm:presLayoutVars>
      </dgm:prSet>
      <dgm:spPr/>
    </dgm:pt>
    <dgm:pt modelId="{D80A4E0A-27F6-924E-979E-C37C7189177A}" type="pres">
      <dgm:prSet presAssocID="{26149478-4D8D-924E-838F-7ADA4671640B}" presName="line2" presStyleLbl="callout" presStyleIdx="2" presStyleCnt="6"/>
      <dgm:spPr>
        <a:xfrm>
          <a:off x="3091050" y="1050131"/>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324053E0-F1DC-2E4A-B000-5A9054CB01AE}" type="pres">
      <dgm:prSet presAssocID="{26149478-4D8D-924E-838F-7ADA4671640B}" presName="d2" presStyleLbl="callout" presStyleIdx="3" presStyleCnt="6"/>
      <dgm:spPr>
        <a:xfrm rot="5400000">
          <a:off x="1969590" y="1215031"/>
          <a:ext cx="1285600" cy="954919"/>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D9218D38-CFCA-AF4C-8917-AC4E6A3B322C}" type="pres">
      <dgm:prSet presAssocID="{200701F0-FFA6-4043-BB55-563F73511B5C}" presName="circle3" presStyleLbl="lnNode1" presStyleIdx="2" presStyleCnt="3" custLinFactNeighborX="-657" custLinFactNeighborY="0"/>
      <dgm:spPr>
        <a:xfrm>
          <a:off x="590737" y="800100"/>
          <a:ext cx="2400300" cy="24003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250808D-9697-B444-99A5-CD6BAD04DA3C}" type="pres">
      <dgm:prSet presAssocID="{200701F0-FFA6-4043-BB55-563F73511B5C}" presName="text3" presStyleLbl="revTx" presStyleIdx="2" presStyleCnt="3" custScaleX="105518" custScaleY="102668">
        <dgm:presLayoutVars>
          <dgm:bulletEnabled val="1"/>
        </dgm:presLayoutVars>
      </dgm:prSet>
      <dgm:spPr/>
    </dgm:pt>
    <dgm:pt modelId="{F50C2C03-81BA-B244-B26B-A4C03A744D49}" type="pres">
      <dgm:prSet presAssocID="{200701F0-FFA6-4043-BB55-563F73511B5C}" presName="line3" presStyleLbl="callout" presStyleIdx="4" presStyleCnt="6"/>
      <dgm:spPr>
        <a:xfrm>
          <a:off x="3091050" y="1750218"/>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ECE3B1DB-3DF9-2C49-A230-DE4C64924E0A}" type="pres">
      <dgm:prSet presAssocID="{200701F0-FFA6-4043-BB55-563F73511B5C}" presName="d3" presStyleLbl="callout" presStyleIdx="5" presStyleCnt="6"/>
      <dgm:spPr>
        <a:xfrm rot="5400000">
          <a:off x="2324154" y="1903637"/>
          <a:ext cx="918514" cy="610876"/>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Lst>
  <dgm:cxnLst>
    <dgm:cxn modelId="{B6B25C12-EF5B-F04B-AE46-C12F0A45FB94}" srcId="{C9D8F6CB-26CE-FB4B-938C-B63D40A72511}" destId="{200701F0-FFA6-4043-BB55-563F73511B5C}" srcOrd="2" destOrd="0" parTransId="{5D5114E9-9379-1B44-9F42-DF6BBF37AE11}" sibTransId="{9E831F2B-6794-6E4B-A8BC-BFB075A4668B}"/>
    <dgm:cxn modelId="{02914B21-10AE-5543-9572-12E3F82E30D8}" type="presOf" srcId="{26149478-4D8D-924E-838F-7ADA4671640B}" destId="{55EEB049-F4B0-CD4E-B756-C3498C4EA279}" srcOrd="0" destOrd="0" presId="urn:microsoft.com/office/officeart/2005/8/layout/target1"/>
    <dgm:cxn modelId="{BF584752-0A87-5246-855F-9288C4410C3D}" srcId="{C9D8F6CB-26CE-FB4B-938C-B63D40A72511}" destId="{315F02BF-8BF6-D240-9D8E-E4744ACBF69C}" srcOrd="0" destOrd="0" parTransId="{CEFDEE48-5814-1F41-97EF-91B98AB338A3}" sibTransId="{CCF6C78F-3E0B-5545-BD92-45054270F12D}"/>
    <dgm:cxn modelId="{DC2D8157-6C45-8F40-8839-E34915B3C3FF}" srcId="{C9D8F6CB-26CE-FB4B-938C-B63D40A72511}" destId="{26149478-4D8D-924E-838F-7ADA4671640B}" srcOrd="1" destOrd="0" parTransId="{AEC4FD50-364B-2347-8665-A2AD92BCC9E7}" sibTransId="{31AD6933-5203-1B4D-8214-2DFE133B10E3}"/>
    <dgm:cxn modelId="{90DE7297-9D2A-3C4D-8D17-5DB8C75C5049}" type="presOf" srcId="{200701F0-FFA6-4043-BB55-563F73511B5C}" destId="{1250808D-9697-B444-99A5-CD6BAD04DA3C}" srcOrd="0" destOrd="0" presId="urn:microsoft.com/office/officeart/2005/8/layout/target1"/>
    <dgm:cxn modelId="{A4BBE4A9-A901-804C-B64E-13B86396A5A5}" type="presOf" srcId="{C9D8F6CB-26CE-FB4B-938C-B63D40A72511}" destId="{275BA5CC-AD17-FC4B-A185-6C8BA10CEEB0}" srcOrd="0" destOrd="0" presId="urn:microsoft.com/office/officeart/2005/8/layout/target1"/>
    <dgm:cxn modelId="{D098B9DE-B854-B743-B193-DC302169A453}" type="presOf" srcId="{315F02BF-8BF6-D240-9D8E-E4744ACBF69C}" destId="{36AF62BD-69CE-2B46-AC8F-31B946C063BC}" srcOrd="0" destOrd="0" presId="urn:microsoft.com/office/officeart/2005/8/layout/target1"/>
    <dgm:cxn modelId="{C317C3A4-1B16-314C-A360-2953D5A17E7F}" type="presParOf" srcId="{275BA5CC-AD17-FC4B-A185-6C8BA10CEEB0}" destId="{5085047A-4ADE-3E43-9E8E-EA08F443BCF3}" srcOrd="0" destOrd="0" presId="urn:microsoft.com/office/officeart/2005/8/layout/target1"/>
    <dgm:cxn modelId="{761C720D-5681-BC43-8054-C97B7B832A51}" type="presParOf" srcId="{275BA5CC-AD17-FC4B-A185-6C8BA10CEEB0}" destId="{36AF62BD-69CE-2B46-AC8F-31B946C063BC}" srcOrd="1" destOrd="0" presId="urn:microsoft.com/office/officeart/2005/8/layout/target1"/>
    <dgm:cxn modelId="{AA942985-4CC6-7B45-97B9-8558337D6C37}" type="presParOf" srcId="{275BA5CC-AD17-FC4B-A185-6C8BA10CEEB0}" destId="{48C4A973-AB74-7B4A-AED5-A89EE1AC426A}" srcOrd="2" destOrd="0" presId="urn:microsoft.com/office/officeart/2005/8/layout/target1"/>
    <dgm:cxn modelId="{6EEEEA06-E3BE-CD48-8413-FF28FC52729E}" type="presParOf" srcId="{275BA5CC-AD17-FC4B-A185-6C8BA10CEEB0}" destId="{71B0DD82-D6E1-3D4A-B80E-418880101B66}" srcOrd="3" destOrd="0" presId="urn:microsoft.com/office/officeart/2005/8/layout/target1"/>
    <dgm:cxn modelId="{1DDBB37C-249F-6F41-B880-BDAFEDB02A90}" type="presParOf" srcId="{275BA5CC-AD17-FC4B-A185-6C8BA10CEEB0}" destId="{FC2BCF79-64ED-694C-B6E5-59FE4EC37097}" srcOrd="4" destOrd="0" presId="urn:microsoft.com/office/officeart/2005/8/layout/target1"/>
    <dgm:cxn modelId="{0CC8CFEE-2D28-3F48-979E-24591A0EF731}" type="presParOf" srcId="{275BA5CC-AD17-FC4B-A185-6C8BA10CEEB0}" destId="{55EEB049-F4B0-CD4E-B756-C3498C4EA279}" srcOrd="5" destOrd="0" presId="urn:microsoft.com/office/officeart/2005/8/layout/target1"/>
    <dgm:cxn modelId="{0EFFBC44-23AB-3C42-BF71-220D79167587}" type="presParOf" srcId="{275BA5CC-AD17-FC4B-A185-6C8BA10CEEB0}" destId="{D80A4E0A-27F6-924E-979E-C37C7189177A}" srcOrd="6" destOrd="0" presId="urn:microsoft.com/office/officeart/2005/8/layout/target1"/>
    <dgm:cxn modelId="{74DB546E-F74D-F545-9DCC-51241EF91E7F}" type="presParOf" srcId="{275BA5CC-AD17-FC4B-A185-6C8BA10CEEB0}" destId="{324053E0-F1DC-2E4A-B000-5A9054CB01AE}" srcOrd="7" destOrd="0" presId="urn:microsoft.com/office/officeart/2005/8/layout/target1"/>
    <dgm:cxn modelId="{00C65A23-B5F2-8C47-B922-CE1E9DC22FF0}" type="presParOf" srcId="{275BA5CC-AD17-FC4B-A185-6C8BA10CEEB0}" destId="{D9218D38-CFCA-AF4C-8917-AC4E6A3B322C}" srcOrd="8" destOrd="0" presId="urn:microsoft.com/office/officeart/2005/8/layout/target1"/>
    <dgm:cxn modelId="{7DA754C5-70E9-8349-8A2A-854A061B95F0}" type="presParOf" srcId="{275BA5CC-AD17-FC4B-A185-6C8BA10CEEB0}" destId="{1250808D-9697-B444-99A5-CD6BAD04DA3C}" srcOrd="9" destOrd="0" presId="urn:microsoft.com/office/officeart/2005/8/layout/target1"/>
    <dgm:cxn modelId="{1903D215-F99B-B64F-9632-354D7A6C12DA}" type="presParOf" srcId="{275BA5CC-AD17-FC4B-A185-6C8BA10CEEB0}" destId="{F50C2C03-81BA-B244-B26B-A4C03A744D49}" srcOrd="10" destOrd="0" presId="urn:microsoft.com/office/officeart/2005/8/layout/target1"/>
    <dgm:cxn modelId="{5348860D-F210-8F48-8100-D1C71C6B5979}" type="presParOf" srcId="{275BA5CC-AD17-FC4B-A185-6C8BA10CEEB0}" destId="{ECE3B1DB-3DF9-2C49-A230-DE4C64924E0A}" srcOrd="11" destOrd="0" presId="urn:microsoft.com/office/officeart/2005/8/layout/targe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6D0EF3-8D3B-3D4C-925D-B0B2F8C1F5FF}" type="doc">
      <dgm:prSet loTypeId="urn:microsoft.com/office/officeart/2005/8/layout/target1" loCatId="" qsTypeId="urn:microsoft.com/office/officeart/2005/8/quickstyle/simple1" qsCatId="simple" csTypeId="urn:microsoft.com/office/officeart/2005/8/colors/accent1_2" csCatId="accent1" phldr="1"/>
      <dgm:spPr/>
    </dgm:pt>
    <dgm:pt modelId="{60393632-CC16-884D-94E9-4456625C80FA}">
      <dgm:prSet phldrT="[Text]" custT="1"/>
      <dgm:spPr>
        <a:xfrm>
          <a:off x="3385687" y="0"/>
          <a:ext cx="1200150" cy="700087"/>
        </a:xfrm>
        <a:prstGeom prst="rect">
          <a:avLst/>
        </a:prstGeom>
        <a:noFill/>
        <a:ln>
          <a:noFill/>
        </a:ln>
        <a:effectLst/>
      </dgm:spPr>
      <dgm:t>
        <a:bodyPr/>
        <a:lstStyle/>
        <a:p>
          <a:pPr>
            <a:buNone/>
          </a:pPr>
          <a:r>
            <a:rPr lang="en-GB" sz="1100">
              <a:solidFill>
                <a:sysClr val="windowText" lastClr="000000">
                  <a:hueOff val="0"/>
                  <a:satOff val="0"/>
                  <a:lumOff val="0"/>
                  <a:alphaOff val="0"/>
                </a:sysClr>
              </a:solidFill>
              <a:latin typeface="Calibri" panose="020F0502020204030204"/>
              <a:ea typeface="+mn-ea"/>
              <a:cs typeface="+mn-cs"/>
            </a:rPr>
            <a:t>The teacher holding the student</a:t>
          </a:r>
        </a:p>
      </dgm:t>
    </dgm:pt>
    <dgm:pt modelId="{DD231BD4-09B5-AC44-BF91-B04EA86E45EA}" type="parTrans" cxnId="{4B784F85-C00E-B74E-9194-272494DAAA72}">
      <dgm:prSet/>
      <dgm:spPr/>
      <dgm:t>
        <a:bodyPr/>
        <a:lstStyle/>
        <a:p>
          <a:endParaRPr lang="en-GB"/>
        </a:p>
      </dgm:t>
    </dgm:pt>
    <dgm:pt modelId="{8A7A414C-2C08-9246-8965-701ACFE9B7B3}" type="sibTrans" cxnId="{4B784F85-C00E-B74E-9194-272494DAAA72}">
      <dgm:prSet/>
      <dgm:spPr/>
      <dgm:t>
        <a:bodyPr/>
        <a:lstStyle/>
        <a:p>
          <a:endParaRPr lang="en-GB"/>
        </a:p>
      </dgm:t>
    </dgm:pt>
    <dgm:pt modelId="{170EA97F-D096-4145-B431-41E88FE30BC1}">
      <dgm:prSet phldrT="[Text]" custT="1"/>
      <dgm:spPr>
        <a:xfrm>
          <a:off x="3175535" y="700087"/>
          <a:ext cx="1620454" cy="700087"/>
        </a:xfrm>
        <a:prstGeom prst="rect">
          <a:avLst/>
        </a:prstGeom>
        <a:noFill/>
        <a:ln>
          <a:noFill/>
        </a:ln>
        <a:effectLst/>
      </dgm:spPr>
      <dgm:t>
        <a:bodyPr/>
        <a:lstStyle/>
        <a:p>
          <a:pPr>
            <a:buNone/>
          </a:pPr>
          <a:r>
            <a:rPr lang="en-GB" sz="1100">
              <a:solidFill>
                <a:sysClr val="windowText" lastClr="000000">
                  <a:hueOff val="0"/>
                  <a:satOff val="0"/>
                  <a:lumOff val="0"/>
                  <a:alphaOff val="0"/>
                </a:sysClr>
              </a:solidFill>
              <a:latin typeface="Calibri" panose="020F0502020204030204"/>
              <a:ea typeface="+mn-ea"/>
              <a:cs typeface="+mn-cs"/>
            </a:rPr>
            <a:t>The university holding the teacher, holding the student</a:t>
          </a:r>
        </a:p>
      </dgm:t>
    </dgm:pt>
    <dgm:pt modelId="{94F32523-EB49-9A4C-8564-55408C8C88AE}" type="parTrans" cxnId="{58772EF1-7887-3241-B936-55258105CAB9}">
      <dgm:prSet/>
      <dgm:spPr/>
      <dgm:t>
        <a:bodyPr/>
        <a:lstStyle/>
        <a:p>
          <a:endParaRPr lang="en-GB"/>
        </a:p>
      </dgm:t>
    </dgm:pt>
    <dgm:pt modelId="{DFFA1A58-6247-494D-BFE9-5AB644E77F3D}" type="sibTrans" cxnId="{58772EF1-7887-3241-B936-55258105CAB9}">
      <dgm:prSet/>
      <dgm:spPr/>
      <dgm:t>
        <a:bodyPr/>
        <a:lstStyle/>
        <a:p>
          <a:endParaRPr lang="en-GB"/>
        </a:p>
      </dgm:t>
    </dgm:pt>
    <dgm:pt modelId="{16D6A2E9-082B-C14D-9C4B-E285FCCBE2E3}">
      <dgm:prSet phldrT="[Text]" custT="1"/>
      <dgm:spPr>
        <a:xfrm>
          <a:off x="3070461" y="1400174"/>
          <a:ext cx="1830600" cy="700087"/>
        </a:xfrm>
        <a:prstGeom prst="rect">
          <a:avLst/>
        </a:prstGeom>
        <a:noFill/>
        <a:ln>
          <a:noFill/>
        </a:ln>
        <a:effectLst/>
      </dgm:spPr>
      <dgm:t>
        <a:bodyPr/>
        <a:lstStyle/>
        <a:p>
          <a:pPr>
            <a:buNone/>
          </a:pPr>
          <a:r>
            <a:rPr lang="en-GB" sz="1100">
              <a:solidFill>
                <a:sysClr val="windowText" lastClr="000000">
                  <a:hueOff val="0"/>
                  <a:satOff val="0"/>
                  <a:lumOff val="0"/>
                  <a:alphaOff val="0"/>
                </a:sysClr>
              </a:solidFill>
              <a:latin typeface="Calibri" panose="020F0502020204030204"/>
              <a:ea typeface="+mn-ea"/>
              <a:cs typeface="+mn-cs"/>
            </a:rPr>
            <a:t>Society holding the university holding the teacher, holding the student</a:t>
          </a:r>
        </a:p>
      </dgm:t>
    </dgm:pt>
    <dgm:pt modelId="{878CC5A4-2D89-F040-A25C-D93ED8BDE39C}" type="parTrans" cxnId="{EF2BC8A4-1DD9-0F40-8017-A72B65C23B3D}">
      <dgm:prSet/>
      <dgm:spPr/>
      <dgm:t>
        <a:bodyPr/>
        <a:lstStyle/>
        <a:p>
          <a:endParaRPr lang="en-GB"/>
        </a:p>
      </dgm:t>
    </dgm:pt>
    <dgm:pt modelId="{135E64CD-3F97-A14B-AFCF-8A119D9EC74C}" type="sibTrans" cxnId="{EF2BC8A4-1DD9-0F40-8017-A72B65C23B3D}">
      <dgm:prSet/>
      <dgm:spPr/>
      <dgm:t>
        <a:bodyPr/>
        <a:lstStyle/>
        <a:p>
          <a:endParaRPr lang="en-GB"/>
        </a:p>
      </dgm:t>
    </dgm:pt>
    <dgm:pt modelId="{2DA12511-A0DD-0440-BD93-BA3A336B3F80}" type="pres">
      <dgm:prSet presAssocID="{696D0EF3-8D3B-3D4C-925D-B0B2F8C1F5FF}" presName="composite" presStyleCnt="0">
        <dgm:presLayoutVars>
          <dgm:chMax val="5"/>
          <dgm:dir/>
          <dgm:resizeHandles val="exact"/>
        </dgm:presLayoutVars>
      </dgm:prSet>
      <dgm:spPr/>
    </dgm:pt>
    <dgm:pt modelId="{010463F2-08AC-9D42-ADA5-9E143A4DF715}" type="pres">
      <dgm:prSet presAssocID="{60393632-CC16-884D-94E9-4456625C80FA}" presName="circle1" presStyleLbl="lnNode1" presStyleIdx="0" presStyleCnt="3"/>
      <dgm:spPr>
        <a:xfrm>
          <a:off x="1545457" y="1760220"/>
          <a:ext cx="480060" cy="4800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0519C87-E32B-194E-A025-C9D370EEA5B2}" type="pres">
      <dgm:prSet presAssocID="{60393632-CC16-884D-94E9-4456625C80FA}" presName="text1" presStyleLbl="revTx" presStyleIdx="0" presStyleCnt="3">
        <dgm:presLayoutVars>
          <dgm:bulletEnabled val="1"/>
        </dgm:presLayoutVars>
      </dgm:prSet>
      <dgm:spPr/>
    </dgm:pt>
    <dgm:pt modelId="{EA145874-0C10-7E49-9A7A-2A26396ED3A8}" type="pres">
      <dgm:prSet presAssocID="{60393632-CC16-884D-94E9-4456625C80FA}" presName="line1" presStyleLbl="callout" presStyleIdx="0" presStyleCnt="6"/>
      <dgm:spPr>
        <a:xfrm>
          <a:off x="3085649" y="350043"/>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92D27D6B-6670-7142-AD3B-A3541ACF39B0}" type="pres">
      <dgm:prSet presAssocID="{60393632-CC16-884D-94E9-4456625C80FA}" presName="d1" presStyleLbl="callout" presStyleIdx="1" presStyleCnt="6"/>
      <dgm:spPr>
        <a:xfrm rot="5400000">
          <a:off x="1610065" y="525865"/>
          <a:ext cx="1649806" cy="1298962"/>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A1E6FA09-AD2B-3446-9337-0954A251F6B9}" type="pres">
      <dgm:prSet presAssocID="{170EA97F-D096-4145-B431-41E88FE30BC1}" presName="circle2" presStyleLbl="lnNode1" presStyleIdx="1" presStyleCnt="3"/>
      <dgm:spPr>
        <a:xfrm>
          <a:off x="1065397" y="1280160"/>
          <a:ext cx="1440180" cy="144018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1E81CBD-08A1-F14F-B367-37B8937709E1}" type="pres">
      <dgm:prSet presAssocID="{170EA97F-D096-4145-B431-41E88FE30BC1}" presName="text2" presStyleLbl="revTx" presStyleIdx="1" presStyleCnt="3" custScaleX="135021" custLinFactNeighborX="20554" custLinFactNeighborY="-1174">
        <dgm:presLayoutVars>
          <dgm:bulletEnabled val="1"/>
        </dgm:presLayoutVars>
      </dgm:prSet>
      <dgm:spPr/>
    </dgm:pt>
    <dgm:pt modelId="{F813BF5A-E3BC-E94D-B9F3-7EFCEC337AB7}" type="pres">
      <dgm:prSet presAssocID="{170EA97F-D096-4145-B431-41E88FE30BC1}" presName="line2" presStyleLbl="callout" presStyleIdx="2" presStyleCnt="6"/>
      <dgm:spPr>
        <a:xfrm>
          <a:off x="3085649" y="1050131"/>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FADE4559-787C-9440-9A9E-275390BD7F96}" type="pres">
      <dgm:prSet presAssocID="{170EA97F-D096-4145-B431-41E88FE30BC1}" presName="d2" presStyleLbl="callout" presStyleIdx="3" presStyleCnt="6"/>
      <dgm:spPr>
        <a:xfrm rot="5400000">
          <a:off x="1964189" y="1215031"/>
          <a:ext cx="1285600" cy="954919"/>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9419A9C1-81BF-0C43-812E-1BE885424223}" type="pres">
      <dgm:prSet presAssocID="{16D6A2E9-082B-C14D-9C4B-E285FCCBE2E3}" presName="circle3" presStyleLbl="lnNode1" presStyleIdx="2" presStyleCnt="3"/>
      <dgm:spPr>
        <a:xfrm>
          <a:off x="585337" y="800100"/>
          <a:ext cx="2400300" cy="24003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A96B98B-73A7-FD4E-B560-BCB8405408F2}" type="pres">
      <dgm:prSet presAssocID="{16D6A2E9-082B-C14D-9C4B-E285FCCBE2E3}" presName="text3" presStyleLbl="revTx" presStyleIdx="2" presStyleCnt="3" custScaleX="152531" custLinFactNeighborX="26864" custLinFactNeighborY="-1174">
        <dgm:presLayoutVars>
          <dgm:bulletEnabled val="1"/>
        </dgm:presLayoutVars>
      </dgm:prSet>
      <dgm:spPr/>
    </dgm:pt>
    <dgm:pt modelId="{021E1DCB-2909-0643-8648-22130F7F2241}" type="pres">
      <dgm:prSet presAssocID="{16D6A2E9-082B-C14D-9C4B-E285FCCBE2E3}" presName="line3" presStyleLbl="callout" presStyleIdx="4" presStyleCnt="6"/>
      <dgm:spPr>
        <a:xfrm>
          <a:off x="3085649" y="1750218"/>
          <a:ext cx="300037"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E5E58B2A-9842-9B4C-AEB9-32CAF58662C7}" type="pres">
      <dgm:prSet presAssocID="{16D6A2E9-082B-C14D-9C4B-E285FCCBE2E3}" presName="d3" presStyleLbl="callout" presStyleIdx="5" presStyleCnt="6"/>
      <dgm:spPr>
        <a:xfrm rot="5400000">
          <a:off x="2318753" y="1903637"/>
          <a:ext cx="918514" cy="610876"/>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Lst>
  <dgm:cxnLst>
    <dgm:cxn modelId="{BC6C5A08-9755-904B-B1EA-A3E83C6D495F}" type="presOf" srcId="{170EA97F-D096-4145-B431-41E88FE30BC1}" destId="{A1E81CBD-08A1-F14F-B367-37B8937709E1}" srcOrd="0" destOrd="0" presId="urn:microsoft.com/office/officeart/2005/8/layout/target1"/>
    <dgm:cxn modelId="{4B784F85-C00E-B74E-9194-272494DAAA72}" srcId="{696D0EF3-8D3B-3D4C-925D-B0B2F8C1F5FF}" destId="{60393632-CC16-884D-94E9-4456625C80FA}" srcOrd="0" destOrd="0" parTransId="{DD231BD4-09B5-AC44-BF91-B04EA86E45EA}" sibTransId="{8A7A414C-2C08-9246-8965-701ACFE9B7B3}"/>
    <dgm:cxn modelId="{DDEA7285-FC39-B846-85F1-34AD09C9567E}" type="presOf" srcId="{16D6A2E9-082B-C14D-9C4B-E285FCCBE2E3}" destId="{0A96B98B-73A7-FD4E-B560-BCB8405408F2}" srcOrd="0" destOrd="0" presId="urn:microsoft.com/office/officeart/2005/8/layout/target1"/>
    <dgm:cxn modelId="{EF2BC8A4-1DD9-0F40-8017-A72B65C23B3D}" srcId="{696D0EF3-8D3B-3D4C-925D-B0B2F8C1F5FF}" destId="{16D6A2E9-082B-C14D-9C4B-E285FCCBE2E3}" srcOrd="2" destOrd="0" parTransId="{878CC5A4-2D89-F040-A25C-D93ED8BDE39C}" sibTransId="{135E64CD-3F97-A14B-AFCF-8A119D9EC74C}"/>
    <dgm:cxn modelId="{627F22C6-80D8-784F-926D-7B72A5F895E6}" type="presOf" srcId="{60393632-CC16-884D-94E9-4456625C80FA}" destId="{60519C87-E32B-194E-A025-C9D370EEA5B2}" srcOrd="0" destOrd="0" presId="urn:microsoft.com/office/officeart/2005/8/layout/target1"/>
    <dgm:cxn modelId="{16F15CEB-CC1B-5E47-A6E3-1C073EFEACEA}" type="presOf" srcId="{696D0EF3-8D3B-3D4C-925D-B0B2F8C1F5FF}" destId="{2DA12511-A0DD-0440-BD93-BA3A336B3F80}" srcOrd="0" destOrd="0" presId="urn:microsoft.com/office/officeart/2005/8/layout/target1"/>
    <dgm:cxn modelId="{58772EF1-7887-3241-B936-55258105CAB9}" srcId="{696D0EF3-8D3B-3D4C-925D-B0B2F8C1F5FF}" destId="{170EA97F-D096-4145-B431-41E88FE30BC1}" srcOrd="1" destOrd="0" parTransId="{94F32523-EB49-9A4C-8564-55408C8C88AE}" sibTransId="{DFFA1A58-6247-494D-BFE9-5AB644E77F3D}"/>
    <dgm:cxn modelId="{553E07B1-1AFE-5747-9D78-669BC32675C9}" type="presParOf" srcId="{2DA12511-A0DD-0440-BD93-BA3A336B3F80}" destId="{010463F2-08AC-9D42-ADA5-9E143A4DF715}" srcOrd="0" destOrd="0" presId="urn:microsoft.com/office/officeart/2005/8/layout/target1"/>
    <dgm:cxn modelId="{40BED46C-4B29-0A46-A4FF-DE2355559861}" type="presParOf" srcId="{2DA12511-A0DD-0440-BD93-BA3A336B3F80}" destId="{60519C87-E32B-194E-A025-C9D370EEA5B2}" srcOrd="1" destOrd="0" presId="urn:microsoft.com/office/officeart/2005/8/layout/target1"/>
    <dgm:cxn modelId="{08921FE0-A98E-8243-AB72-D0AFADE7E6F4}" type="presParOf" srcId="{2DA12511-A0DD-0440-BD93-BA3A336B3F80}" destId="{EA145874-0C10-7E49-9A7A-2A26396ED3A8}" srcOrd="2" destOrd="0" presId="urn:microsoft.com/office/officeart/2005/8/layout/target1"/>
    <dgm:cxn modelId="{D542842B-0300-504C-A8DF-3DB8FE857EE5}" type="presParOf" srcId="{2DA12511-A0DD-0440-BD93-BA3A336B3F80}" destId="{92D27D6B-6670-7142-AD3B-A3541ACF39B0}" srcOrd="3" destOrd="0" presId="urn:microsoft.com/office/officeart/2005/8/layout/target1"/>
    <dgm:cxn modelId="{8E435FD3-28E4-7845-A193-E737A4A55670}" type="presParOf" srcId="{2DA12511-A0DD-0440-BD93-BA3A336B3F80}" destId="{A1E6FA09-AD2B-3446-9337-0954A251F6B9}" srcOrd="4" destOrd="0" presId="urn:microsoft.com/office/officeart/2005/8/layout/target1"/>
    <dgm:cxn modelId="{8BA8319E-3859-C441-9894-0913EA10D5C4}" type="presParOf" srcId="{2DA12511-A0DD-0440-BD93-BA3A336B3F80}" destId="{A1E81CBD-08A1-F14F-B367-37B8937709E1}" srcOrd="5" destOrd="0" presId="urn:microsoft.com/office/officeart/2005/8/layout/target1"/>
    <dgm:cxn modelId="{2368BCF0-AD13-394D-A959-890EE4EBFB09}" type="presParOf" srcId="{2DA12511-A0DD-0440-BD93-BA3A336B3F80}" destId="{F813BF5A-E3BC-E94D-B9F3-7EFCEC337AB7}" srcOrd="6" destOrd="0" presId="urn:microsoft.com/office/officeart/2005/8/layout/target1"/>
    <dgm:cxn modelId="{5F21140B-2473-324F-84F9-22E1861816BA}" type="presParOf" srcId="{2DA12511-A0DD-0440-BD93-BA3A336B3F80}" destId="{FADE4559-787C-9440-9A9E-275390BD7F96}" srcOrd="7" destOrd="0" presId="urn:microsoft.com/office/officeart/2005/8/layout/target1"/>
    <dgm:cxn modelId="{0BB102F5-9C6D-CD47-ABAC-B14E3AD82D23}" type="presParOf" srcId="{2DA12511-A0DD-0440-BD93-BA3A336B3F80}" destId="{9419A9C1-81BF-0C43-812E-1BE885424223}" srcOrd="8" destOrd="0" presId="urn:microsoft.com/office/officeart/2005/8/layout/target1"/>
    <dgm:cxn modelId="{9535294F-E929-6741-BC61-99E05D7A4A20}" type="presParOf" srcId="{2DA12511-A0DD-0440-BD93-BA3A336B3F80}" destId="{0A96B98B-73A7-FD4E-B560-BCB8405408F2}" srcOrd="9" destOrd="0" presId="urn:microsoft.com/office/officeart/2005/8/layout/target1"/>
    <dgm:cxn modelId="{75A3A0CF-EE62-FA4C-A0BE-87C00D70D962}" type="presParOf" srcId="{2DA12511-A0DD-0440-BD93-BA3A336B3F80}" destId="{021E1DCB-2909-0643-8648-22130F7F2241}" srcOrd="10" destOrd="0" presId="urn:microsoft.com/office/officeart/2005/8/layout/target1"/>
    <dgm:cxn modelId="{866EA8EB-B0D4-E242-AD0B-1FF8B74AB179}" type="presParOf" srcId="{2DA12511-A0DD-0440-BD93-BA3A336B3F80}" destId="{E5E58B2A-9842-9B4C-AEB9-32CAF58662C7}" srcOrd="11" destOrd="0" presId="urn:microsoft.com/office/officeart/2005/8/layout/targe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555BB4F-EDCC-444F-B7C9-87103677ED56}"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67921EA5-AACC-4021-B226-F89D556CF8FA}">
      <dgm:prSet phldrT="[Text]" custT="1"/>
      <dgm:spPr/>
      <dgm:t>
        <a:bodyPr/>
        <a:lstStyle/>
        <a:p>
          <a:r>
            <a:rPr lang="en-GB" sz="1400">
              <a:latin typeface="Calibri" panose="020F0502020204030204" pitchFamily="34" charset="0"/>
              <a:ea typeface="Calibri" panose="020F0502020204030204" pitchFamily="34" charset="0"/>
              <a:cs typeface="Calibri" panose="020F0502020204030204" pitchFamily="34" charset="0"/>
            </a:rPr>
            <a:t>The student</a:t>
          </a:r>
        </a:p>
      </dgm:t>
    </dgm:pt>
    <dgm:pt modelId="{A1C3BD99-C966-44BB-85D3-C719867FC07B}" type="parTrans" cxnId="{6DD74BBA-A3F3-4D49-9299-A8F139217097}">
      <dgm:prSet/>
      <dgm:spPr/>
      <dgm:t>
        <a:bodyPr/>
        <a:lstStyle/>
        <a:p>
          <a:endParaRPr lang="en-GB"/>
        </a:p>
      </dgm:t>
    </dgm:pt>
    <dgm:pt modelId="{19734699-D948-47EB-B9C8-3309B5DD0469}" type="sibTrans" cxnId="{6DD74BBA-A3F3-4D49-9299-A8F139217097}">
      <dgm:prSet/>
      <dgm:spPr/>
      <dgm:t>
        <a:bodyPr/>
        <a:lstStyle/>
        <a:p>
          <a:endParaRPr lang="en-GB"/>
        </a:p>
      </dgm:t>
    </dgm:pt>
    <dgm:pt modelId="{4CADDFC8-7778-4C19-B955-F97F84B92720}">
      <dgm:prSet phldrT="[Text]" custT="1"/>
      <dgm:spPr/>
      <dgm:t>
        <a:bodyPr/>
        <a:lstStyle/>
        <a:p>
          <a:r>
            <a:rPr lang="en-GB" sz="1400">
              <a:latin typeface="Calibri" panose="020F0502020204030204" pitchFamily="34" charset="0"/>
              <a:ea typeface="Calibri" panose="020F0502020204030204" pitchFamily="34" charset="0"/>
              <a:cs typeface="Calibri" panose="020F0502020204030204" pitchFamily="34" charset="0"/>
            </a:rPr>
            <a:t>The teacher</a:t>
          </a:r>
        </a:p>
      </dgm:t>
    </dgm:pt>
    <dgm:pt modelId="{79748956-668C-4774-8B59-78F4DC2984F2}" type="parTrans" cxnId="{38751631-890E-4599-BF0E-2571A75849E5}">
      <dgm:prSet/>
      <dgm:spPr/>
      <dgm:t>
        <a:bodyPr/>
        <a:lstStyle/>
        <a:p>
          <a:endParaRPr lang="en-GB"/>
        </a:p>
      </dgm:t>
    </dgm:pt>
    <dgm:pt modelId="{156D9991-CC18-40CE-92F3-3BA561FC37A7}" type="sibTrans" cxnId="{38751631-890E-4599-BF0E-2571A75849E5}">
      <dgm:prSet/>
      <dgm:spPr/>
      <dgm:t>
        <a:bodyPr/>
        <a:lstStyle/>
        <a:p>
          <a:endParaRPr lang="en-GB"/>
        </a:p>
      </dgm:t>
    </dgm:pt>
    <dgm:pt modelId="{A4E6E287-D043-4AB7-8F19-038BE5897AB9}">
      <dgm:prSet phldrT="[Text]" custT="1"/>
      <dgm:spPr/>
      <dgm:t>
        <a:bodyPr/>
        <a:lstStyle/>
        <a:p>
          <a:r>
            <a:rPr lang="en-GB" sz="1200">
              <a:latin typeface="Calibri" panose="020F0502020204030204" pitchFamily="34" charset="0"/>
              <a:ea typeface="Calibri" panose="020F0502020204030204" pitchFamily="34" charset="0"/>
              <a:cs typeface="Calibri" panose="020F0502020204030204" pitchFamily="34" charset="0"/>
            </a:rPr>
            <a:t>Learning support</a:t>
          </a:r>
        </a:p>
      </dgm:t>
    </dgm:pt>
    <dgm:pt modelId="{A29B12E1-6D22-43D6-B750-A6D2C718D73D}" type="parTrans" cxnId="{7C056457-70DA-41CE-BD75-62977F0E5F13}">
      <dgm:prSet/>
      <dgm:spPr/>
      <dgm:t>
        <a:bodyPr/>
        <a:lstStyle/>
        <a:p>
          <a:endParaRPr lang="en-GB"/>
        </a:p>
      </dgm:t>
    </dgm:pt>
    <dgm:pt modelId="{446DAF41-6711-424E-A82C-448DB7652F18}" type="sibTrans" cxnId="{7C056457-70DA-41CE-BD75-62977F0E5F13}">
      <dgm:prSet/>
      <dgm:spPr/>
      <dgm:t>
        <a:bodyPr/>
        <a:lstStyle/>
        <a:p>
          <a:endParaRPr lang="en-GB"/>
        </a:p>
      </dgm:t>
    </dgm:pt>
    <dgm:pt modelId="{E36711B4-2079-4464-A081-FDA95D7E8415}">
      <dgm:prSet phldrT="[Text]" custT="1"/>
      <dgm:spPr/>
      <dgm:t>
        <a:bodyPr/>
        <a:lstStyle/>
        <a:p>
          <a:r>
            <a:rPr lang="en-GB" sz="1200"/>
            <a:t>Teaching mentor</a:t>
          </a:r>
        </a:p>
      </dgm:t>
    </dgm:pt>
    <dgm:pt modelId="{50CB9EB2-879E-4303-921C-DD3F41B3C6B4}" type="parTrans" cxnId="{5CE08D60-2AE1-4349-B064-05A1571D288D}">
      <dgm:prSet/>
      <dgm:spPr/>
      <dgm:t>
        <a:bodyPr/>
        <a:lstStyle/>
        <a:p>
          <a:endParaRPr lang="en-GB"/>
        </a:p>
      </dgm:t>
    </dgm:pt>
    <dgm:pt modelId="{87480FE8-9E04-4B59-A833-74880CADB57A}" type="sibTrans" cxnId="{5CE08D60-2AE1-4349-B064-05A1571D288D}">
      <dgm:prSet/>
      <dgm:spPr/>
      <dgm:t>
        <a:bodyPr/>
        <a:lstStyle/>
        <a:p>
          <a:endParaRPr lang="en-GB"/>
        </a:p>
      </dgm:t>
    </dgm:pt>
    <dgm:pt modelId="{5C4DC112-905C-4765-83D7-247D5DA5D8F4}">
      <dgm:prSet phldrT="[Text]" custT="1"/>
      <dgm:spPr/>
      <dgm:t>
        <a:bodyPr/>
        <a:lstStyle/>
        <a:p>
          <a:r>
            <a:rPr lang="en-GB" sz="1200">
              <a:latin typeface="Calibri" panose="020F0502020204030204" pitchFamily="34" charset="0"/>
              <a:ea typeface="Calibri" panose="020F0502020204030204" pitchFamily="34" charset="0"/>
              <a:cs typeface="Calibri" panose="020F0502020204030204" pitchFamily="34" charset="0"/>
            </a:rPr>
            <a:t>Well-being support</a:t>
          </a:r>
        </a:p>
      </dgm:t>
    </dgm:pt>
    <dgm:pt modelId="{6B3C9EAA-DD7E-4A55-A908-C184DDF39464}" type="parTrans" cxnId="{A0D7262F-DA48-453F-B6FA-A98578DE2828}">
      <dgm:prSet/>
      <dgm:spPr/>
      <dgm:t>
        <a:bodyPr/>
        <a:lstStyle/>
        <a:p>
          <a:endParaRPr lang="en-GB"/>
        </a:p>
      </dgm:t>
    </dgm:pt>
    <dgm:pt modelId="{41B4AEBD-7FE8-4144-B05A-478E9DBB9B4C}" type="sibTrans" cxnId="{A0D7262F-DA48-453F-B6FA-A98578DE2828}">
      <dgm:prSet/>
      <dgm:spPr/>
      <dgm:t>
        <a:bodyPr/>
        <a:lstStyle/>
        <a:p>
          <a:endParaRPr lang="en-GB"/>
        </a:p>
      </dgm:t>
    </dgm:pt>
    <dgm:pt modelId="{C6701E1D-B08C-4356-A5F9-D0E04AA3BF1B}" type="pres">
      <dgm:prSet presAssocID="{3555BB4F-EDCC-444F-B7C9-87103677ED56}" presName="Name0" presStyleCnt="0">
        <dgm:presLayoutVars>
          <dgm:chMax val="1"/>
          <dgm:dir/>
          <dgm:animLvl val="ctr"/>
          <dgm:resizeHandles val="exact"/>
        </dgm:presLayoutVars>
      </dgm:prSet>
      <dgm:spPr/>
    </dgm:pt>
    <dgm:pt modelId="{33B351E3-AB91-4BB0-9CFC-5CCB1B720E6B}" type="pres">
      <dgm:prSet presAssocID="{67921EA5-AACC-4021-B226-F89D556CF8FA}" presName="centerShape" presStyleLbl="node0" presStyleIdx="0" presStyleCnt="1" custScaleX="135818" custScaleY="138858"/>
      <dgm:spPr/>
    </dgm:pt>
    <dgm:pt modelId="{E38EBC9F-2142-4F6A-B063-FE298F35F58C}" type="pres">
      <dgm:prSet presAssocID="{79748956-668C-4774-8B59-78F4DC2984F2}" presName="parTrans" presStyleLbl="sibTrans2D1" presStyleIdx="0" presStyleCnt="4"/>
      <dgm:spPr/>
    </dgm:pt>
    <dgm:pt modelId="{C2DFCBB2-A116-4E53-8841-28B7CCF3B52B}" type="pres">
      <dgm:prSet presAssocID="{79748956-668C-4774-8B59-78F4DC2984F2}" presName="connectorText" presStyleLbl="sibTrans2D1" presStyleIdx="0" presStyleCnt="4"/>
      <dgm:spPr/>
    </dgm:pt>
    <dgm:pt modelId="{DDFE41B5-5EAF-4D07-BA86-BF618B31004C}" type="pres">
      <dgm:prSet presAssocID="{4CADDFC8-7778-4C19-B955-F97F84B92720}" presName="node" presStyleLbl="node1" presStyleIdx="0" presStyleCnt="4" custScaleX="116087" custRadScaleRad="100139" custRadScaleInc="1585">
        <dgm:presLayoutVars>
          <dgm:bulletEnabled val="1"/>
        </dgm:presLayoutVars>
      </dgm:prSet>
      <dgm:spPr/>
    </dgm:pt>
    <dgm:pt modelId="{1CF9ADFC-8C15-4F20-9140-132074782150}" type="pres">
      <dgm:prSet presAssocID="{A29B12E1-6D22-43D6-B750-A6D2C718D73D}" presName="parTrans" presStyleLbl="sibTrans2D1" presStyleIdx="1" presStyleCnt="4"/>
      <dgm:spPr/>
    </dgm:pt>
    <dgm:pt modelId="{0658654C-3A4F-4AA4-95ED-E7A791FA780C}" type="pres">
      <dgm:prSet presAssocID="{A29B12E1-6D22-43D6-B750-A6D2C718D73D}" presName="connectorText" presStyleLbl="sibTrans2D1" presStyleIdx="1" presStyleCnt="4"/>
      <dgm:spPr/>
    </dgm:pt>
    <dgm:pt modelId="{380E5991-3290-46FB-878B-0F72674214BB}" type="pres">
      <dgm:prSet presAssocID="{A4E6E287-D043-4AB7-8F19-038BE5897AB9}" presName="node" presStyleLbl="node1" presStyleIdx="1" presStyleCnt="4">
        <dgm:presLayoutVars>
          <dgm:bulletEnabled val="1"/>
        </dgm:presLayoutVars>
      </dgm:prSet>
      <dgm:spPr/>
    </dgm:pt>
    <dgm:pt modelId="{83BB6123-A7C5-46BD-913E-0866D5092ED2}" type="pres">
      <dgm:prSet presAssocID="{50CB9EB2-879E-4303-921C-DD3F41B3C6B4}" presName="parTrans" presStyleLbl="sibTrans2D1" presStyleIdx="2" presStyleCnt="4"/>
      <dgm:spPr/>
    </dgm:pt>
    <dgm:pt modelId="{18B2CE02-D84F-4F6D-95FD-10CC4BAFBDEC}" type="pres">
      <dgm:prSet presAssocID="{50CB9EB2-879E-4303-921C-DD3F41B3C6B4}" presName="connectorText" presStyleLbl="sibTrans2D1" presStyleIdx="2" presStyleCnt="4"/>
      <dgm:spPr/>
    </dgm:pt>
    <dgm:pt modelId="{0662DAF3-1326-41D7-A10C-2F3567C0704B}" type="pres">
      <dgm:prSet presAssocID="{E36711B4-2079-4464-A081-FDA95D7E8415}" presName="node" presStyleLbl="node1" presStyleIdx="2" presStyleCnt="4" custScaleX="110847" custRadScaleRad="100143" custRadScaleInc="-1584">
        <dgm:presLayoutVars>
          <dgm:bulletEnabled val="1"/>
        </dgm:presLayoutVars>
      </dgm:prSet>
      <dgm:spPr/>
    </dgm:pt>
    <dgm:pt modelId="{7ED69D7F-DD88-4113-B0C8-CCB8EC5396C9}" type="pres">
      <dgm:prSet presAssocID="{6B3C9EAA-DD7E-4A55-A908-C184DDF39464}" presName="parTrans" presStyleLbl="sibTrans2D1" presStyleIdx="3" presStyleCnt="4"/>
      <dgm:spPr/>
    </dgm:pt>
    <dgm:pt modelId="{C71F8246-6F79-420A-A071-58DA8F87C188}" type="pres">
      <dgm:prSet presAssocID="{6B3C9EAA-DD7E-4A55-A908-C184DDF39464}" presName="connectorText" presStyleLbl="sibTrans2D1" presStyleIdx="3" presStyleCnt="4"/>
      <dgm:spPr/>
    </dgm:pt>
    <dgm:pt modelId="{B90A5F92-C6A1-4F0A-BB01-93F788156CF7}" type="pres">
      <dgm:prSet presAssocID="{5C4DC112-905C-4765-83D7-247D5DA5D8F4}" presName="node" presStyleLbl="node1" presStyleIdx="3" presStyleCnt="4">
        <dgm:presLayoutVars>
          <dgm:bulletEnabled val="1"/>
        </dgm:presLayoutVars>
      </dgm:prSet>
      <dgm:spPr/>
    </dgm:pt>
  </dgm:ptLst>
  <dgm:cxnLst>
    <dgm:cxn modelId="{B3CBDA03-C07A-4C62-899D-C4129E2795FA}" type="presOf" srcId="{A4E6E287-D043-4AB7-8F19-038BE5897AB9}" destId="{380E5991-3290-46FB-878B-0F72674214BB}" srcOrd="0" destOrd="0" presId="urn:microsoft.com/office/officeart/2005/8/layout/radial5"/>
    <dgm:cxn modelId="{B9FBAD28-EA00-4FA7-907A-1F99C4D90759}" type="presOf" srcId="{6B3C9EAA-DD7E-4A55-A908-C184DDF39464}" destId="{7ED69D7F-DD88-4113-B0C8-CCB8EC5396C9}" srcOrd="0" destOrd="0" presId="urn:microsoft.com/office/officeart/2005/8/layout/radial5"/>
    <dgm:cxn modelId="{A0D7262F-DA48-453F-B6FA-A98578DE2828}" srcId="{67921EA5-AACC-4021-B226-F89D556CF8FA}" destId="{5C4DC112-905C-4765-83D7-247D5DA5D8F4}" srcOrd="3" destOrd="0" parTransId="{6B3C9EAA-DD7E-4A55-A908-C184DDF39464}" sibTransId="{41B4AEBD-7FE8-4144-B05A-478E9DBB9B4C}"/>
    <dgm:cxn modelId="{38751631-890E-4599-BF0E-2571A75849E5}" srcId="{67921EA5-AACC-4021-B226-F89D556CF8FA}" destId="{4CADDFC8-7778-4C19-B955-F97F84B92720}" srcOrd="0" destOrd="0" parTransId="{79748956-668C-4774-8B59-78F4DC2984F2}" sibTransId="{156D9991-CC18-40CE-92F3-3BA561FC37A7}"/>
    <dgm:cxn modelId="{21386932-D9BC-4E66-8192-B082B7BC52D0}" type="presOf" srcId="{50CB9EB2-879E-4303-921C-DD3F41B3C6B4}" destId="{83BB6123-A7C5-46BD-913E-0866D5092ED2}" srcOrd="0" destOrd="0" presId="urn:microsoft.com/office/officeart/2005/8/layout/radial5"/>
    <dgm:cxn modelId="{E6E94634-B34E-477C-8EB8-F52BA9A10EFF}" type="presOf" srcId="{67921EA5-AACC-4021-B226-F89D556CF8FA}" destId="{33B351E3-AB91-4BB0-9CFC-5CCB1B720E6B}" srcOrd="0" destOrd="0" presId="urn:microsoft.com/office/officeart/2005/8/layout/radial5"/>
    <dgm:cxn modelId="{4217DC3D-E684-49D2-AAA5-73EDF5CD6A89}" type="presOf" srcId="{A29B12E1-6D22-43D6-B750-A6D2C718D73D}" destId="{0658654C-3A4F-4AA4-95ED-E7A791FA780C}" srcOrd="1" destOrd="0" presId="urn:microsoft.com/office/officeart/2005/8/layout/radial5"/>
    <dgm:cxn modelId="{410BA75D-EA4A-43E2-8ACE-26EDBD77B0E6}" type="presOf" srcId="{79748956-668C-4774-8B59-78F4DC2984F2}" destId="{E38EBC9F-2142-4F6A-B063-FE298F35F58C}" srcOrd="0" destOrd="0" presId="urn:microsoft.com/office/officeart/2005/8/layout/radial5"/>
    <dgm:cxn modelId="{BF9D035F-DB0D-4697-89A0-913E139CEF5E}" type="presOf" srcId="{E36711B4-2079-4464-A081-FDA95D7E8415}" destId="{0662DAF3-1326-41D7-A10C-2F3567C0704B}" srcOrd="0" destOrd="0" presId="urn:microsoft.com/office/officeart/2005/8/layout/radial5"/>
    <dgm:cxn modelId="{5CE08D60-2AE1-4349-B064-05A1571D288D}" srcId="{67921EA5-AACC-4021-B226-F89D556CF8FA}" destId="{E36711B4-2079-4464-A081-FDA95D7E8415}" srcOrd="2" destOrd="0" parTransId="{50CB9EB2-879E-4303-921C-DD3F41B3C6B4}" sibTransId="{87480FE8-9E04-4B59-A833-74880CADB57A}"/>
    <dgm:cxn modelId="{F9E02B67-3D2C-41E0-B16E-8EFDB2197422}" type="presOf" srcId="{6B3C9EAA-DD7E-4A55-A908-C184DDF39464}" destId="{C71F8246-6F79-420A-A071-58DA8F87C188}" srcOrd="1" destOrd="0" presId="urn:microsoft.com/office/officeart/2005/8/layout/radial5"/>
    <dgm:cxn modelId="{7B3F8D71-A3B9-413A-80C4-1DCE01C775A5}" type="presOf" srcId="{50CB9EB2-879E-4303-921C-DD3F41B3C6B4}" destId="{18B2CE02-D84F-4F6D-95FD-10CC4BAFBDEC}" srcOrd="1" destOrd="0" presId="urn:microsoft.com/office/officeart/2005/8/layout/radial5"/>
    <dgm:cxn modelId="{7C056457-70DA-41CE-BD75-62977F0E5F13}" srcId="{67921EA5-AACC-4021-B226-F89D556CF8FA}" destId="{A4E6E287-D043-4AB7-8F19-038BE5897AB9}" srcOrd="1" destOrd="0" parTransId="{A29B12E1-6D22-43D6-B750-A6D2C718D73D}" sibTransId="{446DAF41-6711-424E-A82C-448DB7652F18}"/>
    <dgm:cxn modelId="{6DD74BBA-A3F3-4D49-9299-A8F139217097}" srcId="{3555BB4F-EDCC-444F-B7C9-87103677ED56}" destId="{67921EA5-AACC-4021-B226-F89D556CF8FA}" srcOrd="0" destOrd="0" parTransId="{A1C3BD99-C966-44BB-85D3-C719867FC07B}" sibTransId="{19734699-D948-47EB-B9C8-3309B5DD0469}"/>
    <dgm:cxn modelId="{1A13D1C3-5546-43D6-B486-08F6A1245317}" type="presOf" srcId="{4CADDFC8-7778-4C19-B955-F97F84B92720}" destId="{DDFE41B5-5EAF-4D07-BA86-BF618B31004C}" srcOrd="0" destOrd="0" presId="urn:microsoft.com/office/officeart/2005/8/layout/radial5"/>
    <dgm:cxn modelId="{013C9BD0-06BD-4429-B58C-90FF7D323EC3}" type="presOf" srcId="{A29B12E1-6D22-43D6-B750-A6D2C718D73D}" destId="{1CF9ADFC-8C15-4F20-9140-132074782150}" srcOrd="0" destOrd="0" presId="urn:microsoft.com/office/officeart/2005/8/layout/radial5"/>
    <dgm:cxn modelId="{B96892D5-CD39-45FA-9D83-E5AE76CA0947}" type="presOf" srcId="{5C4DC112-905C-4765-83D7-247D5DA5D8F4}" destId="{B90A5F92-C6A1-4F0A-BB01-93F788156CF7}" srcOrd="0" destOrd="0" presId="urn:microsoft.com/office/officeart/2005/8/layout/radial5"/>
    <dgm:cxn modelId="{6741DADC-7ACB-478A-914B-E2560F1584FA}" type="presOf" srcId="{79748956-668C-4774-8B59-78F4DC2984F2}" destId="{C2DFCBB2-A116-4E53-8841-28B7CCF3B52B}" srcOrd="1" destOrd="0" presId="urn:microsoft.com/office/officeart/2005/8/layout/radial5"/>
    <dgm:cxn modelId="{FE9F8CEC-7F41-416C-B3DB-8617A57A0F43}" type="presOf" srcId="{3555BB4F-EDCC-444F-B7C9-87103677ED56}" destId="{C6701E1D-B08C-4356-A5F9-D0E04AA3BF1B}" srcOrd="0" destOrd="0" presId="urn:microsoft.com/office/officeart/2005/8/layout/radial5"/>
    <dgm:cxn modelId="{C1F07752-062F-4A96-ACA2-89FF5F713698}" type="presParOf" srcId="{C6701E1D-B08C-4356-A5F9-D0E04AA3BF1B}" destId="{33B351E3-AB91-4BB0-9CFC-5CCB1B720E6B}" srcOrd="0" destOrd="0" presId="urn:microsoft.com/office/officeart/2005/8/layout/radial5"/>
    <dgm:cxn modelId="{30DAE48D-FCD9-44EF-8E18-FABD9A81E94C}" type="presParOf" srcId="{C6701E1D-B08C-4356-A5F9-D0E04AA3BF1B}" destId="{E38EBC9F-2142-4F6A-B063-FE298F35F58C}" srcOrd="1" destOrd="0" presId="urn:microsoft.com/office/officeart/2005/8/layout/radial5"/>
    <dgm:cxn modelId="{3990C5DD-2BB7-4BD9-A755-403A0900BB71}" type="presParOf" srcId="{E38EBC9F-2142-4F6A-B063-FE298F35F58C}" destId="{C2DFCBB2-A116-4E53-8841-28B7CCF3B52B}" srcOrd="0" destOrd="0" presId="urn:microsoft.com/office/officeart/2005/8/layout/radial5"/>
    <dgm:cxn modelId="{BE08D30E-E33E-42EA-8F2C-A5431C859349}" type="presParOf" srcId="{C6701E1D-B08C-4356-A5F9-D0E04AA3BF1B}" destId="{DDFE41B5-5EAF-4D07-BA86-BF618B31004C}" srcOrd="2" destOrd="0" presId="urn:microsoft.com/office/officeart/2005/8/layout/radial5"/>
    <dgm:cxn modelId="{6D73870F-FABB-46C7-B2C9-9F64CACDF8AE}" type="presParOf" srcId="{C6701E1D-B08C-4356-A5F9-D0E04AA3BF1B}" destId="{1CF9ADFC-8C15-4F20-9140-132074782150}" srcOrd="3" destOrd="0" presId="urn:microsoft.com/office/officeart/2005/8/layout/radial5"/>
    <dgm:cxn modelId="{1C1EEFE8-958A-41E7-B0BF-0E72E211A8AC}" type="presParOf" srcId="{1CF9ADFC-8C15-4F20-9140-132074782150}" destId="{0658654C-3A4F-4AA4-95ED-E7A791FA780C}" srcOrd="0" destOrd="0" presId="urn:microsoft.com/office/officeart/2005/8/layout/radial5"/>
    <dgm:cxn modelId="{70CB266C-D659-47DF-92E5-57A3BB14FF90}" type="presParOf" srcId="{C6701E1D-B08C-4356-A5F9-D0E04AA3BF1B}" destId="{380E5991-3290-46FB-878B-0F72674214BB}" srcOrd="4" destOrd="0" presId="urn:microsoft.com/office/officeart/2005/8/layout/radial5"/>
    <dgm:cxn modelId="{929FBF29-5ABF-4056-A1E4-9B2CAB9A2416}" type="presParOf" srcId="{C6701E1D-B08C-4356-A5F9-D0E04AA3BF1B}" destId="{83BB6123-A7C5-46BD-913E-0866D5092ED2}" srcOrd="5" destOrd="0" presId="urn:microsoft.com/office/officeart/2005/8/layout/radial5"/>
    <dgm:cxn modelId="{372CC6D3-AB54-4F76-9DD2-6B3F4277AF3B}" type="presParOf" srcId="{83BB6123-A7C5-46BD-913E-0866D5092ED2}" destId="{18B2CE02-D84F-4F6D-95FD-10CC4BAFBDEC}" srcOrd="0" destOrd="0" presId="urn:microsoft.com/office/officeart/2005/8/layout/radial5"/>
    <dgm:cxn modelId="{EE0B7D65-5CF8-4D48-8170-717B6D5214CD}" type="presParOf" srcId="{C6701E1D-B08C-4356-A5F9-D0E04AA3BF1B}" destId="{0662DAF3-1326-41D7-A10C-2F3567C0704B}" srcOrd="6" destOrd="0" presId="urn:microsoft.com/office/officeart/2005/8/layout/radial5"/>
    <dgm:cxn modelId="{73A24230-9B3D-4E9C-9ECF-9BA6557BC594}" type="presParOf" srcId="{C6701E1D-B08C-4356-A5F9-D0E04AA3BF1B}" destId="{7ED69D7F-DD88-4113-B0C8-CCB8EC5396C9}" srcOrd="7" destOrd="0" presId="urn:microsoft.com/office/officeart/2005/8/layout/radial5"/>
    <dgm:cxn modelId="{CCF0F9DD-0A7A-4E2F-9F32-F05EEBDFA650}" type="presParOf" srcId="{7ED69D7F-DD88-4113-B0C8-CCB8EC5396C9}" destId="{C71F8246-6F79-420A-A071-58DA8F87C188}" srcOrd="0" destOrd="0" presId="urn:microsoft.com/office/officeart/2005/8/layout/radial5"/>
    <dgm:cxn modelId="{832DC6BF-DF6D-45DF-8D10-D8C0F3A98375}" type="presParOf" srcId="{C6701E1D-B08C-4356-A5F9-D0E04AA3BF1B}" destId="{B90A5F92-C6A1-4F0A-BB01-93F788156CF7}" srcOrd="8" destOrd="0" presId="urn:microsoft.com/office/officeart/2005/8/layout/radial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FC16746-5023-46CC-B52A-3F07AFAF9C65}" type="doc">
      <dgm:prSet loTypeId="urn:microsoft.com/office/officeart/2005/8/layout/venn1" loCatId="relationship" qsTypeId="urn:microsoft.com/office/officeart/2005/8/quickstyle/simple1" qsCatId="simple" csTypeId="urn:microsoft.com/office/officeart/2005/8/colors/accent1_2" csCatId="accent1" phldr="1"/>
      <dgm:spPr/>
    </dgm:pt>
    <dgm:pt modelId="{16ED81A7-B083-4621-84EC-FEAE79A6678F}">
      <dgm:prSet phldrT="[Text]" custT="1"/>
      <dgm:spPr/>
      <dgm:t>
        <a:bodyPr/>
        <a:lstStyle/>
        <a:p>
          <a:r>
            <a:rPr lang="en-GB" sz="1800">
              <a:latin typeface="Calibri" panose="020F0502020204030204" pitchFamily="34" charset="0"/>
              <a:ea typeface="Calibri" panose="020F0502020204030204" pitchFamily="34" charset="0"/>
              <a:cs typeface="Calibri" panose="020F0502020204030204" pitchFamily="34" charset="0"/>
            </a:rPr>
            <a:t>The teacher</a:t>
          </a:r>
        </a:p>
      </dgm:t>
    </dgm:pt>
    <dgm:pt modelId="{AF1D01C4-F0AF-48ED-AFD5-32250CCF5DD1}" type="parTrans" cxnId="{F6931DB2-BB5D-43C4-8D4B-ABC88B2D24C1}">
      <dgm:prSet/>
      <dgm:spPr/>
      <dgm:t>
        <a:bodyPr/>
        <a:lstStyle/>
        <a:p>
          <a:endParaRPr lang="en-GB"/>
        </a:p>
      </dgm:t>
    </dgm:pt>
    <dgm:pt modelId="{2E4B5715-9EDD-4D46-8BCA-FD1AC1188C57}" type="sibTrans" cxnId="{F6931DB2-BB5D-43C4-8D4B-ABC88B2D24C1}">
      <dgm:prSet/>
      <dgm:spPr/>
      <dgm:t>
        <a:bodyPr/>
        <a:lstStyle/>
        <a:p>
          <a:endParaRPr lang="en-GB"/>
        </a:p>
      </dgm:t>
    </dgm:pt>
    <dgm:pt modelId="{14074C42-230E-4C52-9931-D755AF152A77}">
      <dgm:prSet phldrT="[Text]" custT="1"/>
      <dgm:spPr/>
      <dgm:t>
        <a:bodyPr/>
        <a:lstStyle/>
        <a:p>
          <a:r>
            <a:rPr lang="en-GB" sz="1600">
              <a:latin typeface="Calibri" panose="020F0502020204030204" pitchFamily="34" charset="0"/>
              <a:ea typeface="Calibri" panose="020F0502020204030204" pitchFamily="34" charset="0"/>
              <a:cs typeface="Calibri" panose="020F0502020204030204" pitchFamily="34" charset="0"/>
            </a:rPr>
            <a:t>Student support services</a:t>
          </a:r>
        </a:p>
      </dgm:t>
    </dgm:pt>
    <dgm:pt modelId="{07EB25C4-A9C3-43D5-8DBF-4823BB2BC986}" type="parTrans" cxnId="{298316D1-16FE-4A30-AF18-6E6417E24567}">
      <dgm:prSet/>
      <dgm:spPr/>
      <dgm:t>
        <a:bodyPr/>
        <a:lstStyle/>
        <a:p>
          <a:endParaRPr lang="en-GB"/>
        </a:p>
      </dgm:t>
    </dgm:pt>
    <dgm:pt modelId="{E56D3922-09C1-4CD7-8FA7-CBFCD4238088}" type="sibTrans" cxnId="{298316D1-16FE-4A30-AF18-6E6417E24567}">
      <dgm:prSet/>
      <dgm:spPr/>
      <dgm:t>
        <a:bodyPr/>
        <a:lstStyle/>
        <a:p>
          <a:endParaRPr lang="en-GB"/>
        </a:p>
      </dgm:t>
    </dgm:pt>
    <dgm:pt modelId="{A9928CA4-A9E5-42E1-940B-A9FA8AA3E592}" type="pres">
      <dgm:prSet presAssocID="{5FC16746-5023-46CC-B52A-3F07AFAF9C65}" presName="compositeShape" presStyleCnt="0">
        <dgm:presLayoutVars>
          <dgm:chMax val="7"/>
          <dgm:dir/>
          <dgm:resizeHandles val="exact"/>
        </dgm:presLayoutVars>
      </dgm:prSet>
      <dgm:spPr/>
    </dgm:pt>
    <dgm:pt modelId="{9A4F7CA1-3934-4F7E-877C-6101C7DA1169}" type="pres">
      <dgm:prSet presAssocID="{16ED81A7-B083-4621-84EC-FEAE79A6678F}" presName="circ1" presStyleLbl="vennNode1" presStyleIdx="0" presStyleCnt="2" custScaleX="102691" custScaleY="101873" custLinFactNeighborX="-1155" custLinFactNeighborY="-693"/>
      <dgm:spPr/>
    </dgm:pt>
    <dgm:pt modelId="{9129E4A4-1FCC-4757-A2BB-EACF995E8428}" type="pres">
      <dgm:prSet presAssocID="{16ED81A7-B083-4621-84EC-FEAE79A6678F}" presName="circ1Tx" presStyleLbl="revTx" presStyleIdx="0" presStyleCnt="0">
        <dgm:presLayoutVars>
          <dgm:chMax val="0"/>
          <dgm:chPref val="0"/>
          <dgm:bulletEnabled val="1"/>
        </dgm:presLayoutVars>
      </dgm:prSet>
      <dgm:spPr/>
    </dgm:pt>
    <dgm:pt modelId="{DF297E8A-C981-489D-BCF2-550552CECC6B}" type="pres">
      <dgm:prSet presAssocID="{14074C42-230E-4C52-9931-D755AF152A77}" presName="circ2" presStyleLbl="vennNode1" presStyleIdx="1" presStyleCnt="2" custLinFactNeighborX="3381" custLinFactNeighborY="3150"/>
      <dgm:spPr/>
    </dgm:pt>
    <dgm:pt modelId="{67B878A0-4152-4FA4-B51E-7AD22B5F4A24}" type="pres">
      <dgm:prSet presAssocID="{14074C42-230E-4C52-9931-D755AF152A77}" presName="circ2Tx" presStyleLbl="revTx" presStyleIdx="0" presStyleCnt="0">
        <dgm:presLayoutVars>
          <dgm:chMax val="0"/>
          <dgm:chPref val="0"/>
          <dgm:bulletEnabled val="1"/>
        </dgm:presLayoutVars>
      </dgm:prSet>
      <dgm:spPr/>
    </dgm:pt>
  </dgm:ptLst>
  <dgm:cxnLst>
    <dgm:cxn modelId="{F0C48523-2843-43E1-9075-A1079F4E13D4}" type="presOf" srcId="{16ED81A7-B083-4621-84EC-FEAE79A6678F}" destId="{9A4F7CA1-3934-4F7E-877C-6101C7DA1169}" srcOrd="0" destOrd="0" presId="urn:microsoft.com/office/officeart/2005/8/layout/venn1"/>
    <dgm:cxn modelId="{C9AC4345-BC15-4782-9E76-76F599A980E7}" type="presOf" srcId="{5FC16746-5023-46CC-B52A-3F07AFAF9C65}" destId="{A9928CA4-A9E5-42E1-940B-A9FA8AA3E592}" srcOrd="0" destOrd="0" presId="urn:microsoft.com/office/officeart/2005/8/layout/venn1"/>
    <dgm:cxn modelId="{0359C868-F0AC-4DDA-8E79-AAC3D3391897}" type="presOf" srcId="{16ED81A7-B083-4621-84EC-FEAE79A6678F}" destId="{9129E4A4-1FCC-4757-A2BB-EACF995E8428}" srcOrd="1" destOrd="0" presId="urn:microsoft.com/office/officeart/2005/8/layout/venn1"/>
    <dgm:cxn modelId="{E3ADDE6B-0E65-4AFA-9466-4D05EEEA5FAF}" type="presOf" srcId="{14074C42-230E-4C52-9931-D755AF152A77}" destId="{DF297E8A-C981-489D-BCF2-550552CECC6B}" srcOrd="0" destOrd="0" presId="urn:microsoft.com/office/officeart/2005/8/layout/venn1"/>
    <dgm:cxn modelId="{47643871-D7B2-4A5F-AE09-015A8CEE23AB}" type="presOf" srcId="{14074C42-230E-4C52-9931-D755AF152A77}" destId="{67B878A0-4152-4FA4-B51E-7AD22B5F4A24}" srcOrd="1" destOrd="0" presId="urn:microsoft.com/office/officeart/2005/8/layout/venn1"/>
    <dgm:cxn modelId="{F6931DB2-BB5D-43C4-8D4B-ABC88B2D24C1}" srcId="{5FC16746-5023-46CC-B52A-3F07AFAF9C65}" destId="{16ED81A7-B083-4621-84EC-FEAE79A6678F}" srcOrd="0" destOrd="0" parTransId="{AF1D01C4-F0AF-48ED-AFD5-32250CCF5DD1}" sibTransId="{2E4B5715-9EDD-4D46-8BCA-FD1AC1188C57}"/>
    <dgm:cxn modelId="{298316D1-16FE-4A30-AF18-6E6417E24567}" srcId="{5FC16746-5023-46CC-B52A-3F07AFAF9C65}" destId="{14074C42-230E-4C52-9931-D755AF152A77}" srcOrd="1" destOrd="0" parTransId="{07EB25C4-A9C3-43D5-8DBF-4823BB2BC986}" sibTransId="{E56D3922-09C1-4CD7-8FA7-CBFCD4238088}"/>
    <dgm:cxn modelId="{FFD2A9C6-68AD-4F10-ABB0-C87E85D5F588}" type="presParOf" srcId="{A9928CA4-A9E5-42E1-940B-A9FA8AA3E592}" destId="{9A4F7CA1-3934-4F7E-877C-6101C7DA1169}" srcOrd="0" destOrd="0" presId="urn:microsoft.com/office/officeart/2005/8/layout/venn1"/>
    <dgm:cxn modelId="{B52946F6-FF7B-4B04-9121-69A8D2183F95}" type="presParOf" srcId="{A9928CA4-A9E5-42E1-940B-A9FA8AA3E592}" destId="{9129E4A4-1FCC-4757-A2BB-EACF995E8428}" srcOrd="1" destOrd="0" presId="urn:microsoft.com/office/officeart/2005/8/layout/venn1"/>
    <dgm:cxn modelId="{04A250FC-AE7A-4FF6-AF89-9F429EC6A2B5}" type="presParOf" srcId="{A9928CA4-A9E5-42E1-940B-A9FA8AA3E592}" destId="{DF297E8A-C981-489D-BCF2-550552CECC6B}" srcOrd="2" destOrd="0" presId="urn:microsoft.com/office/officeart/2005/8/layout/venn1"/>
    <dgm:cxn modelId="{A30CA969-D7E7-436A-BCAF-A5C01945CFFF}" type="presParOf" srcId="{A9928CA4-A9E5-42E1-940B-A9FA8AA3E592}" destId="{67B878A0-4152-4FA4-B51E-7AD22B5F4A24}" srcOrd="3" destOrd="0" presId="urn:microsoft.com/office/officeart/2005/8/layout/ven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693F4-2825-4AB8-9AC7-8F47AADB7D6F}">
      <dsp:nvSpPr>
        <dsp:cNvPr id="0" name=""/>
        <dsp:cNvSpPr/>
      </dsp:nvSpPr>
      <dsp:spPr>
        <a:xfrm>
          <a:off x="1476375" y="735330"/>
          <a:ext cx="2205990" cy="220599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781BAF-B7AA-4695-9C3F-1C24EC50A3EA}">
      <dsp:nvSpPr>
        <dsp:cNvPr id="0" name=""/>
        <dsp:cNvSpPr/>
      </dsp:nvSpPr>
      <dsp:spPr>
        <a:xfrm>
          <a:off x="1917573" y="1176528"/>
          <a:ext cx="1323594" cy="1323594"/>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79735E-F3FD-4E40-9E8A-2CECF28A13B2}">
      <dsp:nvSpPr>
        <dsp:cNvPr id="0" name=""/>
        <dsp:cNvSpPr/>
      </dsp:nvSpPr>
      <dsp:spPr>
        <a:xfrm>
          <a:off x="2358771" y="1617726"/>
          <a:ext cx="441198" cy="44119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A920B1-57D7-4B61-8AD7-54B0CB52085B}">
      <dsp:nvSpPr>
        <dsp:cNvPr id="0" name=""/>
        <dsp:cNvSpPr/>
      </dsp:nvSpPr>
      <dsp:spPr>
        <a:xfrm>
          <a:off x="4050030" y="0"/>
          <a:ext cx="1102995" cy="643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Mother holding the child</a:t>
          </a:r>
        </a:p>
      </dsp:txBody>
      <dsp:txXfrm>
        <a:off x="4050030" y="0"/>
        <a:ext cx="1102995" cy="643413"/>
      </dsp:txXfrm>
    </dsp:sp>
    <dsp:sp modelId="{F3C4E338-888F-4201-88A5-FC1BADE4A551}">
      <dsp:nvSpPr>
        <dsp:cNvPr id="0" name=""/>
        <dsp:cNvSpPr/>
      </dsp:nvSpPr>
      <dsp:spPr>
        <a:xfrm>
          <a:off x="3774281" y="321706"/>
          <a:ext cx="27574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E13C96-9FE5-44E2-A60A-0D9D9F6651B8}">
      <dsp:nvSpPr>
        <dsp:cNvPr id="0" name=""/>
        <dsp:cNvSpPr/>
      </dsp:nvSpPr>
      <dsp:spPr>
        <a:xfrm rot="5400000">
          <a:off x="2418148" y="483295"/>
          <a:ext cx="1516250" cy="1193808"/>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187A64-D8BC-4A85-ADF1-97F50D19D45B}">
      <dsp:nvSpPr>
        <dsp:cNvPr id="0" name=""/>
        <dsp:cNvSpPr/>
      </dsp:nvSpPr>
      <dsp:spPr>
        <a:xfrm>
          <a:off x="4050030" y="643413"/>
          <a:ext cx="1102995" cy="643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Father holding the mother holding the child</a:t>
          </a:r>
        </a:p>
      </dsp:txBody>
      <dsp:txXfrm>
        <a:off x="4050030" y="643413"/>
        <a:ext cx="1102995" cy="643413"/>
      </dsp:txXfrm>
    </dsp:sp>
    <dsp:sp modelId="{C423DA3B-CE51-424B-9A30-E815C4E4E249}">
      <dsp:nvSpPr>
        <dsp:cNvPr id="0" name=""/>
        <dsp:cNvSpPr/>
      </dsp:nvSpPr>
      <dsp:spPr>
        <a:xfrm>
          <a:off x="3774281" y="965120"/>
          <a:ext cx="27574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A74F83-E089-4B27-844C-6BA130227C8B}">
      <dsp:nvSpPr>
        <dsp:cNvPr id="0" name=""/>
        <dsp:cNvSpPr/>
      </dsp:nvSpPr>
      <dsp:spPr>
        <a:xfrm rot="5400000">
          <a:off x="2743605" y="1116672"/>
          <a:ext cx="1181528" cy="877616"/>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84CABB-ACBA-4214-946E-C3ABF87BDEA6}">
      <dsp:nvSpPr>
        <dsp:cNvPr id="0" name=""/>
        <dsp:cNvSpPr/>
      </dsp:nvSpPr>
      <dsp:spPr>
        <a:xfrm>
          <a:off x="4050030" y="1301008"/>
          <a:ext cx="1102995" cy="6284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Society holding the father who is holding the mother holding the child</a:t>
          </a:r>
        </a:p>
      </dsp:txBody>
      <dsp:txXfrm>
        <a:off x="4050030" y="1301008"/>
        <a:ext cx="1102995" cy="628499"/>
      </dsp:txXfrm>
    </dsp:sp>
    <dsp:sp modelId="{0E84F33F-8246-47DA-9DA7-C4B8FCCDDD29}">
      <dsp:nvSpPr>
        <dsp:cNvPr id="0" name=""/>
        <dsp:cNvSpPr/>
      </dsp:nvSpPr>
      <dsp:spPr>
        <a:xfrm>
          <a:off x="3774281" y="1608534"/>
          <a:ext cx="27574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D257C0-75BE-48F1-99F4-D6C862A8B82C}">
      <dsp:nvSpPr>
        <dsp:cNvPr id="0" name=""/>
        <dsp:cNvSpPr/>
      </dsp:nvSpPr>
      <dsp:spPr>
        <a:xfrm rot="5400000">
          <a:off x="3069467" y="1749533"/>
          <a:ext cx="844158" cy="561424"/>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2384A-5062-4097-A2FC-1FEBC946C6A2}">
      <dsp:nvSpPr>
        <dsp:cNvPr id="0" name=""/>
        <dsp:cNvSpPr/>
      </dsp:nvSpPr>
      <dsp:spPr>
        <a:xfrm>
          <a:off x="1196035" y="0"/>
          <a:ext cx="1312621" cy="729234"/>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Shadow side</a:t>
          </a:r>
        </a:p>
      </dsp:txBody>
      <dsp:txXfrm>
        <a:off x="1217394" y="21359"/>
        <a:ext cx="1269903" cy="686516"/>
      </dsp:txXfrm>
    </dsp:sp>
    <dsp:sp modelId="{F8E361E7-F6EA-49B6-A335-1E3AE5FF11B0}">
      <dsp:nvSpPr>
        <dsp:cNvPr id="0" name=""/>
        <dsp:cNvSpPr/>
      </dsp:nvSpPr>
      <dsp:spPr>
        <a:xfrm>
          <a:off x="3132104" y="0"/>
          <a:ext cx="1312621" cy="729234"/>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Boons gathered</a:t>
          </a:r>
        </a:p>
      </dsp:txBody>
      <dsp:txXfrm>
        <a:off x="3153463" y="21359"/>
        <a:ext cx="1269903" cy="686516"/>
      </dsp:txXfrm>
    </dsp:sp>
    <dsp:sp modelId="{6A05FA2E-03B7-4CEE-BFD1-AF2D7738B1B7}">
      <dsp:nvSpPr>
        <dsp:cNvPr id="0" name=""/>
        <dsp:cNvSpPr/>
      </dsp:nvSpPr>
      <dsp:spPr>
        <a:xfrm>
          <a:off x="2526887" y="3099244"/>
          <a:ext cx="546925" cy="546925"/>
        </a:xfrm>
        <a:prstGeom prst="triangle">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E1A0D2-A8AC-4B0F-96EC-DC03FE400A87}">
      <dsp:nvSpPr>
        <dsp:cNvPr id="0" name=""/>
        <dsp:cNvSpPr/>
      </dsp:nvSpPr>
      <dsp:spPr>
        <a:xfrm rot="240000">
          <a:off x="1159072" y="2864880"/>
          <a:ext cx="3282555" cy="229538"/>
        </a:xfrm>
        <a:prstGeom prst="rect">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721A17-DF63-4489-97DB-DF5786FB9F3C}">
      <dsp:nvSpPr>
        <dsp:cNvPr id="0" name=""/>
        <dsp:cNvSpPr/>
      </dsp:nvSpPr>
      <dsp:spPr>
        <a:xfrm rot="240000">
          <a:off x="3133493" y="2451358"/>
          <a:ext cx="1302644" cy="44986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Emotional sharing, openness, honesty, emotional attachment</a:t>
          </a:r>
        </a:p>
      </dsp:txBody>
      <dsp:txXfrm>
        <a:off x="3155453" y="2473318"/>
        <a:ext cx="1258724" cy="405941"/>
      </dsp:txXfrm>
    </dsp:sp>
    <dsp:sp modelId="{BE6EBF07-36F0-4B9F-948A-9BCE881FB90E}">
      <dsp:nvSpPr>
        <dsp:cNvPr id="0" name=""/>
        <dsp:cNvSpPr/>
      </dsp:nvSpPr>
      <dsp:spPr>
        <a:xfrm rot="240000">
          <a:off x="3169955" y="1970063"/>
          <a:ext cx="1302644" cy="44986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Calibri" panose="020F0502020204030204" pitchFamily="34" charset="0"/>
              <a:ea typeface="Calibri" panose="020F0502020204030204" pitchFamily="34" charset="0"/>
              <a:cs typeface="Calibri" panose="020F0502020204030204" pitchFamily="34" charset="0"/>
            </a:rPr>
            <a:t>Passionate committment to improvement</a:t>
          </a:r>
        </a:p>
      </dsp:txBody>
      <dsp:txXfrm>
        <a:off x="3191915" y="1992023"/>
        <a:ext cx="1258724" cy="405941"/>
      </dsp:txXfrm>
    </dsp:sp>
    <dsp:sp modelId="{EF7BED1E-E8A1-413F-B6A6-AED7D5582240}">
      <dsp:nvSpPr>
        <dsp:cNvPr id="0" name=""/>
        <dsp:cNvSpPr/>
      </dsp:nvSpPr>
      <dsp:spPr>
        <a:xfrm rot="240000">
          <a:off x="3206417" y="1488769"/>
          <a:ext cx="1302644" cy="44986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Calibri" panose="020F0502020204030204" pitchFamily="34" charset="0"/>
              <a:ea typeface="Calibri" panose="020F0502020204030204" pitchFamily="34" charset="0"/>
              <a:cs typeface="Calibri" panose="020F0502020204030204" pitchFamily="34" charset="0"/>
            </a:rPr>
            <a:t>Positive influence on current actions</a:t>
          </a:r>
        </a:p>
      </dsp:txBody>
      <dsp:txXfrm>
        <a:off x="3228377" y="1510729"/>
        <a:ext cx="1258724" cy="405941"/>
      </dsp:txXfrm>
    </dsp:sp>
    <dsp:sp modelId="{5A73EE00-28E9-45E6-A56C-9E4D67508E14}">
      <dsp:nvSpPr>
        <dsp:cNvPr id="0" name=""/>
        <dsp:cNvSpPr/>
      </dsp:nvSpPr>
      <dsp:spPr>
        <a:xfrm rot="240000">
          <a:off x="3243728" y="995317"/>
          <a:ext cx="1300944" cy="47417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Calibri" panose="020F0502020204030204" pitchFamily="34" charset="0"/>
              <a:ea typeface="Calibri" panose="020F0502020204030204" pitchFamily="34" charset="0"/>
              <a:cs typeface="Calibri" panose="020F0502020204030204" pitchFamily="34" charset="0"/>
            </a:rPr>
            <a:t>Determination not to repeat</a:t>
          </a:r>
        </a:p>
      </dsp:txBody>
      <dsp:txXfrm>
        <a:off x="3266875" y="1018464"/>
        <a:ext cx="1254650" cy="427882"/>
      </dsp:txXfrm>
    </dsp:sp>
    <dsp:sp modelId="{FBCC8F0A-9AD7-4285-A813-0A94632ECC81}">
      <dsp:nvSpPr>
        <dsp:cNvPr id="0" name=""/>
        <dsp:cNvSpPr/>
      </dsp:nvSpPr>
      <dsp:spPr>
        <a:xfrm rot="240000">
          <a:off x="1205438" y="2312082"/>
          <a:ext cx="1302644" cy="44986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Anger, confusion</a:t>
          </a:r>
        </a:p>
      </dsp:txBody>
      <dsp:txXfrm>
        <a:off x="1227398" y="2334042"/>
        <a:ext cx="1258724" cy="405941"/>
      </dsp:txXfrm>
    </dsp:sp>
    <dsp:sp modelId="{4156F335-D364-4160-835F-1DEBA0561A24}">
      <dsp:nvSpPr>
        <dsp:cNvPr id="0" name=""/>
        <dsp:cNvSpPr/>
      </dsp:nvSpPr>
      <dsp:spPr>
        <a:xfrm rot="240000">
          <a:off x="1273946" y="1838801"/>
          <a:ext cx="1302644" cy="44986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Painful, arduous</a:t>
          </a:r>
        </a:p>
      </dsp:txBody>
      <dsp:txXfrm>
        <a:off x="1295906" y="1860761"/>
        <a:ext cx="1258724" cy="40594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ED7F2-5DDF-4BF0-88D3-19FD3A07AD0E}">
      <dsp:nvSpPr>
        <dsp:cNvPr id="0" name=""/>
        <dsp:cNvSpPr/>
      </dsp:nvSpPr>
      <dsp:spPr>
        <a:xfrm>
          <a:off x="1607" y="561439"/>
          <a:ext cx="1612701" cy="1612701"/>
        </a:xfrm>
        <a:prstGeom prst="ellipse">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1430" rIns="88752" bIns="11430" numCol="1" spcCol="1270" anchor="ctr" anchorCtr="0">
          <a:noAutofit/>
        </a:bodyPr>
        <a:lstStyle/>
        <a:p>
          <a:pPr marL="0" lvl="0" indent="0" algn="ctr" defTabSz="400050">
            <a:lnSpc>
              <a:spcPct val="90000"/>
            </a:lnSpc>
            <a:spcBef>
              <a:spcPct val="0"/>
            </a:spcBef>
            <a:spcAft>
              <a:spcPct val="35000"/>
            </a:spcAft>
            <a:buNone/>
          </a:pPr>
          <a:r>
            <a:rPr lang="en-GB" sz="900" kern="1200"/>
            <a:t>The need to stress the ethical responsibility of the researcher holding the individuation stories of participants</a:t>
          </a:r>
        </a:p>
      </dsp:txBody>
      <dsp:txXfrm>
        <a:off x="237782" y="797614"/>
        <a:ext cx="1140351" cy="1140351"/>
      </dsp:txXfrm>
    </dsp:sp>
    <dsp:sp modelId="{E8DA46DD-CEB0-4569-A831-69F77120647B}">
      <dsp:nvSpPr>
        <dsp:cNvPr id="0" name=""/>
        <dsp:cNvSpPr/>
      </dsp:nvSpPr>
      <dsp:spPr>
        <a:xfrm>
          <a:off x="1291768" y="561439"/>
          <a:ext cx="1612701" cy="1612701"/>
        </a:xfrm>
        <a:prstGeom prst="ellipse">
          <a:avLst/>
        </a:prstGeom>
        <a:solidFill>
          <a:schemeClr val="accent2">
            <a:alpha val="50000"/>
            <a:hueOff val="1560506"/>
            <a:satOff val="-1946"/>
            <a:lumOff val="458"/>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1430" rIns="88752" bIns="11430" numCol="1" spcCol="1270" anchor="ctr" anchorCtr="0">
          <a:noAutofit/>
        </a:bodyPr>
        <a:lstStyle/>
        <a:p>
          <a:pPr marL="0" lvl="0" indent="0" algn="ctr" defTabSz="400050">
            <a:lnSpc>
              <a:spcPct val="90000"/>
            </a:lnSpc>
            <a:spcBef>
              <a:spcPct val="0"/>
            </a:spcBef>
            <a:spcAft>
              <a:spcPct val="35000"/>
            </a:spcAft>
            <a:buNone/>
          </a:pPr>
          <a:r>
            <a:rPr lang="en-GB" sz="900" kern="1200"/>
            <a:t>The shadow side of holding participants and the output or consequences of their biographical reflections </a:t>
          </a:r>
        </a:p>
      </dsp:txBody>
      <dsp:txXfrm>
        <a:off x="1527943" y="797614"/>
        <a:ext cx="1140351" cy="1140351"/>
      </dsp:txXfrm>
    </dsp:sp>
    <dsp:sp modelId="{B69A7820-33F5-4E8D-8399-EFD6C0A3A62D}">
      <dsp:nvSpPr>
        <dsp:cNvPr id="0" name=""/>
        <dsp:cNvSpPr/>
      </dsp:nvSpPr>
      <dsp:spPr>
        <a:xfrm>
          <a:off x="2581929" y="561439"/>
          <a:ext cx="1612701" cy="1612701"/>
        </a:xfrm>
        <a:prstGeom prst="ellipse">
          <a:avLst/>
        </a:prstGeom>
        <a:solidFill>
          <a:schemeClr val="accent2">
            <a:alpha val="50000"/>
            <a:hueOff val="3121013"/>
            <a:satOff val="-3893"/>
            <a:lumOff val="91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1430" rIns="88752" bIns="11430" numCol="1" spcCol="1270" anchor="ctr" anchorCtr="0">
          <a:noAutofit/>
        </a:bodyPr>
        <a:lstStyle/>
        <a:p>
          <a:pPr marL="0" lvl="0" indent="0" algn="ctr" defTabSz="400050">
            <a:lnSpc>
              <a:spcPct val="90000"/>
            </a:lnSpc>
            <a:spcBef>
              <a:spcPct val="0"/>
            </a:spcBef>
            <a:spcAft>
              <a:spcPct val="35000"/>
            </a:spcAft>
            <a:buNone/>
          </a:pPr>
          <a:r>
            <a:rPr lang="en-GB" sz="900" kern="1200"/>
            <a:t>The need for training in interview techniques and listening skills</a:t>
          </a:r>
        </a:p>
      </dsp:txBody>
      <dsp:txXfrm>
        <a:off x="2818104" y="797614"/>
        <a:ext cx="1140351" cy="1140351"/>
      </dsp:txXfrm>
    </dsp:sp>
    <dsp:sp modelId="{169B7F42-5A33-4BA8-96B3-C8BBE62DAE71}">
      <dsp:nvSpPr>
        <dsp:cNvPr id="0" name=""/>
        <dsp:cNvSpPr/>
      </dsp:nvSpPr>
      <dsp:spPr>
        <a:xfrm>
          <a:off x="3872091" y="561439"/>
          <a:ext cx="1612701" cy="1612701"/>
        </a:xfrm>
        <a:prstGeom prst="ellipse">
          <a:avLst/>
        </a:prstGeom>
        <a:solidFill>
          <a:schemeClr val="accent2">
            <a:alpha val="50000"/>
            <a:hueOff val="4681519"/>
            <a:satOff val="-5839"/>
            <a:lumOff val="137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1430" rIns="88752"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Calibri" panose="020F0502020204030204" pitchFamily="34" charset="0"/>
              <a:ea typeface="Calibri" panose="020F0502020204030204" pitchFamily="34" charset="0"/>
              <a:cs typeface="Calibri" panose="020F0502020204030204" pitchFamily="34" charset="0"/>
            </a:rPr>
            <a:t>The importance of the interviewer having a space to debrief </a:t>
          </a:r>
        </a:p>
      </dsp:txBody>
      <dsp:txXfrm>
        <a:off x="4108266" y="797614"/>
        <a:ext cx="1140351" cy="11403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028CAF-C740-48E1-8DE1-E1FADF153035}">
      <dsp:nvSpPr>
        <dsp:cNvPr id="0" name=""/>
        <dsp:cNvSpPr/>
      </dsp:nvSpPr>
      <dsp:spPr>
        <a:xfrm>
          <a:off x="196930" y="17625"/>
          <a:ext cx="3688709" cy="3696843"/>
        </a:xfrm>
        <a:prstGeom prst="pie">
          <a:avLst>
            <a:gd name="adj1" fmla="val 5400000"/>
            <a:gd name="adj2" fmla="val 162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76D39-63AE-4E3E-9E24-737428CE7735}">
      <dsp:nvSpPr>
        <dsp:cNvPr id="0" name=""/>
        <dsp:cNvSpPr/>
      </dsp:nvSpPr>
      <dsp:spPr>
        <a:xfrm>
          <a:off x="1841218" y="538"/>
          <a:ext cx="4312983" cy="3725641"/>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Pedagogic holding</a:t>
          </a:r>
        </a:p>
      </dsp:txBody>
      <dsp:txXfrm>
        <a:off x="1841218" y="538"/>
        <a:ext cx="2156491" cy="1117694"/>
      </dsp:txXfrm>
    </dsp:sp>
    <dsp:sp modelId="{600727B2-E62B-4CCC-AC41-A6795875F643}">
      <dsp:nvSpPr>
        <dsp:cNvPr id="0" name=""/>
        <dsp:cNvSpPr/>
      </dsp:nvSpPr>
      <dsp:spPr>
        <a:xfrm>
          <a:off x="646948" y="1123723"/>
          <a:ext cx="2402945" cy="2402945"/>
        </a:xfrm>
        <a:prstGeom prst="pie">
          <a:avLst>
            <a:gd name="adj1" fmla="val 5400000"/>
            <a:gd name="adj2" fmla="val 162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39A774-3239-4910-9674-8BE792330EB1}">
      <dsp:nvSpPr>
        <dsp:cNvPr id="0" name=""/>
        <dsp:cNvSpPr/>
      </dsp:nvSpPr>
      <dsp:spPr>
        <a:xfrm>
          <a:off x="1841391" y="1124108"/>
          <a:ext cx="4312983" cy="2402945"/>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Safe, collaborative space</a:t>
          </a:r>
        </a:p>
      </dsp:txBody>
      <dsp:txXfrm>
        <a:off x="1841391" y="1124108"/>
        <a:ext cx="2156491" cy="1109051"/>
      </dsp:txXfrm>
    </dsp:sp>
    <dsp:sp modelId="{2713064E-1CCB-4D72-A534-95FFF960F711}">
      <dsp:nvSpPr>
        <dsp:cNvPr id="0" name=""/>
        <dsp:cNvSpPr/>
      </dsp:nvSpPr>
      <dsp:spPr>
        <a:xfrm>
          <a:off x="1293895" y="2232775"/>
          <a:ext cx="1109051" cy="1109051"/>
        </a:xfrm>
        <a:prstGeom prst="pie">
          <a:avLst>
            <a:gd name="adj1" fmla="val 5400000"/>
            <a:gd name="adj2" fmla="val 162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76D7B-BC20-4248-B00C-37FF46ACE487}">
      <dsp:nvSpPr>
        <dsp:cNvPr id="0" name=""/>
        <dsp:cNvSpPr/>
      </dsp:nvSpPr>
      <dsp:spPr>
        <a:xfrm>
          <a:off x="1848421" y="2617128"/>
          <a:ext cx="4312983" cy="1109051"/>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The supervisee</a:t>
          </a:r>
        </a:p>
      </dsp:txBody>
      <dsp:txXfrm>
        <a:off x="1848421" y="2617128"/>
        <a:ext cx="2156491" cy="1109051"/>
      </dsp:txXfrm>
    </dsp:sp>
    <dsp:sp modelId="{9B383898-0BF3-4FB6-8B56-9B8AE3F60006}">
      <dsp:nvSpPr>
        <dsp:cNvPr id="0" name=""/>
        <dsp:cNvSpPr/>
      </dsp:nvSpPr>
      <dsp:spPr>
        <a:xfrm>
          <a:off x="4004913" y="14668"/>
          <a:ext cx="2156491" cy="1109055"/>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Provided by a trained external supervisor</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holds deep reflections</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confidential</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ethical</a:t>
          </a:r>
        </a:p>
      </dsp:txBody>
      <dsp:txXfrm>
        <a:off x="4004913" y="14668"/>
        <a:ext cx="2156491" cy="1109055"/>
      </dsp:txXfrm>
    </dsp:sp>
    <dsp:sp modelId="{79557DF4-0C83-4D4A-9BF5-8156E8F44DE9}">
      <dsp:nvSpPr>
        <dsp:cNvPr id="0" name=""/>
        <dsp:cNvSpPr/>
      </dsp:nvSpPr>
      <dsp:spPr>
        <a:xfrm>
          <a:off x="4004913" y="1053049"/>
          <a:ext cx="2156491" cy="1250400"/>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None/>
          </a:pPr>
          <a:r>
            <a:rPr lang="en-GB" sz="1000" kern="1200">
              <a:latin typeface="Calibri" panose="020F0502020204030204" pitchFamily="34" charset="0"/>
              <a:ea typeface="Calibri" panose="020F0502020204030204" pitchFamily="34" charset="0"/>
              <a:cs typeface="Calibri" panose="020F0502020204030204" pitchFamily="34" charset="0"/>
            </a:rPr>
            <a:t>  </a:t>
          </a:r>
        </a:p>
        <a:p>
          <a:pPr marL="57150" lvl="1" indent="-57150" algn="l" defTabSz="355600">
            <a:lnSpc>
              <a:spcPct val="90000"/>
            </a:lnSpc>
            <a:spcBef>
              <a:spcPct val="0"/>
            </a:spcBef>
            <a:spcAft>
              <a:spcPct val="15000"/>
            </a:spcAft>
            <a:buNone/>
          </a:pPr>
          <a:r>
            <a:rPr lang="en-GB" sz="800" kern="1200">
              <a:latin typeface="Calibri" panose="020F0502020204030204" pitchFamily="34" charset="0"/>
              <a:ea typeface="Calibri" panose="020F0502020204030204" pitchFamily="34" charset="0"/>
              <a:cs typeface="Calibri" panose="020F0502020204030204" pitchFamily="34" charset="0"/>
            </a:rPr>
            <a:t>  </a:t>
          </a:r>
        </a:p>
        <a:p>
          <a:pPr marL="57150" lvl="1" indent="-57150" algn="l" defTabSz="355600">
            <a:lnSpc>
              <a:spcPct val="90000"/>
            </a:lnSpc>
            <a:spcBef>
              <a:spcPct val="0"/>
            </a:spcBef>
            <a:spcAft>
              <a:spcPct val="15000"/>
            </a:spcAft>
            <a:buNone/>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None/>
          </a:pPr>
          <a:r>
            <a:rPr lang="en-GB" sz="800" kern="1200">
              <a:latin typeface="Calibri" panose="020F0502020204030204" pitchFamily="34" charset="0"/>
              <a:ea typeface="Calibri" panose="020F0502020204030204" pitchFamily="34" charset="0"/>
              <a:cs typeface="Calibri" panose="020F0502020204030204" pitchFamily="34" charset="0"/>
            </a:rPr>
            <a:t>  </a:t>
          </a:r>
        </a:p>
        <a:p>
          <a:pPr marL="57150" lvl="1" indent="-57150" algn="l" defTabSz="355600">
            <a:lnSpc>
              <a:spcPct val="90000"/>
            </a:lnSpc>
            <a:spcBef>
              <a:spcPct val="0"/>
            </a:spcBef>
            <a:spcAft>
              <a:spcPct val="15000"/>
            </a:spcAft>
            <a:buNone/>
          </a:pPr>
          <a:r>
            <a:rPr lang="en-GB" sz="800" kern="1200">
              <a:latin typeface="Calibri" panose="020F0502020204030204" pitchFamily="34" charset="0"/>
              <a:ea typeface="Calibri" panose="020F0502020204030204" pitchFamily="34" charset="0"/>
              <a:cs typeface="Calibri" panose="020F0502020204030204" pitchFamily="34" charset="0"/>
            </a:rPr>
            <a:t>   didactic; emotional management and support; to share information, concerns, hopes and feelings; to discuss and manage the emotional and psychological effects of the work; grow and keep growing, to be understood and challenged; review and learn; explore and express feelings; process</a:t>
          </a:r>
        </a:p>
        <a:p>
          <a:pPr marL="57150" lvl="1" indent="-57150" algn="l" defTabSz="444500">
            <a:lnSpc>
              <a:spcPct val="90000"/>
            </a:lnSpc>
            <a:spcBef>
              <a:spcPct val="0"/>
            </a:spcBef>
            <a:spcAft>
              <a:spcPct val="15000"/>
            </a:spcAft>
            <a:buNone/>
          </a:pPr>
          <a:endParaRPr lang="en-GB" sz="1000" kern="1200">
            <a:latin typeface="Calibri" panose="020F0502020204030204" pitchFamily="34" charset="0"/>
            <a:ea typeface="Calibri" panose="020F0502020204030204" pitchFamily="34" charset="0"/>
            <a:cs typeface="Calibri" panose="020F0502020204030204" pitchFamily="34" charset="0"/>
          </a:endParaRPr>
        </a:p>
      </dsp:txBody>
      <dsp:txXfrm>
        <a:off x="4004913" y="1053049"/>
        <a:ext cx="2156491" cy="1250400"/>
      </dsp:txXfrm>
    </dsp:sp>
    <dsp:sp modelId="{A265FA1E-C8F8-4350-A1FC-47DC9ACDB430}">
      <dsp:nvSpPr>
        <dsp:cNvPr id="0" name=""/>
        <dsp:cNvSpPr/>
      </dsp:nvSpPr>
      <dsp:spPr>
        <a:xfrm>
          <a:off x="4004913" y="2232775"/>
          <a:ext cx="2156491" cy="1109051"/>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GB" sz="800" kern="1200">
            <a:latin typeface="Calibri" panose="020F0502020204030204" pitchFamily="34" charset="0"/>
            <a:ea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experiences being held</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develops their internal supervisor (Casement, 1985) </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feels restored and reset</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self-development tool</a:t>
          </a:r>
        </a:p>
        <a:p>
          <a:pPr marL="57150" lvl="1" indent="-57150" algn="l" defTabSz="355600">
            <a:lnSpc>
              <a:spcPct val="90000"/>
            </a:lnSpc>
            <a:spcBef>
              <a:spcPct val="0"/>
            </a:spcBef>
            <a:spcAft>
              <a:spcPct val="15000"/>
            </a:spcAft>
            <a:buChar char="•"/>
          </a:pPr>
          <a:r>
            <a:rPr lang="en-GB" sz="800" kern="1200">
              <a:latin typeface="Calibri" panose="020F0502020204030204" pitchFamily="34" charset="0"/>
              <a:ea typeface="Calibri" panose="020F0502020204030204" pitchFamily="34" charset="0"/>
              <a:cs typeface="Calibri" panose="020F0502020204030204" pitchFamily="34" charset="0"/>
            </a:rPr>
            <a:t>challenged and affirmed</a:t>
          </a:r>
        </a:p>
      </dsp:txBody>
      <dsp:txXfrm>
        <a:off x="4004913" y="2232775"/>
        <a:ext cx="2156491" cy="110905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18D38-CFCA-AF4C-8917-AC4E6A3B322C}">
      <dsp:nvSpPr>
        <dsp:cNvPr id="0" name=""/>
        <dsp:cNvSpPr/>
      </dsp:nvSpPr>
      <dsp:spPr>
        <a:xfrm>
          <a:off x="718947" y="800100"/>
          <a:ext cx="2400300" cy="240030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2BCF79-64ED-694C-B6E5-59FE4EC37097}">
      <dsp:nvSpPr>
        <dsp:cNvPr id="0" name=""/>
        <dsp:cNvSpPr/>
      </dsp:nvSpPr>
      <dsp:spPr>
        <a:xfrm>
          <a:off x="1199007" y="1280160"/>
          <a:ext cx="1440180" cy="144018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85047A-4ADE-3E43-9E8E-EA08F443BCF3}">
      <dsp:nvSpPr>
        <dsp:cNvPr id="0" name=""/>
        <dsp:cNvSpPr/>
      </dsp:nvSpPr>
      <dsp:spPr>
        <a:xfrm>
          <a:off x="1679067" y="1760220"/>
          <a:ext cx="480060" cy="4800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AF62BD-69CE-2B46-AC8F-31B946C063BC}">
      <dsp:nvSpPr>
        <dsp:cNvPr id="0" name=""/>
        <dsp:cNvSpPr/>
      </dsp:nvSpPr>
      <dsp:spPr>
        <a:xfrm>
          <a:off x="3519297" y="0"/>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t>Mother holding the child</a:t>
          </a:r>
        </a:p>
      </dsp:txBody>
      <dsp:txXfrm>
        <a:off x="3519297" y="0"/>
        <a:ext cx="1200150" cy="700087"/>
      </dsp:txXfrm>
    </dsp:sp>
    <dsp:sp modelId="{48C4A973-AB74-7B4A-AED5-A89EE1AC426A}">
      <dsp:nvSpPr>
        <dsp:cNvPr id="0" name=""/>
        <dsp:cNvSpPr/>
      </dsp:nvSpPr>
      <dsp:spPr>
        <a:xfrm>
          <a:off x="3219259" y="350043"/>
          <a:ext cx="300037"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B0DD82-D6E1-3D4A-B80E-418880101B66}">
      <dsp:nvSpPr>
        <dsp:cNvPr id="0" name=""/>
        <dsp:cNvSpPr/>
      </dsp:nvSpPr>
      <dsp:spPr>
        <a:xfrm rot="5400000">
          <a:off x="1743675" y="525865"/>
          <a:ext cx="1649806" cy="1298962"/>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EEB049-F4B0-CD4E-B756-C3498C4EA279}">
      <dsp:nvSpPr>
        <dsp:cNvPr id="0" name=""/>
        <dsp:cNvSpPr/>
      </dsp:nvSpPr>
      <dsp:spPr>
        <a:xfrm>
          <a:off x="3519297" y="700087"/>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t>Father holding the mother, holding the child</a:t>
          </a:r>
        </a:p>
      </dsp:txBody>
      <dsp:txXfrm>
        <a:off x="3519297" y="700087"/>
        <a:ext cx="1200150" cy="700087"/>
      </dsp:txXfrm>
    </dsp:sp>
    <dsp:sp modelId="{D80A4E0A-27F6-924E-979E-C37C7189177A}">
      <dsp:nvSpPr>
        <dsp:cNvPr id="0" name=""/>
        <dsp:cNvSpPr/>
      </dsp:nvSpPr>
      <dsp:spPr>
        <a:xfrm>
          <a:off x="3219259" y="1050131"/>
          <a:ext cx="300037"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4053E0-F1DC-2E4A-B000-5A9054CB01AE}">
      <dsp:nvSpPr>
        <dsp:cNvPr id="0" name=""/>
        <dsp:cNvSpPr/>
      </dsp:nvSpPr>
      <dsp:spPr>
        <a:xfrm rot="5400000">
          <a:off x="2097799" y="1215031"/>
          <a:ext cx="1285600" cy="954919"/>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0808D-9697-B444-99A5-CD6BAD04DA3C}">
      <dsp:nvSpPr>
        <dsp:cNvPr id="0" name=""/>
        <dsp:cNvSpPr/>
      </dsp:nvSpPr>
      <dsp:spPr>
        <a:xfrm>
          <a:off x="3471290" y="1441095"/>
          <a:ext cx="1296162" cy="618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Society holding the father, the father holding the mother who is  holding the child</a:t>
          </a:r>
        </a:p>
      </dsp:txBody>
      <dsp:txXfrm>
        <a:off x="3471290" y="1441095"/>
        <a:ext cx="1296162" cy="618247"/>
      </dsp:txXfrm>
    </dsp:sp>
    <dsp:sp modelId="{F50C2C03-81BA-B244-B26B-A4C03A744D49}">
      <dsp:nvSpPr>
        <dsp:cNvPr id="0" name=""/>
        <dsp:cNvSpPr/>
      </dsp:nvSpPr>
      <dsp:spPr>
        <a:xfrm>
          <a:off x="3219259" y="1750218"/>
          <a:ext cx="300037"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E3B1DB-3DF9-2C49-A230-DE4C64924E0A}">
      <dsp:nvSpPr>
        <dsp:cNvPr id="0" name=""/>
        <dsp:cNvSpPr/>
      </dsp:nvSpPr>
      <dsp:spPr>
        <a:xfrm rot="5400000">
          <a:off x="2452363" y="1903637"/>
          <a:ext cx="918514" cy="610876"/>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9A9C1-81BF-0C43-812E-1BE885424223}">
      <dsp:nvSpPr>
        <dsp:cNvPr id="0" name=""/>
        <dsp:cNvSpPr/>
      </dsp:nvSpPr>
      <dsp:spPr>
        <a:xfrm>
          <a:off x="617876" y="827314"/>
          <a:ext cx="2481942" cy="2481942"/>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E6FA09-AD2B-3446-9337-0954A251F6B9}">
      <dsp:nvSpPr>
        <dsp:cNvPr id="0" name=""/>
        <dsp:cNvSpPr/>
      </dsp:nvSpPr>
      <dsp:spPr>
        <a:xfrm>
          <a:off x="1114264" y="1323702"/>
          <a:ext cx="1489165" cy="148916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0463F2-08AC-9D42-ADA5-9E143A4DF715}">
      <dsp:nvSpPr>
        <dsp:cNvPr id="0" name=""/>
        <dsp:cNvSpPr/>
      </dsp:nvSpPr>
      <dsp:spPr>
        <a:xfrm>
          <a:off x="1610653" y="1820091"/>
          <a:ext cx="496388" cy="49638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519C87-E32B-194E-A025-C9D370EEA5B2}">
      <dsp:nvSpPr>
        <dsp:cNvPr id="0" name=""/>
        <dsp:cNvSpPr/>
      </dsp:nvSpPr>
      <dsp:spPr>
        <a:xfrm>
          <a:off x="3513476" y="0"/>
          <a:ext cx="1240971" cy="72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t>The teacher holding the student</a:t>
          </a:r>
        </a:p>
      </dsp:txBody>
      <dsp:txXfrm>
        <a:off x="3513476" y="0"/>
        <a:ext cx="1240971" cy="723899"/>
      </dsp:txXfrm>
    </dsp:sp>
    <dsp:sp modelId="{EA145874-0C10-7E49-9A7A-2A26396ED3A8}">
      <dsp:nvSpPr>
        <dsp:cNvPr id="0" name=""/>
        <dsp:cNvSpPr/>
      </dsp:nvSpPr>
      <dsp:spPr>
        <a:xfrm>
          <a:off x="3203233" y="361949"/>
          <a:ext cx="310242"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D27D6B-6670-7142-AD3B-A3541ACF39B0}">
      <dsp:nvSpPr>
        <dsp:cNvPr id="0" name=""/>
        <dsp:cNvSpPr/>
      </dsp:nvSpPr>
      <dsp:spPr>
        <a:xfrm rot="5400000">
          <a:off x="1677458" y="543752"/>
          <a:ext cx="1705921" cy="1343144"/>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81CBD-08A1-F14F-B367-37B8937709E1}">
      <dsp:nvSpPr>
        <dsp:cNvPr id="0" name=""/>
        <dsp:cNvSpPr/>
      </dsp:nvSpPr>
      <dsp:spPr>
        <a:xfrm>
          <a:off x="3452352" y="832868"/>
          <a:ext cx="1469123" cy="505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t>The university       holding the teacher, holding the student</a:t>
          </a:r>
        </a:p>
      </dsp:txBody>
      <dsp:txXfrm>
        <a:off x="3452352" y="832868"/>
        <a:ext cx="1469123" cy="505962"/>
      </dsp:txXfrm>
    </dsp:sp>
    <dsp:sp modelId="{F813BF5A-E3BC-E94D-B9F3-7EFCEC337AB7}">
      <dsp:nvSpPr>
        <dsp:cNvPr id="0" name=""/>
        <dsp:cNvSpPr/>
      </dsp:nvSpPr>
      <dsp:spPr>
        <a:xfrm>
          <a:off x="3203233" y="976121"/>
          <a:ext cx="310242"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DE4559-787C-9440-9A9E-275390BD7F96}">
      <dsp:nvSpPr>
        <dsp:cNvPr id="0" name=""/>
        <dsp:cNvSpPr/>
      </dsp:nvSpPr>
      <dsp:spPr>
        <a:xfrm rot="5400000">
          <a:off x="2043628" y="1150465"/>
          <a:ext cx="1329328" cy="987399"/>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96B98B-73A7-FD4E-B560-BCB8405408F2}">
      <dsp:nvSpPr>
        <dsp:cNvPr id="0" name=""/>
        <dsp:cNvSpPr/>
      </dsp:nvSpPr>
      <dsp:spPr>
        <a:xfrm>
          <a:off x="3467311" y="1512806"/>
          <a:ext cx="1333299" cy="593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Society holding the         university, the university holding the teacher, the teacher holding the student</a:t>
          </a:r>
        </a:p>
      </dsp:txBody>
      <dsp:txXfrm>
        <a:off x="3467311" y="1512806"/>
        <a:ext cx="1333299" cy="593887"/>
      </dsp:txXfrm>
    </dsp:sp>
    <dsp:sp modelId="{021E1DCB-2909-0643-8648-22130F7F2241}">
      <dsp:nvSpPr>
        <dsp:cNvPr id="0" name=""/>
        <dsp:cNvSpPr/>
      </dsp:nvSpPr>
      <dsp:spPr>
        <a:xfrm>
          <a:off x="3203233" y="1809749"/>
          <a:ext cx="310242"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E58B2A-9842-9B4C-AEB9-32CAF58662C7}">
      <dsp:nvSpPr>
        <dsp:cNvPr id="0" name=""/>
        <dsp:cNvSpPr/>
      </dsp:nvSpPr>
      <dsp:spPr>
        <a:xfrm rot="5400000">
          <a:off x="2410252" y="1968387"/>
          <a:ext cx="949756" cy="631654"/>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02C57-4677-4C59-83C1-B225973D8F6D}">
      <dsp:nvSpPr>
        <dsp:cNvPr id="0" name=""/>
        <dsp:cNvSpPr/>
      </dsp:nvSpPr>
      <dsp:spPr>
        <a:xfrm>
          <a:off x="0" y="6266161"/>
          <a:ext cx="5731510" cy="1800581"/>
        </a:xfrm>
        <a:prstGeom prst="rec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Themes identified</a:t>
          </a:r>
        </a:p>
      </dsp:txBody>
      <dsp:txXfrm>
        <a:off x="0" y="6266161"/>
        <a:ext cx="5731510" cy="972314"/>
      </dsp:txXfrm>
    </dsp:sp>
    <dsp:sp modelId="{21469BD4-A5D1-4E1E-A3F2-B94FF9A8BC60}">
      <dsp:nvSpPr>
        <dsp:cNvPr id="0" name=""/>
        <dsp:cNvSpPr/>
      </dsp:nvSpPr>
      <dsp:spPr>
        <a:xfrm>
          <a:off x="23" y="7202857"/>
          <a:ext cx="2888143" cy="837310"/>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Mind maps created, synopsis and miniature case studies, more notes in colour coding to identify themes</a:t>
          </a:r>
        </a:p>
      </dsp:txBody>
      <dsp:txXfrm>
        <a:off x="23" y="7202857"/>
        <a:ext cx="2888143" cy="837310"/>
      </dsp:txXfrm>
    </dsp:sp>
    <dsp:sp modelId="{1DE30191-9356-4C07-ACAB-DC0457AFB45B}">
      <dsp:nvSpPr>
        <dsp:cNvPr id="0" name=""/>
        <dsp:cNvSpPr/>
      </dsp:nvSpPr>
      <dsp:spPr>
        <a:xfrm>
          <a:off x="2888166" y="7197824"/>
          <a:ext cx="2843319" cy="847375"/>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Relevant themes to address the research questions were noticed, then refined and defined resulting in five main themes.  Themes subsequently presented in the analysis chapter</a:t>
          </a:r>
        </a:p>
      </dsp:txBody>
      <dsp:txXfrm>
        <a:off x="2888166" y="7197824"/>
        <a:ext cx="2843319" cy="847375"/>
      </dsp:txXfrm>
    </dsp:sp>
    <dsp:sp modelId="{A2AB9004-A1E4-4CCE-A87D-1ED0621EFAE6}">
      <dsp:nvSpPr>
        <dsp:cNvPr id="0" name=""/>
        <dsp:cNvSpPr/>
      </dsp:nvSpPr>
      <dsp:spPr>
        <a:xfrm rot="10800000">
          <a:off x="0" y="3493935"/>
          <a:ext cx="5731510" cy="2799529"/>
        </a:xfrm>
        <a:prstGeom prst="upArrowCallou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Familiarisation and noting salient thoughts and ideas of interest across the data set</a:t>
          </a:r>
        </a:p>
      </dsp:txBody>
      <dsp:txXfrm rot="-10800000">
        <a:off x="0" y="3838083"/>
        <a:ext cx="5731510" cy="638487"/>
      </dsp:txXfrm>
    </dsp:sp>
    <dsp:sp modelId="{71D999B3-1D8E-4144-B3E1-2C316DDFD665}">
      <dsp:nvSpPr>
        <dsp:cNvPr id="0" name=""/>
        <dsp:cNvSpPr/>
      </dsp:nvSpPr>
      <dsp:spPr>
        <a:xfrm>
          <a:off x="0" y="4457200"/>
          <a:ext cx="2865755" cy="837059"/>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a:t>
          </a:r>
          <a:r>
            <a:rPr lang="en-GB" sz="1050" kern="1200" baseline="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 research questions, aims and transcriptions were re-read several times. Interview recordings listened to over a period of six months</a:t>
          </a:r>
          <a:endPar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endParaRPr>
        </a:p>
      </dsp:txBody>
      <dsp:txXfrm>
        <a:off x="0" y="4457200"/>
        <a:ext cx="2865755" cy="837059"/>
      </dsp:txXfrm>
    </dsp:sp>
    <dsp:sp modelId="{90FCAAEC-5F59-4687-AEF5-97B7D72168A3}">
      <dsp:nvSpPr>
        <dsp:cNvPr id="0" name=""/>
        <dsp:cNvSpPr/>
      </dsp:nvSpPr>
      <dsp:spPr>
        <a:xfrm>
          <a:off x="2865755" y="4456811"/>
          <a:ext cx="2865755" cy="876577"/>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Explanatory notes made whilst listening to the recordings and rereading the transcripts. Salient comments highlighted in colour coding. Visual aids created in the form of diagrams on flipchart paper. Mind maps created</a:t>
          </a:r>
        </a:p>
      </dsp:txBody>
      <dsp:txXfrm>
        <a:off x="2865755" y="4456811"/>
        <a:ext cx="2865755" cy="876577"/>
      </dsp:txXfrm>
    </dsp:sp>
    <dsp:sp modelId="{7BCF4BDA-183A-4432-8086-CA5B1DA34238}">
      <dsp:nvSpPr>
        <dsp:cNvPr id="0" name=""/>
        <dsp:cNvSpPr/>
      </dsp:nvSpPr>
      <dsp:spPr>
        <a:xfrm rot="10800000">
          <a:off x="0" y="217429"/>
          <a:ext cx="5731510" cy="3519037"/>
        </a:xfrm>
        <a:prstGeom prst="upArrowCallout">
          <a:avLst/>
        </a:prstGeom>
        <a:solidFill>
          <a:sysClr val="window" lastClr="FFFFFF">
            <a:hueOff val="0"/>
            <a:satOff val="0"/>
            <a:lumOff val="0"/>
            <a:alphaOff val="0"/>
          </a:sysClr>
        </a:solidFill>
        <a:ln w="12700" cap="flat" cmpd="sng" algn="ctr">
          <a:solidFill>
            <a:srgbClr val="A02B9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Data Analyis Process</a:t>
          </a:r>
        </a:p>
      </dsp:txBody>
      <dsp:txXfrm rot="-10800000">
        <a:off x="0" y="650027"/>
        <a:ext cx="5731510" cy="802584"/>
      </dsp:txXfrm>
    </dsp:sp>
    <dsp:sp modelId="{8557CEE1-D564-49C1-B331-5CB98E4EB087}">
      <dsp:nvSpPr>
        <dsp:cNvPr id="0" name=""/>
        <dsp:cNvSpPr/>
      </dsp:nvSpPr>
      <dsp:spPr>
        <a:xfrm>
          <a:off x="1471" y="1273720"/>
          <a:ext cx="2977912" cy="978798"/>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Transcription</a:t>
          </a:r>
        </a:p>
      </dsp:txBody>
      <dsp:txXfrm>
        <a:off x="1471" y="1273720"/>
        <a:ext cx="2977912" cy="978798"/>
      </dsp:txXfrm>
    </dsp:sp>
    <dsp:sp modelId="{CFFE300A-4189-4A09-BD68-A5AD2FF7B660}">
      <dsp:nvSpPr>
        <dsp:cNvPr id="0" name=""/>
        <dsp:cNvSpPr/>
      </dsp:nvSpPr>
      <dsp:spPr>
        <a:xfrm>
          <a:off x="2979383" y="1257268"/>
          <a:ext cx="2750654" cy="1011703"/>
        </a:xfrm>
        <a:prstGeom prst="rect">
          <a:avLst/>
        </a:prstGeom>
        <a:solidFill>
          <a:sysClr val="window" lastClr="FFFFFF">
            <a:alpha val="90000"/>
            <a:tint val="40000"/>
            <a:hueOff val="0"/>
            <a:satOff val="0"/>
            <a:lumOff val="0"/>
            <a:alphaOff val="0"/>
          </a:sysClr>
        </a:solidFill>
        <a:ln w="12700" cap="flat" cmpd="sng" algn="ctr">
          <a:solidFill>
            <a:srgbClr val="A02B93">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transcription was generated automatically after each interview and corrections were made by the researcher to ensure accuracy of language. This was shared with participants to check for accuracy.</a:t>
          </a:r>
        </a:p>
      </dsp:txBody>
      <dsp:txXfrm>
        <a:off x="2979383" y="1257268"/>
        <a:ext cx="2750654" cy="101170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0346E7-8756-429C-A6E3-7C6C90B7EE99}">
      <dsp:nvSpPr>
        <dsp:cNvPr id="0" name=""/>
        <dsp:cNvSpPr/>
      </dsp:nvSpPr>
      <dsp:spPr>
        <a:xfrm>
          <a:off x="2743200" y="993630"/>
          <a:ext cx="1940834" cy="336838"/>
        </a:xfrm>
        <a:custGeom>
          <a:avLst/>
          <a:gdLst/>
          <a:ahLst/>
          <a:cxnLst/>
          <a:rect l="0" t="0" r="0" b="0"/>
          <a:pathLst>
            <a:path>
              <a:moveTo>
                <a:pt x="0" y="0"/>
              </a:moveTo>
              <a:lnTo>
                <a:pt x="0" y="168419"/>
              </a:lnTo>
              <a:lnTo>
                <a:pt x="1940834" y="168419"/>
              </a:lnTo>
              <a:lnTo>
                <a:pt x="1940834" y="33683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42E9D-44E2-4EFF-A889-761E27741077}">
      <dsp:nvSpPr>
        <dsp:cNvPr id="0" name=""/>
        <dsp:cNvSpPr/>
      </dsp:nvSpPr>
      <dsp:spPr>
        <a:xfrm>
          <a:off x="2697479" y="993630"/>
          <a:ext cx="91440" cy="336838"/>
        </a:xfrm>
        <a:custGeom>
          <a:avLst/>
          <a:gdLst/>
          <a:ahLst/>
          <a:cxnLst/>
          <a:rect l="0" t="0" r="0" b="0"/>
          <a:pathLst>
            <a:path>
              <a:moveTo>
                <a:pt x="45720" y="0"/>
              </a:moveTo>
              <a:lnTo>
                <a:pt x="45720" y="33683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C04F39-AB98-46EF-98AD-50BA897A9600}">
      <dsp:nvSpPr>
        <dsp:cNvPr id="0" name=""/>
        <dsp:cNvSpPr/>
      </dsp:nvSpPr>
      <dsp:spPr>
        <a:xfrm>
          <a:off x="802365" y="993630"/>
          <a:ext cx="1940834" cy="336838"/>
        </a:xfrm>
        <a:custGeom>
          <a:avLst/>
          <a:gdLst/>
          <a:ahLst/>
          <a:cxnLst/>
          <a:rect l="0" t="0" r="0" b="0"/>
          <a:pathLst>
            <a:path>
              <a:moveTo>
                <a:pt x="1940834" y="0"/>
              </a:moveTo>
              <a:lnTo>
                <a:pt x="1940834" y="168419"/>
              </a:lnTo>
              <a:lnTo>
                <a:pt x="0" y="168419"/>
              </a:lnTo>
              <a:lnTo>
                <a:pt x="0" y="33683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39F5E-8EBA-4A46-B5BF-1D3FC9C19C5F}">
      <dsp:nvSpPr>
        <dsp:cNvPr id="0" name=""/>
        <dsp:cNvSpPr/>
      </dsp:nvSpPr>
      <dsp:spPr>
        <a:xfrm>
          <a:off x="1941202" y="191632"/>
          <a:ext cx="1603995" cy="80199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A professional life memoir </a:t>
          </a:r>
        </a:p>
      </dsp:txBody>
      <dsp:txXfrm>
        <a:off x="1941202" y="191632"/>
        <a:ext cx="1603995" cy="801997"/>
      </dsp:txXfrm>
    </dsp:sp>
    <dsp:sp modelId="{104B6D2B-49E5-4035-8AF7-C5F5620B11C2}">
      <dsp:nvSpPr>
        <dsp:cNvPr id="0" name=""/>
        <dsp:cNvSpPr/>
      </dsp:nvSpPr>
      <dsp:spPr>
        <a:xfrm>
          <a:off x="368" y="1330469"/>
          <a:ext cx="1603995" cy="80199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 Reminiscence</a:t>
          </a:r>
        </a:p>
      </dsp:txBody>
      <dsp:txXfrm>
        <a:off x="368" y="1330469"/>
        <a:ext cx="1603995" cy="801997"/>
      </dsp:txXfrm>
    </dsp:sp>
    <dsp:sp modelId="{B79D8C30-1597-44B1-A51C-22D2BBCF0181}">
      <dsp:nvSpPr>
        <dsp:cNvPr id="0" name=""/>
        <dsp:cNvSpPr/>
      </dsp:nvSpPr>
      <dsp:spPr>
        <a:xfrm>
          <a:off x="1941202" y="1330469"/>
          <a:ext cx="1603995" cy="80199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Analytical reminiscence</a:t>
          </a:r>
        </a:p>
      </dsp:txBody>
      <dsp:txXfrm>
        <a:off x="1941202" y="1330469"/>
        <a:ext cx="1603995" cy="801997"/>
      </dsp:txXfrm>
    </dsp:sp>
    <dsp:sp modelId="{1B7C3016-646C-4A66-9633-A3D9AC9EF16F}">
      <dsp:nvSpPr>
        <dsp:cNvPr id="0" name=""/>
        <dsp:cNvSpPr/>
      </dsp:nvSpPr>
      <dsp:spPr>
        <a:xfrm>
          <a:off x="3882036" y="1330469"/>
          <a:ext cx="1603995" cy="80199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The learning and future learning</a:t>
          </a:r>
        </a:p>
      </dsp:txBody>
      <dsp:txXfrm>
        <a:off x="3882036" y="1330469"/>
        <a:ext cx="1603995" cy="80199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6AABA-62C0-4F66-A55F-AAB36A995FF0}">
      <dsp:nvSpPr>
        <dsp:cNvPr id="0" name=""/>
        <dsp:cNvSpPr/>
      </dsp:nvSpPr>
      <dsp:spPr>
        <a:xfrm>
          <a:off x="3303" y="729764"/>
          <a:ext cx="917910" cy="91791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The Crossing</a:t>
          </a:r>
        </a:p>
      </dsp:txBody>
      <dsp:txXfrm>
        <a:off x="137728" y="864189"/>
        <a:ext cx="649060" cy="649060"/>
      </dsp:txXfrm>
    </dsp:sp>
    <dsp:sp modelId="{93AB535E-8004-4D78-98E4-19C78A4B810E}">
      <dsp:nvSpPr>
        <dsp:cNvPr id="0" name=""/>
        <dsp:cNvSpPr/>
      </dsp:nvSpPr>
      <dsp:spPr>
        <a:xfrm>
          <a:off x="995748" y="922525"/>
          <a:ext cx="532388" cy="53238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066316" y="1126110"/>
        <a:ext cx="391252" cy="125218"/>
      </dsp:txXfrm>
    </dsp:sp>
    <dsp:sp modelId="{4023B373-DEFD-47CD-B2EC-1714AA341004}">
      <dsp:nvSpPr>
        <dsp:cNvPr id="0" name=""/>
        <dsp:cNvSpPr/>
      </dsp:nvSpPr>
      <dsp:spPr>
        <a:xfrm>
          <a:off x="1602671" y="729764"/>
          <a:ext cx="917910" cy="91791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The Encounter</a:t>
          </a:r>
        </a:p>
      </dsp:txBody>
      <dsp:txXfrm>
        <a:off x="1737096" y="864189"/>
        <a:ext cx="649060" cy="649060"/>
      </dsp:txXfrm>
    </dsp:sp>
    <dsp:sp modelId="{3289AFFA-6A17-4DB3-B77E-32D027C5C3AA}">
      <dsp:nvSpPr>
        <dsp:cNvPr id="0" name=""/>
        <dsp:cNvSpPr/>
      </dsp:nvSpPr>
      <dsp:spPr>
        <a:xfrm>
          <a:off x="2595115" y="922525"/>
          <a:ext cx="532388" cy="53238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665683" y="1126110"/>
        <a:ext cx="391252" cy="125218"/>
      </dsp:txXfrm>
    </dsp:sp>
    <dsp:sp modelId="{C923420A-F1C7-4B16-9273-A7ED93163088}">
      <dsp:nvSpPr>
        <dsp:cNvPr id="0" name=""/>
        <dsp:cNvSpPr/>
      </dsp:nvSpPr>
      <dsp:spPr>
        <a:xfrm>
          <a:off x="3202038" y="729764"/>
          <a:ext cx="917910" cy="91791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The Conquest</a:t>
          </a:r>
        </a:p>
      </dsp:txBody>
      <dsp:txXfrm>
        <a:off x="3336463" y="864189"/>
        <a:ext cx="649060" cy="649060"/>
      </dsp:txXfrm>
    </dsp:sp>
    <dsp:sp modelId="{485AB3E1-1B10-44BF-AE5D-EE0090A1B318}">
      <dsp:nvSpPr>
        <dsp:cNvPr id="0" name=""/>
        <dsp:cNvSpPr/>
      </dsp:nvSpPr>
      <dsp:spPr>
        <a:xfrm>
          <a:off x="4194483" y="922525"/>
          <a:ext cx="532388" cy="532388"/>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4265051" y="1032197"/>
        <a:ext cx="391252" cy="313044"/>
      </dsp:txXfrm>
    </dsp:sp>
    <dsp:sp modelId="{8A79DF07-9AAC-4840-8BF1-4DC740084106}">
      <dsp:nvSpPr>
        <dsp:cNvPr id="0" name=""/>
        <dsp:cNvSpPr/>
      </dsp:nvSpPr>
      <dsp:spPr>
        <a:xfrm>
          <a:off x="4801405" y="729764"/>
          <a:ext cx="917910" cy="91791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The Celebration</a:t>
          </a:r>
        </a:p>
      </dsp:txBody>
      <dsp:txXfrm>
        <a:off x="4935830" y="864189"/>
        <a:ext cx="649060" cy="64906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82564-22C4-40AF-A719-3F69FF2F2AB1}">
      <dsp:nvSpPr>
        <dsp:cNvPr id="0" name=""/>
        <dsp:cNvSpPr/>
      </dsp:nvSpPr>
      <dsp:spPr>
        <a:xfrm>
          <a:off x="3797000" y="772032"/>
          <a:ext cx="1656318" cy="1656624"/>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ECC438-362B-4FD7-A86E-3D83C18AB146}">
      <dsp:nvSpPr>
        <dsp:cNvPr id="0" name=""/>
        <dsp:cNvSpPr/>
      </dsp:nvSpPr>
      <dsp:spPr>
        <a:xfrm>
          <a:off x="3851995" y="827263"/>
          <a:ext cx="1546328" cy="1546163"/>
        </a:xfrm>
        <a:prstGeom prst="ellips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The Future</a:t>
          </a:r>
        </a:p>
      </dsp:txBody>
      <dsp:txXfrm>
        <a:off x="4073053" y="1048185"/>
        <a:ext cx="1104212" cy="1104319"/>
      </dsp:txXfrm>
    </dsp:sp>
    <dsp:sp modelId="{55F40FD1-4B97-4E59-83F7-488B449A10AD}">
      <dsp:nvSpPr>
        <dsp:cNvPr id="0" name=""/>
        <dsp:cNvSpPr/>
      </dsp:nvSpPr>
      <dsp:spPr>
        <a:xfrm rot="2700000">
          <a:off x="2087142" y="774035"/>
          <a:ext cx="1652329" cy="1652329"/>
        </a:xfrm>
        <a:prstGeom prst="teardrop">
          <a:avLst>
            <a:gd name="adj" fmla="val 1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00EE51-E377-4C81-9BE4-410B885D835F}">
      <dsp:nvSpPr>
        <dsp:cNvPr id="0" name=""/>
        <dsp:cNvSpPr/>
      </dsp:nvSpPr>
      <dsp:spPr>
        <a:xfrm>
          <a:off x="2140142" y="827263"/>
          <a:ext cx="1546328" cy="1546163"/>
        </a:xfrm>
        <a:prstGeom prst="ellips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The Present</a:t>
          </a:r>
        </a:p>
      </dsp:txBody>
      <dsp:txXfrm>
        <a:off x="2361200" y="1048185"/>
        <a:ext cx="1104212" cy="1104319"/>
      </dsp:txXfrm>
    </dsp:sp>
    <dsp:sp modelId="{829EFE30-48FB-4499-B4F4-45C10AC8D374}">
      <dsp:nvSpPr>
        <dsp:cNvPr id="0" name=""/>
        <dsp:cNvSpPr/>
      </dsp:nvSpPr>
      <dsp:spPr>
        <a:xfrm rot="2700000">
          <a:off x="375289" y="774035"/>
          <a:ext cx="1652329" cy="1652329"/>
        </a:xfrm>
        <a:prstGeom prst="teardrop">
          <a:avLst>
            <a:gd name="adj" fmla="val 1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4F419C-1F82-493E-B24C-562A859005D9}">
      <dsp:nvSpPr>
        <dsp:cNvPr id="0" name=""/>
        <dsp:cNvSpPr/>
      </dsp:nvSpPr>
      <dsp:spPr>
        <a:xfrm>
          <a:off x="428290" y="827263"/>
          <a:ext cx="1546328" cy="1546163"/>
        </a:xfrm>
        <a:prstGeom prst="ellips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Calibri" panose="020F0502020204030204" pitchFamily="34" charset="0"/>
              <a:ea typeface="Calibri" panose="020F0502020204030204" pitchFamily="34" charset="0"/>
              <a:cs typeface="Calibri" panose="020F0502020204030204" pitchFamily="34" charset="0"/>
            </a:rPr>
            <a:t>The Past</a:t>
          </a:r>
        </a:p>
      </dsp:txBody>
      <dsp:txXfrm>
        <a:off x="649348" y="1048185"/>
        <a:ext cx="1104212" cy="11043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30D31-0DED-4093-95E1-6C52E89F24BC}">
      <dsp:nvSpPr>
        <dsp:cNvPr id="0" name=""/>
        <dsp:cNvSpPr/>
      </dsp:nvSpPr>
      <dsp:spPr>
        <a:xfrm>
          <a:off x="1450287" y="752474"/>
          <a:ext cx="2257425" cy="225742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67D21-13FE-4649-B8C9-EB3E86FD0A5D}">
      <dsp:nvSpPr>
        <dsp:cNvPr id="0" name=""/>
        <dsp:cNvSpPr/>
      </dsp:nvSpPr>
      <dsp:spPr>
        <a:xfrm>
          <a:off x="1880277" y="1189629"/>
          <a:ext cx="1354455" cy="135445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A2099E-3C55-4BF8-A2A7-4E581A2B79C0}">
      <dsp:nvSpPr>
        <dsp:cNvPr id="0" name=""/>
        <dsp:cNvSpPr/>
      </dsp:nvSpPr>
      <dsp:spPr>
        <a:xfrm>
          <a:off x="2317432" y="1655445"/>
          <a:ext cx="451485" cy="45148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BCB308-F3D5-4210-BF56-D111A1DCC48C}">
      <dsp:nvSpPr>
        <dsp:cNvPr id="0" name=""/>
        <dsp:cNvSpPr/>
      </dsp:nvSpPr>
      <dsp:spPr>
        <a:xfrm>
          <a:off x="4048125" y="0"/>
          <a:ext cx="1128712" cy="65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The student</a:t>
          </a:r>
        </a:p>
      </dsp:txBody>
      <dsp:txXfrm>
        <a:off x="4048125" y="0"/>
        <a:ext cx="1128712" cy="658415"/>
      </dsp:txXfrm>
    </dsp:sp>
    <dsp:sp modelId="{4EDCD0F2-5C6D-4BC8-B51D-F13C11C32296}">
      <dsp:nvSpPr>
        <dsp:cNvPr id="0" name=""/>
        <dsp:cNvSpPr/>
      </dsp:nvSpPr>
      <dsp:spPr>
        <a:xfrm>
          <a:off x="3765946" y="329207"/>
          <a:ext cx="28217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D875C2-FAAE-4F49-BC28-91CB6A09299D}">
      <dsp:nvSpPr>
        <dsp:cNvPr id="0" name=""/>
        <dsp:cNvSpPr/>
      </dsp:nvSpPr>
      <dsp:spPr>
        <a:xfrm rot="5400000">
          <a:off x="2378194" y="494564"/>
          <a:ext cx="1551603" cy="1221643"/>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2BD8CA-EE78-4ED4-821D-380ED39024ED}">
      <dsp:nvSpPr>
        <dsp:cNvPr id="0" name=""/>
        <dsp:cNvSpPr/>
      </dsp:nvSpPr>
      <dsp:spPr>
        <a:xfrm>
          <a:off x="4048125" y="658415"/>
          <a:ext cx="1128712" cy="65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The teacher holding the student/s</a:t>
          </a:r>
        </a:p>
      </dsp:txBody>
      <dsp:txXfrm>
        <a:off x="4048125" y="658415"/>
        <a:ext cx="1128712" cy="658415"/>
      </dsp:txXfrm>
    </dsp:sp>
    <dsp:sp modelId="{03F2A756-B2F3-4FE6-9AFC-F8BA8B36A10F}">
      <dsp:nvSpPr>
        <dsp:cNvPr id="0" name=""/>
        <dsp:cNvSpPr/>
      </dsp:nvSpPr>
      <dsp:spPr>
        <a:xfrm>
          <a:off x="3765946" y="987623"/>
          <a:ext cx="28217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7C880A-2FBD-4C57-A3AB-01C638EF74DC}">
      <dsp:nvSpPr>
        <dsp:cNvPr id="0" name=""/>
        <dsp:cNvSpPr/>
      </dsp:nvSpPr>
      <dsp:spPr>
        <a:xfrm rot="5400000">
          <a:off x="2711240" y="1142708"/>
          <a:ext cx="1209076" cy="898078"/>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CA4609-CB2F-440F-9BF6-6C19B085EFEB}">
      <dsp:nvSpPr>
        <dsp:cNvPr id="0" name=""/>
        <dsp:cNvSpPr/>
      </dsp:nvSpPr>
      <dsp:spPr>
        <a:xfrm>
          <a:off x="4048125" y="1249646"/>
          <a:ext cx="1128712" cy="792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The employer, holding the teacher, holding the student</a:t>
          </a:r>
        </a:p>
      </dsp:txBody>
      <dsp:txXfrm>
        <a:off x="4048125" y="1249646"/>
        <a:ext cx="1128712" cy="792785"/>
      </dsp:txXfrm>
    </dsp:sp>
    <dsp:sp modelId="{760FA4DA-CFE0-4CBE-B6B9-E7577C6F9B9E}">
      <dsp:nvSpPr>
        <dsp:cNvPr id="0" name=""/>
        <dsp:cNvSpPr/>
      </dsp:nvSpPr>
      <dsp:spPr>
        <a:xfrm>
          <a:off x="3765946" y="1646039"/>
          <a:ext cx="282178"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8621ED-03BF-4233-9F19-7DD915D1107E}">
      <dsp:nvSpPr>
        <dsp:cNvPr id="0" name=""/>
        <dsp:cNvSpPr/>
      </dsp:nvSpPr>
      <dsp:spPr>
        <a:xfrm rot="5400000">
          <a:off x="3044699" y="1790326"/>
          <a:ext cx="863841" cy="574514"/>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30D31-0DED-4093-95E1-6C52E89F24BC}">
      <dsp:nvSpPr>
        <dsp:cNvPr id="0" name=""/>
        <dsp:cNvSpPr/>
      </dsp:nvSpPr>
      <dsp:spPr>
        <a:xfrm>
          <a:off x="1345784" y="798194"/>
          <a:ext cx="2394585" cy="239458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67D21-13FE-4649-B8C9-EB3E86FD0A5D}">
      <dsp:nvSpPr>
        <dsp:cNvPr id="0" name=""/>
        <dsp:cNvSpPr/>
      </dsp:nvSpPr>
      <dsp:spPr>
        <a:xfrm>
          <a:off x="1801900" y="1261911"/>
          <a:ext cx="1436751" cy="1436751"/>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A2099E-3C55-4BF8-A2A7-4E581A2B79C0}">
      <dsp:nvSpPr>
        <dsp:cNvPr id="0" name=""/>
        <dsp:cNvSpPr/>
      </dsp:nvSpPr>
      <dsp:spPr>
        <a:xfrm>
          <a:off x="2265616" y="1756029"/>
          <a:ext cx="478917" cy="478917"/>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BCB308-F3D5-4210-BF56-D111A1DCC48C}">
      <dsp:nvSpPr>
        <dsp:cNvPr id="0" name=""/>
        <dsp:cNvSpPr/>
      </dsp:nvSpPr>
      <dsp:spPr>
        <a:xfrm>
          <a:off x="4101464" y="0"/>
          <a:ext cx="1197292" cy="69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The participant, their feelings nd reflections on their journey</a:t>
          </a:r>
        </a:p>
      </dsp:txBody>
      <dsp:txXfrm>
        <a:off x="4101464" y="0"/>
        <a:ext cx="1197292" cy="698420"/>
      </dsp:txXfrm>
    </dsp:sp>
    <dsp:sp modelId="{4EDCD0F2-5C6D-4BC8-B51D-F13C11C32296}">
      <dsp:nvSpPr>
        <dsp:cNvPr id="0" name=""/>
        <dsp:cNvSpPr/>
      </dsp:nvSpPr>
      <dsp:spPr>
        <a:xfrm>
          <a:off x="3802141" y="349210"/>
          <a:ext cx="299323"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D875C2-FAAE-4F49-BC28-91CB6A09299D}">
      <dsp:nvSpPr>
        <dsp:cNvPr id="0" name=""/>
        <dsp:cNvSpPr/>
      </dsp:nvSpPr>
      <dsp:spPr>
        <a:xfrm rot="5400000">
          <a:off x="2330070" y="524613"/>
          <a:ext cx="1645878" cy="1295869"/>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2BD8CA-EE78-4ED4-821D-380ED39024ED}">
      <dsp:nvSpPr>
        <dsp:cNvPr id="0" name=""/>
        <dsp:cNvSpPr/>
      </dsp:nvSpPr>
      <dsp:spPr>
        <a:xfrm>
          <a:off x="4101464" y="698420"/>
          <a:ext cx="1197292" cy="69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t>Winnicott and object relations.  Depth psychology</a:t>
          </a:r>
        </a:p>
      </dsp:txBody>
      <dsp:txXfrm>
        <a:off x="4101464" y="698420"/>
        <a:ext cx="1197292" cy="698420"/>
      </dsp:txXfrm>
    </dsp:sp>
    <dsp:sp modelId="{03F2A756-B2F3-4FE6-9AFC-F8BA8B36A10F}">
      <dsp:nvSpPr>
        <dsp:cNvPr id="0" name=""/>
        <dsp:cNvSpPr/>
      </dsp:nvSpPr>
      <dsp:spPr>
        <a:xfrm>
          <a:off x="3802141" y="1047630"/>
          <a:ext cx="299323"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7C880A-2FBD-4C57-A3AB-01C638EF74DC}">
      <dsp:nvSpPr>
        <dsp:cNvPr id="0" name=""/>
        <dsp:cNvSpPr/>
      </dsp:nvSpPr>
      <dsp:spPr>
        <a:xfrm rot="5400000">
          <a:off x="2683351" y="1212138"/>
          <a:ext cx="1282539" cy="952645"/>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CA4609-CB2F-440F-9BF6-6C19B085EFEB}">
      <dsp:nvSpPr>
        <dsp:cNvPr id="0" name=""/>
        <dsp:cNvSpPr/>
      </dsp:nvSpPr>
      <dsp:spPr>
        <a:xfrm>
          <a:off x="4101464" y="1325574"/>
          <a:ext cx="1197292" cy="8409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Depth pedagogy; the holder of the individuation process and hero's journey</a:t>
          </a:r>
        </a:p>
      </dsp:txBody>
      <dsp:txXfrm>
        <a:off x="4101464" y="1325574"/>
        <a:ext cx="1197292" cy="840954"/>
      </dsp:txXfrm>
    </dsp:sp>
    <dsp:sp modelId="{760FA4DA-CFE0-4CBE-B6B9-E7577C6F9B9E}">
      <dsp:nvSpPr>
        <dsp:cNvPr id="0" name=""/>
        <dsp:cNvSpPr/>
      </dsp:nvSpPr>
      <dsp:spPr>
        <a:xfrm>
          <a:off x="3802141" y="1746051"/>
          <a:ext cx="299323" cy="0"/>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8621ED-03BF-4233-9F19-7DD915D1107E}">
      <dsp:nvSpPr>
        <dsp:cNvPr id="0" name=""/>
        <dsp:cNvSpPr/>
      </dsp:nvSpPr>
      <dsp:spPr>
        <a:xfrm rot="5400000">
          <a:off x="3037071" y="1899105"/>
          <a:ext cx="916327" cy="609421"/>
        </a:xfrm>
        <a:prstGeom prst="line">
          <a:avLst/>
        </a:prstGeom>
        <a:solidFill>
          <a:schemeClr val="accent1">
            <a:hueOff val="0"/>
            <a:satOff val="0"/>
            <a:lumOff val="0"/>
            <a:alphaOff val="0"/>
          </a:schemeClr>
        </a:solidFill>
        <a:ln w="1905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968CF2-7909-497D-BF69-057B78CBE1F4}">
      <dsp:nvSpPr>
        <dsp:cNvPr id="0" name=""/>
        <dsp:cNvSpPr/>
      </dsp:nvSpPr>
      <dsp:spPr>
        <a:xfrm>
          <a:off x="2750818" y="860278"/>
          <a:ext cx="1933215" cy="344461"/>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A1F3B8-8956-4BC1-AC9E-EEF739F614BE}">
      <dsp:nvSpPr>
        <dsp:cNvPr id="0" name=""/>
        <dsp:cNvSpPr/>
      </dsp:nvSpPr>
      <dsp:spPr>
        <a:xfrm>
          <a:off x="2697480" y="860278"/>
          <a:ext cx="91440" cy="344461"/>
        </a:xfrm>
        <a:custGeom>
          <a:avLst/>
          <a:gdLst/>
          <a:ahLst/>
          <a:cxnLst/>
          <a:rect l="0" t="0" r="0" b="0"/>
          <a:pathLst>
            <a:path>
              <a:moveTo>
                <a:pt x="45720" y="0"/>
              </a:moveTo>
              <a:lnTo>
                <a:pt x="45720"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7B8943-F4F0-4523-A84C-8A3D42C0232C}">
      <dsp:nvSpPr>
        <dsp:cNvPr id="0" name=""/>
        <dsp:cNvSpPr/>
      </dsp:nvSpPr>
      <dsp:spPr>
        <a:xfrm>
          <a:off x="802365" y="860278"/>
          <a:ext cx="1948453" cy="344461"/>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09DBD4-803A-4C4C-92F4-EA16A8319F96}">
      <dsp:nvSpPr>
        <dsp:cNvPr id="0" name=""/>
        <dsp:cNvSpPr/>
      </dsp:nvSpPr>
      <dsp:spPr>
        <a:xfrm>
          <a:off x="2331719" y="58280"/>
          <a:ext cx="838199"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889C60-2BEC-47E9-8E46-75DD061855F8}">
      <dsp:nvSpPr>
        <dsp:cNvPr id="0" name=""/>
        <dsp:cNvSpPr/>
      </dsp:nvSpPr>
      <dsp:spPr>
        <a:xfrm>
          <a:off x="2331719" y="58280"/>
          <a:ext cx="838199"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8D30EB-F60A-467F-A019-0ED767B40B97}">
      <dsp:nvSpPr>
        <dsp:cNvPr id="0" name=""/>
        <dsp:cNvSpPr/>
      </dsp:nvSpPr>
      <dsp:spPr>
        <a:xfrm>
          <a:off x="1912619" y="202640"/>
          <a:ext cx="1676399" cy="513278"/>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professional narrative - a journey of temporal curiosity</a:t>
          </a:r>
        </a:p>
      </dsp:txBody>
      <dsp:txXfrm>
        <a:off x="1912619" y="202640"/>
        <a:ext cx="1676399" cy="513278"/>
      </dsp:txXfrm>
    </dsp:sp>
    <dsp:sp modelId="{A52C0AF7-2731-4BAA-BD15-0852F7B67EF7}">
      <dsp:nvSpPr>
        <dsp:cNvPr id="0" name=""/>
        <dsp:cNvSpPr/>
      </dsp:nvSpPr>
      <dsp:spPr>
        <a:xfrm>
          <a:off x="401367" y="120473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A6D556-2521-404D-B31D-90C1E441A494}">
      <dsp:nvSpPr>
        <dsp:cNvPr id="0" name=""/>
        <dsp:cNvSpPr/>
      </dsp:nvSpPr>
      <dsp:spPr>
        <a:xfrm>
          <a:off x="401367" y="120473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A48B9C-3FBE-4C23-B1CD-3013B195EDE7}">
      <dsp:nvSpPr>
        <dsp:cNvPr id="0" name=""/>
        <dsp:cNvSpPr/>
      </dsp:nvSpPr>
      <dsp:spPr>
        <a:xfrm>
          <a:off x="368" y="1349099"/>
          <a:ext cx="1603995" cy="513278"/>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Support during the teacher training journey- the "what"?</a:t>
          </a:r>
        </a:p>
      </dsp:txBody>
      <dsp:txXfrm>
        <a:off x="368" y="1349099"/>
        <a:ext cx="1603995" cy="513278"/>
      </dsp:txXfrm>
    </dsp:sp>
    <dsp:sp modelId="{BB41F39E-30A2-4634-9BB8-E09B5F575E03}">
      <dsp:nvSpPr>
        <dsp:cNvPr id="0" name=""/>
        <dsp:cNvSpPr/>
      </dsp:nvSpPr>
      <dsp:spPr>
        <a:xfrm>
          <a:off x="2342201" y="120473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1B716F-B5A5-4075-8EB3-2A7F5DE36C86}">
      <dsp:nvSpPr>
        <dsp:cNvPr id="0" name=""/>
        <dsp:cNvSpPr/>
      </dsp:nvSpPr>
      <dsp:spPr>
        <a:xfrm>
          <a:off x="2342201" y="120473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3AD0F-60FD-4E1B-BED6-CA691081E03E}">
      <dsp:nvSpPr>
        <dsp:cNvPr id="0" name=""/>
        <dsp:cNvSpPr/>
      </dsp:nvSpPr>
      <dsp:spPr>
        <a:xfrm>
          <a:off x="1941202" y="1349099"/>
          <a:ext cx="1603995" cy="513278"/>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Teacher identity- the "so what"?</a:t>
          </a:r>
        </a:p>
      </dsp:txBody>
      <dsp:txXfrm>
        <a:off x="1941202" y="1349099"/>
        <a:ext cx="1603995" cy="513278"/>
      </dsp:txXfrm>
    </dsp:sp>
    <dsp:sp modelId="{B0B87E16-D555-42BA-82CC-FB89AA561BD7}">
      <dsp:nvSpPr>
        <dsp:cNvPr id="0" name=""/>
        <dsp:cNvSpPr/>
      </dsp:nvSpPr>
      <dsp:spPr>
        <a:xfrm>
          <a:off x="4283035" y="1204739"/>
          <a:ext cx="801997" cy="80199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0FE752-BFE2-4A5B-80BA-0C84EC577B88}">
      <dsp:nvSpPr>
        <dsp:cNvPr id="0" name=""/>
        <dsp:cNvSpPr/>
      </dsp:nvSpPr>
      <dsp:spPr>
        <a:xfrm>
          <a:off x="4283035" y="1204739"/>
          <a:ext cx="801997" cy="80199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31A591-CEBD-41A0-B21A-A66B3A942BEE}">
      <dsp:nvSpPr>
        <dsp:cNvPr id="0" name=""/>
        <dsp:cNvSpPr/>
      </dsp:nvSpPr>
      <dsp:spPr>
        <a:xfrm>
          <a:off x="3882036" y="1349099"/>
          <a:ext cx="1603995" cy="513278"/>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Learning from  retrospective reminiscening - the "now what"?</a:t>
          </a:r>
        </a:p>
      </dsp:txBody>
      <dsp:txXfrm>
        <a:off x="3882036" y="1349099"/>
        <a:ext cx="1603995" cy="5132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968CF2-7909-497D-BF69-057B78CBE1F4}">
      <dsp:nvSpPr>
        <dsp:cNvPr id="0" name=""/>
        <dsp:cNvSpPr/>
      </dsp:nvSpPr>
      <dsp:spPr>
        <a:xfrm>
          <a:off x="2827020" y="1911367"/>
          <a:ext cx="2000137" cy="347131"/>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A1F3B8-8956-4BC1-AC9E-EEF739F614BE}">
      <dsp:nvSpPr>
        <dsp:cNvPr id="0" name=""/>
        <dsp:cNvSpPr/>
      </dsp:nvSpPr>
      <dsp:spPr>
        <a:xfrm>
          <a:off x="2781300" y="1911367"/>
          <a:ext cx="91440" cy="347131"/>
        </a:xfrm>
        <a:custGeom>
          <a:avLst/>
          <a:gdLst/>
          <a:ahLst/>
          <a:cxnLst/>
          <a:rect l="0" t="0" r="0" b="0"/>
          <a:pathLst>
            <a:path>
              <a:moveTo>
                <a:pt x="45720" y="0"/>
              </a:moveTo>
              <a:lnTo>
                <a:pt x="45720"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7B8943-F4F0-4523-A84C-8A3D42C0232C}">
      <dsp:nvSpPr>
        <dsp:cNvPr id="0" name=""/>
        <dsp:cNvSpPr/>
      </dsp:nvSpPr>
      <dsp:spPr>
        <a:xfrm>
          <a:off x="826882" y="1911367"/>
          <a:ext cx="2000137" cy="347131"/>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09DBD4-803A-4C4C-92F4-EA16A8319F96}">
      <dsp:nvSpPr>
        <dsp:cNvPr id="0" name=""/>
        <dsp:cNvSpPr/>
      </dsp:nvSpPr>
      <dsp:spPr>
        <a:xfrm>
          <a:off x="2276114" y="1047680"/>
          <a:ext cx="1101811" cy="863687"/>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889C60-2BEC-47E9-8E46-75DD061855F8}">
      <dsp:nvSpPr>
        <dsp:cNvPr id="0" name=""/>
        <dsp:cNvSpPr/>
      </dsp:nvSpPr>
      <dsp:spPr>
        <a:xfrm>
          <a:off x="2276114" y="1047680"/>
          <a:ext cx="1101811" cy="863687"/>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8D30EB-F60A-467F-A019-0ED767B40B97}">
      <dsp:nvSpPr>
        <dsp:cNvPr id="0" name=""/>
        <dsp:cNvSpPr/>
      </dsp:nvSpPr>
      <dsp:spPr>
        <a:xfrm>
          <a:off x="1725208" y="1203144"/>
          <a:ext cx="2203622" cy="552759"/>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Overarching coding</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A professional narrative - a journey of temporal curiosity</a:t>
          </a:r>
        </a:p>
      </dsp:txBody>
      <dsp:txXfrm>
        <a:off x="1725208" y="1203144"/>
        <a:ext cx="2203622" cy="552759"/>
      </dsp:txXfrm>
    </dsp:sp>
    <dsp:sp modelId="{A52C0AF7-2731-4BAA-BD15-0852F7B67EF7}">
      <dsp:nvSpPr>
        <dsp:cNvPr id="0" name=""/>
        <dsp:cNvSpPr/>
      </dsp:nvSpPr>
      <dsp:spPr>
        <a:xfrm>
          <a:off x="413631" y="2258499"/>
          <a:ext cx="826503" cy="826503"/>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A6D556-2521-404D-B31D-90C1E441A494}">
      <dsp:nvSpPr>
        <dsp:cNvPr id="0" name=""/>
        <dsp:cNvSpPr/>
      </dsp:nvSpPr>
      <dsp:spPr>
        <a:xfrm>
          <a:off x="413631" y="2258499"/>
          <a:ext cx="826503" cy="826503"/>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A48B9C-3FBE-4C23-B1CD-3013B195EDE7}">
      <dsp:nvSpPr>
        <dsp:cNvPr id="0" name=""/>
        <dsp:cNvSpPr/>
      </dsp:nvSpPr>
      <dsp:spPr>
        <a:xfrm>
          <a:off x="379" y="2407269"/>
          <a:ext cx="1653006" cy="528961"/>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The teacher training journey - the "what?"</a:t>
          </a:r>
        </a:p>
      </dsp:txBody>
      <dsp:txXfrm>
        <a:off x="379" y="2407269"/>
        <a:ext cx="1653006" cy="528961"/>
      </dsp:txXfrm>
    </dsp:sp>
    <dsp:sp modelId="{BB41F39E-30A2-4634-9BB8-E09B5F575E03}">
      <dsp:nvSpPr>
        <dsp:cNvPr id="0" name=""/>
        <dsp:cNvSpPr/>
      </dsp:nvSpPr>
      <dsp:spPr>
        <a:xfrm>
          <a:off x="2413768" y="2258499"/>
          <a:ext cx="826503" cy="826503"/>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1B716F-B5A5-4075-8EB3-2A7F5DE36C86}">
      <dsp:nvSpPr>
        <dsp:cNvPr id="0" name=""/>
        <dsp:cNvSpPr/>
      </dsp:nvSpPr>
      <dsp:spPr>
        <a:xfrm>
          <a:off x="2413768" y="2258499"/>
          <a:ext cx="826503" cy="826503"/>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3AD0F-60FD-4E1B-BED6-CA691081E03E}">
      <dsp:nvSpPr>
        <dsp:cNvPr id="0" name=""/>
        <dsp:cNvSpPr/>
      </dsp:nvSpPr>
      <dsp:spPr>
        <a:xfrm>
          <a:off x="2000516" y="2407269"/>
          <a:ext cx="1653006" cy="528961"/>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endParaRPr>
        </a:p>
      </dsp:txBody>
      <dsp:txXfrm>
        <a:off x="2000516" y="2407269"/>
        <a:ext cx="1653006" cy="528961"/>
      </dsp:txXfrm>
    </dsp:sp>
    <dsp:sp modelId="{B0B87E16-D555-42BA-82CC-FB89AA561BD7}">
      <dsp:nvSpPr>
        <dsp:cNvPr id="0" name=""/>
        <dsp:cNvSpPr/>
      </dsp:nvSpPr>
      <dsp:spPr>
        <a:xfrm>
          <a:off x="4413905" y="2258499"/>
          <a:ext cx="826503" cy="869580"/>
        </a:xfrm>
        <a:prstGeom prst="arc">
          <a:avLst>
            <a:gd name="adj1" fmla="val 13200000"/>
            <a:gd name="adj2" fmla="val 192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0FE752-BFE2-4A5B-80BA-0C84EC577B88}">
      <dsp:nvSpPr>
        <dsp:cNvPr id="0" name=""/>
        <dsp:cNvSpPr/>
      </dsp:nvSpPr>
      <dsp:spPr>
        <a:xfrm>
          <a:off x="4413905" y="2258499"/>
          <a:ext cx="826503" cy="869580"/>
        </a:xfrm>
        <a:prstGeom prst="arc">
          <a:avLst>
            <a:gd name="adj1" fmla="val 2400000"/>
            <a:gd name="adj2" fmla="val 8400000"/>
          </a:avLst>
        </a:prstGeom>
        <a:noFill/>
        <a:ln w="12700" cap="flat" cmpd="sng" algn="ctr">
          <a:solidFill>
            <a:srgbClr val="E84C2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31A591-CEBD-41A0-B21A-A66B3A942BEE}">
      <dsp:nvSpPr>
        <dsp:cNvPr id="0" name=""/>
        <dsp:cNvSpPr/>
      </dsp:nvSpPr>
      <dsp:spPr>
        <a:xfrm>
          <a:off x="4000654" y="2415023"/>
          <a:ext cx="1653006" cy="556531"/>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pitchFamily="34" charset="0"/>
              <a:ea typeface="Calibri" panose="020F0502020204030204" pitchFamily="34" charset="0"/>
              <a:cs typeface="Calibri" panose="020F0502020204030204" pitchFamily="34" charset="0"/>
            </a:rPr>
            <a:t>Learning from  retrospective reminiscening - the "now what?"</a:t>
          </a:r>
        </a:p>
      </dsp:txBody>
      <dsp:txXfrm>
        <a:off x="4000654" y="2415023"/>
        <a:ext cx="1653006" cy="5565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18D38-CFCA-AF4C-8917-AC4E6A3B322C}">
      <dsp:nvSpPr>
        <dsp:cNvPr id="0" name=""/>
        <dsp:cNvSpPr/>
      </dsp:nvSpPr>
      <dsp:spPr>
        <a:xfrm>
          <a:off x="723798" y="694054"/>
          <a:ext cx="2082165" cy="208216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BCF79-64ED-694C-B6E5-59FE4EC37097}">
      <dsp:nvSpPr>
        <dsp:cNvPr id="0" name=""/>
        <dsp:cNvSpPr/>
      </dsp:nvSpPr>
      <dsp:spPr>
        <a:xfrm>
          <a:off x="1153911" y="1110488"/>
          <a:ext cx="1249299" cy="124929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85047A-4ADE-3E43-9E8E-EA08F443BCF3}">
      <dsp:nvSpPr>
        <dsp:cNvPr id="0" name=""/>
        <dsp:cNvSpPr/>
      </dsp:nvSpPr>
      <dsp:spPr>
        <a:xfrm>
          <a:off x="1570344" y="1526921"/>
          <a:ext cx="416433" cy="41643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AF62BD-69CE-2B46-AC8F-31B946C063BC}">
      <dsp:nvSpPr>
        <dsp:cNvPr id="0" name=""/>
        <dsp:cNvSpPr/>
      </dsp:nvSpPr>
      <dsp:spPr>
        <a:xfrm>
          <a:off x="3166670" y="0"/>
          <a:ext cx="1041082" cy="607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Mother holding the child</a:t>
          </a:r>
        </a:p>
      </dsp:txBody>
      <dsp:txXfrm>
        <a:off x="3166670" y="0"/>
        <a:ext cx="1041082" cy="607298"/>
      </dsp:txXfrm>
    </dsp:sp>
    <dsp:sp modelId="{48C4A973-AB74-7B4A-AED5-A89EE1AC426A}">
      <dsp:nvSpPr>
        <dsp:cNvPr id="0" name=""/>
        <dsp:cNvSpPr/>
      </dsp:nvSpPr>
      <dsp:spPr>
        <a:xfrm>
          <a:off x="2906400" y="303649"/>
          <a:ext cx="260270"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1B0DD82-D6E1-3D4A-B80E-418880101B66}">
      <dsp:nvSpPr>
        <dsp:cNvPr id="0" name=""/>
        <dsp:cNvSpPr/>
      </dsp:nvSpPr>
      <dsp:spPr>
        <a:xfrm rot="5400000">
          <a:off x="1626389" y="456167"/>
          <a:ext cx="1431141" cy="1126798"/>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EEB049-F4B0-CD4E-B756-C3498C4EA279}">
      <dsp:nvSpPr>
        <dsp:cNvPr id="0" name=""/>
        <dsp:cNvSpPr/>
      </dsp:nvSpPr>
      <dsp:spPr>
        <a:xfrm>
          <a:off x="3161106" y="585313"/>
          <a:ext cx="1052211" cy="651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Father holding the mother, holding the child</a:t>
          </a:r>
        </a:p>
      </dsp:txBody>
      <dsp:txXfrm>
        <a:off x="3161106" y="585313"/>
        <a:ext cx="1052211" cy="651266"/>
      </dsp:txXfrm>
    </dsp:sp>
    <dsp:sp modelId="{D80A4E0A-27F6-924E-979E-C37C7189177A}">
      <dsp:nvSpPr>
        <dsp:cNvPr id="0" name=""/>
        <dsp:cNvSpPr/>
      </dsp:nvSpPr>
      <dsp:spPr>
        <a:xfrm>
          <a:off x="2906400" y="910947"/>
          <a:ext cx="260270"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24053E0-F1DC-2E4A-B000-5A9054CB01AE}">
      <dsp:nvSpPr>
        <dsp:cNvPr id="0" name=""/>
        <dsp:cNvSpPr/>
      </dsp:nvSpPr>
      <dsp:spPr>
        <a:xfrm rot="5400000">
          <a:off x="1933577" y="1053991"/>
          <a:ext cx="1115207" cy="828354"/>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250808D-9697-B444-99A5-CD6BAD04DA3C}">
      <dsp:nvSpPr>
        <dsp:cNvPr id="0" name=""/>
        <dsp:cNvSpPr/>
      </dsp:nvSpPr>
      <dsp:spPr>
        <a:xfrm>
          <a:off x="3137947" y="1206494"/>
          <a:ext cx="1098529" cy="623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endParaRPr lang="en-GB" sz="1100" kern="1200">
            <a:solidFill>
              <a:sysClr val="windowText" lastClr="000000">
                <a:hueOff val="0"/>
                <a:satOff val="0"/>
                <a:lumOff val="0"/>
                <a:alphaOff val="0"/>
              </a:sysClr>
            </a:solidFill>
            <a:latin typeface="Calibri" panose="020F0502020204030204"/>
            <a:ea typeface="+mn-ea"/>
            <a:cs typeface="+mn-cs"/>
          </a:endParaRPr>
        </a:p>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Society holding the father, holding the mother holding the child</a:t>
          </a:r>
        </a:p>
      </dsp:txBody>
      <dsp:txXfrm>
        <a:off x="3137947" y="1206494"/>
        <a:ext cx="1098529" cy="623500"/>
      </dsp:txXfrm>
    </dsp:sp>
    <dsp:sp modelId="{F50C2C03-81BA-B244-B26B-A4C03A744D49}">
      <dsp:nvSpPr>
        <dsp:cNvPr id="0" name=""/>
        <dsp:cNvSpPr/>
      </dsp:nvSpPr>
      <dsp:spPr>
        <a:xfrm>
          <a:off x="2906400" y="1518245"/>
          <a:ext cx="260270"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CE3B1DB-3DF9-2C49-A230-DE4C64924E0A}">
      <dsp:nvSpPr>
        <dsp:cNvPr id="0" name=""/>
        <dsp:cNvSpPr/>
      </dsp:nvSpPr>
      <dsp:spPr>
        <a:xfrm rot="5400000">
          <a:off x="2241148" y="1651330"/>
          <a:ext cx="796775" cy="52991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9A9C1-81BF-0C43-812E-1BE885424223}">
      <dsp:nvSpPr>
        <dsp:cNvPr id="0" name=""/>
        <dsp:cNvSpPr/>
      </dsp:nvSpPr>
      <dsp:spPr>
        <a:xfrm>
          <a:off x="606678" y="717549"/>
          <a:ext cx="2152650" cy="215265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E6FA09-AD2B-3446-9337-0954A251F6B9}">
      <dsp:nvSpPr>
        <dsp:cNvPr id="0" name=""/>
        <dsp:cNvSpPr/>
      </dsp:nvSpPr>
      <dsp:spPr>
        <a:xfrm>
          <a:off x="1037208" y="1148079"/>
          <a:ext cx="1291590" cy="12915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0463F2-08AC-9D42-ADA5-9E143A4DF715}">
      <dsp:nvSpPr>
        <dsp:cNvPr id="0" name=""/>
        <dsp:cNvSpPr/>
      </dsp:nvSpPr>
      <dsp:spPr>
        <a:xfrm>
          <a:off x="1467738" y="1578610"/>
          <a:ext cx="430530" cy="43053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519C87-E32B-194E-A025-C9D370EEA5B2}">
      <dsp:nvSpPr>
        <dsp:cNvPr id="0" name=""/>
        <dsp:cNvSpPr/>
      </dsp:nvSpPr>
      <dsp:spPr>
        <a:xfrm>
          <a:off x="3118103" y="0"/>
          <a:ext cx="1076325" cy="627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The teacher holding the student</a:t>
          </a:r>
        </a:p>
      </dsp:txBody>
      <dsp:txXfrm>
        <a:off x="3118103" y="0"/>
        <a:ext cx="1076325" cy="627856"/>
      </dsp:txXfrm>
    </dsp:sp>
    <dsp:sp modelId="{EA145874-0C10-7E49-9A7A-2A26396ED3A8}">
      <dsp:nvSpPr>
        <dsp:cNvPr id="0" name=""/>
        <dsp:cNvSpPr/>
      </dsp:nvSpPr>
      <dsp:spPr>
        <a:xfrm>
          <a:off x="2849022" y="313928"/>
          <a:ext cx="2690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2D27D6B-6670-7142-AD3B-A3541ACF39B0}">
      <dsp:nvSpPr>
        <dsp:cNvPr id="0" name=""/>
        <dsp:cNvSpPr/>
      </dsp:nvSpPr>
      <dsp:spPr>
        <a:xfrm rot="5400000">
          <a:off x="1525681" y="471609"/>
          <a:ext cx="1479588" cy="1164942"/>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E81CBD-08A1-F14F-B367-37B8937709E1}">
      <dsp:nvSpPr>
        <dsp:cNvPr id="0" name=""/>
        <dsp:cNvSpPr/>
      </dsp:nvSpPr>
      <dsp:spPr>
        <a:xfrm>
          <a:off x="3150861" y="620485"/>
          <a:ext cx="1453264" cy="627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The university holding the teacher, holding the student</a:t>
          </a:r>
        </a:p>
      </dsp:txBody>
      <dsp:txXfrm>
        <a:off x="3150861" y="620485"/>
        <a:ext cx="1453264" cy="627856"/>
      </dsp:txXfrm>
    </dsp:sp>
    <dsp:sp modelId="{F813BF5A-E3BC-E94D-B9F3-7EFCEC337AB7}">
      <dsp:nvSpPr>
        <dsp:cNvPr id="0" name=""/>
        <dsp:cNvSpPr/>
      </dsp:nvSpPr>
      <dsp:spPr>
        <a:xfrm>
          <a:off x="2849022" y="941784"/>
          <a:ext cx="2690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ADE4559-787C-9440-9A9E-275390BD7F96}">
      <dsp:nvSpPr>
        <dsp:cNvPr id="0" name=""/>
        <dsp:cNvSpPr/>
      </dsp:nvSpPr>
      <dsp:spPr>
        <a:xfrm rot="5400000">
          <a:off x="1843268" y="1089671"/>
          <a:ext cx="1152959" cy="856395"/>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96B98B-73A7-FD4E-B560-BCB8405408F2}">
      <dsp:nvSpPr>
        <dsp:cNvPr id="0" name=""/>
        <dsp:cNvSpPr/>
      </dsp:nvSpPr>
      <dsp:spPr>
        <a:xfrm>
          <a:off x="3124545" y="1248341"/>
          <a:ext cx="1641729" cy="627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Society holding the university holding the teacher, holding the student</a:t>
          </a:r>
        </a:p>
      </dsp:txBody>
      <dsp:txXfrm>
        <a:off x="3124545" y="1248341"/>
        <a:ext cx="1641729" cy="627856"/>
      </dsp:txXfrm>
    </dsp:sp>
    <dsp:sp modelId="{021E1DCB-2909-0643-8648-22130F7F2241}">
      <dsp:nvSpPr>
        <dsp:cNvPr id="0" name=""/>
        <dsp:cNvSpPr/>
      </dsp:nvSpPr>
      <dsp:spPr>
        <a:xfrm>
          <a:off x="2849022" y="1569640"/>
          <a:ext cx="2690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5E58B2A-9842-9B4C-AEB9-32CAF58662C7}">
      <dsp:nvSpPr>
        <dsp:cNvPr id="0" name=""/>
        <dsp:cNvSpPr/>
      </dsp:nvSpPr>
      <dsp:spPr>
        <a:xfrm rot="5400000">
          <a:off x="2161251" y="1707230"/>
          <a:ext cx="823747" cy="547849"/>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351E3-AB91-4BB0-9CFC-5CCB1B720E6B}">
      <dsp:nvSpPr>
        <dsp:cNvPr id="0" name=""/>
        <dsp:cNvSpPr/>
      </dsp:nvSpPr>
      <dsp:spPr>
        <a:xfrm>
          <a:off x="2182723" y="1083588"/>
          <a:ext cx="879551" cy="89923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ea typeface="Calibri" panose="020F0502020204030204" pitchFamily="34" charset="0"/>
              <a:cs typeface="Calibri" panose="020F0502020204030204" pitchFamily="34" charset="0"/>
            </a:rPr>
            <a:t>The student</a:t>
          </a:r>
        </a:p>
      </dsp:txBody>
      <dsp:txXfrm>
        <a:off x="2311530" y="1215278"/>
        <a:ext cx="621937" cy="635858"/>
      </dsp:txXfrm>
    </dsp:sp>
    <dsp:sp modelId="{E38EBC9F-2142-4F6A-B063-FE298F35F58C}">
      <dsp:nvSpPr>
        <dsp:cNvPr id="0" name=""/>
        <dsp:cNvSpPr/>
      </dsp:nvSpPr>
      <dsp:spPr>
        <a:xfrm rot="16242795">
          <a:off x="2556289" y="812226"/>
          <a:ext cx="146961" cy="2738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578059" y="889038"/>
        <a:ext cx="102873" cy="164311"/>
      </dsp:txXfrm>
    </dsp:sp>
    <dsp:sp modelId="{DDFE41B5-5EAF-4D07-BA86-BF618B31004C}">
      <dsp:nvSpPr>
        <dsp:cNvPr id="0" name=""/>
        <dsp:cNvSpPr/>
      </dsp:nvSpPr>
      <dsp:spPr>
        <a:xfrm>
          <a:off x="2169052" y="938"/>
          <a:ext cx="935017" cy="80544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ea typeface="Calibri" panose="020F0502020204030204" pitchFamily="34" charset="0"/>
              <a:cs typeface="Calibri" panose="020F0502020204030204" pitchFamily="34" charset="0"/>
            </a:rPr>
            <a:t>The teacher</a:t>
          </a:r>
        </a:p>
      </dsp:txBody>
      <dsp:txXfrm>
        <a:off x="2305982" y="118893"/>
        <a:ext cx="661157" cy="569535"/>
      </dsp:txXfrm>
    </dsp:sp>
    <dsp:sp modelId="{1CF9ADFC-8C15-4F20-9140-132074782150}">
      <dsp:nvSpPr>
        <dsp:cNvPr id="0" name=""/>
        <dsp:cNvSpPr/>
      </dsp:nvSpPr>
      <dsp:spPr>
        <a:xfrm>
          <a:off x="3125099" y="1396281"/>
          <a:ext cx="151350" cy="2738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125099" y="1451051"/>
        <a:ext cx="105945" cy="164311"/>
      </dsp:txXfrm>
    </dsp:sp>
    <dsp:sp modelId="{380E5991-3290-46FB-878B-0F72674214BB}">
      <dsp:nvSpPr>
        <dsp:cNvPr id="0" name=""/>
        <dsp:cNvSpPr/>
      </dsp:nvSpPr>
      <dsp:spPr>
        <a:xfrm>
          <a:off x="3347842" y="1130484"/>
          <a:ext cx="805445" cy="80544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Calibri" panose="020F0502020204030204" pitchFamily="34" charset="0"/>
              <a:ea typeface="Calibri" panose="020F0502020204030204" pitchFamily="34" charset="0"/>
              <a:cs typeface="Calibri" panose="020F0502020204030204" pitchFamily="34" charset="0"/>
            </a:rPr>
            <a:t>Learning support</a:t>
          </a:r>
        </a:p>
      </dsp:txBody>
      <dsp:txXfrm>
        <a:off x="3465797" y="1248439"/>
        <a:ext cx="569535" cy="569535"/>
      </dsp:txXfrm>
    </dsp:sp>
    <dsp:sp modelId="{83BB6123-A7C5-46BD-913E-0866D5092ED2}">
      <dsp:nvSpPr>
        <dsp:cNvPr id="0" name=""/>
        <dsp:cNvSpPr/>
      </dsp:nvSpPr>
      <dsp:spPr>
        <a:xfrm rot="5357232">
          <a:off x="2556272" y="1980360"/>
          <a:ext cx="146986" cy="2738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578046" y="2013084"/>
        <a:ext cx="102890" cy="164311"/>
      </dsp:txXfrm>
    </dsp:sp>
    <dsp:sp modelId="{0662DAF3-1326-41D7-A10C-2F3567C0704B}">
      <dsp:nvSpPr>
        <dsp:cNvPr id="0" name=""/>
        <dsp:cNvSpPr/>
      </dsp:nvSpPr>
      <dsp:spPr>
        <a:xfrm>
          <a:off x="2190146" y="2260076"/>
          <a:ext cx="892811" cy="80544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Teaching mentor</a:t>
          </a:r>
        </a:p>
      </dsp:txBody>
      <dsp:txXfrm>
        <a:off x="2320895" y="2378031"/>
        <a:ext cx="631313" cy="569535"/>
      </dsp:txXfrm>
    </dsp:sp>
    <dsp:sp modelId="{7ED69D7F-DD88-4113-B0C8-CCB8EC5396C9}">
      <dsp:nvSpPr>
        <dsp:cNvPr id="0" name=""/>
        <dsp:cNvSpPr/>
      </dsp:nvSpPr>
      <dsp:spPr>
        <a:xfrm rot="10800000">
          <a:off x="1968547" y="1396281"/>
          <a:ext cx="151350" cy="2738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013952" y="1451051"/>
        <a:ext cx="105945" cy="164311"/>
      </dsp:txXfrm>
    </dsp:sp>
    <dsp:sp modelId="{B90A5F92-C6A1-4F0A-BB01-93F788156CF7}">
      <dsp:nvSpPr>
        <dsp:cNvPr id="0" name=""/>
        <dsp:cNvSpPr/>
      </dsp:nvSpPr>
      <dsp:spPr>
        <a:xfrm>
          <a:off x="1091710" y="1130484"/>
          <a:ext cx="805445" cy="80544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Calibri" panose="020F0502020204030204" pitchFamily="34" charset="0"/>
              <a:ea typeface="Calibri" panose="020F0502020204030204" pitchFamily="34" charset="0"/>
              <a:cs typeface="Calibri" panose="020F0502020204030204" pitchFamily="34" charset="0"/>
            </a:rPr>
            <a:t>Well-being support</a:t>
          </a:r>
        </a:p>
      </dsp:txBody>
      <dsp:txXfrm>
        <a:off x="1209665" y="1248439"/>
        <a:ext cx="569535" cy="5695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F7CA1-3934-4F7E-877C-6101C7DA1169}">
      <dsp:nvSpPr>
        <dsp:cNvPr id="0" name=""/>
        <dsp:cNvSpPr/>
      </dsp:nvSpPr>
      <dsp:spPr>
        <a:xfrm>
          <a:off x="59225" y="208285"/>
          <a:ext cx="2731827" cy="2710066"/>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kern="1200">
              <a:latin typeface="Calibri" panose="020F0502020204030204" pitchFamily="34" charset="0"/>
              <a:ea typeface="Calibri" panose="020F0502020204030204" pitchFamily="34" charset="0"/>
              <a:cs typeface="Calibri" panose="020F0502020204030204" pitchFamily="34" charset="0"/>
            </a:rPr>
            <a:t>The teacher</a:t>
          </a:r>
        </a:p>
      </dsp:txBody>
      <dsp:txXfrm>
        <a:off x="440696" y="527860"/>
        <a:ext cx="1575107" cy="2070916"/>
      </dsp:txXfrm>
    </dsp:sp>
    <dsp:sp modelId="{DF297E8A-C981-489D-BCF2-550552CECC6B}">
      <dsp:nvSpPr>
        <dsp:cNvPr id="0" name=""/>
        <dsp:cNvSpPr/>
      </dsp:nvSpPr>
      <dsp:spPr>
        <a:xfrm>
          <a:off x="2132977" y="335431"/>
          <a:ext cx="2660240" cy="2660240"/>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Student support services</a:t>
          </a:r>
        </a:p>
      </dsp:txBody>
      <dsp:txXfrm>
        <a:off x="2887910" y="649131"/>
        <a:ext cx="1533832" cy="2032841"/>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1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8T14:35:41.942"/>
    </inkml:context>
    <inkml:brush xml:id="br0">
      <inkml:brushProperty name="width" value="0.025" units="cm"/>
      <inkml:brushProperty name="height" value="0.025" units="cm"/>
    </inkml:brush>
  </inkml:definitions>
  <inkml:trace contextRef="#ctx0" brushRef="#br0">0 0 24575,'0'4'0,"0"0"-8191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2T11:48:44.772"/>
    </inkml:context>
    <inkml:brush xml:id="br0">
      <inkml:brushProperty name="width" value="0.05" units="cm"/>
      <inkml:brushProperty name="height" value="0.05" units="cm"/>
      <inkml:brushProperty name="color" value="#66CC00"/>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1T06:17:05.14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1T06:14:47.039"/>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1T06:14:41.241"/>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1T06:14:31.69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1T06:14:30.73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9 0,'-4'0,"0"0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2T11:49:52.420"/>
    </inkml:context>
    <inkml:brush xml:id="br0">
      <inkml:brushProperty name="width" value="0.05" units="cm"/>
      <inkml:brushProperty name="height" value="0.05" units="cm"/>
      <inkml:brushProperty name="color" value="#66CC00"/>
    </inkml:brush>
  </inkml:definitions>
  <inkml:trace contextRef="#ctx0" brushRef="#br0">0 0 24575,'4'0'0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2T11:49:40.054"/>
    </inkml:context>
    <inkml:brush xml:id="br0">
      <inkml:brushProperty name="width" value="0.05" units="cm"/>
      <inkml:brushProperty name="height" value="0.05" units="cm"/>
      <inkml:brushProperty name="color" value="#66CC00"/>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2T11:49:36.910"/>
    </inkml:context>
    <inkml:brush xml:id="br0">
      <inkml:brushProperty name="width" value="0.05" units="cm"/>
      <inkml:brushProperty name="height" value="0.05" units="cm"/>
      <inkml:brushProperty name="color" value="#66CC00"/>
    </inkml:brush>
  </inkml:definitions>
  <inkml:trace contextRef="#ctx0" brushRef="#br0">0 0 24575,'0'0'-8191</inkml:trace>
</inkml:ink>
</file>

<file path=word/theme/theme1.xml><?xml version="1.0" encoding="utf-8"?>
<a:theme xmlns:a="http://schemas.openxmlformats.org/drawingml/2006/main" name="Office Theme">
  <a:themeElements>
    <a:clrScheme name="Custom 2">
      <a:dk1>
        <a:sysClr val="windowText" lastClr="000000"/>
      </a:dk1>
      <a:lt1>
        <a:srgbClr val="FFFFFF"/>
      </a:lt1>
      <a:dk2>
        <a:srgbClr val="FFFFF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ECF6E-31DB-4F2F-BB40-D08615F1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345</Pages>
  <Words>100372</Words>
  <Characters>586570</Characters>
  <Application>Microsoft Office Word</Application>
  <DocSecurity>0</DocSecurity>
  <Lines>11776</Lines>
  <Paragraphs>2925</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687959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Arp10sm</dc:creator>
  <cp:lastModifiedBy>Suzanne Schultz</cp:lastModifiedBy>
  <cp:revision>3</cp:revision>
  <cp:lastPrinted>2014-07-18T13:38:00Z</cp:lastPrinted>
  <dcterms:created xsi:type="dcterms:W3CDTF">2026-03-20T14:52:00Z</dcterms:created>
  <dcterms:modified xsi:type="dcterms:W3CDTF">2026-03-20T14:52:00Z</dcterms:modified>
</cp:coreProperties>
</file>