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Pr>
        <w:drawing>
          <wp:inline distB="114300" distT="114300" distL="114300" distR="114300">
            <wp:extent cx="1864644" cy="1023938"/>
            <wp:effectExtent b="0" l="0" r="0" t="0"/>
            <wp:docPr id="129736537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64644"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Navigating the Post-Brexit Agricultural Transition in England: Farmer Decision-making and the Evolution of the 'Good Farmer' Concept</w:t>
      </w:r>
    </w:p>
    <w:p w:rsidR="00000000" w:rsidDel="00000000" w:rsidP="00000000" w:rsidRDefault="00000000" w:rsidRPr="00000000" w14:paraId="0000000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Rachel Monaco Lasko</w:t>
      </w:r>
    </w:p>
    <w:p w:rsidR="00000000" w:rsidDel="00000000" w:rsidP="00000000" w:rsidRDefault="00000000" w:rsidRPr="00000000" w14:paraId="0000000D">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Doctor of Philosophy</w:t>
      </w:r>
    </w:p>
    <w:p w:rsidR="00000000" w:rsidDel="00000000" w:rsidP="00000000" w:rsidRDefault="00000000" w:rsidRPr="00000000" w14:paraId="000000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Sheffield</w:t>
      </w:r>
    </w:p>
    <w:p w:rsidR="00000000" w:rsidDel="00000000" w:rsidP="00000000" w:rsidRDefault="00000000" w:rsidRPr="00000000" w14:paraId="0000001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Politics and International Relations </w:t>
      </w:r>
    </w:p>
    <w:p w:rsidR="00000000" w:rsidDel="00000000" w:rsidP="00000000" w:rsidRDefault="00000000" w:rsidRPr="00000000" w14:paraId="00000013">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15">
      <w:pPr>
        <w:pStyle w:val="Title"/>
        <w:spacing w:before="200" w:line="276" w:lineRule="auto"/>
        <w:rPr>
          <w:u w:val="single"/>
        </w:rPr>
        <w:sectPr>
          <w:footerReference r:id="rId9" w:type="default"/>
          <w:pgSz w:h="15840" w:w="12240" w:orient="portrait"/>
          <w:pgMar w:bottom="1440" w:top="1440" w:left="1440" w:right="1440" w:header="720" w:footer="720"/>
          <w:pgNumType w:start="1"/>
        </w:sectPr>
      </w:pPr>
      <w:bookmarkStart w:colFirst="0" w:colLast="0" w:name="_heading=h.k77q7yg74rgo" w:id="0"/>
      <w:bookmarkEnd w:id="0"/>
      <w:r w:rsidDel="00000000" w:rsidR="00000000" w:rsidRPr="00000000">
        <w:rPr>
          <w:u w:val="single"/>
          <w:rtl w:val="0"/>
        </w:rPr>
        <w:t xml:space="preserve">ABSTRACT</w:t>
      </w:r>
    </w:p>
    <w:p w:rsidR="00000000" w:rsidDel="00000000" w:rsidP="00000000" w:rsidRDefault="00000000" w:rsidRPr="00000000" w14:paraId="0000001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countries worldwide embark on their own ‘green transitions’ towards more sustainable farming solutions, active involvement and engagement from farmers are crucial for a successful transition.  This involves understanding how farmers respond to these changes and adopt new practices to support these transitions. This thesis focuses on investigating farmer behaviour and decision-making during the post-Brexit agricultural transition, spanning from 2021 to 2024. It analyses the significant changes in agricultural policy and financial incentive structures that have impacted England, particularly the shift from EU payments under the Common Agricultural Policy (CAP) to the establishment of Defra’s Environmental Land Management (ELM) schemes. This thesis focuses on the Sustainable Farming Incentive (SFI), a dimension of the Environmental Land Management schemes, and examines its impact on farmer decision-making and behaviour during the post-Brexit period.</w:t>
      </w:r>
    </w:p>
    <w:p w:rsidR="00000000" w:rsidDel="00000000" w:rsidP="00000000" w:rsidRDefault="00000000" w:rsidRPr="00000000" w14:paraId="0000001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Changes in farmer behaviour are critically evaluated using the concept of the 'good farmer,'. The thesis assesses the extent to which the concept is fit for the purpose of describing and understanding farmer decision-making in post-Brexit England. By comparing two cases–of farmers who have engaged with the new agri-environmental schemes and those who have opted out –the thesis evaluates the barriers to participation and how farmer decisions reflect broader shifts in farming culture and practice. The research enhances understanding of farmer behaviour during periods of policy transition and develops the 'good farmer' concept. In doing so the research addresses a notable gap in the existing literature by proposing an updated conceptualisation of the ‘good farmer’–one that better reflects the modern realities and pressures shaping today’s agricultural sector. It establishes a novel approach to conceptualise farmer behaviour - the ‘good farmer spectrum’ –which can better account for the multiple archetypes of the ‘good farmer’ who have, through the post-Brexit transition, been shaped and motivated by differing levels and forms of social, cultural, and economic capital. </w:t>
      </w:r>
    </w:p>
    <w:p w:rsidR="00000000" w:rsidDel="00000000" w:rsidP="00000000" w:rsidRDefault="00000000" w:rsidRPr="00000000" w14:paraId="00000019">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line="360" w:lineRule="auto"/>
        <w:rPr>
          <w:u w:val="single"/>
        </w:rPr>
      </w:pPr>
      <w:r w:rsidDel="00000000" w:rsidR="00000000" w:rsidRPr="00000000">
        <w:rPr>
          <w:rFonts w:ascii="Calibri" w:cs="Calibri" w:eastAsia="Calibri" w:hAnsi="Calibri"/>
          <w:i w:val="1"/>
          <w:sz w:val="24"/>
          <w:szCs w:val="24"/>
          <w:rtl w:val="0"/>
        </w:rPr>
        <w:t xml:space="preserve">Keywords: </w:t>
      </w:r>
      <w:r w:rsidDel="00000000" w:rsidR="00000000" w:rsidRPr="00000000">
        <w:rPr>
          <w:rFonts w:ascii="Calibri" w:cs="Calibri" w:eastAsia="Calibri" w:hAnsi="Calibri"/>
          <w:sz w:val="24"/>
          <w:szCs w:val="24"/>
          <w:rtl w:val="0"/>
        </w:rPr>
        <w:t xml:space="preserve">Brexit, transition, ‘good farmer’, SFI Pilot, agri-environmental scheme, farmer behaviour, policy</w:t>
      </w:r>
      <w:r w:rsidDel="00000000" w:rsidR="00000000" w:rsidRPr="00000000">
        <w:br w:type="page"/>
      </w:r>
      <w:r w:rsidDel="00000000" w:rsidR="00000000" w:rsidRPr="00000000">
        <w:rPr>
          <w:rtl w:val="0"/>
        </w:rPr>
      </w:r>
    </w:p>
    <w:p w:rsidR="00000000" w:rsidDel="00000000" w:rsidP="00000000" w:rsidRDefault="00000000" w:rsidRPr="00000000" w14:paraId="0000001B">
      <w:pPr>
        <w:pStyle w:val="Title"/>
        <w:spacing w:before="200" w:line="276" w:lineRule="auto"/>
        <w:rPr/>
      </w:pPr>
      <w:bookmarkStart w:colFirst="0" w:colLast="0" w:name="_heading=h.owtx5oeubro8" w:id="1"/>
      <w:bookmarkEnd w:id="1"/>
      <w:r w:rsidDel="00000000" w:rsidR="00000000" w:rsidRPr="00000000">
        <w:rPr>
          <w:u w:val="single"/>
          <w:rtl w:val="0"/>
        </w:rPr>
        <w:t xml:space="preserve">ACKNOWLEDGEMENTS</w:t>
      </w:r>
      <w:r w:rsidDel="00000000" w:rsidR="00000000" w:rsidRPr="00000000">
        <w:rPr>
          <w:rtl w:val="0"/>
        </w:rPr>
      </w:r>
    </w:p>
    <w:p w:rsidR="00000000" w:rsidDel="00000000" w:rsidP="00000000" w:rsidRDefault="00000000" w:rsidRPr="00000000" w14:paraId="0000001C">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and foremost, I would like to express my deepest gratitude to my supervisors, Dr. Charlotte Burns and Dr. Hannah Lambie-Mumford who have provided me with critical feedback, support, and insight throughout the thesis process– especially when I struggled to articulate my own thoughts at points! I am deeply grateful for the time, care, and guidance they have generously offered throughout this journey. Their support has not gone unnoticed, and I truly appreciate the commitment they showed in helping me navigate the many stages of my thesis over the past few years. I would also like to thank my examiners, Professor Matt Lobley and Dr. Owen Parker, for their insightful feedback and for conducting the viva in such a supportive and enjoyable manner.</w:t>
      </w:r>
    </w:p>
    <w:p w:rsidR="00000000" w:rsidDel="00000000" w:rsidP="00000000" w:rsidRDefault="00000000" w:rsidRPr="00000000" w14:paraId="0000001D">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grateful to the faculty and staff of the Grantham Centre at the University of Sheffield. Their events, community, and atmosphere provided a rich environment for academic growth and a haven to engage with like-minded researchers on the different environmental issues plaguing our world. </w:t>
      </w:r>
    </w:p>
    <w:p w:rsidR="00000000" w:rsidDel="00000000" w:rsidP="00000000" w:rsidRDefault="00000000" w:rsidRPr="00000000" w14:paraId="0000001E">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would also like to thank Dr. Ruth Little for her period of supervision and Dr. Jennifer Dodsworth, who offered not only intellectual companionship but also moral support when it was most needed. </w:t>
      </w:r>
    </w:p>
    <w:p w:rsidR="00000000" w:rsidDel="00000000" w:rsidP="00000000" w:rsidRDefault="00000000" w:rsidRPr="00000000" w14:paraId="0000001F">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Conducting research during the post-Brexit transition presented numerous challenges, primarily due to the raw emotions, fear, and uncertainty surrounding policy changes. Many farmers struggled with the complexities of shifting policies and the unknowns of what the future held. </w:t>
      </w:r>
    </w:p>
    <w:p w:rsidR="00000000" w:rsidDel="00000000" w:rsidP="00000000" w:rsidRDefault="00000000" w:rsidRPr="00000000" w14:paraId="00000020">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by the end of this thesis, this research felt incredibly rewarding. I truly believe that I have captured and reflected some of the genuine concerns of farmers during this transitory period. The context provided throughout this thesis is essential because if the issues raised are acknowledged and addressed by the government, it could lead to a more demonstrable shift towards environmental policies and climate change action by the farming community. I would also like to thank all the farmers I have worked with in the past four years. I hope this work is representative of all the anecdotes, stories, and insight they shared. </w:t>
      </w:r>
    </w:p>
    <w:p w:rsidR="00000000" w:rsidDel="00000000" w:rsidP="00000000" w:rsidRDefault="00000000" w:rsidRPr="00000000" w14:paraId="00000021">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on a personal note, I also would like to thank my partner, Ben. His patience, help, and encouragement have sustained me through the most difficult points of this thesis process, and I could not have finished without him.</w:t>
      </w:r>
    </w:p>
    <w:p w:rsidR="00000000" w:rsidDel="00000000" w:rsidP="00000000" w:rsidRDefault="00000000" w:rsidRPr="00000000" w14:paraId="00000022">
      <w:pPr>
        <w:spacing w:after="240" w:before="24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after="240" w:before="240" w:line="360" w:lineRule="auto"/>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4">
      <w:pPr>
        <w:pStyle w:val="Title"/>
        <w:spacing w:before="200" w:line="276" w:lineRule="auto"/>
        <w:rPr>
          <w:u w:val="single"/>
        </w:rPr>
        <w:sectPr>
          <w:type w:val="nextPage"/>
          <w:pgSz w:h="15840" w:w="12240" w:orient="portrait"/>
          <w:pgMar w:bottom="1440" w:top="1440" w:left="1440" w:right="1440" w:header="720" w:footer="720"/>
        </w:sectPr>
      </w:pPr>
      <w:bookmarkStart w:colFirst="0" w:colLast="0" w:name="_heading=h.vwnn6ab7srry" w:id="2"/>
      <w:bookmarkEnd w:id="2"/>
      <w:r w:rsidDel="00000000" w:rsidR="00000000" w:rsidRPr="00000000">
        <w:rPr>
          <w:u w:val="single"/>
          <w:rtl w:val="0"/>
        </w:rPr>
        <w:t xml:space="preserve">TABLE OF CONTENTS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sdt>
      <w:sdtPr>
        <w:id w:val="1114105870"/>
        <w:docPartObj>
          <w:docPartGallery w:val="Table of Contents"/>
          <w:docPartUnique w:val="1"/>
        </w:docPartObj>
      </w:sdtPr>
      <w:sdtContent>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begin"/>
            <w:instrText xml:space="preserve"> TOC \h \u \z \t "Heading 1,1,Heading 2,2,Heading 3,3,Heading 4,4,"</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ONE: INTRODUCTION</w:t>
            <w:tab/>
          </w:r>
          <w:r w:rsidDel="00000000" w:rsidR="00000000" w:rsidRPr="00000000">
            <w:fldChar w:fldCharType="begin"/>
            <w:instrText xml:space="preserve"> PAGEREF _heading=h.yf0tb04vnfio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11</w:t>
          </w:r>
          <w:r w:rsidDel="00000000" w:rsidR="00000000" w:rsidRPr="00000000">
            <w:fldChar w:fldCharType="begin"/>
            <w:instrText xml:space="preserve"> HYPERLINK \l "_heading=h.yf0tb04vnfio"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_heading=h.vnbk0zf76pe9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11</w:t>
          </w:r>
          <w:r w:rsidDel="00000000" w:rsidR="00000000" w:rsidRPr="00000000">
            <w:fldChar w:fldCharType="begin"/>
            <w:instrText xml:space="preserve"> HYPERLINK \l "_heading=h.vnbk0zf76pe9"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Research Significance and Contributions</w:t>
            <w:tab/>
          </w:r>
          <w:r w:rsidDel="00000000" w:rsidR="00000000" w:rsidRPr="00000000">
            <w:fldChar w:fldCharType="begin"/>
            <w:instrText xml:space="preserve"> PAGEREF _heading=h.5sa9zsuvcidx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w:t>
          </w:r>
          <w:r w:rsidDel="00000000" w:rsidR="00000000" w:rsidRPr="00000000">
            <w:fldChar w:fldCharType="begin"/>
            <w:instrText xml:space="preserve"> HYPERLINK \l "_heading=h.5sa9zsuvcidx"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Background and Context</w:t>
            <w:tab/>
          </w:r>
          <w:r w:rsidDel="00000000" w:rsidR="00000000" w:rsidRPr="00000000">
            <w:fldChar w:fldCharType="begin"/>
            <w:instrText xml:space="preserve"> PAGEREF _heading=h.axs49hs2epgz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16</w:t>
          </w:r>
          <w:r w:rsidDel="00000000" w:rsidR="00000000" w:rsidRPr="00000000">
            <w:fldChar w:fldCharType="begin"/>
            <w:instrText xml:space="preserve"> HYPERLINK \l "_heading=h.axs49hs2epgz"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Research Aims and Questions</w:t>
            <w:tab/>
          </w:r>
          <w:r w:rsidDel="00000000" w:rsidR="00000000" w:rsidRPr="00000000">
            <w:fldChar w:fldCharType="begin"/>
            <w:instrText xml:space="preserve"> PAGEREF _heading=h.grzu3e5l6qlb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20</w:t>
          </w:r>
          <w:r w:rsidDel="00000000" w:rsidR="00000000" w:rsidRPr="00000000">
            <w:fldChar w:fldCharType="begin"/>
            <w:instrText xml:space="preserve"> HYPERLINK \l "_heading=h.grzu3e5l6qlb"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_heading=h.zghlmuu81efc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22</w:t>
          </w:r>
          <w:r w:rsidDel="00000000" w:rsidR="00000000" w:rsidRPr="00000000">
            <w:fldChar w:fldCharType="begin"/>
            <w:instrText xml:space="preserve"> HYPERLINK \l "_heading=h.zghlmuu81efc"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TWO: UK AGRICULTURE 1973 TO 2020</w:t>
            <w:tab/>
          </w:r>
          <w:r w:rsidDel="00000000" w:rsidR="00000000" w:rsidRPr="00000000">
            <w:fldChar w:fldCharType="begin"/>
            <w:instrText xml:space="preserve"> PAGEREF _heading=h.10e5iub4kwpf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24</w:t>
          </w:r>
          <w:r w:rsidDel="00000000" w:rsidR="00000000" w:rsidRPr="00000000">
            <w:fldChar w:fldCharType="begin"/>
            <w:instrText xml:space="preserve"> HYPERLINK \l "_heading=h.10e5iub4kwpf"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_heading=h.3oc0xjgll671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24</w:t>
          </w:r>
          <w:r w:rsidDel="00000000" w:rsidR="00000000" w:rsidRPr="00000000">
            <w:fldChar w:fldCharType="begin"/>
            <w:instrText xml:space="preserve"> HYPERLINK \l "_heading=h.3oc0xjgll671"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Historical Review of Schemes in the United Kingdom and Respective Payment Structures (1973-2016)</w:t>
            <w:tab/>
          </w:r>
          <w:r w:rsidDel="00000000" w:rsidR="00000000" w:rsidRPr="00000000">
            <w:fldChar w:fldCharType="begin"/>
            <w:instrText xml:space="preserve"> PAGEREF _heading=h.6nbk6280ottm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w:t>
          </w:r>
          <w:r w:rsidDel="00000000" w:rsidR="00000000" w:rsidRPr="00000000">
            <w:fldChar w:fldCharType="begin"/>
            <w:instrText xml:space="preserve"> HYPERLINK \l "_heading=h.6nbk6280ottm"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2.1.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The Role of the Common Agricultural Policy in Shaping UK Agriculture</w:t>
            <w:tab/>
          </w:r>
          <w:r w:rsidDel="00000000" w:rsidR="00000000" w:rsidRPr="00000000">
            <w:fldChar w:fldCharType="begin"/>
            <w:instrText xml:space="preserve"> PAGEREF _heading=h.xczqs7pnm3wr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28</w:t>
          </w:r>
          <w:r w:rsidDel="00000000" w:rsidR="00000000" w:rsidRPr="00000000">
            <w:fldChar w:fldCharType="begin"/>
            <w:instrText xml:space="preserve"> HYPERLINK \l "_heading=h.xczqs7pnm3wr"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dot" w:pos="9350"/>
            </w:tabs>
            <w:spacing w:after="0" w:before="0" w:line="276" w:lineRule="auto"/>
            <w:ind w:left="66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2.1.1.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Rural Development Schemes Under CAP: A Case Study of Agri-Environmental Schemes in England</w:t>
            <w:tab/>
          </w:r>
          <w:r w:rsidDel="00000000" w:rsidR="00000000" w:rsidRPr="00000000">
            <w:fldChar w:fldCharType="begin"/>
            <w:instrText xml:space="preserve"> PAGEREF _heading=h.2j2qpql16d4q \h </w:instrText>
            <w:fldChar w:fldCharType="separate"/>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29</w:t>
          </w:r>
          <w:r w:rsidDel="00000000" w:rsidR="00000000" w:rsidRPr="00000000">
            <w:fldChar w:fldCharType="begin"/>
            <w:instrText xml:space="preserve"> HYPERLINK \l "_heading=h.2j2qpql16d4q"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How Brexit Reshaped UK Agriculture: Responses and Policy Changes Across the Four Nations</w:t>
            <w:tab/>
          </w:r>
          <w:r w:rsidDel="00000000" w:rsidR="00000000" w:rsidRPr="00000000">
            <w:fldChar w:fldCharType="begin"/>
            <w:instrText xml:space="preserve"> PAGEREF _heading=h.azsab7u7qlxn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33</w:t>
          </w:r>
          <w:r w:rsidDel="00000000" w:rsidR="00000000" w:rsidRPr="00000000">
            <w:fldChar w:fldCharType="begin"/>
            <w:instrText xml:space="preserve"> HYPERLINK \l "_heading=h.azsab7u7qlxn"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3.1.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Post-Brexit Agriculture in England: A Shift to Green Brexit and Public Goods</w:t>
            <w:tab/>
          </w:r>
          <w:r w:rsidDel="00000000" w:rsidR="00000000" w:rsidRPr="00000000">
            <w:fldChar w:fldCharType="begin"/>
            <w:instrText xml:space="preserve"> PAGEREF _heading=h.62exg6sgzt5c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38</w:t>
          </w:r>
          <w:r w:rsidDel="00000000" w:rsidR="00000000" w:rsidRPr="00000000">
            <w:fldChar w:fldCharType="begin"/>
            <w:instrText xml:space="preserve"> HYPERLINK \l "_heading=h.62exg6sgzt5c"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3.2.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Introduction to Environmental Land Management Schemes in England</w:t>
            <w:tab/>
          </w:r>
          <w:r w:rsidDel="00000000" w:rsidR="00000000" w:rsidRPr="00000000">
            <w:fldChar w:fldCharType="begin"/>
            <w:instrText xml:space="preserve"> PAGEREF _heading=h.66z26zsutqgj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44</w:t>
          </w:r>
          <w:r w:rsidDel="00000000" w:rsidR="00000000" w:rsidRPr="00000000">
            <w:fldChar w:fldCharType="begin"/>
            <w:instrText xml:space="preserve"> HYPERLINK \l "_heading=h.66z26zsutqgj"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3.3.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Deep Dive into the Sustainable Farming Incentive</w:t>
            <w:tab/>
          </w:r>
          <w:r w:rsidDel="00000000" w:rsidR="00000000" w:rsidRPr="00000000">
            <w:fldChar w:fldCharType="begin"/>
            <w:instrText xml:space="preserve"> PAGEREF _heading=h.rxr933p93no0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51</w:t>
          </w:r>
          <w:r w:rsidDel="00000000" w:rsidR="00000000" w:rsidRPr="00000000">
            <w:fldChar w:fldCharType="begin"/>
            <w:instrText xml:space="preserve"> HYPERLINK \l "_heading=h.rxr933p93no0"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dot" w:pos="9350"/>
            </w:tabs>
            <w:spacing w:after="0" w:before="0" w:line="276" w:lineRule="auto"/>
            <w:ind w:left="66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3.3.1.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Early Concerns Regarding the SFI Pilot</w:t>
            <w:tab/>
          </w:r>
          <w:r w:rsidDel="00000000" w:rsidR="00000000" w:rsidRPr="00000000">
            <w:fldChar w:fldCharType="begin"/>
            <w:instrText xml:space="preserve"> PAGEREF _heading=h.vxmtbt98y12g \h </w:instrText>
            <w:fldChar w:fldCharType="separate"/>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56</w:t>
          </w:r>
          <w:r w:rsidDel="00000000" w:rsidR="00000000" w:rsidRPr="00000000">
            <w:fldChar w:fldCharType="begin"/>
            <w:instrText xml:space="preserve"> HYPERLINK \l "_heading=h.vxmtbt98y12g"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Demographic Breakdown of the Post-Brexit Agricultural Landscape in England</w:t>
            <w:tab/>
          </w:r>
          <w:r w:rsidDel="00000000" w:rsidR="00000000" w:rsidRPr="00000000">
            <w:fldChar w:fldCharType="begin"/>
            <w:instrText xml:space="preserve"> PAGEREF _heading=h.uytvy7qm00cm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57</w:t>
          </w:r>
          <w:r w:rsidDel="00000000" w:rsidR="00000000" w:rsidRPr="00000000">
            <w:fldChar w:fldCharType="begin"/>
            <w:instrText xml:space="preserve"> HYPERLINK \l "_heading=h.uytvy7qm00cm"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_heading=h.nkixc19f8ot7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63</w:t>
          </w:r>
          <w:r w:rsidDel="00000000" w:rsidR="00000000" w:rsidRPr="00000000">
            <w:fldChar w:fldCharType="begin"/>
            <w:instrText xml:space="preserve"> HYPERLINK \l "_heading=h.nkixc19f8ot7"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THREE: FARMER DECISION-MAKING AND THE GOOD FARMER</w:t>
            <w:tab/>
          </w:r>
          <w:r w:rsidDel="00000000" w:rsidR="00000000" w:rsidRPr="00000000">
            <w:fldChar w:fldCharType="begin"/>
            <w:instrText xml:space="preserve"> PAGEREF _heading=h.4htekpb93nl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64</w:t>
          </w:r>
          <w:r w:rsidDel="00000000" w:rsidR="00000000" w:rsidRPr="00000000">
            <w:fldChar w:fldCharType="begin"/>
            <w:instrText xml:space="preserve"> HYPERLINK \l "_heading=h.4htekpb93nl"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_heading=h.6xd9l5jiwdz4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64</w:t>
          </w:r>
          <w:r w:rsidDel="00000000" w:rsidR="00000000" w:rsidRPr="00000000">
            <w:fldChar w:fldCharType="begin"/>
            <w:instrText xml:space="preserve"> HYPERLINK \l "_heading=h.6xd9l5jiwdz4"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Farmer Participation in Agri-Environmental Scheme</w:t>
            <w:tab/>
          </w:r>
          <w:r w:rsidDel="00000000" w:rsidR="00000000" w:rsidRPr="00000000">
            <w:fldChar w:fldCharType="begin"/>
            <w:instrText xml:space="preserve"> PAGEREF _heading=h.rawqhdq5svz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66</w:t>
          </w:r>
          <w:r w:rsidDel="00000000" w:rsidR="00000000" w:rsidRPr="00000000">
            <w:fldChar w:fldCharType="begin"/>
            <w:instrText xml:space="preserve"> HYPERLINK \l "_heading=h.rawqhdq5svz"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2.1.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AES Participation in England</w:t>
            <w:tab/>
          </w:r>
          <w:r w:rsidDel="00000000" w:rsidR="00000000" w:rsidRPr="00000000">
            <w:fldChar w:fldCharType="begin"/>
            <w:instrText xml:space="preserve"> PAGEREF _heading=h.c9iocyl8qi4i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69</w:t>
          </w:r>
          <w:r w:rsidDel="00000000" w:rsidR="00000000" w:rsidRPr="00000000">
            <w:fldChar w:fldCharType="begin"/>
            <w:instrText xml:space="preserve"> HYPERLINK \l "_heading=h.c9iocyl8qi4i"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dot" w:pos="9350"/>
            </w:tabs>
            <w:spacing w:after="0" w:before="0" w:line="276" w:lineRule="auto"/>
            <w:ind w:left="66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434343"/>
              <w:sz w:val="18"/>
              <w:szCs w:val="18"/>
              <w:u w:val="none"/>
              <w:vertAlign w:val="baseline"/>
              <w:rtl w:val="0"/>
            </w:rPr>
            <w:t xml:space="preserve">2.1.1.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Using Social and Cultural Values to Understand Farmer Decision-making</w:t>
            <w:tab/>
          </w:r>
          <w:r w:rsidDel="00000000" w:rsidR="00000000" w:rsidRPr="00000000">
            <w:fldChar w:fldCharType="begin"/>
            <w:instrText xml:space="preserve"> PAGEREF _heading=h.srpkgqix1urc \h </w:instrText>
            <w:fldChar w:fldCharType="separate"/>
          </w:r>
          <w:r w:rsidDel="00000000" w:rsidR="00000000" w:rsidRPr="00000000">
            <w:rPr>
              <w:rFonts w:ascii="Calibri" w:cs="Calibri" w:eastAsia="Calibri" w:hAnsi="Calibri"/>
              <w:b w:val="0"/>
              <w:i w:val="0"/>
              <w:smallCaps w:val="0"/>
              <w:strike w:val="0"/>
              <w:color w:val="000000"/>
              <w:sz w:val="18"/>
              <w:szCs w:val="18"/>
              <w:u w:val="none"/>
              <w:vertAlign w:val="baseline"/>
              <w:rtl w:val="0"/>
            </w:rPr>
            <w:t xml:space="preserve">74</w:t>
          </w:r>
          <w:r w:rsidDel="00000000" w:rsidR="00000000" w:rsidRPr="00000000">
            <w:fldChar w:fldCharType="begin"/>
            <w:instrText xml:space="preserve"> HYPERLINK \l "_heading=h.srpkgqix1urc"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Brexit as a Triggering Change to the Agriculture Policy Landscape</w:t>
            <w:tab/>
          </w:r>
          <w:r w:rsidDel="00000000" w:rsidR="00000000" w:rsidRPr="00000000">
            <w:fldChar w:fldCharType="begin"/>
            <w:instrText xml:space="preserve"> PAGEREF _heading=h.rxem1prn9pb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76</w:t>
          </w:r>
          <w:r w:rsidDel="00000000" w:rsidR="00000000" w:rsidRPr="00000000">
            <w:fldChar w:fldCharType="begin"/>
            <w:instrText xml:space="preserve"> HYPERLINK \l "_heading=h.rxem1prn9pb"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The Good Farmer</w:t>
            <w:tab/>
          </w:r>
          <w:r w:rsidDel="00000000" w:rsidR="00000000" w:rsidRPr="00000000">
            <w:fldChar w:fldCharType="begin"/>
            <w:instrText xml:space="preserve"> PAGEREF _heading=h.hxb9agjg4mcx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81</w:t>
          </w:r>
          <w:r w:rsidDel="00000000" w:rsidR="00000000" w:rsidRPr="00000000">
            <w:fldChar w:fldCharType="begin"/>
            <w:instrText xml:space="preserve"> HYPERLINK \l "_heading=h.hxb9agjg4mcx"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Applying the Good Farmer to the post-Brexit Transition</w:t>
            <w:tab/>
          </w:r>
          <w:r w:rsidDel="00000000" w:rsidR="00000000" w:rsidRPr="00000000">
            <w:fldChar w:fldCharType="begin"/>
            <w:instrText xml:space="preserve"> PAGEREF _heading=h.p56tsyq39hbo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91</w:t>
          </w:r>
          <w:r w:rsidDel="00000000" w:rsidR="00000000" w:rsidRPr="00000000">
            <w:fldChar w:fldCharType="begin"/>
            <w:instrText xml:space="preserve"> HYPERLINK \l "_heading=h.p56tsyq39hbo"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Good Farmers and Brexit</w:t>
            <w:tab/>
          </w:r>
          <w:r w:rsidDel="00000000" w:rsidR="00000000" w:rsidRPr="00000000">
            <w:fldChar w:fldCharType="begin"/>
            <w:instrText xml:space="preserve"> PAGEREF _heading=h.q07ihkz0t47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99</w:t>
          </w:r>
          <w:r w:rsidDel="00000000" w:rsidR="00000000" w:rsidRPr="00000000">
            <w:fldChar w:fldCharType="begin"/>
            <w:instrText xml:space="preserve"> HYPERLINK \l "_heading=h.q07ihkz0t47"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7.</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_heading=h.7l34v67ne4h3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103</w:t>
          </w:r>
          <w:r w:rsidDel="00000000" w:rsidR="00000000" w:rsidRPr="00000000">
            <w:fldChar w:fldCharType="begin"/>
            <w:instrText xml:space="preserve"> HYPERLINK \l "_heading=h.7l34v67ne4h3"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FOUR: RESEARCH DESIGN AND METHODOLOGY</w:t>
            <w:tab/>
          </w:r>
          <w:r w:rsidDel="00000000" w:rsidR="00000000" w:rsidRPr="00000000">
            <w:fldChar w:fldCharType="begin"/>
            <w:instrText xml:space="preserve"> PAGEREF _heading=h.z5wh77qfavrx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104</w:t>
          </w:r>
          <w:r w:rsidDel="00000000" w:rsidR="00000000" w:rsidRPr="00000000">
            <w:fldChar w:fldCharType="begin"/>
            <w:instrText xml:space="preserve"> HYPERLINK \l "_heading=h.z5wh77qfavrx"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_heading=h.4sro757di2kc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104</w:t>
          </w:r>
          <w:r w:rsidDel="00000000" w:rsidR="00000000" w:rsidRPr="00000000">
            <w:fldChar w:fldCharType="begin"/>
            <w:instrText xml:space="preserve"> HYPERLINK \l "_heading=h.4sro757di2kc"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Research Design</w:t>
            <w:tab/>
          </w:r>
          <w:r w:rsidDel="00000000" w:rsidR="00000000" w:rsidRPr="00000000">
            <w:fldChar w:fldCharType="begin"/>
            <w:instrText xml:space="preserve"> PAGEREF _heading=h.fjadeb5nx4t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105</w:t>
          </w:r>
          <w:r w:rsidDel="00000000" w:rsidR="00000000" w:rsidRPr="00000000">
            <w:fldChar w:fldCharType="begin"/>
            <w:instrText xml:space="preserve"> HYPERLINK \l "_heading=h.fjadeb5nx4t"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Why case studies?</w:t>
            <w:tab/>
          </w:r>
          <w:r w:rsidDel="00000000" w:rsidR="00000000" w:rsidRPr="00000000">
            <w:fldChar w:fldCharType="begin"/>
            <w:instrText xml:space="preserve"> PAGEREF _heading=h.so2v7yjdpiqh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111</w:t>
          </w:r>
          <w:r w:rsidDel="00000000" w:rsidR="00000000" w:rsidRPr="00000000">
            <w:fldChar w:fldCharType="begin"/>
            <w:instrText xml:space="preserve"> HYPERLINK \l "_heading=h.so2v7yjdpiqh"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Sampling</w:t>
            <w:tab/>
          </w:r>
          <w:r w:rsidDel="00000000" w:rsidR="00000000" w:rsidRPr="00000000">
            <w:fldChar w:fldCharType="begin"/>
            <w:instrText xml:space="preserve"> PAGEREF _heading=h.meauh0p25err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118</w:t>
          </w:r>
          <w:r w:rsidDel="00000000" w:rsidR="00000000" w:rsidRPr="00000000">
            <w:fldChar w:fldCharType="begin"/>
            <w:instrText xml:space="preserve"> HYPERLINK \l "_heading=h.meauh0p25err"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4.1.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Consent and Research Ethics</w:t>
            <w:tab/>
          </w:r>
          <w:r w:rsidDel="00000000" w:rsidR="00000000" w:rsidRPr="00000000">
            <w:fldChar w:fldCharType="begin"/>
            <w:instrText xml:space="preserve"> PAGEREF _heading=h.oujtp1vj9tfl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120</w:t>
          </w:r>
          <w:r w:rsidDel="00000000" w:rsidR="00000000" w:rsidRPr="00000000">
            <w:fldChar w:fldCharType="begin"/>
            <w:instrText xml:space="preserve"> HYPERLINK \l "_heading=h.oujtp1vj9tfl"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4.2.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Overview of Research Sample</w:t>
            <w:tab/>
          </w:r>
          <w:r w:rsidDel="00000000" w:rsidR="00000000" w:rsidRPr="00000000">
            <w:fldChar w:fldCharType="begin"/>
            <w:instrText xml:space="preserve"> PAGEREF _heading=h.d21jdt8nzoga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121</w:t>
          </w:r>
          <w:r w:rsidDel="00000000" w:rsidR="00000000" w:rsidRPr="00000000">
            <w:fldChar w:fldCharType="begin"/>
            <w:instrText xml:space="preserve"> HYPERLINK \l "_heading=h.d21jdt8nzoga"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4.3.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Sampling Constraints</w:t>
            <w:tab/>
          </w:r>
          <w:r w:rsidDel="00000000" w:rsidR="00000000" w:rsidRPr="00000000">
            <w:fldChar w:fldCharType="begin"/>
            <w:instrText xml:space="preserve"> PAGEREF _heading=h.szmag9esvv9h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124</w:t>
          </w:r>
          <w:r w:rsidDel="00000000" w:rsidR="00000000" w:rsidRPr="00000000">
            <w:fldChar w:fldCharType="begin"/>
            <w:instrText xml:space="preserve"> HYPERLINK \l "_heading=h.szmag9esvv9h"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Additional Data Sources</w:t>
            <w:tab/>
          </w:r>
          <w:r w:rsidDel="00000000" w:rsidR="00000000" w:rsidRPr="00000000">
            <w:fldChar w:fldCharType="begin"/>
            <w:instrText xml:space="preserve"> PAGEREF _heading=h.lj6wyw8l12xt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126</w:t>
          </w:r>
          <w:r w:rsidDel="00000000" w:rsidR="00000000" w:rsidRPr="00000000">
            <w:fldChar w:fldCharType="begin"/>
            <w:instrText xml:space="preserve"> HYPERLINK \l "_heading=h.lj6wyw8l12xt"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7.</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Analysis</w:t>
            <w:tab/>
          </w:r>
          <w:r w:rsidDel="00000000" w:rsidR="00000000" w:rsidRPr="00000000">
            <w:fldChar w:fldCharType="begin"/>
            <w:instrText xml:space="preserve"> PAGEREF _heading=h.npddqoiy1x3s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129</w:t>
          </w:r>
          <w:r w:rsidDel="00000000" w:rsidR="00000000" w:rsidRPr="00000000">
            <w:fldChar w:fldCharType="begin"/>
            <w:instrText xml:space="preserve"> HYPERLINK \l "_heading=h.npddqoiy1x3s"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350"/>
            </w:tabs>
            <w:spacing w:after="0" w:before="0" w:line="276" w:lineRule="auto"/>
            <w:ind w:left="44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7.1.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Coding Frame</w:t>
            <w:tab/>
          </w:r>
          <w:r w:rsidDel="00000000" w:rsidR="00000000" w:rsidRPr="00000000">
            <w:fldChar w:fldCharType="begin"/>
            <w:instrText xml:space="preserve"> PAGEREF _heading=h.ucbaqb1379or \h </w:instrText>
            <w:fldChar w:fldCharType="separate"/>
          </w:r>
          <w:r w:rsidDel="00000000" w:rsidR="00000000" w:rsidRPr="00000000">
            <w:rPr>
              <w:rFonts w:ascii="Calibri" w:cs="Calibri" w:eastAsia="Calibri" w:hAnsi="Calibri"/>
              <w:b w:val="0"/>
              <w:i w:val="1"/>
              <w:smallCaps w:val="0"/>
              <w:strike w:val="0"/>
              <w:color w:val="000000"/>
              <w:sz w:val="20"/>
              <w:szCs w:val="20"/>
              <w:u w:val="none"/>
              <w:vertAlign w:val="baseline"/>
              <w:rtl w:val="0"/>
            </w:rPr>
            <w:t xml:space="preserve">130</w:t>
          </w:r>
          <w:r w:rsidDel="00000000" w:rsidR="00000000" w:rsidRPr="00000000">
            <w:fldChar w:fldCharType="begin"/>
            <w:instrText xml:space="preserve"> HYPERLINK \l "_heading=h.ucbaqb1379or"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8.</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Limitations to the Research</w:t>
            <w:tab/>
          </w:r>
          <w:r w:rsidDel="00000000" w:rsidR="00000000" w:rsidRPr="00000000">
            <w:fldChar w:fldCharType="begin"/>
            <w:instrText xml:space="preserve"> PAGEREF _heading=h.hjmxvdrpbzlj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132</w:t>
          </w:r>
          <w:r w:rsidDel="00000000" w:rsidR="00000000" w:rsidRPr="00000000">
            <w:fldChar w:fldCharType="begin"/>
            <w:instrText xml:space="preserve"> HYPERLINK \l "_heading=h.hjmxvdrpbzlj"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9.</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Positionality and Ethics in Selecting Case Studies</w:t>
            <w:tab/>
          </w:r>
          <w:r w:rsidDel="00000000" w:rsidR="00000000" w:rsidRPr="00000000">
            <w:fldChar w:fldCharType="begin"/>
            <w:instrText xml:space="preserve"> PAGEREF _heading=h.g78ub8rctw1d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134</w:t>
          </w:r>
          <w:r w:rsidDel="00000000" w:rsidR="00000000" w:rsidRPr="00000000">
            <w:fldChar w:fldCharType="begin"/>
            <w:instrText xml:space="preserve"> HYPERLINK \l "_heading=h.g78ub8rctw1d"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10.</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_heading=h.rhgr1t5svmpv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136</w:t>
          </w:r>
          <w:r w:rsidDel="00000000" w:rsidR="00000000" w:rsidRPr="00000000">
            <w:fldChar w:fldCharType="begin"/>
            <w:instrText xml:space="preserve"> HYPERLINK \l "_heading=h.rhgr1t5svmpv"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FIVE: SFI PILOT FARMERS AND THE RECONFIGURATION OF CAPITAL STRUCTURES DEFINING THE ‘GOOD FARMER’</w:t>
            <w:tab/>
          </w:r>
          <w:r w:rsidDel="00000000" w:rsidR="00000000" w:rsidRPr="00000000">
            <w:fldChar w:fldCharType="begin"/>
            <w:instrText xml:space="preserve"> PAGEREF _heading=h.ncm77reejqlv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138</w:t>
          </w:r>
          <w:r w:rsidDel="00000000" w:rsidR="00000000" w:rsidRPr="00000000">
            <w:fldChar w:fldCharType="begin"/>
            <w:instrText xml:space="preserve"> HYPERLINK \l "_heading=h.ncm77reejqlv"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_heading=h.wr47isz9f8dt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138</w:t>
          </w:r>
          <w:r w:rsidDel="00000000" w:rsidR="00000000" w:rsidRPr="00000000">
            <w:fldChar w:fldCharType="begin"/>
            <w:instrText xml:space="preserve"> HYPERLINK \l "_heading=h.wr47isz9f8dt"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Economic Capital</w:t>
            <w:tab/>
          </w:r>
          <w:r w:rsidDel="00000000" w:rsidR="00000000" w:rsidRPr="00000000">
            <w:fldChar w:fldCharType="begin"/>
            <w:instrText xml:space="preserve"> PAGEREF _heading=h.dj09tp8al8s5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139</w:t>
          </w:r>
          <w:r w:rsidDel="00000000" w:rsidR="00000000" w:rsidRPr="00000000">
            <w:fldChar w:fldCharType="begin"/>
            <w:instrText xml:space="preserve"> HYPERLINK \l "_heading=h.dj09tp8al8s5"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Social Capital</w:t>
            <w:tab/>
          </w:r>
          <w:r w:rsidDel="00000000" w:rsidR="00000000" w:rsidRPr="00000000">
            <w:fldChar w:fldCharType="begin"/>
            <w:instrText xml:space="preserve"> PAGEREF _heading=h.c1gy63ppthps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143</w:t>
          </w:r>
          <w:r w:rsidDel="00000000" w:rsidR="00000000" w:rsidRPr="00000000">
            <w:fldChar w:fldCharType="begin"/>
            <w:instrText xml:space="preserve"> HYPERLINK \l "_heading=h.c1gy63ppthps"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Cultural Capital</w:t>
            <w:tab/>
          </w:r>
          <w:r w:rsidDel="00000000" w:rsidR="00000000" w:rsidRPr="00000000">
            <w:fldChar w:fldCharType="begin"/>
            <w:instrText xml:space="preserve"> PAGEREF _heading=h.p7n01irkqyza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146</w:t>
          </w:r>
          <w:r w:rsidDel="00000000" w:rsidR="00000000" w:rsidRPr="00000000">
            <w:fldChar w:fldCharType="begin"/>
            <w:instrText xml:space="preserve"> HYPERLINK \l "_heading=h.p7n01irkqyza"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Redefining 'Good Farming': The Role of Capital Structures in Tenant Farmers' Decisions</w:t>
            <w:tab/>
          </w:r>
          <w:r w:rsidDel="00000000" w:rsidR="00000000" w:rsidRPr="00000000">
            <w:fldChar w:fldCharType="begin"/>
            <w:instrText xml:space="preserve"> PAGEREF _heading=h.95mrpo192y4b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156</w:t>
          </w:r>
          <w:r w:rsidDel="00000000" w:rsidR="00000000" w:rsidRPr="00000000">
            <w:fldChar w:fldCharType="begin"/>
            <w:instrText xml:space="preserve"> HYPERLINK \l "_heading=h.95mrpo192y4b"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6.</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_heading=h.dqa3aqepj6mf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162</w:t>
          </w:r>
          <w:r w:rsidDel="00000000" w:rsidR="00000000" w:rsidRPr="00000000">
            <w:fldChar w:fldCharType="begin"/>
            <w:instrText xml:space="preserve"> HYPERLINK \l "_heading=h.dqa3aqepj6mf"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SIX: NON-PILOT FARMERS AND THE EVOLVING CAPITAL STRUCTURES DURING THE POST-BREXIT TRANSITION</w:t>
            <w:tab/>
          </w:r>
          <w:r w:rsidDel="00000000" w:rsidR="00000000" w:rsidRPr="00000000">
            <w:fldChar w:fldCharType="begin"/>
            <w:instrText xml:space="preserve"> PAGEREF _heading=h.uf4mzgp653ns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164</w:t>
          </w:r>
          <w:r w:rsidDel="00000000" w:rsidR="00000000" w:rsidRPr="00000000">
            <w:fldChar w:fldCharType="begin"/>
            <w:instrText xml:space="preserve"> HYPERLINK \l "_heading=h.uf4mzgp653ns"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_heading=h.il49z4hmvscf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164</w:t>
          </w:r>
          <w:r w:rsidDel="00000000" w:rsidR="00000000" w:rsidRPr="00000000">
            <w:fldChar w:fldCharType="begin"/>
            <w:instrText xml:space="preserve"> HYPERLINK \l "_heading=h.il49z4hmvscf"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Economic Capital</w:t>
            <w:tab/>
          </w:r>
          <w:r w:rsidDel="00000000" w:rsidR="00000000" w:rsidRPr="00000000">
            <w:fldChar w:fldCharType="begin"/>
            <w:instrText xml:space="preserve"> PAGEREF _heading=h.jhmvj23huoa2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165</w:t>
          </w:r>
          <w:r w:rsidDel="00000000" w:rsidR="00000000" w:rsidRPr="00000000">
            <w:fldChar w:fldCharType="begin"/>
            <w:instrText xml:space="preserve"> HYPERLINK \l "_heading=h.jhmvj23huoa2"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Social Capital</w:t>
            <w:tab/>
          </w:r>
          <w:r w:rsidDel="00000000" w:rsidR="00000000" w:rsidRPr="00000000">
            <w:fldChar w:fldCharType="begin"/>
            <w:instrText xml:space="preserve"> PAGEREF _heading=h.poxl615vnx41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172</w:t>
          </w:r>
          <w:r w:rsidDel="00000000" w:rsidR="00000000" w:rsidRPr="00000000">
            <w:fldChar w:fldCharType="begin"/>
            <w:instrText xml:space="preserve"> HYPERLINK \l "_heading=h.poxl615vnx41"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Cultural Capital</w:t>
            <w:tab/>
          </w:r>
          <w:r w:rsidDel="00000000" w:rsidR="00000000" w:rsidRPr="00000000">
            <w:fldChar w:fldCharType="begin"/>
            <w:instrText xml:space="preserve"> PAGEREF _heading=h.rg7wllrj5y8y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177</w:t>
          </w:r>
          <w:r w:rsidDel="00000000" w:rsidR="00000000" w:rsidRPr="00000000">
            <w:fldChar w:fldCharType="begin"/>
            <w:instrText xml:space="preserve"> HYPERLINK \l "_heading=h.rg7wllrj5y8y"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_heading=h.g9wsdgv7rk1e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184</w:t>
          </w:r>
          <w:r w:rsidDel="00000000" w:rsidR="00000000" w:rsidRPr="00000000">
            <w:fldChar w:fldCharType="begin"/>
            <w:instrText xml:space="preserve"> HYPERLINK \l "_heading=h.g9wsdgv7rk1e"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SEVEN: THE GOOD FARMER SPECTRUM</w:t>
            <w:tab/>
          </w:r>
          <w:r w:rsidDel="00000000" w:rsidR="00000000" w:rsidRPr="00000000">
            <w:fldChar w:fldCharType="begin"/>
            <w:instrText xml:space="preserve"> PAGEREF _heading=h.wk6g6zlrhe26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186</w:t>
          </w:r>
          <w:r w:rsidDel="00000000" w:rsidR="00000000" w:rsidRPr="00000000">
            <w:fldChar w:fldCharType="begin"/>
            <w:instrText xml:space="preserve"> HYPERLINK \l "_heading=h.wk6g6zlrhe26"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_heading=h.3gyy9rqxm5jw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186</w:t>
          </w:r>
          <w:r w:rsidDel="00000000" w:rsidR="00000000" w:rsidRPr="00000000">
            <w:fldChar w:fldCharType="begin"/>
            <w:instrText xml:space="preserve"> HYPERLINK \l "_heading=h.3gyy9rqxm5jw"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Introducing the ‘Green Farmer’</w:t>
            <w:tab/>
          </w:r>
          <w:r w:rsidDel="00000000" w:rsidR="00000000" w:rsidRPr="00000000">
            <w:fldChar w:fldCharType="begin"/>
            <w:instrText xml:space="preserve"> PAGEREF _heading=h.pkjt27utrsxd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187</w:t>
          </w:r>
          <w:r w:rsidDel="00000000" w:rsidR="00000000" w:rsidRPr="00000000">
            <w:fldChar w:fldCharType="begin"/>
            <w:instrText xml:space="preserve"> HYPERLINK \l "_heading=h.pkjt27utrsxd"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The Good Enough and Green Enough Farmer</w:t>
            <w:tab/>
          </w:r>
          <w:r w:rsidDel="00000000" w:rsidR="00000000" w:rsidRPr="00000000">
            <w:fldChar w:fldCharType="begin"/>
            <w:instrText xml:space="preserve"> PAGEREF _heading=h.prnusmkwwx5h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199</w:t>
          </w:r>
          <w:r w:rsidDel="00000000" w:rsidR="00000000" w:rsidRPr="00000000">
            <w:fldChar w:fldCharType="begin"/>
            <w:instrText xml:space="preserve"> HYPERLINK \l "_heading=h.prnusmkwwx5h"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The Good Farmer Spectrum</w:t>
            <w:tab/>
          </w:r>
          <w:r w:rsidDel="00000000" w:rsidR="00000000" w:rsidRPr="00000000">
            <w:fldChar w:fldCharType="begin"/>
            <w:instrText xml:space="preserve"> PAGEREF _heading=h.lqb218dfbfr6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208</w:t>
          </w:r>
          <w:r w:rsidDel="00000000" w:rsidR="00000000" w:rsidRPr="00000000">
            <w:fldChar w:fldCharType="begin"/>
            <w:instrText xml:space="preserve"> HYPERLINK \l "_heading=h.lqb218dfbfr6"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_heading=h.l88j2dtgto2p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213</w:t>
          </w:r>
          <w:r w:rsidDel="00000000" w:rsidR="00000000" w:rsidRPr="00000000">
            <w:fldChar w:fldCharType="begin"/>
            <w:instrText xml:space="preserve"> HYPERLINK \l "_heading=h.l88j2dtgto2p"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CHAPTER EIGHT: CONCLUSION</w:t>
            <w:tab/>
          </w:r>
          <w:r w:rsidDel="00000000" w:rsidR="00000000" w:rsidRPr="00000000">
            <w:fldChar w:fldCharType="begin"/>
            <w:instrText xml:space="preserve"> PAGEREF _heading=h.kot2bz72two6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215</w:t>
          </w:r>
          <w:r w:rsidDel="00000000" w:rsidR="00000000" w:rsidRPr="00000000">
            <w:fldChar w:fldCharType="begin"/>
            <w:instrText xml:space="preserve"> HYPERLINK \l "_heading=h.kot2bz72two6"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Introduction</w:t>
            <w:tab/>
          </w:r>
          <w:r w:rsidDel="00000000" w:rsidR="00000000" w:rsidRPr="00000000">
            <w:fldChar w:fldCharType="begin"/>
            <w:instrText xml:space="preserve"> PAGEREF _heading=h.6ktk7g5nh3rk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215</w:t>
          </w:r>
          <w:r w:rsidDel="00000000" w:rsidR="00000000" w:rsidRPr="00000000">
            <w:fldChar w:fldCharType="begin"/>
            <w:instrText xml:space="preserve"> HYPERLINK \l "_heading=h.6ktk7g5nh3rk"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Summary of Contributions to the Literature</w:t>
            <w:tab/>
          </w:r>
          <w:r w:rsidDel="00000000" w:rsidR="00000000" w:rsidRPr="00000000">
            <w:fldChar w:fldCharType="begin"/>
            <w:instrText xml:space="preserve"> PAGEREF _heading=h.f3qilzrulbel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217</w:t>
          </w:r>
          <w:r w:rsidDel="00000000" w:rsidR="00000000" w:rsidRPr="00000000">
            <w:fldChar w:fldCharType="begin"/>
            <w:instrText xml:space="preserve"> HYPERLINK \l "_heading=h.f3qilzrulbel"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Recommendations for Future Research</w:t>
            <w:tab/>
          </w:r>
          <w:r w:rsidDel="00000000" w:rsidR="00000000" w:rsidRPr="00000000">
            <w:fldChar w:fldCharType="begin"/>
            <w:instrText xml:space="preserve"> PAGEREF _heading=h.ve9f68p7rba0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222</w:t>
          </w:r>
          <w:r w:rsidDel="00000000" w:rsidR="00000000" w:rsidRPr="00000000">
            <w:fldChar w:fldCharType="begin"/>
            <w:instrText xml:space="preserve"> HYPERLINK \l "_heading=h.ve9f68p7rba0"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ab/>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Conclusion</w:t>
            <w:tab/>
          </w:r>
          <w:r w:rsidDel="00000000" w:rsidR="00000000" w:rsidRPr="00000000">
            <w:fldChar w:fldCharType="begin"/>
            <w:instrText xml:space="preserve"> PAGEREF _heading=h.yo3euhr5bhkn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223</w:t>
          </w:r>
          <w:r w:rsidDel="00000000" w:rsidR="00000000" w:rsidRPr="00000000">
            <w:fldChar w:fldCharType="begin"/>
            <w:instrText xml:space="preserve"> HYPERLINK \l "_heading=h.yo3euhr5bhkn"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BIBLIOGRAPHY</w:t>
            <w:tab/>
          </w:r>
          <w:r w:rsidDel="00000000" w:rsidR="00000000" w:rsidRPr="00000000">
            <w:fldChar w:fldCharType="begin"/>
            <w:instrText xml:space="preserve"> PAGEREF _heading=h.vzi3uyijau05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225</w:t>
          </w:r>
          <w:r w:rsidDel="00000000" w:rsidR="00000000" w:rsidRPr="00000000">
            <w:fldChar w:fldCharType="begin"/>
            <w:instrText xml:space="preserve"> HYPERLINK \l "_heading=h.vzi3uyijau05"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76"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APPENDIX</w:t>
            <w:tab/>
          </w:r>
          <w:r w:rsidDel="00000000" w:rsidR="00000000" w:rsidRPr="00000000">
            <w:fldChar w:fldCharType="begin"/>
            <w:instrText xml:space="preserve"> PAGEREF _heading=h.qonr8u6o1a3f \h </w:instrText>
            <w:fldChar w:fldCharType="separate"/>
          </w:r>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242</w:t>
          </w:r>
          <w:r w:rsidDel="00000000" w:rsidR="00000000" w:rsidRPr="00000000">
            <w:fldChar w:fldCharType="begin"/>
            <w:instrText xml:space="preserve"> HYPERLINK \l "_heading=h.qonr8u6o1a3f"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1</w:t>
            <w:tab/>
          </w:r>
          <w:r w:rsidDel="00000000" w:rsidR="00000000" w:rsidRPr="00000000">
            <w:fldChar w:fldCharType="begin"/>
            <w:instrText xml:space="preserve"> PAGEREF _heading=h.4rcnkjnka1sh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242</w:t>
          </w:r>
          <w:r w:rsidDel="00000000" w:rsidR="00000000" w:rsidRPr="00000000">
            <w:fldChar w:fldCharType="begin"/>
            <w:instrText xml:space="preserve"> HYPERLINK \l "_heading=h.4rcnkjnka1sh"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2</w:t>
            <w:tab/>
          </w:r>
          <w:r w:rsidDel="00000000" w:rsidR="00000000" w:rsidRPr="00000000">
            <w:fldChar w:fldCharType="begin"/>
            <w:instrText xml:space="preserve"> PAGEREF _heading=h.8uxftbidk3fk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250</w:t>
          </w:r>
          <w:r w:rsidDel="00000000" w:rsidR="00000000" w:rsidRPr="00000000">
            <w:fldChar w:fldCharType="begin"/>
            <w:instrText xml:space="preserve"> HYPERLINK \l "_heading=h.8uxftbidk3fk"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3</w:t>
            <w:tab/>
          </w:r>
          <w:r w:rsidDel="00000000" w:rsidR="00000000" w:rsidRPr="00000000">
            <w:fldChar w:fldCharType="begin"/>
            <w:instrText xml:space="preserve"> PAGEREF _heading=h.h3mt5oqnl8su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251</w:t>
          </w:r>
          <w:r w:rsidDel="00000000" w:rsidR="00000000" w:rsidRPr="00000000">
            <w:fldChar w:fldCharType="begin"/>
            <w:instrText xml:space="preserve"> HYPERLINK \l "_heading=h.h3mt5oqnl8su"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4</w:t>
            <w:tab/>
          </w:r>
          <w:r w:rsidDel="00000000" w:rsidR="00000000" w:rsidRPr="00000000">
            <w:fldChar w:fldCharType="begin"/>
            <w:instrText xml:space="preserve"> PAGEREF _heading=h.u5dact6m0rsf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254</w:t>
          </w:r>
          <w:r w:rsidDel="00000000" w:rsidR="00000000" w:rsidRPr="00000000">
            <w:fldChar w:fldCharType="begin"/>
            <w:instrText xml:space="preserve"> HYPERLINK \l "_heading=h.u5dact6m0rsf"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5</w:t>
            <w:tab/>
          </w:r>
          <w:r w:rsidDel="00000000" w:rsidR="00000000" w:rsidRPr="00000000">
            <w:fldChar w:fldCharType="begin"/>
            <w:instrText xml:space="preserve"> PAGEREF _heading=h.sz8ah4n66p2o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257</w:t>
          </w:r>
          <w:r w:rsidDel="00000000" w:rsidR="00000000" w:rsidRPr="00000000">
            <w:fldChar w:fldCharType="begin"/>
            <w:instrText xml:space="preserve"> HYPERLINK \l "_heading=h.sz8ah4n66p2o"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6</w:t>
            <w:tab/>
          </w:r>
          <w:r w:rsidDel="00000000" w:rsidR="00000000" w:rsidRPr="00000000">
            <w:fldChar w:fldCharType="begin"/>
            <w:instrText xml:space="preserve"> PAGEREF _heading=h.yz49lk8obxb0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259</w:t>
          </w:r>
          <w:r w:rsidDel="00000000" w:rsidR="00000000" w:rsidRPr="00000000">
            <w:fldChar w:fldCharType="begin"/>
            <w:instrText xml:space="preserve"> HYPERLINK \l "_heading=h.yz49lk8obxb0"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7</w:t>
            <w:tab/>
          </w:r>
          <w:r w:rsidDel="00000000" w:rsidR="00000000" w:rsidRPr="00000000">
            <w:fldChar w:fldCharType="begin"/>
            <w:instrText xml:space="preserve"> PAGEREF _heading=h.5ycbak7fmie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260</w:t>
          </w:r>
          <w:r w:rsidDel="00000000" w:rsidR="00000000" w:rsidRPr="00000000">
            <w:fldChar w:fldCharType="begin"/>
            <w:instrText xml:space="preserve"> HYPERLINK \l "_heading=h.5ycbak7fmie"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8</w:t>
            <w:tab/>
          </w:r>
          <w:r w:rsidDel="00000000" w:rsidR="00000000" w:rsidRPr="00000000">
            <w:fldChar w:fldCharType="begin"/>
            <w:instrText xml:space="preserve"> PAGEREF _heading=h.ixtrmybnafyk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262</w:t>
          </w:r>
          <w:r w:rsidDel="00000000" w:rsidR="00000000" w:rsidRPr="00000000">
            <w:fldChar w:fldCharType="begin"/>
            <w:instrText xml:space="preserve"> HYPERLINK \l "_heading=h.ixtrmybnafyk"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0" w:before="0" w:line="276" w:lineRule="auto"/>
            <w:ind w:left="2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APPENDIX 9</w:t>
            <w:tab/>
          </w:r>
          <w:r w:rsidDel="00000000" w:rsidR="00000000" w:rsidRPr="00000000">
            <w:fldChar w:fldCharType="begin"/>
            <w:instrText xml:space="preserve"> PAGEREF _heading=h.wix7b3ql8k2p \h </w:instrText>
            <w:fldChar w:fldCharType="separate"/>
          </w:r>
          <w:r w:rsidDel="00000000" w:rsidR="00000000" w:rsidRPr="00000000">
            <w:rPr>
              <w:rFonts w:ascii="Calibri" w:cs="Calibri" w:eastAsia="Calibri" w:hAnsi="Calibri"/>
              <w:b w:val="0"/>
              <w:i w:val="0"/>
              <w:smallCaps w:val="1"/>
              <w:strike w:val="0"/>
              <w:color w:val="000000"/>
              <w:sz w:val="20"/>
              <w:szCs w:val="20"/>
              <w:u w:val="none"/>
              <w:vertAlign w:val="baseline"/>
              <w:rtl w:val="0"/>
            </w:rPr>
            <w:t xml:space="preserve">263</w:t>
          </w:r>
          <w:r w:rsidDel="00000000" w:rsidR="00000000" w:rsidRPr="00000000">
            <w:fldChar w:fldCharType="begin"/>
            <w:instrText xml:space="preserve"> HYPERLINK \l "_heading=h.wix7b3ql8k2p" </w:instrText>
            <w:fldChar w:fldCharType="separate"/>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pStyle w:val="Title"/>
        <w:spacing w:before="200" w:line="276" w:lineRule="auto"/>
        <w:rPr>
          <w:u w:val="single"/>
        </w:rPr>
      </w:pPr>
      <w:bookmarkStart w:colFirst="0" w:colLast="0" w:name="_heading=h.11h61bu56bl" w:id="3"/>
      <w:bookmarkEnd w:id="3"/>
      <w:r w:rsidDel="00000000" w:rsidR="00000000" w:rsidRPr="00000000">
        <w:fldChar w:fldCharType="end"/>
      </w:r>
      <w:r w:rsidDel="00000000" w:rsidR="00000000" w:rsidRPr="00000000">
        <w:rPr>
          <w:u w:val="single"/>
          <w:rtl w:val="0"/>
        </w:rPr>
        <w:t xml:space="preserve">LIST OF ABBREVIATIONS</w:t>
      </w:r>
    </w:p>
    <w:p w:rsidR="00000000" w:rsidDel="00000000" w:rsidP="00000000" w:rsidRDefault="00000000" w:rsidRPr="00000000" w14:paraId="00000074">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AES: Agri-environmental Schemes</w:t>
      </w:r>
    </w:p>
    <w:p w:rsidR="00000000" w:rsidDel="00000000" w:rsidP="00000000" w:rsidRDefault="00000000" w:rsidRPr="00000000" w14:paraId="00000075">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ALB: Arms-length Bodies </w:t>
      </w:r>
    </w:p>
    <w:p w:rsidR="00000000" w:rsidDel="00000000" w:rsidP="00000000" w:rsidRDefault="00000000" w:rsidRPr="00000000" w14:paraId="00000076">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BPS: Basic Payment Scheme</w:t>
      </w:r>
    </w:p>
    <w:p w:rsidR="00000000" w:rsidDel="00000000" w:rsidP="00000000" w:rsidRDefault="00000000" w:rsidRPr="00000000" w14:paraId="00000077">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 Common Agricultural Policy</w:t>
      </w:r>
    </w:p>
    <w:p w:rsidR="00000000" w:rsidDel="00000000" w:rsidP="00000000" w:rsidRDefault="00000000" w:rsidRPr="00000000" w14:paraId="00000078">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 Countryside Stewardship</w:t>
      </w:r>
    </w:p>
    <w:p w:rsidR="00000000" w:rsidDel="00000000" w:rsidP="00000000" w:rsidRDefault="00000000" w:rsidRPr="00000000" w14:paraId="00000079">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CSS: Countryside Stewardship Scheme (first/original version of Countryside Stewardship)</w:t>
      </w:r>
    </w:p>
    <w:p w:rsidR="00000000" w:rsidDel="00000000" w:rsidP="00000000" w:rsidRDefault="00000000" w:rsidRPr="00000000" w14:paraId="0000007A">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Department of Environment, Food and Rural Affairs </w:t>
      </w:r>
    </w:p>
    <w:p w:rsidR="00000000" w:rsidDel="00000000" w:rsidP="00000000" w:rsidRDefault="00000000" w:rsidRPr="00000000" w14:paraId="0000007B">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EEC: European Economic Community</w:t>
      </w:r>
    </w:p>
    <w:p w:rsidR="00000000" w:rsidDel="00000000" w:rsidP="00000000" w:rsidRDefault="00000000" w:rsidRPr="00000000" w14:paraId="0000007C">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ELM schemes: Environmental Land Management (schemes)</w:t>
      </w:r>
    </w:p>
    <w:p w:rsidR="00000000" w:rsidDel="00000000" w:rsidP="00000000" w:rsidRDefault="00000000" w:rsidRPr="00000000" w14:paraId="0000007D">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Environmental Stewardship</w:t>
      </w:r>
    </w:p>
    <w:p w:rsidR="00000000" w:rsidDel="00000000" w:rsidP="00000000" w:rsidRDefault="00000000" w:rsidRPr="00000000" w14:paraId="0000007E">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ESA: Environmentally Sensitive Areas</w:t>
      </w:r>
    </w:p>
    <w:p w:rsidR="00000000" w:rsidDel="00000000" w:rsidP="00000000" w:rsidRDefault="00000000" w:rsidRPr="00000000" w14:paraId="0000007F">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 European Union </w:t>
      </w:r>
    </w:p>
    <w:p w:rsidR="00000000" w:rsidDel="00000000" w:rsidP="00000000" w:rsidRDefault="00000000" w:rsidRPr="00000000" w14:paraId="00000080">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LNR: Local Nature Recovery</w:t>
      </w:r>
    </w:p>
    <w:p w:rsidR="00000000" w:rsidDel="00000000" w:rsidP="00000000" w:rsidRDefault="00000000" w:rsidRPr="00000000" w14:paraId="00000081">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LR: Landscape Recovery</w:t>
        <w:br w:type="textWrapping"/>
        <w:t xml:space="preserve">NE: Natural England </w:t>
      </w:r>
    </w:p>
    <w:p w:rsidR="00000000" w:rsidDel="00000000" w:rsidP="00000000" w:rsidRDefault="00000000" w:rsidRPr="00000000" w14:paraId="00000082">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NFU: National Farmers Union </w:t>
      </w:r>
    </w:p>
    <w:p w:rsidR="00000000" w:rsidDel="00000000" w:rsidP="00000000" w:rsidRDefault="00000000" w:rsidRPr="00000000" w14:paraId="00000083">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SFI: Sustainable Farming Incentive</w:t>
      </w:r>
    </w:p>
    <w:p w:rsidR="00000000" w:rsidDel="00000000" w:rsidP="00000000" w:rsidRDefault="00000000" w:rsidRPr="00000000" w14:paraId="00000084">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RPA: Rural Payments Agency </w:t>
      </w:r>
    </w:p>
    <w:p w:rsidR="00000000" w:rsidDel="00000000" w:rsidP="00000000" w:rsidRDefault="00000000" w:rsidRPr="00000000" w14:paraId="00000085">
      <w:pPr>
        <w:spacing w:line="480" w:lineRule="auto"/>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UK: United Kingdom </w:t>
      </w:r>
      <w:r w:rsidDel="00000000" w:rsidR="00000000" w:rsidRPr="00000000">
        <w:br w:type="page"/>
      </w:r>
      <w:r w:rsidDel="00000000" w:rsidR="00000000" w:rsidRPr="00000000">
        <w:rPr>
          <w:rtl w:val="0"/>
        </w:rPr>
      </w:r>
    </w:p>
    <w:p w:rsidR="00000000" w:rsidDel="00000000" w:rsidP="00000000" w:rsidRDefault="00000000" w:rsidRPr="00000000" w14:paraId="00000086">
      <w:pPr>
        <w:pStyle w:val="Title"/>
        <w:spacing w:before="200" w:line="276" w:lineRule="auto"/>
        <w:rPr>
          <w:u w:val="single"/>
        </w:rPr>
      </w:pPr>
      <w:bookmarkStart w:colFirst="0" w:colLast="0" w:name="_heading=h.y30yyuev24ku" w:id="4"/>
      <w:bookmarkEnd w:id="4"/>
      <w:r w:rsidDel="00000000" w:rsidR="00000000" w:rsidRPr="00000000">
        <w:rPr>
          <w:u w:val="single"/>
          <w:rtl w:val="0"/>
        </w:rPr>
        <w:t xml:space="preserve">LIST OF TABLES</w:t>
      </w:r>
    </w:p>
    <w:sdt>
      <w:sdtPr>
        <w:id w:val="1265934292"/>
        <w:docPartObj>
          <w:docPartGallery w:val="Table of Contents"/>
          <w:docPartUnique w:val="1"/>
        </w:docPartObj>
      </w:sdtPr>
      <w:sdtContent>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32"/>
              <w:szCs w:val="32"/>
              <w:u w:val="none"/>
              <w:vertAlign w:val="baseline"/>
            </w:rPr>
          </w:pPr>
          <w:bookmarkStart w:colFirst="0" w:colLast="0" w:name="_heading=h.1pfr3gobesey" w:id="5"/>
          <w:bookmarkEnd w:id="5"/>
          <w:r w:rsidDel="00000000" w:rsidR="00000000" w:rsidRPr="00000000">
            <w:fldChar w:fldCharType="begin"/>
            <w:instrText xml:space="preserve"> TOC \h \u \z \t "Heading 1,1,Heading 2,2,Heading 3,3,Heading 4,4,Heading 5,5,Heading 6,6,"</w:instrText>
            <w:fldChar w:fldCharType="separate"/>
          </w:r>
          <w:hyperlink w:anchor="_heading=h.c1472suf1c3r">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2.1. CAP payments as a proportion of total farm income</w:t>
            </w:r>
          </w:hyperlink>
          <w:hyperlink w:anchor="_heading=h.c1472suf1c3r">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34</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crvjuik47m61">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2.2. Post-Brexit Agri-Environmental Scheme Policies in the UK, as of 2025</w:t>
            </w:r>
          </w:hyperlink>
          <w:hyperlink w:anchor="_heading=h.crvjuik47m61">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36</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2u8w02mllbjj">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2.3. Definitions of Public Goods Eligible for Public Money</w:t>
            </w:r>
          </w:hyperlink>
          <w:hyperlink w:anchor="_heading=h.2u8w02mllbjj">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39</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t488uw5jc1vu">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2.4. Overview of the ELM schemes, circa 2022</w:t>
            </w:r>
          </w:hyperlink>
          <w:hyperlink w:anchor="_heading=h.t488uw5jc1vu">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45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214p4rhhkyt0">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2.5. SFI Standard Payment Rates, circa 2022</w:t>
            </w:r>
          </w:hyperlink>
          <w:hyperlink w:anchor="_heading=h.214p4rhhkyt0">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koqzvrnuph64">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2.6. Breakdown of Agricultural Sector in England, by Farm Type</w:t>
            </w:r>
          </w:hyperlink>
          <w:hyperlink w:anchor="_heading=h.koqzvrnuph64">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60</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woftqn72haks">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2.7. Distribution of Farm Size in England</w:t>
            </w:r>
          </w:hyperlink>
          <w:hyperlink w:anchor="_heading=h.woftqn72haks">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61</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9dj5upp98pkf">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3.1. Comparison of Passive and Active Adopter</w:t>
            </w:r>
          </w:hyperlink>
          <w:hyperlink w:anchor="_heading=h.9dj5upp98pkf">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71</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1dic4hc38z8t">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3.2. Seven Evolutions of Agricultural Systems</w:t>
            </w:r>
          </w:hyperlink>
          <w:hyperlink w:anchor="_heading=h.1dic4hc38z8t">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93</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eq2e7j1qo0sb">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4.1. Annual Participation in SFI Pilot</w:t>
            </w:r>
          </w:hyperlink>
          <w:hyperlink w:anchor="_heading=h.eq2e7j1qo0sb">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114</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utup7yg4aqtv">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4.2. Geographical Breakdown of Interviews</w:t>
            </w:r>
          </w:hyperlink>
          <w:hyperlink w:anchor="_heading=h.utup7yg4aqtv">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121</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xpvdctrv9aqk">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4.3. Summary of Data Sources</w:t>
            </w:r>
          </w:hyperlink>
          <w:hyperlink w:anchor="_heading=h.xpvdctrv9aqk">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128</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440" w:right="0" w:hanging="440"/>
            <w:jc w:val="left"/>
            <w:rPr>
              <w:rFonts w:ascii="Calibri" w:cs="Calibri" w:eastAsia="Calibri" w:hAnsi="Calibri"/>
              <w:b w:val="0"/>
              <w:i w:val="0"/>
              <w:smallCaps w:val="0"/>
              <w:strike w:val="0"/>
              <w:color w:val="000000"/>
              <w:sz w:val="32"/>
              <w:szCs w:val="32"/>
              <w:u w:val="none"/>
              <w:vertAlign w:val="baseline"/>
            </w:rPr>
          </w:pPr>
          <w:hyperlink w:anchor="_heading=h.3bxa4y6qinag">
            <w:r w:rsidDel="00000000" w:rsidR="00000000" w:rsidRPr="00000000">
              <w:rPr>
                <w:rFonts w:ascii="Calibri" w:cs="Calibri" w:eastAsia="Calibri" w:hAnsi="Calibri"/>
                <w:b w:val="1"/>
                <w:i w:val="0"/>
                <w:smallCaps w:val="1"/>
                <w:strike w:val="0"/>
                <w:color w:val="000000"/>
                <w:sz w:val="22"/>
                <w:szCs w:val="22"/>
                <w:u w:val="none"/>
                <w:vertAlign w:val="baseline"/>
                <w:rtl w:val="0"/>
              </w:rPr>
              <w:t xml:space="preserve">Table 4.4. Examples of Codes Generated from Data Analysis</w:t>
            </w:r>
          </w:hyperlink>
          <w:hyperlink w:anchor="_heading=h.3bxa4y6qinag">
            <w:r w:rsidDel="00000000" w:rsidR="00000000" w:rsidRPr="00000000">
              <w:rPr>
                <w:rFonts w:ascii="Calibri" w:cs="Calibri" w:eastAsia="Calibri" w:hAnsi="Calibri"/>
                <w:b w:val="0"/>
                <w:i w:val="0"/>
                <w:smallCaps w:val="1"/>
                <w:strike w:val="0"/>
                <w:color w:val="000000"/>
                <w:sz w:val="22"/>
                <w:szCs w:val="22"/>
                <w:u w:val="none"/>
                <w:vertAlign w:val="baseline"/>
                <w:rtl w:val="0"/>
              </w:rPr>
              <w:tab/>
              <w:t xml:space="preserve">130</w:t>
            </w:r>
          </w:hyperlink>
          <w:r w:rsidDel="00000000" w:rsidR="00000000" w:rsidRPr="00000000">
            <w:rPr>
              <w:rtl w:val="0"/>
            </w:rPr>
          </w:r>
        </w:p>
        <w:p w:rsidR="00000000" w:rsidDel="00000000" w:rsidP="00000000" w:rsidRDefault="00000000" w:rsidRPr="00000000" w14:paraId="00000094">
          <w:pPr>
            <w:pStyle w:val="Title"/>
            <w:spacing w:before="200" w:lineRule="auto"/>
            <w:jc w:val="left"/>
            <w:rPr>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5">
      <w:pPr>
        <w:pStyle w:val="Title"/>
        <w:spacing w:before="200" w:lineRule="auto"/>
        <w:jc w:val="left"/>
        <w:rPr>
          <w:sz w:val="32"/>
          <w:szCs w:val="32"/>
        </w:rPr>
        <w:sectPr>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96">
      <w:pPr>
        <w:pStyle w:val="Title"/>
        <w:spacing w:before="200" w:lineRule="auto"/>
        <w:rPr>
          <w:u w:val="single"/>
        </w:rPr>
        <w:sectPr>
          <w:type w:val="continuous"/>
          <w:pgSz w:h="15840" w:w="12240" w:orient="portrait"/>
          <w:pgMar w:bottom="1440" w:top="1440" w:left="1440" w:right="1440" w:header="720" w:footer="720"/>
        </w:sectPr>
      </w:pPr>
      <w:bookmarkStart w:colFirst="0" w:colLast="0" w:name="_heading=h.648nhiprlzgv" w:id="6"/>
      <w:bookmarkEnd w:id="6"/>
      <w:r w:rsidDel="00000000" w:rsidR="00000000" w:rsidRPr="00000000">
        <w:rPr>
          <w:u w:val="single"/>
          <w:rtl w:val="0"/>
        </w:rPr>
        <w:t xml:space="preserve">LIST OF FIGURES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sdt>
      <w:sdtPr>
        <w:id w:val="-1275081766"/>
        <w:docPartObj>
          <w:docPartGallery w:val="Table of Contents"/>
          <w:docPartUnique w:val="1"/>
        </w:docPartObj>
      </w:sdtPr>
      <w:sdtContent>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bookmarkStart w:colFirst="0" w:colLast="0" w:name="_heading=h.n7tssi21vxhu" w:id="7"/>
          <w:bookmarkEnd w:id="7"/>
          <w:r w:rsidDel="00000000" w:rsidR="00000000" w:rsidRPr="00000000">
            <w:fldChar w:fldCharType="begin"/>
            <w:instrText xml:space="preserve"> TOC \h \u \z \t "Heading 1,1,Heading 2,2,Heading 3,3,Heading 4,4,Heading 5,5,Heading 6,6,"</w:instrText>
            <w:fldChar w:fldCharType="separate"/>
          </w:r>
          <w:hyperlink w:anchor="_heading=h.nvqs5p4nb8ct">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1.1 Timeline of the Post-Brexit Transition Period</w:t>
            </w:r>
          </w:hyperlink>
          <w:hyperlink w:anchor="_heading=h.nvqs5p4nb8ct">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19</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kodxwrqiix4q">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2.1.  Agri-Environment Scheme Development in England</w:t>
            </w:r>
          </w:hyperlink>
          <w:hyperlink w:anchor="_heading=h.kodxwrqiix4q">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30</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615ufi2wq6gs">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2.2. Visualisation of BPS Payment Reductions in 2023 and 2025</w:t>
            </w:r>
          </w:hyperlink>
          <w:hyperlink w:anchor="_heading=h.615ufi2wq6gs">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42</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tuojpct3dh7v">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2.3 Environmental Land Management Schemes</w:t>
            </w:r>
          </w:hyperlink>
          <w:hyperlink w:anchor="_heading=h.tuojpct3dh7v">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50</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58sakkm3243">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2.4. Timeline of the SFI Pilot</w:t>
            </w:r>
          </w:hyperlink>
          <w:hyperlink w:anchor="_heading=h.58sakkm3243">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51</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z9j6si44ehd4">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2.5. Regional Breakdown of England:</w:t>
            </w:r>
          </w:hyperlink>
          <w:hyperlink w:anchor="_heading=h.z9j6si44ehd4">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59</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q1c90b77qojo">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3.1.  Scale of Scheme Adoption</w:t>
            </w:r>
          </w:hyperlink>
          <w:hyperlink w:anchor="_heading=h.q1c90b77qojo">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72</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t5yz3enja28m">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3.2. The ‘triggering change’ cycle</w:t>
            </w:r>
          </w:hyperlink>
          <w:hyperlink w:anchor="_heading=h.t5yz3enja28m">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79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h6001lez8q4a">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3.3. Conceptual framework of Bourdieu's social theory applied to the ‘good farmer’ concept in the context of English Farming</w:t>
            </w:r>
          </w:hyperlink>
          <w:hyperlink w:anchor="_heading=h.h6001lez8q4a">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83</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ok8buq2w76o">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4.1 Distribution of Farm Size for Interviews</w:t>
            </w:r>
          </w:hyperlink>
          <w:hyperlink w:anchor="_heading=h.ok8buq2w76o">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123</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i5loe4bpgldw">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4.2 Distribution of Farm Type for Interviews</w:t>
            </w:r>
          </w:hyperlink>
          <w:hyperlink w:anchor="_heading=h.i5loe4bpgldw">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123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447aj7asq1k">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4.3. Timeline of the policy developments and completion of interviews</w:t>
            </w:r>
          </w:hyperlink>
          <w:hyperlink w:anchor="_heading=h.447aj7asq1k">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126</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yumy54bn0fnw">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7.1: Comparison of the ‘Good Farmer’ and the ‘Green Farmer’</w:t>
            </w:r>
          </w:hyperlink>
          <w:hyperlink w:anchor="_heading=h.yumy54bn0fnw">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192</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x4u79rc9wfow">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7.2 Venn Diagram Comparison of the Good Enough versus the Good Farmer</w:t>
            </w:r>
          </w:hyperlink>
          <w:hyperlink w:anchor="_heading=h.x4u79rc9wfow">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203</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mti2181ziv5z">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7.3  Venn Diagram Comparison of the Green Enough versus the Green Farmer</w:t>
            </w:r>
          </w:hyperlink>
          <w:hyperlink w:anchor="_heading=h.mti2181ziv5z">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206</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360" w:lineRule="auto"/>
            <w:ind w:left="440" w:right="0" w:hanging="440"/>
            <w:jc w:val="left"/>
            <w:rPr>
              <w:rFonts w:ascii="Calibri" w:cs="Calibri" w:eastAsia="Calibri" w:hAnsi="Calibri"/>
              <w:b w:val="0"/>
              <w:i w:val="0"/>
              <w:smallCaps w:val="0"/>
              <w:strike w:val="0"/>
              <w:color w:val="000000"/>
              <w:sz w:val="24"/>
              <w:szCs w:val="24"/>
              <w:u w:val="none"/>
              <w:vertAlign w:val="baseline"/>
            </w:rPr>
          </w:pPr>
          <w:hyperlink w:anchor="_heading=h.x1lkqtyr22sl">
            <w:r w:rsidDel="00000000" w:rsidR="00000000" w:rsidRPr="00000000">
              <w:rPr>
                <w:rFonts w:ascii="Calibri" w:cs="Calibri" w:eastAsia="Calibri" w:hAnsi="Calibri"/>
                <w:b w:val="1"/>
                <w:i w:val="0"/>
                <w:smallCaps w:val="1"/>
                <w:strike w:val="0"/>
                <w:color w:val="000000"/>
                <w:sz w:val="20"/>
                <w:szCs w:val="20"/>
                <w:u w:val="none"/>
                <w:vertAlign w:val="baseline"/>
                <w:rtl w:val="0"/>
              </w:rPr>
              <w:t xml:space="preserve">Figure 7.4:  The Good Farmer Spectrum</w:t>
            </w:r>
          </w:hyperlink>
          <w:hyperlink w:anchor="_heading=h.x1lkqtyr22sl">
            <w:r w:rsidDel="00000000" w:rsidR="00000000" w:rsidRPr="00000000">
              <w:rPr>
                <w:rFonts w:ascii="Calibri" w:cs="Calibri" w:eastAsia="Calibri" w:hAnsi="Calibri"/>
                <w:b w:val="0"/>
                <w:i w:val="0"/>
                <w:smallCaps w:val="1"/>
                <w:strike w:val="0"/>
                <w:color w:val="000000"/>
                <w:sz w:val="20"/>
                <w:szCs w:val="20"/>
                <w:u w:val="none"/>
                <w:vertAlign w:val="baseline"/>
                <w:rtl w:val="0"/>
              </w:rPr>
              <w:tab/>
              <w:t xml:space="preserve">210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8">
      <w:pPr>
        <w:pStyle w:val="Title"/>
        <w:spacing w:before="200" w:lineRule="auto"/>
        <w:jc w:val="left"/>
        <w:rPr>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rPr/>
      </w:pPr>
      <w:bookmarkStart w:colFirst="0" w:colLast="0" w:name="_heading=h.luscqrnked5a" w:id="8"/>
      <w:bookmarkEnd w:id="8"/>
      <w:r w:rsidDel="00000000" w:rsidR="00000000" w:rsidRPr="00000000">
        <w:rPr>
          <w:rtl w:val="0"/>
        </w:rPr>
        <w:t xml:space="preserve">CHAPTER ONE</w:t>
      </w:r>
    </w:p>
    <w:p w:rsidR="00000000" w:rsidDel="00000000" w:rsidP="00000000" w:rsidRDefault="00000000" w:rsidRPr="00000000" w14:paraId="000000AA">
      <w:pPr>
        <w:pStyle w:val="Heading1"/>
        <w:rPr/>
      </w:pPr>
      <w:bookmarkStart w:colFirst="0" w:colLast="0" w:name="_heading=h.yf0tb04vnfio" w:id="9"/>
      <w:bookmarkEnd w:id="9"/>
      <w:r w:rsidDel="00000000" w:rsidR="00000000" w:rsidRPr="00000000">
        <w:rPr>
          <w:rtl w:val="0"/>
        </w:rPr>
        <w:t xml:space="preserve">INTRODUCTION</w:t>
      </w:r>
    </w:p>
    <w:p w:rsidR="00000000" w:rsidDel="00000000" w:rsidP="00000000" w:rsidRDefault="00000000" w:rsidRPr="00000000" w14:paraId="000000AB">
      <w:pPr>
        <w:pStyle w:val="Heading2"/>
        <w:numPr>
          <w:ilvl w:val="0"/>
          <w:numId w:val="10"/>
        </w:numPr>
        <w:ind w:left="720" w:hanging="360"/>
        <w:rPr/>
      </w:pPr>
      <w:bookmarkStart w:colFirst="0" w:colLast="0" w:name="_heading=h.vnbk0zf76pe9" w:id="10"/>
      <w:bookmarkEnd w:id="10"/>
      <w:r w:rsidDel="00000000" w:rsidR="00000000" w:rsidRPr="00000000">
        <w:rPr>
          <w:rtl w:val="0"/>
        </w:rPr>
        <w:t xml:space="preserve">Introduction </w:t>
      </w:r>
    </w:p>
    <w:p w:rsidR="00000000" w:rsidDel="00000000" w:rsidP="00000000" w:rsidRDefault="00000000" w:rsidRPr="00000000" w14:paraId="000000A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Farming practices globally face a range of challenges, from adapting to rapid technological innovation and shifting labour patterns, to coping with the growing impacts of climate change</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 As the challenges of climate change continue to grow, a fundamental transformation of the agriculture sector is necessary. The response to these challenges has been visible at both the international and national levels. To illustrate, at the OECD Meeting of Agricultural Ministers in November 2022, representatives from 42 OECD member countries and emerging economies collectively committed to finding more sustainable and resilient practices to transform agricultural and food production (OECD, 2023). This call for action aligns with the growing recognition that climate change is not only exacerbated by agricultural practices but also has negative implications for food production. </w:t>
      </w:r>
    </w:p>
    <w:p w:rsidR="00000000" w:rsidDel="00000000" w:rsidP="00000000" w:rsidRDefault="00000000" w:rsidRPr="00000000" w14:paraId="000000A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impacts of climate change on agriculture highlight the need for environmentally sustainable and resilient farming practices. However, achieving this transition is not just a matter of new policy or technologies, but it also requires farmers to adopt and engage with new methods, techniques, and frameworks that address climate change mitigation. The success of the agriculture sector’s transition to ‘greener’ mechanisms ultimately relies on understanding how farmers interact with these broad sectoral changes, and whether they are willing and able to adopt them.</w:t>
      </w:r>
    </w:p>
    <w:p w:rsidR="00000000" w:rsidDel="00000000" w:rsidP="00000000" w:rsidRDefault="00000000" w:rsidRPr="00000000" w14:paraId="000000A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draws attention to the importance of investigating farmers’ behaviour which encompasses: the choices they make, the identities they hold, and how these decisions relate to both the land and the evolving policy and landscape. Analysing how farmers might adopt sustainable practices within their existing environments also requires examining the barriers and challenges they face in transitioning to greener approaches.</w:t>
      </w:r>
    </w:p>
    <w:p w:rsidR="00000000" w:rsidDel="00000000" w:rsidP="00000000" w:rsidRDefault="00000000" w:rsidRPr="00000000" w14:paraId="000000A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Periods of transition present a timely opportunity to revisit the conceptual frameworks that underpin our understanding of farmer behaviour. One framework is the concept of the ‘good farmer’ which is a theoretical lens that has gained prominence in literature exploring the cultural and social dynamics of farming (Burton, 2004; Burton et al., 2008; Burton and Paragahawewa, 2011; Sutherland and Burton, 2011; Riley, 2014; Cusworth and Dodsworth, 2021). The ‘good farmer’ has been used to explain how farming identities and priorities shape responses to industry shifts and new agricultural practices, similar to the ‘green’ shifts taking place globally in response to climate change (Sutherland, 2013; Cusworth and Dodsworth, 2021).</w:t>
      </w:r>
    </w:p>
    <w:p w:rsidR="00000000" w:rsidDel="00000000" w:rsidP="00000000" w:rsidRDefault="00000000" w:rsidRPr="00000000" w14:paraId="000000B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Burton et al. (2020) argue that times of policy change and resistance offer valuable opportunities for re-evaluating the ‘good farmer’ concept, particularly in terms of shifting values and cultural attitudes within the farming community. Despite the prominence of the ‘good farmer’ as a concept used to understand farmer behaviour, the original ‘good farmer’ conceptualisation is increasingly dated. Significantly developed by Burton in 2004, the theory predates many of the transformative trends now reshaping agriculture, including heightened climate pressures, rapid technological advancement, and globalisation. Its emphasis on traditional practices may therefore no longer adequately reflect the realities of 21st-century farming, requiring the concept to be revisited. </w:t>
      </w:r>
    </w:p>
    <w:p w:rsidR="00000000" w:rsidDel="00000000" w:rsidP="00000000" w:rsidRDefault="00000000" w:rsidRPr="00000000" w14:paraId="000000B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UK, the government took Brexit as an opportunity to reshape the face of agriculture in England through pursuing a green approach (Green Brexit). This case therefore presents a timely opportunity to analyse a current and unfolding example of a ‘green transition’. By examining how farmers are engaging with such transitions, this thesis aims to contribute to a more current and nuanced understanding of farming identities and the motivations that shape sustainable decision-making in agriculture today. Further, by presenting the case of the SFI pilot and the farmers who engage with it, it allows for an opportunity to modernise the definition of the ‘good farmer’ to be reflective of the realities of ‘green transitions.’ </w:t>
      </w:r>
    </w:p>
    <w:p w:rsidR="00000000" w:rsidDel="00000000" w:rsidP="00000000" w:rsidRDefault="00000000" w:rsidRPr="00000000" w14:paraId="000000B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presents an overview of themes that are discussed in greater depth in later chapters of this thesis. The following section provides a brief overview of the existing academic contributions on farmer behaviour and decision-making, and the limitations and gaps in the literature. The main theoretical contribution of this thesis is the introduction of the Good Farmer Spectrum, which addresses key gaps in the literature. This framework re-conceptualises farmer behaviour by recognising a continuum, from traditional views of the 'good farmer' to more environmentally driven 'green farmers'. It offers a more nuanced understanding of how and why farmers make decisions.</w:t>
      </w:r>
    </w:p>
    <w:p w:rsidR="00000000" w:rsidDel="00000000" w:rsidP="00000000" w:rsidRDefault="00000000" w:rsidRPr="00000000" w14:paraId="000000B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section provides a background and context of the importance and uniqueness of the post-Brexit transition in the UK, presenting it as a suitable opportunity to study farmer behaviour during transition. The chapter concludes with the research goals and aims of this dissertation and is followed by an outline of how the remaining chapters are organised and how the data are presented. </w:t>
      </w:r>
    </w:p>
    <w:p w:rsidR="00000000" w:rsidDel="00000000" w:rsidP="00000000" w:rsidRDefault="00000000" w:rsidRPr="00000000" w14:paraId="000000B4">
      <w:pPr>
        <w:pStyle w:val="Heading2"/>
        <w:numPr>
          <w:ilvl w:val="0"/>
          <w:numId w:val="10"/>
        </w:numPr>
        <w:ind w:left="720" w:hanging="360"/>
        <w:rPr/>
      </w:pPr>
      <w:bookmarkStart w:colFirst="0" w:colLast="0" w:name="_heading=h.5sa9zsuvcidx" w:id="11"/>
      <w:bookmarkEnd w:id="11"/>
      <w:r w:rsidDel="00000000" w:rsidR="00000000" w:rsidRPr="00000000">
        <w:rPr>
          <w:rtl w:val="0"/>
        </w:rPr>
        <w:t xml:space="preserve">Research Significance and Contributions </w:t>
      </w:r>
    </w:p>
    <w:p w:rsidR="00000000" w:rsidDel="00000000" w:rsidP="00000000" w:rsidRDefault="00000000" w:rsidRPr="00000000" w14:paraId="000000B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existing literature highlights the concept of the ‘good farmer’ as a valuable lens through which to understand farmer behaviour, particularly in how priorities, identities, and decision-making evolve within farming communities (Burton, 2004; Burton et al., 2008; Burton and Paragahawewa, 2011; Sutherland and Burton, 2011; Riley, 2014; Cusworth and Dodsworth, 2021). This concept has been applied to evaluate how farmers respond to changes in the agricultural industry and respond to shifts in the market through the introduction of new farming methods and practices, making it a useful framework for evaluating farmers during a period of transition and change (Sutherland, 2013; Cusworth and Dodsworth, 2021). </w:t>
      </w:r>
    </w:p>
    <w:p w:rsidR="00000000" w:rsidDel="00000000" w:rsidP="00000000" w:rsidRDefault="00000000" w:rsidRPr="00000000" w14:paraId="000000B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concept was inspired by Bourdieu’s (1986) theory of capital. Bourdieu (1986) argued that there are three different kinds of capital: economic (financials, ability to invest in other capitals, monetary), cultural (skills, value, knowledge) and social (networks, memberships, community) capital. When applying Bourdieu’s model to farmers, it is understood that farmers make decisions based on the capital they hold, which influences their social role within the farming community (Burton et al., 2008; McGuire et al., 2013). Utilising this framework allows for the decisions within a transitory period to be broken down into different dimensions and further analysed to understand how they work together. To illustrate, a farmer’s decision is not merely observed as a simple cause and effect, but, rather, is dissected to understand what social, cultural and economic factors underpin their decision-making process. Thus, this framework allows for a full picture of farmer decision-making to be understood. This is important because, as noted above, to encourage farmer engagement in green transitions and the fight against climate change, we must understand what is shaping farmer decision-making. Bourdieu’s model, which underpins the ‘good farmer’, allows for this greater understanding to occur through the provision of a framework that addresses different factors of decision-making whilst also addressing how they work together. </w:t>
      </w:r>
    </w:p>
    <w:p w:rsidR="00000000" w:rsidDel="00000000" w:rsidP="00000000" w:rsidRDefault="00000000" w:rsidRPr="00000000" w14:paraId="000000B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Existing literature on ‘good farmers’ and their interactions with agri-environmental schemes (AES) suggests that traditional indicators of ‘good farming’ practices (e.g. tidy fields, crop production) can negatively impact AES participation, because the expected outcomes of the AES do not align with the conventional symbols of good farming (Burton, et al., 2008). For example, farmers often see a value in their role as a food producer for the nation, focused on high yields, as the epitome of good farming, so they are reluctant to join schemes that encourage actions that may negatively impact their role as a food producer (Williams et al., 1994; Burton, 2004; Burton et al., 2008). This notion that farmers’ identities and how they see their role in society can shape their decisions and influence their participation in schemes is a central aspect of the ‘good farmer’ concept (Burton, 2004; Burton et al., 2008).</w:t>
      </w:r>
    </w:p>
    <w:p w:rsidR="00000000" w:rsidDel="00000000" w:rsidP="00000000" w:rsidRDefault="00000000" w:rsidRPr="00000000" w14:paraId="000000B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farming practices evolve, so too do the symbols that define what constitutes a ‘good farmer’. A notable example from the existing literature is Sutherland’s (2013) study, which reviews the rise of organic farming and how this shift in the agricultural sector introduced new symbols of good farming since organic farming requires a specific set of knowledge and skills for crop production to be successful. Sutherland (2013) found that farmers could demonstrate their skill through the ability to farm using organic methods, and that these skills were valued by both traditional and organic farmers, despite not aligning with the traditional ‘good farming’ symbols. </w:t>
      </w:r>
    </w:p>
    <w:p w:rsidR="00000000" w:rsidDel="00000000" w:rsidP="00000000" w:rsidRDefault="00000000" w:rsidRPr="00000000" w14:paraId="000000B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these contributions to the literature provide a useful foundation for this thesis, there are significant gaps that this thesis addresses. The existing literature fails to provide an up-to-date account for how developments in all three dimensions of capital impact the conceptualisation of good farming. Further, a majority of the contributions emphasise developments of cultural capital or social capital, thereby neglecting to account for economic capital and the intertwined impact that </w:t>
      </w:r>
      <w:r w:rsidDel="00000000" w:rsidR="00000000" w:rsidRPr="00000000">
        <w:rPr>
          <w:rFonts w:ascii="Calibri" w:cs="Calibri" w:eastAsia="Calibri" w:hAnsi="Calibri"/>
          <w:b w:val="1"/>
          <w:sz w:val="24"/>
          <w:szCs w:val="24"/>
          <w:rtl w:val="0"/>
        </w:rPr>
        <w:t xml:space="preserve">all three </w:t>
      </w:r>
      <w:r w:rsidDel="00000000" w:rsidR="00000000" w:rsidRPr="00000000">
        <w:rPr>
          <w:rFonts w:ascii="Calibri" w:cs="Calibri" w:eastAsia="Calibri" w:hAnsi="Calibri"/>
          <w:sz w:val="24"/>
          <w:szCs w:val="24"/>
          <w:rtl w:val="0"/>
        </w:rPr>
        <w:t xml:space="preserve">dimensions of capital can have (Burton, 2004; Burton et al., 2008; Sutherland and Burton, 2011; Sutherland, 2013; Cusworth, 2020; Burton et al., 2020; Cusworth and Dodsworth, 2021).  When reflecting on the existing literature, it appears that at some point the interconnectedness of the three forms of capital has been neglected and they have not been explicitly evaluated alongside one another in the context of the realities of modern-day farming. Consequently, the literature fails to relate findings back consistently to Bourdieu’s framework, leading to a disjointed overview of the ‘good farmer’. </w:t>
      </w:r>
    </w:p>
    <w:p w:rsidR="00000000" w:rsidDel="00000000" w:rsidP="00000000" w:rsidRDefault="00000000" w:rsidRPr="00000000" w14:paraId="000000BA">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Second, the ‘good farmer’ literature offers a dated conception that fails to capture farmer behaviour in the 2020s. The concept originated over twenty years ago– in a period where several of the macro trends which are currently impacting the agricultural sector were not as prominent as they are today (e.g. climate change, advancements in technology, globalisation) (Burton et al., 2008). The dominant conceptualisation of the ‘good farmer’ is rooted in ‘traditional’ farming practices and thereby fails to capture more recent developments in agriculture.</w:t>
      </w:r>
    </w:p>
    <w:p w:rsidR="00000000" w:rsidDel="00000000" w:rsidP="00000000" w:rsidRDefault="00000000" w:rsidRPr="00000000" w14:paraId="000000B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addresses these gaps in the literature by directly addressing the transformation of each dimension of capital for farmers throughout the post-Brexit transition and then relating the collected empirical data back to provide an updated conceptualisation of the ‘good farmer’. Providing this updated conceptualisation of the ‘good farmer’ sheds light on the different social, cultural, and economic dimensions that drive farmer decision-making in a ‘green transition’ period. This thesis produces a more well-rounded theory that contextualises the environment of farmer decision-making, allowing for a better understanding of the reasoning behind why certain decisions were made in the case of the post-Brexit transition, that can be used to inform studies of green transitions in other settings. </w:t>
      </w:r>
    </w:p>
    <w:p w:rsidR="00000000" w:rsidDel="00000000" w:rsidP="00000000" w:rsidRDefault="00000000" w:rsidRPr="00000000" w14:paraId="000000BC">
      <w:pPr>
        <w:pStyle w:val="Heading2"/>
        <w:numPr>
          <w:ilvl w:val="0"/>
          <w:numId w:val="10"/>
        </w:numPr>
        <w:ind w:left="720" w:hanging="360"/>
        <w:rPr/>
      </w:pPr>
      <w:bookmarkStart w:colFirst="0" w:colLast="0" w:name="_heading=h.axs49hs2epgz" w:id="12"/>
      <w:bookmarkEnd w:id="12"/>
      <w:r w:rsidDel="00000000" w:rsidR="00000000" w:rsidRPr="00000000">
        <w:rPr>
          <w:rtl w:val="0"/>
        </w:rPr>
        <w:t xml:space="preserve">Background and Context </w:t>
      </w:r>
    </w:p>
    <w:p w:rsidR="00000000" w:rsidDel="00000000" w:rsidP="00000000" w:rsidRDefault="00000000" w:rsidRPr="00000000" w14:paraId="000000B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post-Brexit agricultural transition in the UK presents a timely opportunity to critically analyse the concept of the ‘good farmer’ during a green transition. This section outlines the criteria for selecting England as a ‘green’ transition case and demonstrates the value in researching the agricultural transition taking place in the wake of Brexit. </w:t>
      </w:r>
    </w:p>
    <w:p w:rsidR="00000000" w:rsidDel="00000000" w:rsidP="00000000" w:rsidRDefault="00000000" w:rsidRPr="00000000" w14:paraId="000000B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23 June 2016, the United Kingdom held a referendum, and nearly 52 per cent of the country voted to leave the European Union (EU). This vote and departure from the EU, more popularly known as Brexit, were finalised in January 2020, marking the start of the post-Brexit transition in 2021. A significant aspect of the Brexit referendum was that the UK was required to reassess and replace all policy areas once governed under European Union guidance and law. The agriculture industry of the UK was one of the most severely impacted, due to the EU being the UK’s largest trading partner, the UK’s dependency on the EU seasonal workforce, and British farmers' reliance on EU subsidies (Hubbard et al., 2018). </w:t>
      </w:r>
    </w:p>
    <w:p w:rsidR="00000000" w:rsidDel="00000000" w:rsidP="00000000" w:rsidRDefault="00000000" w:rsidRPr="00000000" w14:paraId="000000B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the UK entered the EU in 1973, its agricultural policies have largely been driven by the EU’s Common Agricultural Policy (CAP), providing a sense of consistency and security to UK farmers. The post-Brexit policy was anticipated to bring dramatic change to the UK agriculture sector (Downing and Coe, 2018). At the centre of this change was the farmer, having to navigate which policies were a good fit for them, their farm, and their future.</w:t>
      </w:r>
    </w:p>
    <w:p w:rsidR="00000000" w:rsidDel="00000000" w:rsidP="00000000" w:rsidRDefault="00000000" w:rsidRPr="00000000" w14:paraId="000000C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 provided farmers with funding structured under two pillars. Pillar 1 of CAP, known as the Basic Payment Scheme (BPS), provided farmers with subsidies based on land occupancy to discourage overproduction, though critics argued subsidies should be tied to output, not land size (Roederer-Rynning and Matthews, 2019). Pillar 2 focused on rural development, providing support to help farmers become more competitive, adapt to climate change, and promote balanced growth in agricultural communities.</w:t>
      </w:r>
    </w:p>
    <w:p w:rsidR="00000000" w:rsidDel="00000000" w:rsidP="00000000" w:rsidRDefault="00000000" w:rsidRPr="00000000" w14:paraId="000000C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policy transition in the UK agricultural sector post-Brexit is significant because it marked the first time in over 30 years that each of the four UK nations could independently restructure their nation’s agri-environmental schemes, policies, and regulations. This newfound autonomy brought both opportunities and threats to the agricultural sector. On the one hand, it created the opportunity to have full discretion over new policy content and align new schemes to larger national goals, like reaching Net Zero and delivering a ‘Green Brexit’. On the other hand, it introduced challenges tied to international trade competitiveness, labour shortages, and uncertainty around financial support. These significant changes required farmers to make critical decisions about how they would adapt their practices, manage risk, and remain financially viable throughout the transition. Such a rapid transformation of policy and structural support in a core sector presented a unique moment–one that offered the possibility for innovation and resilience but also demanded responses from both policymakers and farmers alike.</w:t>
      </w:r>
    </w:p>
    <w:p w:rsidR="00000000" w:rsidDel="00000000" w:rsidP="00000000" w:rsidRDefault="00000000" w:rsidRPr="00000000" w14:paraId="000000C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narrows in focus to the post-Brexit transition in England. In comparison to the devolved nations, England produced and published more policy updates, making it an ideal case for studying farmer decision-making during a transition period. The accessibility of data on these policy developments, including National Audit Office reports, white papers, farmer opinion trackers, blog updates, and policy briefs, provided a rich source of government resources to provide the context for understanding how farmers engaged with new policy. Additionally, the level of maturity of the new post-Brexit policies, specifically the amount of policy guidance and legislation, presented a unique opportunity to engage with farmers during this transition period and gain insight into their decision-making processes, considering they had different information and options available to inform their decision-making.</w:t>
      </w:r>
    </w:p>
    <w:p w:rsidR="00000000" w:rsidDel="00000000" w:rsidP="00000000" w:rsidRDefault="00000000" w:rsidRPr="00000000" w14:paraId="000000C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November 11, 2020, the House of Commons adopted the Agriculture Act (2020), which laid the groundwork for post-CAP agricultural policy in England by outlining the next steps for reform and introducing a new payment system based on the principle of 'public money for public goods.' Most notably, the Agriculture Act outlined how the direct payments under CAP would be removed and replaced by new policies.</w:t>
      </w:r>
    </w:p>
    <w:p w:rsidR="00000000" w:rsidDel="00000000" w:rsidP="00000000" w:rsidRDefault="00000000" w:rsidRPr="00000000" w14:paraId="000000C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of the UK nations phased out Pillar One direct payments under CAP but chose different approaches. The most explicit phasing out was first in England, under the terms of the Agriculture Act, which significantly reduced direct payments (50 per cent by 2024), ahead of a complete phasing out by 2027. At the start of the agricultural transition period, the Department for Environment, Food &amp; Rural Affairs (Defra) informed farmers that the phasing out of direct payments would occur gradually and incrementally between 2021 and 2027 (Agriculture Act 2020).  This guidance changed in November of 2024 when it was announced that, for 2025, basic payments would be reduced by 76 per cent of the original amount for farmers who had claims of £30,000 or less and would be completely phased out for farmers who had claims above £30,000 shortening the phasing out of these payments (Defra, 2024). These structural changes to the funding regime were potentially intimidating and confusing for farmers, especially as many farmers were quite senior in their farming careers (the average age of UK farmers in 2016 was 60 years old) and had interacted with CAP and the pre-existing basic payment system for nearly the entirety of those careers (Defra, 2016).</w:t>
      </w:r>
    </w:p>
    <w:p w:rsidR="00000000" w:rsidDel="00000000" w:rsidP="00000000" w:rsidRDefault="00000000" w:rsidRPr="00000000" w14:paraId="000000C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new agricultural policy landscape, designed to replace CAP, was underpinned by a series of ambitious environmental goals outlined in the UK government’s 25-Year Environment Plan for England (HMG, 2018) and Net Zero Strategy (Net Zero by 2050) (HMG, 2021). The post-Brexit agri-environmental scheme changes embodied a movement towards promoting regenerative agricultural techniques, preserving biodiversity and wildlife, and paying farmers for producing ‘public goods.’ This approach provided the core tenets of the Environmental Land Management Scheme (ELM scheme) design. ELM schemes were three-pronged and consisted of three different schemes: the Sustainable Farming Incentive (SFI), Local Nature Recovery (LNR), and Landscape Recovery (LR). These schemes were designed to work in tandem to deliver environmental benefits, replace the predecessor EU schemes, and compensate farmers to produce public goods (Defra, 2022). The first of the schemes to be developed and introduced to the public was the Sustainable Farming Incentive, which is the focus of this thesis. Chapter Two provides an in-depth analysis of the other schemes and the evolution of policy which led to the development of ELM schemes. </w:t>
      </w:r>
    </w:p>
    <w:p w:rsidR="00000000" w:rsidDel="00000000" w:rsidP="00000000" w:rsidRDefault="00000000" w:rsidRPr="00000000" w14:paraId="000000C6">
      <w:pPr>
        <w:keepNext w:val="1"/>
        <w:spacing w:after="200" w:before="240" w:line="360" w:lineRule="auto"/>
        <w:rPr/>
      </w:pPr>
      <w:r w:rsidDel="00000000" w:rsidR="00000000" w:rsidRPr="00000000">
        <w:rPr>
          <w:rFonts w:ascii="Calibri" w:cs="Calibri" w:eastAsia="Calibri" w:hAnsi="Calibri"/>
          <w:sz w:val="24"/>
          <w:szCs w:val="24"/>
          <w:rtl w:val="0"/>
        </w:rPr>
        <w:t xml:space="preserve">Figure 1.1 (below) provides an overview of the milestones in England during the post-Brexit transition period and where the data collected for this thesis fits within these changes. </w:t>
      </w:r>
      <w:r w:rsidDel="00000000" w:rsidR="00000000" w:rsidRPr="00000000">
        <w:rPr>
          <w:rFonts w:ascii="Calibri" w:cs="Calibri" w:eastAsia="Calibri" w:hAnsi="Calibri"/>
          <w:sz w:val="24"/>
          <w:szCs w:val="24"/>
        </w:rPr>
        <w:drawing>
          <wp:inline distB="114300" distT="114300" distL="114300" distR="114300">
            <wp:extent cx="5662613" cy="3182295"/>
            <wp:effectExtent b="0" l="0" r="0" t="0"/>
            <wp:docPr id="1297365374" name="image21.jpg"/>
            <a:graphic>
              <a:graphicData uri="http://schemas.openxmlformats.org/drawingml/2006/picture">
                <pic:pic>
                  <pic:nvPicPr>
                    <pic:cNvPr id="0" name="image21.jpg"/>
                    <pic:cNvPicPr preferRelativeResize="0"/>
                  </pic:nvPicPr>
                  <pic:blipFill>
                    <a:blip r:embed="rId10"/>
                    <a:srcRect b="0" l="0" r="0" t="0"/>
                    <a:stretch>
                      <a:fillRect/>
                    </a:stretch>
                  </pic:blipFill>
                  <pic:spPr>
                    <a:xfrm>
                      <a:off x="0" y="0"/>
                      <a:ext cx="5662613" cy="318229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nvqs5p4nb8ct" w:id="13"/>
      <w:bookmarkEnd w:id="13"/>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1.1 Timeline of the Post-Brexit Transition Period</w:t>
      </w:r>
    </w:p>
    <w:p w:rsidR="00000000" w:rsidDel="00000000" w:rsidP="00000000" w:rsidRDefault="00000000" w:rsidRPr="00000000" w14:paraId="000000C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Created from Author’s own document analysis of the policy updates taking place in the UK during the post-Brexit transition period. </w:t>
      </w:r>
    </w:p>
    <w:p w:rsidR="00000000" w:rsidDel="00000000" w:rsidP="00000000" w:rsidRDefault="00000000" w:rsidRPr="00000000" w14:paraId="000000C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specifically examines farmers who have been introduced to the new Sustainable Farming Incentive (SFI), one of the three schemes piloted under the ELM framework. All farmers who were eligible to receive BPS direct payments under CAP were eligible to apply for the SFI pilot. Thus, the farmers who experienced a dramatic reduction in their direct payments had the opportunity to test the new scheme, which could potentially compensate them for the financial losses in the wake of phasing out the BPS. </w:t>
      </w:r>
    </w:p>
    <w:p w:rsidR="00000000" w:rsidDel="00000000" w:rsidP="00000000" w:rsidRDefault="00000000" w:rsidRPr="00000000" w14:paraId="000000CA">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has been conducted during a period in which  the economic capital of the farming communities in England is changing (e.g. phasing out of BPS), the cultural capital or symbols of ‘good farming practices’ are being challenged (in light of a larger worldwide green movement and new ELM policies designed to finance environmentally friendly farming practices), and the significant change brought about by the transition period has affected farmers’ ability to react in an agile and responsive way to new policies. The critical point at which this research took place presented an unprecedented opportunity to analyse how farmers’ behaviour and understanding of value changed and highlighted the need for an updated conceptualisation of the ‘good farmer’. </w:t>
      </w:r>
    </w:p>
    <w:p w:rsidR="00000000" w:rsidDel="00000000" w:rsidP="00000000" w:rsidRDefault="00000000" w:rsidRPr="00000000" w14:paraId="000000C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analyse the decision-making dynamics of farmers during the post-Brexit transition, I conducted interviews with two groups of farmers: those who chose to participate in the SFI pilot and those who chose not to do so.  When the SFI Pilot was presented, farmers had the opportunity to learn about the new scheme first-hand and were offered £5,000 per year as a participation payment (on top of the payment for public goods actions). This participation payment emphasised that the pilot was a learning process with no penalties and was introduced in the wake of government announcements that BPS would be phased out. The existing academic literature on farmer interaction with scheme participation suggests that farmers will adopt an agri-environmental scheme if it translates to a positive economic gain and low opportunity costs for entrance (Schaub et al., 2023). In the case of the SFI Pilot, where there was an economic incentive to join the pilot to offset the loss of BPS and lower risk due to the ‘learning’ nature of the scheme, turnout for the pilot was significantly less than anticipated (NAO, 2021). This case, therefore, presented an interesting opportunity to better understand the motivations behind farmers' decisions whether to participate, how this related to their perceptions of ‘good farming’, and to the capital they held. </w:t>
      </w:r>
    </w:p>
    <w:p w:rsidR="00000000" w:rsidDel="00000000" w:rsidP="00000000" w:rsidRDefault="00000000" w:rsidRPr="00000000" w14:paraId="000000C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Analysing the behaviour of this group of farmers presented a unique opportunity to evaluate farmer behaviour amidst a period where a complete change in financial incentives, which had been in place for decades, was rescinded and replaced with an entirely new type of policy that required farmers to demonstrate specific farming skills to receive funding. In engaging with farmers during this period, this thesis contributes to the literature on farmer behaviour during transition periods, agri-environmental scheme engagement, attitudes towards environmentalism, and responses to change (see Wilson, 1997; Lobley and Potter, 1998; Morris, et al., 2000; Hodge and Reader, 2010; Sutherland, 2013; Hejnowicz, et al.,2016). </w:t>
      </w:r>
    </w:p>
    <w:p w:rsidR="00000000" w:rsidDel="00000000" w:rsidP="00000000" w:rsidRDefault="00000000" w:rsidRPr="00000000" w14:paraId="000000CD">
      <w:pPr>
        <w:pStyle w:val="Heading2"/>
        <w:numPr>
          <w:ilvl w:val="0"/>
          <w:numId w:val="10"/>
        </w:numPr>
        <w:ind w:left="720" w:hanging="360"/>
        <w:rPr/>
      </w:pPr>
      <w:bookmarkStart w:colFirst="0" w:colLast="0" w:name="_heading=h.grzu3e5l6qlb" w:id="14"/>
      <w:bookmarkEnd w:id="14"/>
      <w:r w:rsidDel="00000000" w:rsidR="00000000" w:rsidRPr="00000000">
        <w:rPr>
          <w:rtl w:val="0"/>
        </w:rPr>
        <w:t xml:space="preserve">Research Aims and Questions </w:t>
      </w:r>
    </w:p>
    <w:p w:rsidR="00000000" w:rsidDel="00000000" w:rsidP="00000000" w:rsidRDefault="00000000" w:rsidRPr="00000000" w14:paraId="000000C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principal aim of this thesis is to analyse farmer behaviour during a ‘green transition’ period and to understand and explain the variables that drive farmers to participate in a ‘green transition’. The case selected was the post-Brexit agricultural transition, and farmer participation in the newly emerging agri-environmental schemes in England. </w:t>
      </w:r>
    </w:p>
    <w:p w:rsidR="00000000" w:rsidDel="00000000" w:rsidP="00000000" w:rsidRDefault="00000000" w:rsidRPr="00000000" w14:paraId="000000C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achieve this aim, the project has the research objective of understanding how the ‘good farmer’ concept has and should evolve in the wake of the changing capital structures of the post-Brexit transition. </w:t>
      </w:r>
    </w:p>
    <w:p w:rsidR="00000000" w:rsidDel="00000000" w:rsidP="00000000" w:rsidRDefault="00000000" w:rsidRPr="00000000" w14:paraId="000000D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thesis achieves its research aim and objective through empirical analysis of two cases of farmers: those who elected to participate in the new SFI Pilot scheme introduced during the post-Brexit transition period and those who chose not to participate. </w:t>
      </w:r>
    </w:p>
    <w:p w:rsidR="00000000" w:rsidDel="00000000" w:rsidP="00000000" w:rsidRDefault="00000000" w:rsidRPr="00000000" w14:paraId="000000D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addresses the following research questions: </w:t>
      </w:r>
    </w:p>
    <w:p w:rsidR="00000000" w:rsidDel="00000000" w:rsidP="00000000" w:rsidRDefault="00000000" w:rsidRPr="00000000" w14:paraId="000000D2">
      <w:pPr>
        <w:numPr>
          <w:ilvl w:val="0"/>
          <w:numId w:val="1"/>
        </w:numPr>
        <w:spacing w:after="200" w:line="360" w:lineRule="auto"/>
        <w:ind w:left="720" w:hanging="360"/>
        <w:rPr/>
      </w:pPr>
      <w:r w:rsidDel="00000000" w:rsidR="00000000" w:rsidRPr="00000000">
        <w:rPr>
          <w:rFonts w:ascii="Calibri" w:cs="Calibri" w:eastAsia="Calibri" w:hAnsi="Calibri"/>
          <w:sz w:val="24"/>
          <w:szCs w:val="24"/>
          <w:rtl w:val="0"/>
        </w:rPr>
        <w:t xml:space="preserve">Chapter Five: How did different forms of capital shape the decision-making processes of farmers who decided to participate in the SFI Pilot?</w:t>
      </w:r>
      <w:r w:rsidDel="00000000" w:rsidR="00000000" w:rsidRPr="00000000">
        <w:rPr>
          <w:rtl w:val="0"/>
        </w:rPr>
      </w:r>
    </w:p>
    <w:p w:rsidR="00000000" w:rsidDel="00000000" w:rsidP="00000000" w:rsidRDefault="00000000" w:rsidRPr="00000000" w14:paraId="000000D3">
      <w:pPr>
        <w:numPr>
          <w:ilvl w:val="0"/>
          <w:numId w:val="1"/>
        </w:numPr>
        <w:spacing w:after="200" w:line="360" w:lineRule="auto"/>
        <w:ind w:left="720" w:hanging="360"/>
        <w:rPr/>
      </w:pPr>
      <w:r w:rsidDel="00000000" w:rsidR="00000000" w:rsidRPr="00000000">
        <w:rPr>
          <w:rFonts w:ascii="Calibri" w:cs="Calibri" w:eastAsia="Calibri" w:hAnsi="Calibri"/>
          <w:sz w:val="24"/>
          <w:szCs w:val="24"/>
          <w:rtl w:val="0"/>
        </w:rPr>
        <w:t xml:space="preserve">Chapter Six: How did different forms of capital shape the decision-making processes of farmers who decided not to participate in the SFI Pilot?</w:t>
      </w:r>
      <w:r w:rsidDel="00000000" w:rsidR="00000000" w:rsidRPr="00000000">
        <w:rPr>
          <w:rtl w:val="0"/>
        </w:rPr>
      </w:r>
    </w:p>
    <w:p w:rsidR="00000000" w:rsidDel="00000000" w:rsidP="00000000" w:rsidRDefault="00000000" w:rsidRPr="00000000" w14:paraId="000000D4">
      <w:pPr>
        <w:numPr>
          <w:ilvl w:val="0"/>
          <w:numId w:val="1"/>
        </w:numPr>
        <w:spacing w:after="200" w:line="360" w:lineRule="auto"/>
        <w:ind w:left="720" w:hanging="360"/>
        <w:rPr/>
      </w:pPr>
      <w:r w:rsidDel="00000000" w:rsidR="00000000" w:rsidRPr="00000000">
        <w:rPr>
          <w:rFonts w:ascii="Calibri" w:cs="Calibri" w:eastAsia="Calibri" w:hAnsi="Calibri"/>
          <w:sz w:val="24"/>
          <w:szCs w:val="24"/>
          <w:rtl w:val="0"/>
        </w:rPr>
        <w:t xml:space="preserve">Chapter Seven: How can the ‘good farmer’ framework be reconceptualised to be reflective of the experiences of farmers in the post-Brexit transition? </w:t>
      </w:r>
      <w:r w:rsidDel="00000000" w:rsidR="00000000" w:rsidRPr="00000000">
        <w:rPr>
          <w:rtl w:val="0"/>
        </w:rPr>
      </w:r>
    </w:p>
    <w:p w:rsidR="00000000" w:rsidDel="00000000" w:rsidP="00000000" w:rsidRDefault="00000000" w:rsidRPr="00000000" w14:paraId="000000D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address these research questions, this thesis deployed an inductive, modern approach to grounded theory (Charmaz, 2006), which enabled a comprehensive update of the ‘good farmer’ to emerge from the data collected. The existing literature offers a conceptualisation of the ‘good farmer’ that tends to be quite linear and one-dimensional in its interpretation (e.g. by focusing on one dimension of capital and neglecting to relate to Bourdieu), so adopting this approach allowed a more well-rounded explanatory theory to account for the complexities of the transition period and allowed new themes from the data to emerge. All the empirical data are presented in accordance with the different forms of capital, as part of the ‘good farmer’ concept, to highlight how these dimensions presented themselves throughout the transition period and to illustrate how the conceptualisation of the ‘good farmer’ can be improved and reflective of the modern-day representations of farmers. </w:t>
      </w:r>
    </w:p>
    <w:p w:rsidR="00000000" w:rsidDel="00000000" w:rsidP="00000000" w:rsidRDefault="00000000" w:rsidRPr="00000000" w14:paraId="000000D6">
      <w:pPr>
        <w:pStyle w:val="Heading2"/>
        <w:numPr>
          <w:ilvl w:val="0"/>
          <w:numId w:val="10"/>
        </w:numPr>
        <w:ind w:left="720" w:hanging="360"/>
        <w:rPr/>
      </w:pPr>
      <w:bookmarkStart w:colFirst="0" w:colLast="0" w:name="_heading=h.zghlmuu81efc" w:id="15"/>
      <w:bookmarkEnd w:id="15"/>
      <w:r w:rsidDel="00000000" w:rsidR="00000000" w:rsidRPr="00000000">
        <w:rPr>
          <w:rtl w:val="0"/>
        </w:rPr>
        <w:t xml:space="preserve">Conclusion </w:t>
      </w:r>
    </w:p>
    <w:p w:rsidR="00000000" w:rsidDel="00000000" w:rsidP="00000000" w:rsidRDefault="00000000" w:rsidRPr="00000000" w14:paraId="000000D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has briefly outlined the post-Brexit agricultural transition in England and the thesis's main aims, objectives and research questions. It has alluded to the theoretical contributions this thesis makes to literature on farmer decision-making by expanding the ‘good farmer’ concept to accurately embody behaviour during periods of ‘green transition’. </w:t>
      </w:r>
    </w:p>
    <w:p w:rsidR="00000000" w:rsidDel="00000000" w:rsidP="00000000" w:rsidRDefault="00000000" w:rsidRPr="00000000" w14:paraId="000000D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chapters of this thesis present theoretical contributions related to the ‘good farmer’ in light of the empirical data collected from farmers during the transition period in England. It also makes empirical contributions and insights shared from farmers’ experiences during the transition period and motivations driving their decision-making. This thesis addresses how the ‘good farmer’ concept can be adapted and evolved to account for the changing capital structures and decision-making processes of farmers in the wake of Brexit. It analyses how economic, social, and cultural capital have impacted the reactions of farmers in the transition period and influenced their decision-making and conceptions of what constitutes ‘good farming’. The way farmers respond to changes in the different forms of capital is then directly linked to the concept of the ‘good farmer’.</w:t>
      </w:r>
    </w:p>
    <w:p w:rsidR="00000000" w:rsidDel="00000000" w:rsidP="00000000" w:rsidRDefault="00000000" w:rsidRPr="00000000" w14:paraId="000000D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chapter outlines the history of agricultural policy in the UK from 1973 until the launch of ELM schemes in 2020. Chapter Three then follows to include a review and evaluation of the existing literature that addresses farmer behaviour and how it can be studied, including during periods of transition and policy change. This chapter includes an in-depth discussion surrounding the ‘good farmer’ concept and its theoretical shortcomings, which the empirical chapters of this thesis address. Chapter Four follows with an introduction of the research methodology and framework.</w:t>
      </w:r>
    </w:p>
    <w:p w:rsidR="00000000" w:rsidDel="00000000" w:rsidP="00000000" w:rsidRDefault="00000000" w:rsidRPr="00000000" w14:paraId="000000D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empirical chapters are structured so that Chapter Five introduces the empirical data gathered from interviews with farmers who participated in the SFI Pilot. Chapter Six follows with the introduction of empirical data gathered from interviews of non-pilot farmers and analyses how the changes in capital structures have influenced their decision-making.   </w:t>
      </w:r>
    </w:p>
    <w:p w:rsidR="00000000" w:rsidDel="00000000" w:rsidP="00000000" w:rsidRDefault="00000000" w:rsidRPr="00000000" w14:paraId="000000D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Chapter Seven outlines how the 'good farmer' concept has evolved and introduces a new conceptualisation which reflects the changing capital structures introduced in Chapters Five and Six. The result of this chapter is the introduction of a Good Farmer Spectrum to account for the existing limitations in applying the ‘good farmer’ to understanding farmer decision-making. Chapter Seven also pulls together the different cross-cutting themes throughout the empirical chapters of this thesis and provides policy recommendations for the government in light of the empirical and theoretical contributions introduced in this thesis. </w:t>
      </w:r>
    </w:p>
    <w:p w:rsidR="00000000" w:rsidDel="00000000" w:rsidP="00000000" w:rsidRDefault="00000000" w:rsidRPr="00000000" w14:paraId="000000DC">
      <w:pPr>
        <w:spacing w:after="200" w:line="360" w:lineRule="auto"/>
        <w:rPr/>
      </w:pPr>
      <w:r w:rsidDel="00000000" w:rsidR="00000000" w:rsidRPr="00000000">
        <w:rPr>
          <w:rFonts w:ascii="Calibri" w:cs="Calibri" w:eastAsia="Calibri" w:hAnsi="Calibri"/>
          <w:sz w:val="24"/>
          <w:szCs w:val="24"/>
          <w:rtl w:val="0"/>
        </w:rPr>
        <w:t xml:space="preserve">This thesis then concludes with Chapter Eight, which summarises the main findings, conclusions and contributions of this research and provides recommendations for potential avenues of future research and next steps.</w:t>
      </w:r>
      <w:r w:rsidDel="00000000" w:rsidR="00000000" w:rsidRPr="00000000">
        <w:rPr>
          <w:rtl w:val="0"/>
        </w:rPr>
      </w:r>
    </w:p>
    <w:p w:rsidR="00000000" w:rsidDel="00000000" w:rsidP="00000000" w:rsidRDefault="00000000" w:rsidRPr="00000000" w14:paraId="000000DD">
      <w:pPr>
        <w:pStyle w:val="Title"/>
        <w:spacing w:before="200" w:lineRule="auto"/>
        <w:rPr>
          <w:u w:val="single"/>
        </w:rPr>
      </w:pPr>
      <w:bookmarkStart w:colFirst="0" w:colLast="0" w:name="_heading=h.5a9ipjewrb8h" w:id="16"/>
      <w:bookmarkEnd w:id="16"/>
      <w:r w:rsidDel="00000000" w:rsidR="00000000" w:rsidRPr="00000000">
        <w:rPr>
          <w:rtl w:val="0"/>
        </w:rPr>
      </w:r>
    </w:p>
    <w:p w:rsidR="00000000" w:rsidDel="00000000" w:rsidP="00000000" w:rsidRDefault="00000000" w:rsidRPr="00000000" w14:paraId="000000DE">
      <w:pPr>
        <w:pStyle w:val="Title"/>
        <w:spacing w:before="200" w:lineRule="auto"/>
        <w:rPr>
          <w:u w:val="single"/>
        </w:rPr>
      </w:pPr>
      <w:bookmarkStart w:colFirst="0" w:colLast="0" w:name="_heading=h.x0hj9dnaacik" w:id="17"/>
      <w:bookmarkEnd w:id="17"/>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rPr/>
      </w:pPr>
      <w:bookmarkStart w:colFirst="0" w:colLast="0" w:name="_heading=h.jqxre7ordbya" w:id="18"/>
      <w:bookmarkEnd w:id="18"/>
      <w:r w:rsidDel="00000000" w:rsidR="00000000" w:rsidRPr="00000000">
        <w:rPr>
          <w:rtl w:val="0"/>
        </w:rPr>
        <w:t xml:space="preserve">CHAPTER TWO</w:t>
      </w:r>
    </w:p>
    <w:p w:rsidR="00000000" w:rsidDel="00000000" w:rsidP="00000000" w:rsidRDefault="00000000" w:rsidRPr="00000000" w14:paraId="000000E0">
      <w:pPr>
        <w:pStyle w:val="Heading1"/>
        <w:rPr/>
      </w:pPr>
      <w:bookmarkStart w:colFirst="0" w:colLast="0" w:name="_heading=h.10e5iub4kwpf" w:id="19"/>
      <w:bookmarkEnd w:id="19"/>
      <w:r w:rsidDel="00000000" w:rsidR="00000000" w:rsidRPr="00000000">
        <w:rPr>
          <w:rtl w:val="0"/>
        </w:rPr>
        <w:t xml:space="preserve">UK AGRICULTURE 1973 TO 2020</w:t>
      </w:r>
    </w:p>
    <w:p w:rsidR="00000000" w:rsidDel="00000000" w:rsidP="00000000" w:rsidRDefault="00000000" w:rsidRPr="00000000" w14:paraId="000000E1">
      <w:pPr>
        <w:spacing w:before="20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pStyle w:val="Heading2"/>
        <w:numPr>
          <w:ilvl w:val="0"/>
          <w:numId w:val="4"/>
        </w:numPr>
        <w:ind w:left="360" w:hanging="360"/>
        <w:rPr/>
      </w:pPr>
      <w:bookmarkStart w:colFirst="0" w:colLast="0" w:name="_heading=h.3oc0xjgll671" w:id="20"/>
      <w:bookmarkEnd w:id="20"/>
      <w:r w:rsidDel="00000000" w:rsidR="00000000" w:rsidRPr="00000000">
        <w:rPr>
          <w:rtl w:val="0"/>
        </w:rPr>
        <w:t xml:space="preserve">Introduction</w:t>
      </w:r>
    </w:p>
    <w:p w:rsidR="00000000" w:rsidDel="00000000" w:rsidP="00000000" w:rsidRDefault="00000000" w:rsidRPr="00000000" w14:paraId="000000E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provides the information necessary to contextualise the empirical contributions presented in the subsequent chapters of this thesis. It begins with a historical overview of the agricultural policy in the United Kingdom under European Union membership, examining how EU schemes shaped the financial and cultural landscape of UK agriculture. This section highlights the significant impact that EU funding and policy frameworks have on the sector, particularly the national agricultural schemes that guided farming practices, supported farmers, and influenced the agricultural economy.</w:t>
      </w:r>
    </w:p>
    <w:p w:rsidR="00000000" w:rsidDel="00000000" w:rsidP="00000000" w:rsidRDefault="00000000" w:rsidRPr="00000000" w14:paraId="000000E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chapter then shifts to assess the effects of Brexit on the UK agricultural sector, focusing on the implications of losing EU funds and policies. The departure from the European Union posed a significant challenge to the development of agricultural policy across the UK’s four nations, and this section demonstrates how the loss of EU support has reshaped the policy environment, with varied responses from the different administrations.</w:t>
      </w:r>
    </w:p>
    <w:p w:rsidR="00000000" w:rsidDel="00000000" w:rsidP="00000000" w:rsidRDefault="00000000" w:rsidRPr="00000000" w14:paraId="000000E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then continues to narrow in focus and provides an in-depth overview of the policy developments within post-Brexit England, as England had the most developed policy response to Brexit at the time this thesis was being conducted. The chapter presents the introduction of new policy frameworks, such as the Environmental Land Management (ELM) schemes, and the Sustainable Farming Incentive (SFI) Pilot, designed to replace the EU-funded support systems and shift towards a new payment structure for farmers. The SFI Pilot is then introduced as a unique opportunity to evaluate farmer behaviour and motivations in engaging with post-Brexit agricultural policies. By analysing the participation of farmers in this new scheme, the thesis seeks to uncover the underlying factors driving decision-making and engagement, providing insight into the broader implications of policy transitions in post-Brexit agriculture.</w:t>
      </w:r>
    </w:p>
    <w:p w:rsidR="00000000" w:rsidDel="00000000" w:rsidP="00000000" w:rsidRDefault="00000000" w:rsidRPr="00000000" w14:paraId="000000E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chapter then concludes with an introduction to the key farming terminology and concepts that are used throughout the remainder of this thesis.</w:t>
      </w:r>
    </w:p>
    <w:p w:rsidR="00000000" w:rsidDel="00000000" w:rsidP="00000000" w:rsidRDefault="00000000" w:rsidRPr="00000000" w14:paraId="000000E7">
      <w:pPr>
        <w:pStyle w:val="Heading2"/>
        <w:numPr>
          <w:ilvl w:val="0"/>
          <w:numId w:val="4"/>
        </w:numPr>
        <w:ind w:left="360" w:hanging="360"/>
        <w:rPr/>
      </w:pPr>
      <w:bookmarkStart w:colFirst="0" w:colLast="0" w:name="_heading=h.6nbk6280ottm" w:id="21"/>
      <w:bookmarkEnd w:id="21"/>
      <w:r w:rsidDel="00000000" w:rsidR="00000000" w:rsidRPr="00000000">
        <w:rPr>
          <w:rtl w:val="0"/>
        </w:rPr>
        <w:t xml:space="preserve">Historical Review of Schemes in the United Kingdom and Respective Payment Structures (1973-2016)</w:t>
      </w:r>
    </w:p>
    <w:p w:rsidR="00000000" w:rsidDel="00000000" w:rsidP="00000000" w:rsidRDefault="00000000" w:rsidRPr="00000000" w14:paraId="000000E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reviews agricultural policy in the United Kingdom from 1973 to 2016, encompassing the period between the UK’s admission to the European Union and the Brexit Referendum. This context is important for understanding the policy and politics surrounding modern UK farming and where it is situated within the existing literature. </w:t>
      </w:r>
    </w:p>
    <w:p w:rsidR="00000000" w:rsidDel="00000000" w:rsidP="00000000" w:rsidRDefault="00000000" w:rsidRPr="00000000" w14:paraId="000000E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UK’s admission to the EU in 1973, marked the entrance to the European Economic Community and the implementation of EU agricultural schemes and policies in the UK agricultural sector. The main EU agricultural policy adopted by the UK was the Common Agricultural Policy (CAP) which was established in 1962 and therefore predated the UK’s admission to the EU</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 The CAP was created to encourage better food production following World War II, through stabilising the marketplace for food production and establishing policy mechanisms that ensured food provision (Fennell, 1997; House of Lords, 2017; Giuliani and Baron, 2023). The use of policy tools to incentivise and safeguard food production is also known as a ‘productivist’ approach to agriculture (Wilson, 2001). </w:t>
      </w:r>
    </w:p>
    <w:p w:rsidR="00000000" w:rsidDel="00000000" w:rsidP="00000000" w:rsidRDefault="00000000" w:rsidRPr="00000000" w14:paraId="000000E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productivist approach to agriculture led to unintended consequences in the EU agriculture sector, creating permanent surpluses in farm products which led to the distortion of market prices and necessitated subsequent reforms to shift the policy away from production support and towards direct income support to farmers (House of Lords, 2017). To illustrate, the introduction of milk quotas in 1984 marked a pivotal moment in the trajectory of the CAP. Established in response to chronic over-production in the dairy sector, the quota regime capped national and individual milk deliveries and can be considered a key institutional shift that signalled the beginning of a move away from the productivist logic of the post-war CAP toward a more constrained and regulated model of supply management (Naylor, 1987; Giuliani &amp; Baron, 2023). Building on structural reform measures, Council Regulation (EEC) No 797/85 of 12 March 1985 (also referred to as the ‘Structure Regulation) provided the legal framework for a range of measures to improve agricultural structures and included provisions (Article 19 and related measures) that enabled Member States to establish area-based agri-environmental schemes (Council Regulation (EEC) No. 797/85, 1985). In the UK, the Agriculture Act 1986 operationalised this legislation, establishing a national framework for agricultural land conservation and underpinning the introduction of Environmentally Sensitive Areas (ESAs) as a key agri-environmental policy instrument (Agriculture Act, 1986). ESAs were then designated from 1987 onwards as </w:t>
      </w:r>
      <w:r w:rsidDel="00000000" w:rsidR="00000000" w:rsidRPr="00000000">
        <w:rPr>
          <w:rFonts w:ascii="Calibri" w:cs="Calibri" w:eastAsia="Calibri" w:hAnsi="Calibri"/>
          <w:sz w:val="24"/>
          <w:szCs w:val="24"/>
          <w:rtl w:val="0"/>
        </w:rPr>
        <w:t xml:space="preserve">a targeted, area-based instruments </w:t>
      </w:r>
      <w:r w:rsidDel="00000000" w:rsidR="00000000" w:rsidRPr="00000000">
        <w:rPr>
          <w:rFonts w:ascii="Calibri" w:cs="Calibri" w:eastAsia="Calibri" w:hAnsi="Calibri"/>
          <w:sz w:val="24"/>
          <w:szCs w:val="24"/>
          <w:rtl w:val="0"/>
        </w:rPr>
        <w:t xml:space="preserve">to incentivise conservation-minded farming practices, reflecting an early policy response to environmental concerns outside the CAP’s traditional productivist focus. </w:t>
      </w:r>
    </w:p>
    <w:p w:rsidR="00000000" w:rsidDel="00000000" w:rsidP="00000000" w:rsidRDefault="00000000" w:rsidRPr="00000000" w14:paraId="000000E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during the UK’s membership of the EU</w:t>
      </w:r>
      <w:r w:rsidDel="00000000" w:rsidR="00000000" w:rsidRPr="00000000">
        <w:rPr>
          <w:rFonts w:ascii="Calibri" w:cs="Calibri" w:eastAsia="Calibri" w:hAnsi="Calibri"/>
          <w:sz w:val="24"/>
          <w:szCs w:val="24"/>
          <w:vertAlign w:val="superscript"/>
        </w:rPr>
        <w:footnoteReference w:customMarkFollows="0" w:id="2"/>
      </w:r>
      <w:r w:rsidDel="00000000" w:rsidR="00000000" w:rsidRPr="00000000">
        <w:rPr>
          <w:rFonts w:ascii="Calibri" w:cs="Calibri" w:eastAsia="Calibri" w:hAnsi="Calibri"/>
          <w:sz w:val="24"/>
          <w:szCs w:val="24"/>
          <w:rtl w:val="0"/>
        </w:rPr>
        <w:t xml:space="preserve"> there were five major reforms of the CAP, each of which altered the trajectory of agricultural policy and, therefore, the functioning of each Member State’s agricultural sector (European Parliament, 2023). The timeline of CAP reforms</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rtl w:val="0"/>
        </w:rPr>
        <w:t xml:space="preserve">alongside their corresponding impact were:</w:t>
      </w:r>
    </w:p>
    <w:p w:rsidR="00000000" w:rsidDel="00000000" w:rsidP="00000000" w:rsidRDefault="00000000" w:rsidRPr="00000000" w14:paraId="000000EC">
      <w:pPr>
        <w:numPr>
          <w:ilvl w:val="0"/>
          <w:numId w:val="2"/>
        </w:numPr>
        <w:spacing w:after="200" w:before="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1992 Reform: This reform introduced a shift from price support to farmers to direct payment support to farmers offering lower-priced goods. These reforms sought to address the overproduction of certain goods in the EU market and address the prices impacted by market distortions (European Parliament, 2023). </w:t>
      </w:r>
    </w:p>
    <w:p w:rsidR="00000000" w:rsidDel="00000000" w:rsidP="00000000" w:rsidRDefault="00000000" w:rsidRPr="00000000" w14:paraId="000000ED">
      <w:pPr>
        <w:numPr>
          <w:ilvl w:val="0"/>
          <w:numId w:val="2"/>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2000: This reform sought to build off the 1992 reforms and modernise CAP to adapt to changes in the global market (European Parliament, 2023). These reforms aligned the EU market goods prices with those of the world economy, created the second Pillar</w:t>
      </w:r>
      <w:r w:rsidDel="00000000" w:rsidR="00000000" w:rsidRPr="00000000">
        <w:rPr>
          <w:rFonts w:ascii="Calibri" w:cs="Calibri" w:eastAsia="Calibri" w:hAnsi="Calibri"/>
          <w:sz w:val="24"/>
          <w:szCs w:val="24"/>
          <w:vertAlign w:val="superscript"/>
        </w:rPr>
        <w:footnoteReference w:customMarkFollows="0" w:id="3"/>
      </w:r>
      <w:r w:rsidDel="00000000" w:rsidR="00000000" w:rsidRPr="00000000">
        <w:rPr>
          <w:rFonts w:ascii="Calibri" w:cs="Calibri" w:eastAsia="Calibri" w:hAnsi="Calibri"/>
          <w:sz w:val="24"/>
          <w:szCs w:val="24"/>
          <w:rtl w:val="0"/>
        </w:rPr>
        <w:t xml:space="preserve"> of the CAP focused on rural development and placed budgetary limitations (i.e. a spending cap) on CAP (EUR-Lex, 2001).</w:t>
      </w:r>
    </w:p>
    <w:p w:rsidR="00000000" w:rsidDel="00000000" w:rsidP="00000000" w:rsidRDefault="00000000" w:rsidRPr="00000000" w14:paraId="000000EE">
      <w:pPr>
        <w:numPr>
          <w:ilvl w:val="0"/>
          <w:numId w:val="2"/>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June 2003 Reform: This reform occurred in response to the EU’s planned enlargement in 2004</w:t>
      </w:r>
      <w:r w:rsidDel="00000000" w:rsidR="00000000" w:rsidRPr="00000000">
        <w:rPr>
          <w:rFonts w:ascii="Calibri" w:cs="Calibri" w:eastAsia="Calibri" w:hAnsi="Calibri"/>
          <w:sz w:val="24"/>
          <w:szCs w:val="24"/>
          <w:vertAlign w:val="superscript"/>
        </w:rPr>
        <w:footnoteReference w:customMarkFollows="0" w:id="4"/>
      </w:r>
      <w:r w:rsidDel="00000000" w:rsidR="00000000" w:rsidRPr="00000000">
        <w:rPr>
          <w:rFonts w:ascii="Calibri" w:cs="Calibri" w:eastAsia="Calibri" w:hAnsi="Calibri"/>
          <w:sz w:val="24"/>
          <w:szCs w:val="24"/>
          <w:rtl w:val="0"/>
        </w:rPr>
        <w:t xml:space="preserve"> and the need to meet the criteria of World Trade Organisation (WTO) requirements for trade in agricultural products (European Parliament, 2023). To meet WTO requirements more easily, CAP was changed so farmers were no longer subsidised for their production. A Single Farm Payment scheme was introduced, which completely decoupled farm income support from production (Cunha and Swinbank, 2011). The names of these reforms and their identification as five of the six ‘major reforms’ was taken directly from the European Parliament website (European Parliament, 2023). The reforms also established environmental cross-compliance as a requirement for receiving aid. There was also the strengthening of the second pillar of CAP, and it was established that Member States were able to transfer funds between Pillar 1 and Pillar 2 (European Parliament, 2023). </w:t>
      </w:r>
    </w:p>
    <w:p w:rsidR="00000000" w:rsidDel="00000000" w:rsidP="00000000" w:rsidRDefault="00000000" w:rsidRPr="00000000" w14:paraId="000000EF">
      <w:pPr>
        <w:numPr>
          <w:ilvl w:val="0"/>
          <w:numId w:val="2"/>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2009 ‘Health Check’: The 2009 Health Check was established to track the progress of the CAP following the 2003 reforms and EU expansion. These reforms included the simplification of the Single Farm Payment process, increasing the funds transferred to the rural development budget (Pillar 2), and reviewing market intervention mechanisms (Knott and James, 2015; European Parliament, 2023). </w:t>
      </w:r>
    </w:p>
    <w:p w:rsidR="00000000" w:rsidDel="00000000" w:rsidP="00000000" w:rsidRDefault="00000000" w:rsidRPr="00000000" w14:paraId="000000F0">
      <w:pPr>
        <w:numPr>
          <w:ilvl w:val="0"/>
          <w:numId w:val="2"/>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2013 Reforms:  These reforms were the first comprehensive review of CAP since its inception (Knott and James, 2015). They established the ‘greening’ of direct payments which required that a portion of payments (30 per cent) be subject to the successful establishment of environmental measures (European Commission, 2013). It also replaced the Single Farm Payment with the Basic Payment Scheme (BPS), where farmers would be compensated based on a flat-rate amount (Knott and James, 2015). The reforms also established more support to small and young farmers as well as a review of the direct payment distribution to ensure more equality in the sector (European Council, n.d.). </w:t>
      </w:r>
    </w:p>
    <w:p w:rsidR="00000000" w:rsidDel="00000000" w:rsidP="00000000" w:rsidRDefault="00000000" w:rsidRPr="00000000" w14:paraId="000000F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Reviewing the CAP reforms over time demonstrates a clear movement away from the role of the farmer as a food producer as the role evolves to address environmental issues and maintenance of the countryside. This shift in expectations of the farmer highlights a shift from productivism to post-productivism. Productivism focuses on the role of the farmer being to </w:t>
      </w:r>
      <w:r w:rsidDel="00000000" w:rsidR="00000000" w:rsidRPr="00000000">
        <w:rPr>
          <w:rFonts w:ascii="Calibri" w:cs="Calibri" w:eastAsia="Calibri" w:hAnsi="Calibri"/>
          <w:i w:val="1"/>
          <w:sz w:val="24"/>
          <w:szCs w:val="24"/>
          <w:rtl w:val="0"/>
        </w:rPr>
        <w:t xml:space="preserve">produce </w:t>
      </w:r>
      <w:r w:rsidDel="00000000" w:rsidR="00000000" w:rsidRPr="00000000">
        <w:rPr>
          <w:rFonts w:ascii="Calibri" w:cs="Calibri" w:eastAsia="Calibri" w:hAnsi="Calibri"/>
          <w:sz w:val="24"/>
          <w:szCs w:val="24"/>
          <w:rtl w:val="0"/>
        </w:rPr>
        <w:t xml:space="preserve">and historically, as demonstrated above, at the start EU policies financially supported to do so. Over time though, EU policies expanded the role of the farmer through the introduction of greening and cross compliance measures and the inclusion of rural development programmes. This expansion of the farmer's role signifies a shift towards post-productivism, where the farmer's responsibilities extend beyond a food producer. It also marks a pivotal moment in policy, where farmers are financially incentivised to produce outcomes beyond food production and for environmental outputs.</w:t>
      </w:r>
    </w:p>
    <w:p w:rsidR="00000000" w:rsidDel="00000000" w:rsidP="00000000" w:rsidRDefault="00000000" w:rsidRPr="00000000" w14:paraId="000000F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following section provides a detailed examination of CAP and the UK's participation in the scheme during the 2014 to 2020 CAP funding period. It evaluates the financial impact of CAP payments on UK farmers, highlighting how this funding served a crucial role in supporting the UK agricultural sector. The section also outlines the legacy of CAP’s shift towards environmental goals to contextualise its influence on policy development in the post-Brexit landscape.</w:t>
      </w:r>
    </w:p>
    <w:p w:rsidR="00000000" w:rsidDel="00000000" w:rsidP="00000000" w:rsidRDefault="00000000" w:rsidRPr="00000000" w14:paraId="000000F3">
      <w:pPr>
        <w:pStyle w:val="Heading3"/>
        <w:numPr>
          <w:ilvl w:val="1"/>
          <w:numId w:val="4"/>
        </w:numPr>
        <w:ind w:left="792" w:hanging="432"/>
        <w:rPr/>
      </w:pPr>
      <w:bookmarkStart w:colFirst="0" w:colLast="0" w:name="_heading=h.xczqs7pnm3wr" w:id="22"/>
      <w:bookmarkEnd w:id="22"/>
      <w:r w:rsidDel="00000000" w:rsidR="00000000" w:rsidRPr="00000000">
        <w:rPr>
          <w:rtl w:val="0"/>
        </w:rPr>
        <w:t xml:space="preserve">The Role of the Common Agricultural Policy in Shaping UK Agriculture</w:t>
      </w:r>
    </w:p>
    <w:p w:rsidR="00000000" w:rsidDel="00000000" w:rsidP="00000000" w:rsidRDefault="00000000" w:rsidRPr="00000000" w14:paraId="000000F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financial impact of CAP on the agriculture sector was significant as it was the EU’s single largest item of expenditure, comprising nearly 40 per cent of the EU annual budget from 2014 to 2020 (House of Lords, 2017). Of this, the UK agriculture sector received £4.7 billion in funding under CAP in 2019 (House of Commons, 2023). Payments under CAP were structured under a two-pillar system; whereby payments were disbursed based on meeting the outlined schemes and criteria of each respective pillar.  Pillar 1 of the policy, Direct Payments, also referred to as the Basic Payments Scheme (BPS), provided area-based income support to farmers through the provision of direct payments which were unrelated to food production. In the UK, 80 per cent of the CAP payments provided by the EU were in the form of direct payments under Pillar 1 (House of Lords, 2017). These direct payments also comprised 50 per cent to 60 per cent of total farm income (Downing and Coe, 2018). Table 2.1 (see below) illustrates the significant impact that CAP direct payments had on total farm income in 2019</w:t>
      </w:r>
      <w:r w:rsidDel="00000000" w:rsidR="00000000" w:rsidRPr="00000000">
        <w:rPr>
          <w:rFonts w:ascii="Calibri" w:cs="Calibri" w:eastAsia="Calibri" w:hAnsi="Calibri"/>
          <w:sz w:val="24"/>
          <w:szCs w:val="24"/>
          <w:vertAlign w:val="superscript"/>
        </w:rPr>
        <w:footnoteReference w:customMarkFollows="0" w:id="5"/>
      </w:r>
      <w:r w:rsidDel="00000000" w:rsidR="00000000" w:rsidRPr="00000000">
        <w:rPr>
          <w:rFonts w:ascii="Calibri" w:cs="Calibri" w:eastAsia="Calibri" w:hAnsi="Calibri"/>
          <w:sz w:val="24"/>
          <w:szCs w:val="24"/>
          <w:rtl w:val="0"/>
        </w:rPr>
        <w:t xml:space="preserve"> across the UK (House of Commons, 2023). </w:t>
      </w:r>
    </w:p>
    <w:p w:rsidR="00000000" w:rsidDel="00000000" w:rsidP="00000000" w:rsidRDefault="00000000" w:rsidRPr="00000000" w14:paraId="000000F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dimension of Pillar 1 payments was greening payments, which refer to payments delegated to farmers in return for achieving cross-compliance on animal welfare and general farm management to receive their BPS direct payments (House of Lords, 2017). Greening payments accounted for 30 per cent of total direct payments provided to British farmers (House of Lords, 2017; House of Commons, 2023). Greening payments were introduced as a result of the CAP’s movement away from subsiding production-oriented outcomes and towards post-productivism (Burton, 2004).</w:t>
      </w:r>
    </w:p>
    <w:p w:rsidR="00000000" w:rsidDel="00000000" w:rsidP="00000000" w:rsidRDefault="00000000" w:rsidRPr="00000000" w14:paraId="000000F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contrast, Pillar 2 of CAP focused on Rural Development which sought to equip farms with the subsidies necessary to help them transition into a position where they could advance efforts to combat climate change, encourage agricultural competitiveness, and ensure balanced territorial growth and development across all agricultural communities (European Parliament, 2023). The aforementioned policy focus areas were set at the EU level and Member States were expected to respond to these priority areas by providing written proposals of different schemes and programmes that outlined how they would meet EU priority areas and rationalise the funding provided (House of Lords, 2017). The result of this process was the creation of several post-productivist schemes in the UK, which were multi-year agreements and co-financed by both the EU and UK government and devolved administrations</w:t>
      </w:r>
      <w:r w:rsidDel="00000000" w:rsidR="00000000" w:rsidRPr="00000000">
        <w:rPr>
          <w:rFonts w:ascii="Calibri" w:cs="Calibri" w:eastAsia="Calibri" w:hAnsi="Calibri"/>
          <w:sz w:val="24"/>
          <w:szCs w:val="24"/>
          <w:vertAlign w:val="superscript"/>
        </w:rPr>
        <w:footnoteReference w:customMarkFollows="0" w:id="6"/>
      </w:r>
      <w:r w:rsidDel="00000000" w:rsidR="00000000" w:rsidRPr="00000000">
        <w:rPr>
          <w:rFonts w:ascii="Calibri" w:cs="Calibri" w:eastAsia="Calibri" w:hAnsi="Calibri"/>
          <w:sz w:val="24"/>
          <w:szCs w:val="24"/>
          <w:rtl w:val="0"/>
        </w:rPr>
        <w:t xml:space="preserve"> (House of Lords, 2017). The funding of Pillar 2 payments paled in comparison to that of Pillar 1 payments. To illustrate the differences in funding between Pillar 1 and Pillar 2 of CAP, in the 2014 to 2020 CAP period, the UK was expected to receive €25.1 billion under Pillar 1 in contrast to €2.6 billion under Pillar 2 (House of Lords, 2017). This imbalance was criticised for limiting the impact of post-productivist schemes (Pe’er et al., 2014).  </w:t>
      </w:r>
    </w:p>
    <w:p w:rsidR="00000000" w:rsidDel="00000000" w:rsidP="00000000" w:rsidRDefault="00000000" w:rsidRPr="00000000" w14:paraId="000000F7">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provision of Pillar 2 funding in the UK enabled the emergence of different agri-environmental schemes (AES) and offered each of the UK administrations the discretion to design schemes that best suited their country’s profile. Each of the administrations utilised this funding to design their own rural development programmes consisting of a combination of grants and agri-environmental schemes to compensate farmers for delivering environmental benefits (Defra, 2015; DAERA, n.d. SRDP, 2019; Welsh Government n.d.)</w:t>
      </w:r>
      <w:r w:rsidDel="00000000" w:rsidR="00000000" w:rsidRPr="00000000">
        <w:rPr>
          <w:rFonts w:ascii="Calibri" w:cs="Calibri" w:eastAsia="Calibri" w:hAnsi="Calibri"/>
          <w:sz w:val="24"/>
          <w:szCs w:val="24"/>
          <w:vertAlign w:val="superscript"/>
        </w:rPr>
        <w:footnoteReference w:customMarkFollows="0" w:id="7"/>
      </w:r>
      <w:r w:rsidDel="00000000" w:rsidR="00000000" w:rsidRPr="00000000">
        <w:rPr>
          <w:rFonts w:ascii="Calibri" w:cs="Calibri" w:eastAsia="Calibri" w:hAnsi="Calibri"/>
          <w:sz w:val="24"/>
          <w:szCs w:val="24"/>
          <w:rtl w:val="0"/>
        </w:rPr>
        <w:t xml:space="preserve">. The section below explains how England approached designing and modifying their own agri-environmental schemes (AES). </w:t>
      </w:r>
    </w:p>
    <w:p w:rsidR="00000000" w:rsidDel="00000000" w:rsidP="00000000" w:rsidRDefault="00000000" w:rsidRPr="00000000" w14:paraId="000000F8">
      <w:pPr>
        <w:pStyle w:val="Heading4"/>
        <w:numPr>
          <w:ilvl w:val="2"/>
          <w:numId w:val="4"/>
        </w:numPr>
        <w:ind w:left="1224" w:hanging="504.00000000000006"/>
        <w:rPr/>
      </w:pPr>
      <w:bookmarkStart w:colFirst="0" w:colLast="0" w:name="_heading=h.2j2qpql16d4q" w:id="23"/>
      <w:bookmarkEnd w:id="23"/>
      <w:r w:rsidDel="00000000" w:rsidR="00000000" w:rsidRPr="00000000">
        <w:rPr>
          <w:rtl w:val="0"/>
        </w:rPr>
        <w:t xml:space="preserve">Rural Development Schemes Under CAP: A Case Study of Agri-Environmental Schemes in England </w:t>
      </w:r>
    </w:p>
    <w:p w:rsidR="00000000" w:rsidDel="00000000" w:rsidP="00000000" w:rsidRDefault="00000000" w:rsidRPr="00000000" w14:paraId="000000F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demonstrated in the graphic below (Dodsworth, et al., 2024), the earliest agri-environmental schemes in England were developed in 1987 and were referred to as Environmentally Sensitive Areas (ESAs). This scheme was the flagship agri-environmental scheme for England, under EU membership and funded by Pillar 2 of CAP. The introduction of ESAs also mirrored the EU’s movement from the productivist to post-productivist farming, with the aim of this scheme being to encourage farmers to incorporate environmentally-friendly farm-management practices into their traditional farming methods; some examples of actions the scheme funded were maintaining low livestock rates on vulnerable grazing areas and delaying cutting traditional hay meadows (Wilson, 1997). </w:t>
      </w:r>
    </w:p>
    <w:p w:rsidR="00000000" w:rsidDel="00000000" w:rsidP="00000000" w:rsidRDefault="00000000" w:rsidRPr="00000000" w14:paraId="000000FA">
      <w:pPr>
        <w:keepNext w:val="1"/>
        <w:spacing w:after="200" w:before="200" w:line="360" w:lineRule="auto"/>
        <w:rPr/>
      </w:pPr>
      <w:r w:rsidDel="00000000" w:rsidR="00000000" w:rsidRPr="00000000">
        <w:rPr>
          <w:rFonts w:ascii="Calibri" w:cs="Calibri" w:eastAsia="Calibri" w:hAnsi="Calibri"/>
          <w:sz w:val="24"/>
          <w:szCs w:val="24"/>
        </w:rPr>
        <w:drawing>
          <wp:inline distB="114300" distT="114300" distL="114300" distR="114300">
            <wp:extent cx="5872163" cy="3297031"/>
            <wp:effectExtent b="0" l="0" r="0" t="0"/>
            <wp:docPr id="129736537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872163" cy="3297031"/>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kodxwrqiix4q" w:id="24"/>
      <w:bookmarkEnd w:id="24"/>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2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2.1.  Agri-Environment Scheme Development in England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Source: Dodsworth et al. (2024, p. 13)</w:t>
      </w:r>
    </w:p>
    <w:p w:rsidR="00000000" w:rsidDel="00000000" w:rsidP="00000000" w:rsidRDefault="00000000" w:rsidRPr="00000000" w14:paraId="000000F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ESAs were introduced in 1987 and continued to operate well beyond the 1992 Reform of the CAP, remaining in place until the early 2000s. However, the 1992 reforms did strengthen the role of agri-environmental measures by requiring all EU Member States to offer these previously optional schemes </w:t>
      </w: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sz w:val="24"/>
          <w:szCs w:val="24"/>
          <w:rtl w:val="0"/>
        </w:rPr>
        <w:t xml:space="preserve">o promote greener farming practices, mitigate agricultural impacts on biodiversity, and enhance countryside management (Hejnowicz et al., 2016). While ESAs provided targeted support within designated areas, concerns arose that agricultural intensification outside these zones continued to threaten the wider environment. To address this, the Countryside Stewardship Scheme (CSS) was introduced in 1991 to complement ESAs, extending support to the ‘wider countryside’ and focusing on protecting at-risk landscapes and habitats regardless of their location (Morris and Young, 1997; Morris, 2003). The CSS encouraged farmers and land managers to incorporate conservation into their everyday practices, they were encouraged to do this by receiving payments in exchange for completing different environmental actions like maintaining grass margins, pasture, hay meadows, moorland, and publicly accessible pathways. The actions under CSS were designed in efforts to work together to maintain the aesthetic and ecological diversity of rural landscapes, protect wildlife, preserve historical sites, improve opportunities for countryside engagement, rehabilitate neglected land and features, and establish new habitats (Carey et al., 2003). The UK government worked closely with a variety of different arms-length bodies and farmers to encourage the uptake of CSS including Farm and Wildlife Advisory Group (FWAG), English Nature, the Countryside Agency, the Environment Agency, the Wildlife Trusts, the National Farmers Union, and the Royal Society for Protection of Birds, with FWAG having an especially influential role in the provision of advice and explaining the scheme itself (Hall, 2000; Dobbs and Pretty, 2008). Once farmers decided to enter the CSS scheme, they committed to be a part of it for ten years. By 2003, over 10 per cent of England’s agricultural land was enrolled in either the CSS or ESAs (Dobbs and Pretty, 2008).</w:t>
      </w:r>
    </w:p>
    <w:p w:rsidR="00000000" w:rsidDel="00000000" w:rsidP="00000000" w:rsidRDefault="00000000" w:rsidRPr="00000000" w14:paraId="000000F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impact of the Agenda 2000 reforms, followed by subsequent 2003 CAP reforms translated into the decoupling of farm payments from production under Pillar I (production) to allow for the shift of more funds to Pillar II (rural development and the environment); the reforms also delegated EU member states to design their own schemes which would attract a broad spectrum of farmers to participate (Dobbs and Pretty, 2008). These reforms led to CSS being discontinued</w:t>
      </w:r>
      <w:r w:rsidDel="00000000" w:rsidR="00000000" w:rsidRPr="00000000">
        <w:rPr>
          <w:rFonts w:ascii="Calibri" w:cs="Calibri" w:eastAsia="Calibri" w:hAnsi="Calibri"/>
          <w:sz w:val="24"/>
          <w:szCs w:val="24"/>
          <w:vertAlign w:val="superscript"/>
        </w:rPr>
        <w:footnoteReference w:customMarkFollows="0" w:id="8"/>
      </w:r>
      <w:r w:rsidDel="00000000" w:rsidR="00000000" w:rsidRPr="00000000">
        <w:rPr>
          <w:rFonts w:ascii="Calibri" w:cs="Calibri" w:eastAsia="Calibri" w:hAnsi="Calibri"/>
          <w:sz w:val="24"/>
          <w:szCs w:val="24"/>
          <w:rtl w:val="0"/>
        </w:rPr>
        <w:t xml:space="preserve"> in 2005 and replaced it with Environmental Stewardship which encompassed three new schemes:  Entry Level Stewardship (ELS), Organic Entry Level Stewardship (OELS), and Higher-Level Stewardship (HLS).  ELS was a newly designed scheme intended to target all those who farm their land ‘traditionally’ (primarily focused on productivism) and to incorporate a larger percentage of these types of farms to join the scheme (Hodge and Reader, 2010). The goal of ELS was to encourage farmers to deliver simple environmental management. It focused on encouraging farmers to complete actions which addressed the improvement of water quality, reduction of soil erosion, better conditions for farm wildlife, the maintenance and enhancement of landscape character, and the protection of historic features.</w:t>
      </w:r>
    </w:p>
    <w:p w:rsidR="00000000" w:rsidDel="00000000" w:rsidP="00000000" w:rsidRDefault="00000000" w:rsidRPr="00000000" w14:paraId="000000F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HLS scheme differed from CSS in that it focused on more complex management practices, which required guidance and support and customised agreements to suit local conditions to provide environmental benefits in high-priority areas and situations (Defra, 2005). HLS also required that all farmers participating in the scheme deliver the requirements of either the ELS or OELS scheme. OELS on the other hand was created to encourage the uptake of organic farming practices, and it was not designed with the intention of widespread uptake as farmers in this scheme were required to already be farming using organic practices (Defra, 2005). ES was structured similarly to CSS in that the agreements were long-term; HLS agreements were ten years in length (due to the increased level of action and effort required to complete the scheme goals) whereas ELS and OELS were both five years.</w:t>
      </w:r>
    </w:p>
    <w:p w:rsidR="00000000" w:rsidDel="00000000" w:rsidP="00000000" w:rsidRDefault="00000000" w:rsidRPr="00000000" w14:paraId="00000100">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schemes evolved following the CAP 2014 reforms and were merged into a scheme that comprised two levels of ambition. The scheme which replaced ES was regarded as Countryside Stewardship 2.0 (CS). CS consisted of three main elements: the Higher Tier (similar to the previous Higher-Level Stewardship), the Mid-Tier (which replaced Entry-Level Stewardship), and a lower tier of capital grants (Defra, 2014).  Customary with any reform, CS</w:t>
      </w:r>
      <w:r w:rsidDel="00000000" w:rsidR="00000000" w:rsidRPr="00000000">
        <w:rPr>
          <w:rFonts w:ascii="Calibri" w:cs="Calibri" w:eastAsia="Calibri" w:hAnsi="Calibri"/>
          <w:sz w:val="24"/>
          <w:szCs w:val="24"/>
          <w:vertAlign w:val="superscript"/>
        </w:rPr>
        <w:footnoteReference w:customMarkFollows="0" w:id="9"/>
      </w:r>
      <w:r w:rsidDel="00000000" w:rsidR="00000000" w:rsidRPr="00000000">
        <w:rPr>
          <w:rFonts w:ascii="Calibri" w:cs="Calibri" w:eastAsia="Calibri" w:hAnsi="Calibri"/>
          <w:sz w:val="24"/>
          <w:szCs w:val="24"/>
          <w:rtl w:val="0"/>
        </w:rPr>
        <w:t xml:space="preserve"> introduced changes in response to critiques of ES, which included the consolidation of some elements (a two-tiered system) and making the scheme more focused on high-priority environmental outcomes (e.g. protecting and enhancing biodiversity, maintaining wildlife habitats, conserving water, and restoring landscape features) (Defra, 2014). </w:t>
      </w:r>
    </w:p>
    <w:p w:rsidR="00000000" w:rsidDel="00000000" w:rsidP="00000000" w:rsidRDefault="00000000" w:rsidRPr="00000000" w14:paraId="0000010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evolution of rural development programmes under CAP illustrates how agri-environmental schemes shifted towards a more post-productivist approach, focusing on the delivery of environmental benefits and broadening the responsibilities of the farmer. It also introduces some of the various schemes that were in place in the UK leading up to the Brexit Referendum. In the wake of the Brexit Referendum, the UK was required to withdraw from EU policies and funding. To establish a sense of consistency in the industry, funding for the CAP 2014 to 2020 period was guaranteed to farmers and pre-existing agri-environmental agreements were honoured until their expiration to lessen the complications of the transition period. Nonetheless, the anticipated removal of CAP following this period translated to a significant loss in EU funds directed towards the UK agricultural sector and presented the opportunity for reimagining agricultural policy in the UK. The following section traces how each of the UK administrations responded to the Brexit referendum and drafted their own national policies to replace CAP. The section also highlights the different pressure points of the transition period and concerns the UK government held from the start concerning financial pressures and constraints the period would place on farmers and the agricultural sector. </w:t>
      </w:r>
    </w:p>
    <w:p w:rsidR="00000000" w:rsidDel="00000000" w:rsidP="00000000" w:rsidRDefault="00000000" w:rsidRPr="00000000" w14:paraId="00000102">
      <w:pPr>
        <w:pStyle w:val="Heading2"/>
        <w:numPr>
          <w:ilvl w:val="0"/>
          <w:numId w:val="4"/>
        </w:numPr>
        <w:ind w:left="360" w:hanging="360"/>
        <w:rPr/>
      </w:pPr>
      <w:bookmarkStart w:colFirst="0" w:colLast="0" w:name="_heading=h.azsab7u7qlxn" w:id="25"/>
      <w:bookmarkEnd w:id="25"/>
      <w:r w:rsidDel="00000000" w:rsidR="00000000" w:rsidRPr="00000000">
        <w:rPr>
          <w:rtl w:val="0"/>
        </w:rPr>
        <w:t xml:space="preserve">How Brexit Reshaped UK Agriculture: Responses and Policy Changes Across the Four Nations</w:t>
      </w:r>
    </w:p>
    <w:p w:rsidR="00000000" w:rsidDel="00000000" w:rsidP="00000000" w:rsidRDefault="00000000" w:rsidRPr="00000000" w14:paraId="0000010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Agriculture in the UK was completely Europeanised under EU membership, so Brexit had major implications on the future of agriculture policy in the UK (NAO, 2019). A combination of multiple factors including the high reliance on European fieldworkers for farming, vulnerability to new post-Brexit trade agreements with other countries, and a movement away from EU funding within the sector were all presented as posing different financial hardships to the agricultural sector post-Brexit (HoC, 2023). The loss of EU funding for direct payments to farmers was considered a high priority topic throughout the post-Brexit transition period, with Ministers cautioning that a direct phasing out of EU subsidies would lead to a  “competitive disadvantage compared with those neighbouring countries remaining in the EU”, which was compounded by competing with farmers receiving greater amounts of support (House of Lords, 2017, p. 63).</w:t>
      </w:r>
    </w:p>
    <w:p w:rsidR="00000000" w:rsidDel="00000000" w:rsidP="00000000" w:rsidRDefault="00000000" w:rsidRPr="00000000" w14:paraId="0000010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c1472suf1c3r" w:id="26"/>
      <w:bookmarkEnd w:id="26"/>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2.1. CAP payments as a proportion of total farm income </w:t>
      </w:r>
    </w:p>
    <w:tbl>
      <w:tblPr>
        <w:tblStyle w:val="Table1"/>
        <w:tblW w:w="97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745"/>
        <w:gridCol w:w="3045"/>
        <w:gridCol w:w="2520"/>
        <w:tblGridChange w:id="0">
          <w:tblGrid>
            <w:gridCol w:w="1485"/>
            <w:gridCol w:w="2745"/>
            <w:gridCol w:w="3045"/>
            <w:gridCol w:w="2520"/>
          </w:tblGrid>
        </w:tblGridChange>
      </w:tblGrid>
      <w:tr>
        <w:trPr>
          <w:cantSplit w:val="0"/>
          <w:trHeight w:val="787"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06">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Country </w:t>
            </w:r>
          </w:p>
        </w:tc>
        <w:tc>
          <w:tcPr>
            <w:shd w:fill="b6d7a8" w:val="clear"/>
            <w:tcMar>
              <w:top w:w="100.0" w:type="dxa"/>
              <w:left w:w="100.0" w:type="dxa"/>
              <w:bottom w:w="100.0" w:type="dxa"/>
              <w:right w:w="100.0" w:type="dxa"/>
            </w:tcMar>
          </w:tcPr>
          <w:p w:rsidR="00000000" w:rsidDel="00000000" w:rsidP="00000000" w:rsidRDefault="00000000" w:rsidRPr="00000000" w14:paraId="00000107">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direct CAP payments (£ million)</w:t>
            </w:r>
          </w:p>
        </w:tc>
        <w:tc>
          <w:tcPr>
            <w:shd w:fill="b6d7a8" w:val="clear"/>
            <w:tcMar>
              <w:top w:w="100.0" w:type="dxa"/>
              <w:left w:w="100.0" w:type="dxa"/>
              <w:bottom w:w="100.0" w:type="dxa"/>
              <w:right w:w="100.0" w:type="dxa"/>
            </w:tcMar>
          </w:tcPr>
          <w:p w:rsidR="00000000" w:rsidDel="00000000" w:rsidP="00000000" w:rsidRDefault="00000000" w:rsidRPr="00000000" w14:paraId="00000108">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Income from Farming (£ million)</w:t>
            </w:r>
          </w:p>
        </w:tc>
        <w:tc>
          <w:tcPr>
            <w:shd w:fill="b6d7a8" w:val="clear"/>
            <w:tcMar>
              <w:top w:w="100.0" w:type="dxa"/>
              <w:left w:w="100.0" w:type="dxa"/>
              <w:bottom w:w="100.0" w:type="dxa"/>
              <w:right w:w="100.0" w:type="dxa"/>
            </w:tcMar>
          </w:tcPr>
          <w:p w:rsidR="00000000" w:rsidDel="00000000" w:rsidP="00000000" w:rsidRDefault="00000000" w:rsidRPr="00000000" w14:paraId="00000109">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Percentage of total income from CAP payments </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10A">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United Kingdom </w:t>
            </w:r>
          </w:p>
        </w:tc>
        <w:tc>
          <w:tcPr>
            <w:shd w:fill="d9ead3" w:val="clear"/>
            <w:tcMar>
              <w:top w:w="100.0" w:type="dxa"/>
              <w:left w:w="100.0" w:type="dxa"/>
              <w:bottom w:w="100.0" w:type="dxa"/>
              <w:right w:w="100.0" w:type="dxa"/>
            </w:tcMar>
          </w:tcPr>
          <w:p w:rsidR="00000000" w:rsidDel="00000000" w:rsidP="00000000" w:rsidRDefault="00000000" w:rsidRPr="00000000" w14:paraId="0000010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3,343</w:t>
            </w:r>
          </w:p>
        </w:tc>
        <w:tc>
          <w:tcPr>
            <w:shd w:fill="d9ead3" w:val="clear"/>
            <w:tcMar>
              <w:top w:w="100.0" w:type="dxa"/>
              <w:left w:w="100.0" w:type="dxa"/>
              <w:bottom w:w="100.0" w:type="dxa"/>
              <w:right w:w="100.0" w:type="dxa"/>
            </w:tcMar>
          </w:tcPr>
          <w:p w:rsidR="00000000" w:rsidDel="00000000" w:rsidP="00000000" w:rsidRDefault="00000000" w:rsidRPr="00000000" w14:paraId="0000010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5,278</w:t>
            </w:r>
          </w:p>
        </w:tc>
        <w:tc>
          <w:tcPr>
            <w:shd w:fill="d9ead3" w:val="clear"/>
            <w:tcMar>
              <w:top w:w="100.0" w:type="dxa"/>
              <w:left w:w="100.0" w:type="dxa"/>
              <w:bottom w:w="100.0" w:type="dxa"/>
              <w:right w:w="100.0" w:type="dxa"/>
            </w:tcMar>
          </w:tcPr>
          <w:p w:rsidR="00000000" w:rsidDel="00000000" w:rsidP="00000000" w:rsidRDefault="00000000" w:rsidRPr="00000000" w14:paraId="0000010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 per cent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England </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2,209</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3,995</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55 per cent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Wales </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291</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261</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 per cent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Scotland </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529</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732</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per cent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Northern Ireland </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290</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290</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per cent</w:t>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11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Figures for the Total Income from Farming equals the gross output at basic prices plus other subsidies less taxes less total intermediate consumption, rent, paid labour less total consumption of fixed capital (depreciation) less interest. </w:t>
            </w:r>
          </w:p>
        </w:tc>
      </w:tr>
    </w:tbl>
    <w:p w:rsidR="00000000" w:rsidDel="00000000" w:rsidP="00000000" w:rsidRDefault="00000000" w:rsidRPr="00000000" w14:paraId="00000122">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Derived directly from House of Commons Farm funding: Implementing new approaches 2023 Report (2019, p.21)</w:t>
      </w:r>
    </w:p>
    <w:p w:rsidR="00000000" w:rsidDel="00000000" w:rsidP="00000000" w:rsidRDefault="00000000" w:rsidRPr="00000000" w14:paraId="0000012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demonstrated above, the funding of direct payments under Pillar One constituted a majority of farm income for farmers across the UK administrations, with the payments comprising an estimated 63 per cent of farm income across the UK. Document analysis</w:t>
      </w:r>
      <w:r w:rsidDel="00000000" w:rsidR="00000000" w:rsidRPr="00000000">
        <w:rPr>
          <w:rFonts w:ascii="Calibri" w:cs="Calibri" w:eastAsia="Calibri" w:hAnsi="Calibri"/>
          <w:sz w:val="24"/>
          <w:szCs w:val="24"/>
          <w:vertAlign w:val="superscript"/>
        </w:rPr>
        <w:footnoteReference w:customMarkFollows="0" w:id="10"/>
      </w:r>
      <w:r w:rsidDel="00000000" w:rsidR="00000000" w:rsidRPr="00000000">
        <w:rPr>
          <w:rFonts w:ascii="Calibri" w:cs="Calibri" w:eastAsia="Calibri" w:hAnsi="Calibri"/>
          <w:sz w:val="24"/>
          <w:szCs w:val="24"/>
          <w:rtl w:val="0"/>
        </w:rPr>
        <w:t xml:space="preserve"> conducted for this thesis of the farming press, government reports, and policy briefs consistently echoed this concern, and it remained a prominent issue of debate throughout much of the transition period (e.g. see HoL, 2017; Downing and Coe, 2018; NFU, 2020; Farmer’s Weekly, 2021). Given the significance of financial support to the agricultural industry, farmers' unions were particularly emphatic about the need to clarify the post-CAP future of that support, calling for greater transparency (</w:t>
      </w:r>
      <w:hyperlink r:id="rId12">
        <w:r w:rsidDel="00000000" w:rsidR="00000000" w:rsidRPr="00000000">
          <w:rPr>
            <w:rFonts w:ascii="Calibri" w:cs="Calibri" w:eastAsia="Calibri" w:hAnsi="Calibri"/>
            <w:color w:val="1155cc"/>
            <w:sz w:val="24"/>
            <w:szCs w:val="24"/>
            <w:u w:val="single"/>
            <w:rtl w:val="0"/>
          </w:rPr>
          <w:t xml:space="preserve">NFU</w:t>
        </w:r>
      </w:hyperlink>
      <w:r w:rsidDel="00000000" w:rsidR="00000000" w:rsidRPr="00000000">
        <w:rPr>
          <w:rFonts w:ascii="Calibri" w:cs="Calibri" w:eastAsia="Calibri" w:hAnsi="Calibri"/>
          <w:sz w:val="24"/>
          <w:szCs w:val="24"/>
          <w:rtl w:val="0"/>
        </w:rPr>
        <w:t xml:space="preserve">, 2020). As referenced in the House of Lords Evidence Report on Brexit and Agriculture (HoL, 2017, p. 59), Devon County Council stated, ‘this uncertainty has left farmers unable to plan for the future and has put increased strain on farming families and businesses who are finding it difficult to stay afloat even with the support of the BPS’; to which the Minister responded, ‘we will make sure that we make our intentions clear to farmers well in advance of the end of the current schemes, so that they know where we are heading’ (HoL Report, 2017, p. 348).</w:t>
      </w:r>
    </w:p>
    <w:p w:rsidR="00000000" w:rsidDel="00000000" w:rsidP="00000000" w:rsidRDefault="00000000" w:rsidRPr="00000000" w14:paraId="0000012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some sense of transparency and to address concerns surrounding the phasing out of BPS, the Treasury announced in December 2019 that nearly £3 billion in funding would be provided for 2020 and would be dedicated to ensuring direct payments would continue at their 2019 rate until 2023 at the latest (HoC, 2023, p. 23). Direct payments were funded by the UK in accordance with the EU Withdrawal Agreement, agreed in 2020, with both the UK and the EU jointly funding Pillar 2 programs until the EU funding was exhausted or the scheme concluded, whichever came first (HoC, 2023, p. 23)</w:t>
      </w:r>
      <w:r w:rsidDel="00000000" w:rsidR="00000000" w:rsidRPr="00000000">
        <w:rPr>
          <w:rFonts w:ascii="Calibri" w:cs="Calibri" w:eastAsia="Calibri" w:hAnsi="Calibri"/>
          <w:sz w:val="24"/>
          <w:szCs w:val="24"/>
          <w:vertAlign w:val="superscript"/>
        </w:rPr>
        <w:footnoteReference w:customMarkFollows="0" w:id="11"/>
      </w:r>
      <w:r w:rsidDel="00000000" w:rsidR="00000000" w:rsidRPr="00000000">
        <w:rPr>
          <w:rFonts w:ascii="Calibri" w:cs="Calibri" w:eastAsia="Calibri" w:hAnsi="Calibri"/>
          <w:sz w:val="24"/>
          <w:szCs w:val="24"/>
          <w:rtl w:val="0"/>
        </w:rPr>
        <w:t xml:space="preserve">. The transition period marked a designated period for the UK to address funding concerns and determine what would come next for agriculture policy across the administrations. </w:t>
      </w:r>
    </w:p>
    <w:p w:rsidR="00000000" w:rsidDel="00000000" w:rsidP="00000000" w:rsidRDefault="00000000" w:rsidRPr="00000000" w14:paraId="0000012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agricultural sector, agriculture policy became entirely detached from the EU’s CAP and was delegated to the UK government and each of the devolved administrations. To address issues concerning devolution, the UK Government, led by Theresa May, introduced the 2018 Agriculture Bill, later passed into law as the 2020 Agricultural Act, which indicated that a formal mechanism for legislative consent would need to be developed to address the divergence across the UK. The UK government and devolved administrations agreed on developing a non-legislative framework that could be used to mitigate the significant risk of divergence and to provide a platform for greater collaboration and coordination on post-Brexit agriculture support (HMG, 2022). The framework outlined that each of the devolved administrations in the UK had the power to devise its own agricultural policies. However, in cases with key joint policy decisions, a dispute resolution process would be used to ensure that all countries considered the policy change acceptable (HMG, 2022). </w:t>
      </w:r>
    </w:p>
    <w:p w:rsidR="00000000" w:rsidDel="00000000" w:rsidP="00000000" w:rsidRDefault="00000000" w:rsidRPr="00000000" w14:paraId="0000012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the guidance of the government, each of the devolved nations began designing their own approaches to schemes which would replace the funding and structure of CAP. Table 2.2 outlines the progression of initial post-Brexit agri-environmental scheme development across the devolved administrations from the start of the transition period until January 2025. </w:t>
      </w:r>
    </w:p>
    <w:p w:rsidR="00000000" w:rsidDel="00000000" w:rsidP="00000000" w:rsidRDefault="00000000" w:rsidRPr="00000000" w14:paraId="0000012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crvjuik47m61" w:id="27"/>
      <w:bookmarkEnd w:id="27"/>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2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2.2. Post-Brexit Agri-Environmental Scheme Policies in the UK, as of 2025</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8"/>
        <w:gridCol w:w="2257"/>
        <w:gridCol w:w="2257"/>
        <w:gridCol w:w="2257"/>
        <w:tblGridChange w:id="0">
          <w:tblGrid>
            <w:gridCol w:w="2258"/>
            <w:gridCol w:w="2257"/>
            <w:gridCol w:w="2257"/>
            <w:gridCol w:w="2257"/>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128">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England</w:t>
            </w:r>
          </w:p>
        </w:tc>
        <w:tc>
          <w:tcPr>
            <w:shd w:fill="b6d7a8" w:val="clear"/>
            <w:tcMar>
              <w:top w:w="100.0" w:type="dxa"/>
              <w:left w:w="100.0" w:type="dxa"/>
              <w:bottom w:w="100.0" w:type="dxa"/>
              <w:right w:w="100.0" w:type="dxa"/>
            </w:tcMar>
          </w:tcPr>
          <w:p w:rsidR="00000000" w:rsidDel="00000000" w:rsidP="00000000" w:rsidRDefault="00000000" w:rsidRPr="00000000" w14:paraId="00000129">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Northern Ireland </w:t>
            </w:r>
          </w:p>
        </w:tc>
        <w:tc>
          <w:tcPr>
            <w:shd w:fill="b6d7a8" w:val="clear"/>
            <w:tcMar>
              <w:top w:w="100.0" w:type="dxa"/>
              <w:left w:w="100.0" w:type="dxa"/>
              <w:bottom w:w="100.0" w:type="dxa"/>
              <w:right w:w="100.0" w:type="dxa"/>
            </w:tcMar>
          </w:tcPr>
          <w:p w:rsidR="00000000" w:rsidDel="00000000" w:rsidP="00000000" w:rsidRDefault="00000000" w:rsidRPr="00000000" w14:paraId="0000012A">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Scotland </w:t>
            </w:r>
          </w:p>
        </w:tc>
        <w:tc>
          <w:tcPr>
            <w:shd w:fill="b6d7a8" w:val="clear"/>
            <w:tcMar>
              <w:top w:w="100.0" w:type="dxa"/>
              <w:left w:w="100.0" w:type="dxa"/>
              <w:bottom w:w="100.0" w:type="dxa"/>
              <w:right w:w="100.0" w:type="dxa"/>
            </w:tcMar>
          </w:tcPr>
          <w:p w:rsidR="00000000" w:rsidDel="00000000" w:rsidP="00000000" w:rsidRDefault="00000000" w:rsidRPr="00000000" w14:paraId="0000012B">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Wales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Agriculture Act, 2020 </w:t>
            </w:r>
          </w:p>
          <w:p w:rsidR="00000000" w:rsidDel="00000000" w:rsidP="00000000" w:rsidRDefault="00000000" w:rsidRPr="00000000" w14:paraId="0000012D">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three different Environmental Land Management Schemes over a seven-year transition timeline: </w:t>
            </w:r>
          </w:p>
          <w:p w:rsidR="00000000" w:rsidDel="00000000" w:rsidP="00000000" w:rsidRDefault="00000000" w:rsidRPr="00000000" w14:paraId="0000012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Sustainable Farming Incentive (Pilot Period Concludes in 2025)</w:t>
            </w:r>
          </w:p>
          <w:p w:rsidR="00000000" w:rsidDel="00000000" w:rsidP="00000000" w:rsidRDefault="00000000" w:rsidRPr="00000000" w14:paraId="0000012F">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Countryside Stewardship Plus (Originally Introduced as Local Nature Recovery; a version of the scheme was reintroduced in 2023)</w:t>
            </w:r>
          </w:p>
          <w:p w:rsidR="00000000" w:rsidDel="00000000" w:rsidP="00000000" w:rsidRDefault="00000000" w:rsidRPr="00000000" w14:paraId="0000013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Landscape Recovery (In Project Development; 56 Projects currently funded in Round I and Round II)</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Future Agriculture Policy for Northern Ireland was published on March 24, 2022 </w:t>
            </w:r>
          </w:p>
          <w:p w:rsidR="00000000" w:rsidDel="00000000" w:rsidP="00000000" w:rsidRDefault="00000000" w:rsidRPr="00000000" w14:paraId="0000013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Introduced a Farm Sustainability Transition Payment for 2025 which will replace BPS (the full Farm Sustainability Payment being introduced in 2026)</w:t>
            </w:r>
          </w:p>
          <w:p w:rsidR="00000000" w:rsidDel="00000000" w:rsidP="00000000" w:rsidRDefault="00000000" w:rsidRPr="00000000" w14:paraId="00000133">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Farming with Nature Transition Package to be introduced in Spring 2025</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Consultations for the development of a new Agriculture Bill closed in November 2022</w:t>
            </w:r>
          </w:p>
          <w:p w:rsidR="00000000" w:rsidDel="00000000" w:rsidP="00000000" w:rsidRDefault="00000000" w:rsidRPr="00000000" w14:paraId="00000135">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2021, Scotland established the Agri-Environment Climate Scheme (AECS) as part of the Scottish Rural Development Programme 2014-20</w:t>
            </w:r>
          </w:p>
          <w:p w:rsidR="00000000" w:rsidDel="00000000" w:rsidP="00000000" w:rsidRDefault="00000000" w:rsidRPr="00000000" w14:paraId="0000013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July 2024, a four-tiered scheme was introduced. </w:t>
            </w:r>
          </w:p>
          <w:p w:rsidR="00000000" w:rsidDel="00000000" w:rsidP="00000000" w:rsidRDefault="00000000" w:rsidRPr="00000000" w14:paraId="0000013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Tier 1 is a foundational payment (similar to BPS)</w:t>
            </w:r>
          </w:p>
          <w:p w:rsidR="00000000" w:rsidDel="00000000" w:rsidP="00000000" w:rsidRDefault="00000000" w:rsidRPr="00000000" w14:paraId="0000013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Tier 2 is an additional payment for reaching more environmental practices (to be launched in 2026) </w:t>
            </w:r>
          </w:p>
          <w:p w:rsidR="00000000" w:rsidDel="00000000" w:rsidP="00000000" w:rsidRDefault="00000000" w:rsidRPr="00000000" w14:paraId="0000013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Tier 3 is based on AECS and provides funding for specific environmental projects. </w:t>
            </w:r>
          </w:p>
          <w:p w:rsidR="00000000" w:rsidDel="00000000" w:rsidP="00000000" w:rsidRDefault="00000000" w:rsidRPr="00000000" w14:paraId="0000013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Tier 4 focuses on ongoing education and support. </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government continued the pre-existing scheme until the end of 2023</w:t>
            </w:r>
          </w:p>
          <w:p w:rsidR="00000000" w:rsidDel="00000000" w:rsidP="00000000" w:rsidRDefault="00000000" w:rsidRPr="00000000" w14:paraId="0000013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Agriculture Bill was introduced to the Welsh Parliament on September 26, 2022, and included plans for Wales to develop its Sustainable Farming Scheme </w:t>
            </w:r>
          </w:p>
          <w:p w:rsidR="00000000" w:rsidDel="00000000" w:rsidP="00000000" w:rsidRDefault="00000000" w:rsidRPr="00000000" w14:paraId="0000013D">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Sustainable Farming Scheme will be published in Summer 2025 and will commence on 1 January 2026</w:t>
            </w:r>
          </w:p>
        </w:tc>
      </w:tr>
    </w:tbl>
    <w:p w:rsidR="00000000" w:rsidDel="00000000" w:rsidP="00000000" w:rsidRDefault="00000000" w:rsidRPr="00000000" w14:paraId="0000013E">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Scottish Government (2024), Defra (2025), Daera (2024), Welsh Government (2024). </w:t>
      </w:r>
    </w:p>
    <w:p w:rsidR="00000000" w:rsidDel="00000000" w:rsidP="00000000" w:rsidRDefault="00000000" w:rsidRPr="00000000" w14:paraId="0000013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time this thesis commenced, each of the devolved administrations was in the early stages of drafting their future post-Brexit agriculture policies, whereas England had already published legislation, launched an ongoing pilot scheme, and established various tests and trials. Agriculture policy has been impacted across the entire UK, but the availability of data from England made it the best option for a case study for exploring future developments. Consequently, the following section narrows its focus to the post-Brexit transition in England, presenting the English farming sector as a detailed case study that is evaluated throughout the thesis.</w:t>
      </w:r>
    </w:p>
    <w:p w:rsidR="00000000" w:rsidDel="00000000" w:rsidP="00000000" w:rsidRDefault="00000000" w:rsidRPr="00000000" w14:paraId="00000140">
      <w:pPr>
        <w:pStyle w:val="Heading3"/>
        <w:numPr>
          <w:ilvl w:val="1"/>
          <w:numId w:val="4"/>
        </w:numPr>
        <w:ind w:left="792" w:hanging="432"/>
        <w:rPr/>
      </w:pPr>
      <w:bookmarkStart w:colFirst="0" w:colLast="0" w:name="_heading=h.62exg6sgzt5c" w:id="28"/>
      <w:bookmarkEnd w:id="28"/>
      <w:r w:rsidDel="00000000" w:rsidR="00000000" w:rsidRPr="00000000">
        <w:rPr>
          <w:rtl w:val="0"/>
        </w:rPr>
        <w:t xml:space="preserve">Post-Brexit Agriculture in England: A Shift to Green Brexit and Public Goods </w:t>
      </w:r>
    </w:p>
    <w:p w:rsidR="00000000" w:rsidDel="00000000" w:rsidP="00000000" w:rsidRDefault="00000000" w:rsidRPr="00000000" w14:paraId="0000014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the other administrations sought to develop replacement funding, similar to BPS or a single farm payment, the most notable change emerging from the post-Brexit transition rhetoric in England was the commitment to move completely away from CAP, especially Pillar 1, and a pivot to focus on compensating farmers for environmental outcomes. Former Secretary of State for Environment, Food and Rural Affairs, Michael Gove, outlined this vision for the future of farming in July 2017, describing Brexit as an opportunity to reform the management of agriculture and fisheries and to invest more in the restoration of the environment and planet (Gove, 2017). Gove suggested that the policies emerging from the post-Brexit transition period would significantly differ from the previous farming policies under the EU, which focused primarily on subsidising land ownership (Gov.UK, 2017). Gove’s speech also introduced the term ‘Green Brexit’, which became a critical element of UK agri-environmental policies. In February 2018, the government published the Health and Harmony White Paper, outlining the next steps for agricultural transition and how the UK Government would deliver a ‘Green Brexit’ in England (Gove, 2017). </w:t>
      </w:r>
    </w:p>
    <w:p w:rsidR="00000000" w:rsidDel="00000000" w:rsidP="00000000" w:rsidRDefault="00000000" w:rsidRPr="00000000" w14:paraId="0000014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the agricultural transition plan, the White Paper included a proposed timeline for the complete phasing out of direct payments (Pillar 1, CAP) by the end of the ‘agricultural transition’ and introduced the proposal of a new Environmental Land Management system (ELM) to replace the schemes included under Pillar 2 of CAP. The proposed ELM system was to be based on a ‘public money for public goods’ approach, meaning that farmer compensation would depend on delivering different environmental benefits [public goods] (see Table 2.3).</w:t>
      </w:r>
      <w:r w:rsidDel="00000000" w:rsidR="00000000" w:rsidRPr="00000000">
        <w:rPr>
          <w:rFonts w:ascii="Calibri" w:cs="Calibri" w:eastAsia="Calibri" w:hAnsi="Calibri"/>
          <w:sz w:val="24"/>
          <w:szCs w:val="24"/>
          <w:vertAlign w:val="superscript"/>
        </w:rPr>
        <w:footnoteReference w:customMarkFollows="0" w:id="12"/>
      </w:r>
      <w:r w:rsidDel="00000000" w:rsidR="00000000" w:rsidRPr="00000000">
        <w:rPr>
          <w:rFonts w:ascii="Calibri" w:cs="Calibri" w:eastAsia="Calibri" w:hAnsi="Calibri"/>
          <w:sz w:val="24"/>
          <w:szCs w:val="24"/>
          <w:rtl w:val="0"/>
        </w:rPr>
        <w:t xml:space="preserve">  This system of paying farmers to deliver environmental benefits has already been adopted to some measure under CAP, but was not considered as effective or fully integrated into practice (Kam and Potter, 2024). </w:t>
      </w:r>
    </w:p>
    <w:p w:rsidR="00000000" w:rsidDel="00000000" w:rsidP="00000000" w:rsidRDefault="00000000" w:rsidRPr="00000000" w14:paraId="0000014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the White Paper recommendations were underpinned by the UK Government's new 25-Year Environmental Plan (HMG, 2018, p. 5), which sought to make extensive reforms across all sectors of the economy to achieve the government’s goal of leaving the environment, as the policy states, ‘in a better state than we found it.’ When compared to the EU’s CAP, the new ELM schemes were more post-productivist in nature, with the entire focus of the policy shifting away from the production aspect of farming towards nature and environmental restoration and preservation of the countryside. For example, under this approach, the portion of farmers’ income derived from government payments would be linked to the delivery of public goods– such as contributions to the cultural or national heritage of the countryside, or the provision of native plants and wildlife– representing a significant shift from the 30 per cent of funding previously allocated to greening measures under CAP’s Pillar One payments.</w:t>
      </w:r>
    </w:p>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2u8w02mllbjj" w:id="29"/>
      <w:bookmarkEnd w:id="29"/>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3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2.3. Definitions of Public Goods Eligible for Public Money</w:t>
      </w:r>
    </w:p>
    <w:tbl>
      <w:tblPr>
        <w:tblStyle w:val="Table3"/>
        <w:tblW w:w="9356.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5"/>
        <w:gridCol w:w="6801"/>
        <w:tblGridChange w:id="0">
          <w:tblGrid>
            <w:gridCol w:w="2555"/>
            <w:gridCol w:w="6801"/>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145">
            <w:pPr>
              <w:widowControl w:val="0"/>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Public Good </w:t>
            </w:r>
          </w:p>
        </w:tc>
        <w:tc>
          <w:tcPr>
            <w:shd w:fill="b6d7a8" w:val="clear"/>
            <w:tcMar>
              <w:top w:w="100.0" w:type="dxa"/>
              <w:left w:w="100.0" w:type="dxa"/>
              <w:bottom w:w="100.0" w:type="dxa"/>
              <w:right w:w="100.0" w:type="dxa"/>
            </w:tcMar>
          </w:tcPr>
          <w:p w:rsidR="00000000" w:rsidDel="00000000" w:rsidP="00000000" w:rsidRDefault="00000000" w:rsidRPr="00000000" w14:paraId="00000146">
            <w:pPr>
              <w:widowControl w:val="0"/>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Policy definition of Public Good provision*</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Clean and plentiful water </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Managing land or water in a way that protects or improves the environment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Thriving plants and wildlife </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Protecting or improving the health of plants; Conserving plants grown or used in carrying on agricultural, horticultural or forestry activity, their wild relatives or genetic resources relating to any such plant; conserving native livestock, native equines or genetic resources relating to any such animal; Protecting or improving the quality of the soil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B">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Clean air </w:t>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Managing land or water in a way that protects or improves the environment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Protection from and mitigation of hazards </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Managing land or water to prevent, reduce or protect from environmental hazards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Beauty, heritage, and engagement </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Supporting public access to and enjoyment of the countryside, farmland or woodland and better understanding of the environment; managing land or water in a way that maintains, restores or enhances cultural heritage or natural heritage</w:t>
            </w:r>
          </w:p>
        </w:tc>
      </w:tr>
      <w:tr>
        <w:trPr>
          <w:cantSplit w:val="0"/>
          <w:trHeight w:val="7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Mitigation and adaptation to climate change </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Managing land, water or livestock to mitigate or adapt to climate change</w:t>
            </w:r>
          </w:p>
        </w:tc>
      </w:tr>
    </w:tbl>
    <w:p w:rsidR="00000000" w:rsidDel="00000000" w:rsidP="00000000" w:rsidRDefault="00000000" w:rsidRPr="00000000" w14:paraId="00000153">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HMG 2020 *The policy definitions provided in the table above are directly quoted from the Agriculture Act (Agriculture Act, 2020)</w:t>
      </w:r>
    </w:p>
    <w:p w:rsidR="00000000" w:rsidDel="00000000" w:rsidP="00000000" w:rsidRDefault="00000000" w:rsidRPr="00000000" w14:paraId="0000015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recommendations outlined in the Health and Harmony White Paper (2018), materialised in the 2018 Agriculture Bill. The Agriculture Bill solidified the concept of a ‘Green Brexit’ by making commitments to underpin the future Environmental Land Management (ELM) schemes with the Government’s 25-year Environment Plan and goals to reach Net Zero by 2050</w:t>
      </w:r>
      <w:r w:rsidDel="00000000" w:rsidR="00000000" w:rsidRPr="00000000">
        <w:rPr>
          <w:rFonts w:ascii="Calibri" w:cs="Calibri" w:eastAsia="Calibri" w:hAnsi="Calibri"/>
          <w:sz w:val="24"/>
          <w:szCs w:val="24"/>
          <w:vertAlign w:val="superscript"/>
        </w:rPr>
        <w:footnoteReference w:customMarkFollows="0" w:id="13"/>
      </w:r>
      <w:r w:rsidDel="00000000" w:rsidR="00000000" w:rsidRPr="00000000">
        <w:rPr>
          <w:rFonts w:ascii="Calibri" w:cs="Calibri" w:eastAsia="Calibri" w:hAnsi="Calibri"/>
          <w:sz w:val="24"/>
          <w:szCs w:val="24"/>
          <w:rtl w:val="0"/>
        </w:rPr>
        <w:t xml:space="preserve">. As promised in the Health and Harmony White Paper, the Agriculture Bill also confirmed that the pre-existing CAP structure would be fully reformed and replaced with ELM schemes, requiring direct payments (BPS) to be gradually phased out starting in 2021 and completely discontinued following a seven-year transition period. The Rural Payments Agency (RPA), which is responsible for disbursing payments, responded by structuring the changes so that farmers would experience ‘progressive reductions’ to their BPS sum annually until the amount reached zero, the percentage reduction being dependent on the amount they would have received (RPA, 2024). Without direct payments, more than one in three farmers would not have made a profit in their farm income, assuming everything else had stayed the same (NAO, 2019; NAO, 2021). </w:t>
      </w:r>
    </w:p>
    <w:p w:rsidR="00000000" w:rsidDel="00000000" w:rsidP="00000000" w:rsidRDefault="00000000" w:rsidRPr="00000000" w14:paraId="0000015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RPA communicated that these reductions to direct payments would be structured so that there would be a certain percentage reduction for the first amount of a claim and then incrementally higher reduction percentages for claims greater than that amount (RPA, 2024). For example, based on the 2023 reduction percentages, if a farmer had a BPS claim that entitled them to receive £67,000, the first £30,000 of the claim would be reduced by 35 per cent; then the amount above £30,000 and no more than £50,000 would be reduced by 40 per cent, and the remaining amount above £50,000 would be reduced by 50 per cent meaning that this farmer would take home  £40,000 in 2023. To illustrate the drastic reduction in payments, a farmer with the same claim amount of £67,000 in 2025 would have that number further reduced to ​​£29,950 as the reduction percentage has increased to 50 per cent, 55 per cent, and 65 per cent, respectively. Figure 2.2 below illustrates this example of the reduction in payment. </w:t>
      </w:r>
    </w:p>
    <w:p w:rsidR="00000000" w:rsidDel="00000000" w:rsidP="00000000" w:rsidRDefault="00000000" w:rsidRPr="00000000" w14:paraId="00000156">
      <w:pPr>
        <w:keepNext w:val="1"/>
        <w:spacing w:after="200" w:before="200" w:line="360" w:lineRule="auto"/>
        <w:jc w:val="center"/>
        <w:rPr/>
      </w:pPr>
      <w:r w:rsidDel="00000000" w:rsidR="00000000" w:rsidRPr="00000000">
        <w:rPr>
          <w:rFonts w:ascii="Calibri" w:cs="Calibri" w:eastAsia="Calibri" w:hAnsi="Calibri"/>
          <w:sz w:val="24"/>
          <w:szCs w:val="24"/>
        </w:rPr>
        <w:drawing>
          <wp:inline distB="114300" distT="114300" distL="114300" distR="114300">
            <wp:extent cx="3927407" cy="3719272"/>
            <wp:effectExtent b="0" l="0" r="0" t="0"/>
            <wp:docPr id="1297365376" name="image13.png"/>
            <a:graphic>
              <a:graphicData uri="http://schemas.openxmlformats.org/drawingml/2006/picture">
                <pic:pic>
                  <pic:nvPicPr>
                    <pic:cNvPr id="0" name="image13.png"/>
                    <pic:cNvPicPr preferRelativeResize="0"/>
                  </pic:nvPicPr>
                  <pic:blipFill>
                    <a:blip r:embed="rId13"/>
                    <a:srcRect b="19372" l="30608" r="30528" t="19371"/>
                    <a:stretch>
                      <a:fillRect/>
                    </a:stretch>
                  </pic:blipFill>
                  <pic:spPr>
                    <a:xfrm>
                      <a:off x="0" y="0"/>
                      <a:ext cx="3927407" cy="3719272"/>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1"/>
          <w:smallCaps w:val="0"/>
          <w:strike w:val="0"/>
          <w:color w:val="000000"/>
          <w:sz w:val="24"/>
          <w:szCs w:val="24"/>
          <w:u w:val="none"/>
          <w:vertAlign w:val="baseline"/>
        </w:rPr>
      </w:pPr>
      <w:bookmarkStart w:colFirst="0" w:colLast="0" w:name="_heading=h.615ufi2wq6gs" w:id="30"/>
      <w:bookmarkEnd w:id="30"/>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3</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2.2. Visualisation of BPS Payment Reductions in 2023 and 2025</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Source: Created based on analysis of the UK Government policy updates to BPS funding for the 2020 to 2024 period</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reduction to direct payments was further reduced in England following the change of government in 2024, with the RPA changing the percentages to a 76 per cent reduction on the first £30,000 of a payment with no amount above the £30,000 being paid (RPA, 2025). Applying this rate to the example above, the new amount a farmer would receive for a BPS claim of £67,000 under this model would be only £7,200, demonstrably less than the anticipated payment predicted for the 2025 period. Further, based on this financial model, the greatest payment any farmer earning over £30,000 from BPS could receive would be £7,200. This change was announced nearly one year after the completion of data collection for this thesis and thus was not mentioned in interviews but provides an important context when evaluating the current (as of 2025) financial constraints in the farming industry. </w:t>
      </w:r>
    </w:p>
    <w:p w:rsidR="00000000" w:rsidDel="00000000" w:rsidP="00000000" w:rsidRDefault="00000000" w:rsidRPr="00000000" w14:paraId="0000015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Due to the extensive reliance on pillar one of CAP, the phasing out of direct payments gained significant attention from farmers (NAO, 2021). As illustrated above, from 2021 to 2024, farmers experienced a significant decline in their direct payments, and the amounts farmers received were reduced to less than half of what they originally received from the start of the transition period up to 2024. The Agriculture Bill suggested that the loss in income from the phasing out of BPS would be replaced with the payments provided in the rolling out of the new ELM schemes.</w:t>
      </w:r>
    </w:p>
    <w:p w:rsidR="00000000" w:rsidDel="00000000" w:rsidP="00000000" w:rsidRDefault="00000000" w:rsidRPr="00000000" w14:paraId="0000015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ELM schemes, which would replace the CAP funding, were designed based on insight gained from different engagement activities with industry stakeholders called tests and trials (NAO, 2019). This process of working alongside relevant stakeholders to create policy and generate insights is also known as the process of policy co-design (Tsouvalis and Little, 2019). The logic behind the UK’s decision to implement the practice of policy co-design was rooted in the belief that by involving the relevant stakeholders who understood the real problems facing the sector (e.g. farmers, academics, agri-environmental organisations, the National Farmers Union, etc.), policy options and solutions would have a better chance of working and making a difference (Tsouvalis and Little, 2019).  The tests and trials kicked off the process of co-design in 2018 by introducing a set of different proposals</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rtl w:val="0"/>
        </w:rPr>
        <w:t xml:space="preserve">(or policy areas) and asked farming communities and stakeholders to test them out (Defra, 2021). The different policy areas for tests and trials included: land management plan design and approaches; Expert knowledge and support; national objectives and local priorities; potential participants; payments; and novel and innovative mechanisms that have not been used previously within agri-environment schemes or not used at the proposed scale (NAO, 2019). </w:t>
      </w:r>
    </w:p>
    <w:p w:rsidR="00000000" w:rsidDel="00000000" w:rsidP="00000000" w:rsidRDefault="00000000" w:rsidRPr="00000000" w14:paraId="0000015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of the test and trials was to ‘understand if and why things do not work and improve operability, value for money and outcomes’ in the context of agri-scheme development (Defra, 2021). The first tests and trials sought to form the structure of the future ELM schemes by testing to see which proposals for a new scheme would be feasible in a real-world environment, with real-world conditions (Agriculture Act, 2020). In the initial stages of the tests and trials, Defra outlined different key policy categories that tests and trials would focus on and then used the data collected to develop the different ELM schemes, as outlined in the Agricultural Transition Plan 2021-2024 (NAO, 2019). Through employing a system of working with farmers and industry stakeholders in tests and trials to develop ELM schemes, Defra sought to underpin ELM schemes with the goals of using public money for public goods and changing the relationship between government, farmers and landowners in support of delivering better environmental outcomes and a successful farming sector (NAO, 2019). </w:t>
      </w:r>
    </w:p>
    <w:p w:rsidR="00000000" w:rsidDel="00000000" w:rsidP="00000000" w:rsidRDefault="00000000" w:rsidRPr="00000000" w14:paraId="0000015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output of the initial tests and trials findings were the descriptions and scheme information for the three agri-environmental schemes which were introduced in the Agricultural Transition Plan for 2021-2024. These three schemes were designed and informed by test and trial findings to work together to reach sustainability goals set by Net Zero by 2050 and the 25-Year Environment Plan and revitalise the rural economy. The following section introduces and presents an overview of these schemes and how they developed throughout the post-Brexit transition period. </w:t>
      </w:r>
    </w:p>
    <w:p w:rsidR="00000000" w:rsidDel="00000000" w:rsidP="00000000" w:rsidRDefault="00000000" w:rsidRPr="00000000" w14:paraId="0000015F">
      <w:pPr>
        <w:pStyle w:val="Heading3"/>
        <w:numPr>
          <w:ilvl w:val="1"/>
          <w:numId w:val="4"/>
        </w:numPr>
        <w:ind w:left="792" w:hanging="432"/>
        <w:rPr/>
      </w:pPr>
      <w:bookmarkStart w:colFirst="0" w:colLast="0" w:name="_heading=h.66z26zsutqgj" w:id="31"/>
      <w:bookmarkEnd w:id="31"/>
      <w:r w:rsidDel="00000000" w:rsidR="00000000" w:rsidRPr="00000000">
        <w:rPr>
          <w:rtl w:val="0"/>
        </w:rPr>
        <w:t xml:space="preserve">Introduction to Environmental Land Management Schemes in England </w:t>
      </w:r>
    </w:p>
    <w:p w:rsidR="00000000" w:rsidDel="00000000" w:rsidP="00000000" w:rsidRDefault="00000000" w:rsidRPr="00000000" w14:paraId="00000160">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agri-environmental scheme, a part of ELM schemes, was designed with an intention to serve a different purpose in contributing to environmental goals. However, the ELM schemes were designed to work together to provide more choice and discretion to farmers over their actions taken, place a greater focus on and encourage the production of better outcomes, and have a fairer, more supportive and more effective approach to compliance (Defra, 2020).  The table below introduces the three initial schemes under the first version of ELM schemes and illustrates how the schemes were expected to work together to address different areas of the agricultural sector and produce public goods. These schemes represent the offerings available during the period from 2021 to 2023, the period in which data for this thesis were collected; the following breakdown of the schemes reflects their structure during that period and presents the options that farmers were presented with which contextualises the following sections of this thesis.</w:t>
      </w:r>
    </w:p>
    <w:p w:rsidR="00000000" w:rsidDel="00000000" w:rsidP="00000000" w:rsidRDefault="00000000" w:rsidRPr="00000000" w14:paraId="0000016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t488uw5jc1vu" w:id="32"/>
      <w:bookmarkEnd w:id="32"/>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5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2.4. Overview of the ELM schemes, circa 2022 </w:t>
      </w:r>
    </w:p>
    <w:tbl>
      <w:tblPr>
        <w:tblStyle w:val="Table4"/>
        <w:tblW w:w="93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75"/>
        <w:gridCol w:w="2717"/>
        <w:gridCol w:w="2558"/>
        <w:gridCol w:w="2690"/>
        <w:tblGridChange w:id="0">
          <w:tblGrid>
            <w:gridCol w:w="1375"/>
            <w:gridCol w:w="2717"/>
            <w:gridCol w:w="2558"/>
            <w:gridCol w:w="2690"/>
          </w:tblGrid>
        </w:tblGridChange>
      </w:tblGrid>
      <w:tr>
        <w:trPr>
          <w:cantSplit w:val="0"/>
          <w:trHeight w:val="940" w:hRule="atLeast"/>
          <w:tblHeader w:val="0"/>
        </w:trPr>
        <w:tc>
          <w:tcPr>
            <w:tcMar>
              <w:top w:w="100.0" w:type="dxa"/>
              <w:left w:w="100.0" w:type="dxa"/>
              <w:bottom w:w="100.0" w:type="dxa"/>
              <w:right w:w="100.0" w:type="dxa"/>
            </w:tcMar>
          </w:tcPr>
          <w:p w:rsidR="00000000" w:rsidDel="00000000" w:rsidP="00000000" w:rsidRDefault="00000000" w:rsidRPr="00000000" w14:paraId="00000162">
            <w:pPr>
              <w:widowControl w:val="0"/>
              <w:spacing w:after="200" w:before="200" w:line="360" w:lineRule="auto"/>
              <w:rPr>
                <w:rFonts w:ascii="Calibri" w:cs="Calibri" w:eastAsia="Calibri" w:hAnsi="Calibri"/>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163">
            <w:pPr>
              <w:widowControl w:val="0"/>
              <w:spacing w:after="200" w:before="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Sustainable Farming Incentive (SFI)</w:t>
            </w:r>
          </w:p>
        </w:tc>
        <w:tc>
          <w:tcPr>
            <w:shd w:fill="b6d7a8" w:val="clear"/>
            <w:tcMar>
              <w:top w:w="100.0" w:type="dxa"/>
              <w:left w:w="100.0" w:type="dxa"/>
              <w:bottom w:w="100.0" w:type="dxa"/>
              <w:right w:w="100.0" w:type="dxa"/>
            </w:tcMar>
          </w:tcPr>
          <w:p w:rsidR="00000000" w:rsidDel="00000000" w:rsidP="00000000" w:rsidRDefault="00000000" w:rsidRPr="00000000" w14:paraId="00000164">
            <w:pPr>
              <w:widowControl w:val="0"/>
              <w:spacing w:after="200" w:before="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Local Nature Recovery (LNR) </w:t>
            </w:r>
          </w:p>
        </w:tc>
        <w:tc>
          <w:tcPr>
            <w:shd w:fill="b6d7a8" w:val="clear"/>
            <w:tcMar>
              <w:top w:w="100.0" w:type="dxa"/>
              <w:left w:w="100.0" w:type="dxa"/>
              <w:bottom w:w="100.0" w:type="dxa"/>
              <w:right w:w="100.0" w:type="dxa"/>
            </w:tcMar>
          </w:tcPr>
          <w:p w:rsidR="00000000" w:rsidDel="00000000" w:rsidP="00000000" w:rsidRDefault="00000000" w:rsidRPr="00000000" w14:paraId="00000165">
            <w:pPr>
              <w:widowControl w:val="0"/>
              <w:spacing w:after="200" w:before="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Landscape Recovery (LR) </w:t>
            </w:r>
          </w:p>
        </w:tc>
      </w:tr>
      <w:tr>
        <w:trPr>
          <w:cantSplit w:val="0"/>
          <w:trHeight w:val="1640"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66">
            <w:pPr>
              <w:widowControl w:val="0"/>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 </w:t>
            </w:r>
          </w:p>
        </w:tc>
        <w:tc>
          <w:tcPr>
            <w:tcMar>
              <w:top w:w="100.0" w:type="dxa"/>
              <w:left w:w="100.0" w:type="dxa"/>
              <w:bottom w:w="100.0" w:type="dxa"/>
              <w:right w:w="100.0" w:type="dxa"/>
            </w:tcMar>
          </w:tcPr>
          <w:p w:rsidR="00000000" w:rsidDel="00000000" w:rsidP="00000000" w:rsidRDefault="00000000" w:rsidRPr="00000000" w14:paraId="00000167">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and land managers are paid to manage their land in an environmentally friendly way. </w:t>
            </w:r>
          </w:p>
        </w:tc>
        <w:tc>
          <w:tcPr>
            <w:tcMar>
              <w:top w:w="100.0" w:type="dxa"/>
              <w:left w:w="100.0" w:type="dxa"/>
              <w:bottom w:w="100.0" w:type="dxa"/>
              <w:right w:w="100.0" w:type="dxa"/>
            </w:tcMar>
          </w:tcPr>
          <w:p w:rsidR="00000000" w:rsidDel="00000000" w:rsidP="00000000" w:rsidRDefault="00000000" w:rsidRPr="00000000" w14:paraId="0000016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are encouraged to work together to complete actions that support local nature recovery and deliver local environmental priorities.</w:t>
            </w:r>
          </w:p>
          <w:p w:rsidR="00000000" w:rsidDel="00000000" w:rsidP="00000000" w:rsidRDefault="00000000" w:rsidRPr="00000000" w14:paraId="00000169">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scheme was expected to be the more ambitious replacement for the preceding Countryside Stewardship scheme. </w:t>
            </w:r>
          </w:p>
        </w:tc>
        <w:tc>
          <w:tcPr>
            <w:tcMar>
              <w:top w:w="100.0" w:type="dxa"/>
              <w:left w:w="100.0" w:type="dxa"/>
              <w:bottom w:w="100.0" w:type="dxa"/>
              <w:right w:w="100.0" w:type="dxa"/>
            </w:tcMar>
          </w:tcPr>
          <w:p w:rsidR="00000000" w:rsidDel="00000000" w:rsidP="00000000" w:rsidRDefault="00000000" w:rsidRPr="00000000" w14:paraId="0000016A">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are asked to form proposals for how they can produce large-scale environmental and climate changes to their land.</w:t>
            </w:r>
          </w:p>
          <w:p w:rsidR="00000000" w:rsidDel="00000000" w:rsidP="00000000" w:rsidRDefault="00000000" w:rsidRPr="00000000" w14:paraId="0000016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Proposals are for long-term projects that support landscape and ecosystem recovery. </w:t>
            </w:r>
          </w:p>
        </w:tc>
      </w:tr>
      <w:tr>
        <w:trPr>
          <w:cantSplit w:val="0"/>
          <w:trHeight w:val="1820"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6C">
            <w:pPr>
              <w:widowControl w:val="0"/>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Eligibility </w:t>
            </w:r>
          </w:p>
        </w:tc>
        <w:tc>
          <w:tcPr>
            <w:tcMar>
              <w:top w:w="100.0" w:type="dxa"/>
              <w:left w:w="100.0" w:type="dxa"/>
              <w:bottom w:w="100.0" w:type="dxa"/>
              <w:right w:w="100.0" w:type="dxa"/>
            </w:tcMar>
          </w:tcPr>
          <w:p w:rsidR="00000000" w:rsidDel="00000000" w:rsidP="00000000" w:rsidRDefault="00000000" w:rsidRPr="00000000" w14:paraId="0000016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pilot was available to farmers in receipt of Basic Payments (BPS). Later, the 2024 expanded offer of the scheme became available to all farmers, including those who did not previously participate in any scheme.</w:t>
            </w:r>
          </w:p>
        </w:tc>
        <w:tc>
          <w:tcPr>
            <w:tcMar>
              <w:top w:w="100.0" w:type="dxa"/>
              <w:left w:w="100.0" w:type="dxa"/>
              <w:bottom w:w="100.0" w:type="dxa"/>
              <w:right w:w="100.0" w:type="dxa"/>
            </w:tcMar>
          </w:tcPr>
          <w:p w:rsidR="00000000" w:rsidDel="00000000" w:rsidP="00000000" w:rsidRDefault="00000000" w:rsidRPr="00000000" w14:paraId="0000016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foresters and land managers. </w:t>
            </w:r>
          </w:p>
        </w:tc>
        <w:tc>
          <w:tcPr>
            <w:tcMar>
              <w:top w:w="100.0" w:type="dxa"/>
              <w:left w:w="100.0" w:type="dxa"/>
              <w:bottom w:w="100.0" w:type="dxa"/>
              <w:right w:w="100.0" w:type="dxa"/>
            </w:tcMar>
          </w:tcPr>
          <w:p w:rsidR="00000000" w:rsidDel="00000000" w:rsidP="00000000" w:rsidRDefault="00000000" w:rsidRPr="00000000" w14:paraId="0000016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program is open to any individual or group(s) that can enter large-scale sites, typically around 500-5000 ha, into an agreement.</w:t>
            </w:r>
          </w:p>
          <w:p w:rsidR="00000000" w:rsidDel="00000000" w:rsidP="00000000" w:rsidRDefault="00000000" w:rsidRPr="00000000" w14:paraId="0000017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collaboration between multiple parties to apply for this agreement. For example, public bodies (Natural England) will need to apply in collaboration with other neighbouring landowners and/or tenants.</w:t>
            </w:r>
          </w:p>
        </w:tc>
      </w:tr>
      <w:tr>
        <w:trPr>
          <w:cantSplit w:val="0"/>
          <w:trHeight w:val="2960"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71">
            <w:pPr>
              <w:widowControl w:val="0"/>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Program Structure </w:t>
            </w:r>
          </w:p>
        </w:tc>
        <w:tc>
          <w:tcPr>
            <w:tcMar>
              <w:top w:w="100.0" w:type="dxa"/>
              <w:left w:w="100.0" w:type="dxa"/>
              <w:bottom w:w="100.0" w:type="dxa"/>
              <w:right w:w="100.0" w:type="dxa"/>
            </w:tcMar>
          </w:tcPr>
          <w:p w:rsidR="00000000" w:rsidDel="00000000" w:rsidP="00000000" w:rsidRDefault="00000000" w:rsidRPr="00000000" w14:paraId="0000017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are provided with a series of different standards to choose from. These standards are specific to different farm types (e.g., arable, livestock). Each standard has different levels of ambition (e.g., introductory, intermediate, advanced), and each level of ambition outlines a series of different actions that need to be completed in order to receive compensation.</w:t>
            </w:r>
          </w:p>
        </w:tc>
        <w:tc>
          <w:tcPr>
            <w:tcMar>
              <w:top w:w="100.0" w:type="dxa"/>
              <w:left w:w="100.0" w:type="dxa"/>
              <w:bottom w:w="100.0" w:type="dxa"/>
              <w:right w:w="100.0" w:type="dxa"/>
            </w:tcMar>
          </w:tcPr>
          <w:p w:rsidR="00000000" w:rsidDel="00000000" w:rsidP="00000000" w:rsidRDefault="00000000" w:rsidRPr="00000000" w14:paraId="00000173">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Results from tests and trials were being used to help develop the program structure.</w:t>
            </w:r>
          </w:p>
          <w:p w:rsidR="00000000" w:rsidDel="00000000" w:rsidP="00000000" w:rsidRDefault="00000000" w:rsidRPr="00000000" w14:paraId="00000174">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Similar to SFI, LNR was expected to compensate farmers based on the completion of a predefined series of actions. </w:t>
            </w:r>
          </w:p>
        </w:tc>
        <w:tc>
          <w:tcPr>
            <w:tcMar>
              <w:top w:w="100.0" w:type="dxa"/>
              <w:left w:w="100.0" w:type="dxa"/>
              <w:bottom w:w="100.0" w:type="dxa"/>
              <w:right w:w="100.0" w:type="dxa"/>
            </w:tcMar>
          </w:tcPr>
          <w:p w:rsidR="00000000" w:rsidDel="00000000" w:rsidP="00000000" w:rsidRDefault="00000000" w:rsidRPr="00000000" w14:paraId="00000175">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 plans for the scheme detailed different themed areas open for proposals (e.g., river restoration). Individuals or groups were expected to submit a proposal on how they would address issues in the theme area. Proposals were evaluated based on project feasibility, costs and potential impact. Successful applicants receive development funding and enter into the project development phase, where they would have up to two years to detail their project and recruit supplemental funding from the private sector. Once the project meets the requirements, it would be awarded a long-term implementation agreement, and work could begin. Project implementation agreements expected to be long-term (e.g., 20+ years), and to include safeguards to protect them for the future.</w:t>
            </w:r>
          </w:p>
        </w:tc>
      </w:tr>
      <w:tr>
        <w:trPr>
          <w:cantSplit w:val="0"/>
          <w:trHeight w:val="2800"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76">
            <w:pPr>
              <w:widowControl w:val="0"/>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Public Good Area(s)</w:t>
            </w:r>
          </w:p>
        </w:tc>
        <w:tc>
          <w:tcPr>
            <w:tcMar>
              <w:top w:w="100.0" w:type="dxa"/>
              <w:left w:w="100.0" w:type="dxa"/>
              <w:bottom w:w="100.0" w:type="dxa"/>
              <w:right w:w="100.0" w:type="dxa"/>
            </w:tcMar>
          </w:tcPr>
          <w:p w:rsidR="00000000" w:rsidDel="00000000" w:rsidP="00000000" w:rsidRDefault="00000000" w:rsidRPr="00000000" w14:paraId="00000177">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Cropland management; grassland management; livestock management; tree and woodland management; boundary and hedgerow management; soil management; nutrient management; integrated pest management; efficient water use; wildlife and biodiversity; and the protection of heritage assets – where these go further than regulatory requirements.</w:t>
            </w:r>
          </w:p>
        </w:tc>
        <w:tc>
          <w:tcPr>
            <w:tcMar>
              <w:top w:w="100.0" w:type="dxa"/>
              <w:left w:w="100.0" w:type="dxa"/>
              <w:bottom w:w="100.0" w:type="dxa"/>
              <w:right w:w="100.0" w:type="dxa"/>
            </w:tcMar>
          </w:tcPr>
          <w:p w:rsidR="00000000" w:rsidDel="00000000" w:rsidP="00000000" w:rsidRDefault="00000000" w:rsidRPr="00000000" w14:paraId="0000017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Creating, managing and restoring habitats such as woodland, wetlands, freshwater, peatland, heathland, species-rich grassland and coastal habitat, as well as connecting isolated habitats to form networks; natural flood management; species management; rights of way, navigation and recreation infrastructure; education infrastructure; events and services, and geodiversity and heritage asset management.</w:t>
            </w:r>
          </w:p>
        </w:tc>
        <w:tc>
          <w:tcPr>
            <w:tcMar>
              <w:top w:w="100.0" w:type="dxa"/>
              <w:left w:w="100.0" w:type="dxa"/>
              <w:bottom w:w="100.0" w:type="dxa"/>
              <w:right w:w="100.0" w:type="dxa"/>
            </w:tcMar>
          </w:tcPr>
          <w:p w:rsidR="00000000" w:rsidDel="00000000" w:rsidP="00000000" w:rsidRDefault="00000000" w:rsidRPr="00000000" w14:paraId="00000179">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Large-scale forest and woodland creation, restoration and improvement; ecosystem restoration; peatland restoration; and the creation and restoration of coastal habitats such as wetlands and salt marsh.</w:t>
            </w:r>
          </w:p>
          <w:p w:rsidR="00000000" w:rsidDel="00000000" w:rsidP="00000000" w:rsidRDefault="00000000" w:rsidRPr="00000000" w14:paraId="0000017A">
            <w:pPr>
              <w:widowControl w:val="0"/>
              <w:spacing w:after="200" w:line="360" w:lineRule="auto"/>
              <w:rPr>
                <w:rFonts w:ascii="Calibri" w:cs="Calibri" w:eastAsia="Calibri" w:hAnsi="Calibri"/>
                <w:sz w:val="24"/>
                <w:szCs w:val="24"/>
              </w:rPr>
            </w:pPr>
            <w:r w:rsidDel="00000000" w:rsidR="00000000" w:rsidRPr="00000000">
              <w:rPr>
                <w:rtl w:val="0"/>
              </w:rPr>
            </w:r>
          </w:p>
        </w:tc>
      </w:tr>
      <w:tr>
        <w:trPr>
          <w:cantSplit w:val="0"/>
          <w:trHeight w:val="2569"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17B">
            <w:pPr>
              <w:widowControl w:val="0"/>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Important Milestones </w:t>
            </w:r>
          </w:p>
        </w:tc>
        <w:tc>
          <w:tcPr>
            <w:tcMar>
              <w:top w:w="100.0" w:type="dxa"/>
              <w:left w:w="100.0" w:type="dxa"/>
              <w:bottom w:w="100.0" w:type="dxa"/>
              <w:right w:w="100.0" w:type="dxa"/>
            </w:tcMar>
          </w:tcPr>
          <w:p w:rsidR="00000000" w:rsidDel="00000000" w:rsidP="00000000" w:rsidRDefault="00000000" w:rsidRPr="00000000" w14:paraId="0000017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Pilot began in 2021.</w:t>
            </w:r>
          </w:p>
          <w:p w:rsidR="00000000" w:rsidDel="00000000" w:rsidP="00000000" w:rsidRDefault="00000000" w:rsidRPr="00000000" w14:paraId="0000017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 Program launch in 2022.</w:t>
            </w:r>
          </w:p>
          <w:p w:rsidR="00000000" w:rsidDel="00000000" w:rsidP="00000000" w:rsidRDefault="00000000" w:rsidRPr="00000000" w14:paraId="0000017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Pilot terminated in Late Spring 2025.</w:t>
            </w:r>
          </w:p>
        </w:tc>
        <w:tc>
          <w:tcPr>
            <w:tcMar>
              <w:top w:w="100.0" w:type="dxa"/>
              <w:left w:w="100.0" w:type="dxa"/>
              <w:bottom w:w="100.0" w:type="dxa"/>
              <w:right w:w="100.0" w:type="dxa"/>
            </w:tcMar>
          </w:tcPr>
          <w:p w:rsidR="00000000" w:rsidDel="00000000" w:rsidP="00000000" w:rsidRDefault="00000000" w:rsidRPr="00000000" w14:paraId="0000017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Programme was scrapped and replaced with Countryside Stewardship Plus in 2023.</w:t>
            </w:r>
          </w:p>
        </w:tc>
        <w:tc>
          <w:tcPr>
            <w:tcMar>
              <w:top w:w="100.0" w:type="dxa"/>
              <w:left w:w="100.0" w:type="dxa"/>
              <w:bottom w:w="100.0" w:type="dxa"/>
              <w:right w:w="100.0" w:type="dxa"/>
            </w:tcMar>
          </w:tcPr>
          <w:p w:rsidR="00000000" w:rsidDel="00000000" w:rsidP="00000000" w:rsidRDefault="00000000" w:rsidRPr="00000000" w14:paraId="00000180">
            <w:pPr>
              <w:keepNext w:val="1"/>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project development since 2022, two phases of ongoing projects.</w:t>
            </w:r>
          </w:p>
        </w:tc>
      </w:tr>
    </w:tbl>
    <w:p w:rsidR="00000000" w:rsidDel="00000000" w:rsidP="00000000" w:rsidRDefault="00000000" w:rsidRPr="00000000" w14:paraId="00000181">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Author’s own based on The Agriculture Transition Plan White Paper (Defra 2020)</w:t>
      </w:r>
    </w:p>
    <w:p w:rsidR="00000000" w:rsidDel="00000000" w:rsidP="00000000" w:rsidRDefault="00000000" w:rsidRPr="00000000" w14:paraId="0000018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structure of the Sustainable Farming Incentive (SFI) and Local Nature Recovery (LNR) were intended to be similar in that farmers or landowners were expected to complete pre-defined actions in order to be compensated for the public good they produced; these two schemes were also anticipated to be the primary source of funding for farmers who were previously dependent on BPS payments (Defra, 2021; Defra, 2022). The compensation amounts that farmers would receive from participating in these schemes and producing public goods were generated from data which was collected in tests and trials; the initial payment rates were expected to include compensation for any associated costs with implementing the action based on an industry-wide average (Defra, 2020). In contrast to SFI and LNR, the Landscape Recovery (LR) scheme differed due to its proposal-based application process and focus on attracting large scale projects encompassing clusters of farm holdings. LR was also distinctive in two further ways: (1) it was expected that the projects selected for LR would be supported by funding from both the public and private sectors, and (2) LR would not set out a predefined list of activities to be completed in order to receive payment but would operate on a series of different bespoke agreements (Defra, 2022).  </w:t>
      </w:r>
    </w:p>
    <w:p w:rsidR="00000000" w:rsidDel="00000000" w:rsidP="00000000" w:rsidRDefault="00000000" w:rsidRPr="00000000" w14:paraId="0000018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three ELM schemes, Defra also introduced a series of different, smaller schemes to help alleviate the expected losses in direct payments and dissolution of existing schemes (e.g., Countryside Stewardship) (Defra, 2021). These smaller schemes were created to address areas that were not explicitly included in the main ELM schemes, like providing advice for farmers to navigate the transition period, offering grants for new equipment and technology, and encouraging new entrants to join farming (Defra, 2021). Most of these smaller schemes, except for the Farming Innovation Programme, were categorised as short-term and later merged with the priorities of future environmental schemes (Defra, 2021). </w:t>
      </w:r>
    </w:p>
    <w:p w:rsidR="00000000" w:rsidDel="00000000" w:rsidP="00000000" w:rsidRDefault="00000000" w:rsidRPr="00000000" w14:paraId="0000018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multidimensional approach to ELM was designed to work together to deliver environmental impact, first, by having SFI transform how farmers and landowners managed their land by encouraging sustainable farming practices. Secondly, LNR was expected to build upon the Countryside Stewardship Programme and promote greater local nature restoration and LR to equip individuals and organisations with the tools necessary to complete large-scale landscape and ecosystem recovery (Defra, 2022). The combined actions of the three schemes were expected to significantly contribute to the provision of public goods by completing actions such as improving soil health and enhancing habitats (Montgomery, et al., 2022). The additional support provided by smaller schemes sought to ensure that there would be resources available to farmers and landowners to assist them during the transition period and to help recuperate costs from direct payments, which could then be used to make changes and apply for ELM schemes. </w:t>
      </w:r>
    </w:p>
    <w:p w:rsidR="00000000" w:rsidDel="00000000" w:rsidP="00000000" w:rsidRDefault="00000000" w:rsidRPr="00000000" w14:paraId="0000018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over the course of the transition period, there were several changes in cabinet ministers and, hence, policy directives, which inevitably impacted the development of the initial ELM schemes model. Evaluation of the development of ELM schemes indicated that the UK government had its own priorities and opinions on the development of the scheme prior to engaging in participatory policy development, which limited the contributions of external stakeholders in the policy design process and any change in direction of policy development (Tsouvalis, et al., 2025). As of June 2024, the Sustainable Farming Incentive and Landscape Recovery were the only schemes to have been further developed as a part of ELM schemes. The Sustainable Farming Incentive was due to complete its co-designed pilot programme in early 2025, and the first live rollout of the scheme was launched in 2022 (Defra, 2021). As for Landscape Recovery, in February 2024, Defra announced that the projects selected for the Round I phase were more than partially through the Product Development Phase and had collaborated with relevant stakeholders to form long-term agreement plans (Defra, 2024). In contrast to the development of SFI and LR, at the start of 2023, the Local Nature Recovery scheme was scrapped, and the government announced that they would replace the scheme with an improved version of the pre-existing Countryside Stewardship programme, terming it Countryside Stewardship Plus (House of Lords Library, 2023). Despite the change from Local Nature Recovery to Countryside Stewardship Plus, the ELM development generally stuck to the three-scheme approach to address the farming sector during the transition period. The most up-to-date composition of the ELM scheme as of January 2025 is pictured below which includes the three main policy programmes: The Sustainable Farming Incentive, Countryside Stewardship (Plus), and Landscape Recovery. </w:t>
      </w:r>
    </w:p>
    <w:p w:rsidR="00000000" w:rsidDel="00000000" w:rsidP="00000000" w:rsidRDefault="00000000" w:rsidRPr="00000000" w14:paraId="00000186">
      <w:pPr>
        <w:keepNext w:val="1"/>
        <w:spacing w:after="200" w:before="200" w:line="360" w:lineRule="auto"/>
        <w:rPr/>
      </w:pPr>
      <w:r w:rsidDel="00000000" w:rsidR="00000000" w:rsidRPr="00000000">
        <w:rPr>
          <w:rFonts w:ascii="Calibri" w:cs="Calibri" w:eastAsia="Calibri" w:hAnsi="Calibri"/>
          <w:sz w:val="24"/>
          <w:szCs w:val="24"/>
        </w:rPr>
        <w:drawing>
          <wp:inline distB="114300" distT="114300" distL="114300" distR="114300">
            <wp:extent cx="5943600" cy="1778000"/>
            <wp:effectExtent b="0" l="0" r="0" t="0"/>
            <wp:docPr id="1297365375" name="image8.png"/>
            <a:graphic>
              <a:graphicData uri="http://schemas.openxmlformats.org/drawingml/2006/picture">
                <pic:pic>
                  <pic:nvPicPr>
                    <pic:cNvPr id="0" name="image8.png"/>
                    <pic:cNvPicPr preferRelativeResize="0"/>
                  </pic:nvPicPr>
                  <pic:blipFill>
                    <a:blip r:embed="rId14"/>
                    <a:srcRect b="25659" l="3620" r="3074" t="2490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tuojpct3dh7v" w:id="33"/>
      <w:bookmarkEnd w:id="33"/>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4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2.3 Environmental Land Management Schemes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Source: The Author’s own based on Defra 2023 Policy Paper on the update of ELM</w:t>
      </w:r>
    </w:p>
    <w:p w:rsidR="00000000" w:rsidDel="00000000" w:rsidP="00000000" w:rsidRDefault="00000000" w:rsidRPr="00000000" w14:paraId="00000189">
      <w:pPr>
        <w:spacing w:after="20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following subsections of this chapter present an overview of the pilot for the Sustainable Farming Incentive scheme, detailing how this pilot scheme was developed and introduced to farmers at the start of the transition period. As the scheme was one of the earliest to be introduced in response to post-Brexit changes, this thesis narrows in focus to evaluate farmer interaction with this specific policy in the context of the post-Brexit transition. </w:t>
      </w:r>
      <w:r w:rsidDel="00000000" w:rsidR="00000000" w:rsidRPr="00000000">
        <w:rPr>
          <w:rtl w:val="0"/>
        </w:rPr>
      </w:r>
    </w:p>
    <w:p w:rsidR="00000000" w:rsidDel="00000000" w:rsidP="00000000" w:rsidRDefault="00000000" w:rsidRPr="00000000" w14:paraId="0000018A">
      <w:pPr>
        <w:pStyle w:val="Heading3"/>
        <w:numPr>
          <w:ilvl w:val="1"/>
          <w:numId w:val="4"/>
        </w:numPr>
        <w:ind w:left="792" w:hanging="432"/>
        <w:rPr/>
      </w:pPr>
      <w:bookmarkStart w:colFirst="0" w:colLast="0" w:name="_heading=h.rxr933p93no0" w:id="34"/>
      <w:bookmarkEnd w:id="34"/>
      <w:r w:rsidDel="00000000" w:rsidR="00000000" w:rsidRPr="00000000">
        <w:rPr>
          <w:rtl w:val="0"/>
        </w:rPr>
        <w:t xml:space="preserve">Deep Dive into the Sustainable Farming Incentive</w:t>
      </w:r>
    </w:p>
    <w:p w:rsidR="00000000" w:rsidDel="00000000" w:rsidP="00000000" w:rsidRDefault="00000000" w:rsidRPr="00000000" w14:paraId="0000018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Sustainable Farming Incentive was the first of the three ELM schemes introduced to the public and the first to recruit participants to participate in a pilot. In March 2021, Defra invited farmers to express their interest in participating in the SFI pilot program and in October 2021, the initial cohort of farmers was selected for the pilot (NAO, 2021). Findings from the pilot studies helped to form the standards and actions included in SFI 2022, which launched in June 2022. SFI 2022 provided a sneak peek of some of the core elements that would be available in the full launch of the SFI program. Figure 2.4. illustrates the SFI pilot's timeline in the wider context of ELM policy development.</w:t>
      </w:r>
    </w:p>
    <w:p w:rsidR="00000000" w:rsidDel="00000000" w:rsidP="00000000" w:rsidRDefault="00000000" w:rsidRPr="00000000" w14:paraId="0000018C">
      <w:pPr>
        <w:keepNext w:val="1"/>
        <w:spacing w:after="200" w:line="360" w:lineRule="auto"/>
        <w:rPr/>
      </w:pPr>
      <w:r w:rsidDel="00000000" w:rsidR="00000000" w:rsidRPr="00000000">
        <w:rPr>
          <w:rFonts w:ascii="Calibri" w:cs="Calibri" w:eastAsia="Calibri" w:hAnsi="Calibri"/>
          <w:b w:val="1"/>
          <w:sz w:val="24"/>
          <w:szCs w:val="24"/>
        </w:rPr>
        <w:drawing>
          <wp:inline distB="114300" distT="114300" distL="114300" distR="114300">
            <wp:extent cx="5446395" cy="2181225"/>
            <wp:effectExtent b="0" l="0" r="0" t="0"/>
            <wp:docPr id="1297365378" name="image11.jpg"/>
            <a:graphic>
              <a:graphicData uri="http://schemas.openxmlformats.org/drawingml/2006/picture">
                <pic:pic>
                  <pic:nvPicPr>
                    <pic:cNvPr id="0" name="image11.jpg"/>
                    <pic:cNvPicPr preferRelativeResize="0"/>
                  </pic:nvPicPr>
                  <pic:blipFill>
                    <a:blip r:embed="rId15"/>
                    <a:srcRect b="6731" l="3653" r="4581" t="27977"/>
                    <a:stretch>
                      <a:fillRect/>
                    </a:stretch>
                  </pic:blipFill>
                  <pic:spPr>
                    <a:xfrm>
                      <a:off x="0" y="0"/>
                      <a:ext cx="544639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58sakkm3243" w:id="35"/>
      <w:bookmarkEnd w:id="35"/>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5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2.4. Timeline of the SFI Pilot</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Source: The Author’s own based on Defra 2023 Policy Paper on the update of ELM and National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Audit Office 2020 report</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SFI pilot was initially only available to farmers eligible to receive basic payments (BPS) under the previous CAP policy. These farmers were targeted for participation on the assumption that as the farmer knew that their direct payments would be phased out over the next seven years, they would be more inclined to find a new way to compensate for the payment loss and partake in a new scheme. Defra anticipated between 5,000 to 10,000 farmers would express interest in participating in cohort 1 of the pilot. However, only 2,178 farmers expressed interest, and of that, only 873 farmers enrolled in the pilot (NAO, 2021; Defra, 2022). Pilot participants were given the option of selecting which standards and level of ambition they wanted to participate in for three years, between 2021 and 2024.</w:t>
      </w:r>
    </w:p>
    <w:p w:rsidR="00000000" w:rsidDel="00000000" w:rsidP="00000000" w:rsidRDefault="00000000" w:rsidRPr="00000000" w14:paraId="0000019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pilot introduced a series of eight standards with three different ambition levels that farmers could select. Standards can be considered a bundle of different land management actions, depending on the chosen ambition level. Farmers were able to apply multiple standards to their eligible plot(s) of land, given that they selected the same level of ambition for all parcels entered under a standard. Farmers were also allowed to select which land plots they wanted to enter into an agreement and for which standard. All the standards were designed with the intention to help create greener landscapes and improve biodiversity, promote cleaner air and water, guard against environmental risks such as climate change and flooding and take a step forward in reaching net zero targets and the goals of the 25-Year Environment Plan (Defra, 2022). </w:t>
      </w:r>
    </w:p>
    <w:p w:rsidR="00000000" w:rsidDel="00000000" w:rsidP="00000000" w:rsidRDefault="00000000" w:rsidRPr="00000000" w14:paraId="0000019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initial eight standards</w:t>
      </w:r>
      <w:r w:rsidDel="00000000" w:rsidR="00000000" w:rsidRPr="00000000">
        <w:rPr>
          <w:rFonts w:ascii="Calibri" w:cs="Calibri" w:eastAsia="Calibri" w:hAnsi="Calibri"/>
          <w:sz w:val="24"/>
          <w:szCs w:val="24"/>
          <w:vertAlign w:val="superscript"/>
        </w:rPr>
        <w:footnoteReference w:customMarkFollows="0" w:id="14"/>
      </w:r>
      <w:r w:rsidDel="00000000" w:rsidR="00000000" w:rsidRPr="00000000">
        <w:rPr>
          <w:rFonts w:ascii="Calibri" w:cs="Calibri" w:eastAsia="Calibri" w:hAnsi="Calibri"/>
          <w:sz w:val="24"/>
          <w:szCs w:val="24"/>
          <w:rtl w:val="0"/>
        </w:rPr>
        <w:t xml:space="preserve"> included in the SFI pilot program were: </w:t>
      </w:r>
    </w:p>
    <w:p w:rsidR="00000000" w:rsidDel="00000000" w:rsidP="00000000" w:rsidRDefault="00000000" w:rsidRPr="00000000" w14:paraId="00000194">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arable and horticultural land;</w:t>
      </w:r>
      <w:r w:rsidDel="00000000" w:rsidR="00000000" w:rsidRPr="00000000">
        <w:rPr>
          <w:rtl w:val="0"/>
        </w:rPr>
      </w:r>
    </w:p>
    <w:p w:rsidR="00000000" w:rsidDel="00000000" w:rsidP="00000000" w:rsidRDefault="00000000" w:rsidRPr="00000000" w14:paraId="00000195">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arable and horticultural soils;</w:t>
      </w:r>
      <w:r w:rsidDel="00000000" w:rsidR="00000000" w:rsidRPr="00000000">
        <w:rPr>
          <w:rtl w:val="0"/>
        </w:rPr>
      </w:r>
    </w:p>
    <w:p w:rsidR="00000000" w:rsidDel="00000000" w:rsidP="00000000" w:rsidRDefault="00000000" w:rsidRPr="00000000" w14:paraId="00000196">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farm woodland;</w:t>
      </w:r>
      <w:r w:rsidDel="00000000" w:rsidR="00000000" w:rsidRPr="00000000">
        <w:rPr>
          <w:rtl w:val="0"/>
        </w:rPr>
      </w:r>
    </w:p>
    <w:p w:rsidR="00000000" w:rsidDel="00000000" w:rsidP="00000000" w:rsidRDefault="00000000" w:rsidRPr="00000000" w14:paraId="00000197">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hedgerows;</w:t>
      </w:r>
      <w:r w:rsidDel="00000000" w:rsidR="00000000" w:rsidRPr="00000000">
        <w:rPr>
          <w:rtl w:val="0"/>
        </w:rPr>
      </w:r>
    </w:p>
    <w:p w:rsidR="00000000" w:rsidDel="00000000" w:rsidP="00000000" w:rsidRDefault="00000000" w:rsidRPr="00000000" w14:paraId="00000198">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improved grassland;</w:t>
      </w:r>
      <w:r w:rsidDel="00000000" w:rsidR="00000000" w:rsidRPr="00000000">
        <w:rPr>
          <w:rtl w:val="0"/>
        </w:rPr>
      </w:r>
    </w:p>
    <w:p w:rsidR="00000000" w:rsidDel="00000000" w:rsidP="00000000" w:rsidRDefault="00000000" w:rsidRPr="00000000" w14:paraId="00000199">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improved grassland soils;</w:t>
      </w:r>
      <w:r w:rsidDel="00000000" w:rsidR="00000000" w:rsidRPr="00000000">
        <w:rPr>
          <w:rtl w:val="0"/>
        </w:rPr>
      </w:r>
    </w:p>
    <w:p w:rsidR="00000000" w:rsidDel="00000000" w:rsidP="00000000" w:rsidRDefault="00000000" w:rsidRPr="00000000" w14:paraId="0000019A">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low and no input grassland;</w:t>
      </w:r>
      <w:r w:rsidDel="00000000" w:rsidR="00000000" w:rsidRPr="00000000">
        <w:rPr>
          <w:rtl w:val="0"/>
        </w:rPr>
      </w:r>
    </w:p>
    <w:p w:rsidR="00000000" w:rsidDel="00000000" w:rsidP="00000000" w:rsidRDefault="00000000" w:rsidRPr="00000000" w14:paraId="0000019B">
      <w:pPr>
        <w:numPr>
          <w:ilvl w:val="0"/>
          <w:numId w:val="19"/>
        </w:numPr>
        <w:shd w:fill="ffffff" w:val="clear"/>
        <w:spacing w:after="200" w:line="360" w:lineRule="auto"/>
        <w:ind w:left="720" w:hanging="360"/>
        <w:rPr>
          <w:rFonts w:ascii="Calibri" w:cs="Calibri" w:eastAsia="Calibri" w:hAnsi="Calibri"/>
          <w:color w:val="0b0c0c"/>
          <w:sz w:val="24"/>
          <w:szCs w:val="24"/>
        </w:rPr>
      </w:pPr>
      <w:r w:rsidDel="00000000" w:rsidR="00000000" w:rsidRPr="00000000">
        <w:rPr>
          <w:rFonts w:ascii="Calibri" w:cs="Calibri" w:eastAsia="Calibri" w:hAnsi="Calibri"/>
          <w:sz w:val="24"/>
          <w:szCs w:val="24"/>
          <w:rtl w:val="0"/>
        </w:rPr>
        <w:t xml:space="preserve">water body buffering.</w:t>
      </w:r>
      <w:r w:rsidDel="00000000" w:rsidR="00000000" w:rsidRPr="00000000">
        <w:rPr>
          <w:rtl w:val="0"/>
        </w:rPr>
      </w:r>
    </w:p>
    <w:p w:rsidR="00000000" w:rsidDel="00000000" w:rsidP="00000000" w:rsidRDefault="00000000" w:rsidRPr="00000000" w14:paraId="0000019C">
      <w:pPr>
        <w:shd w:fill="ffffff" w:val="clea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standard, except the farm woodland standard, contained three different ambition levels that pilot participants could select: introductory, intermediate, and advanced. Each ambition level outlined a series of actions that must be completed for the selected standard. If participants selected an advanced ambition level of a standard, they were expected to complete all the actions in advanced, intermediate, and introductory levels. The same goes for the intermediate-level standards (e.g., the participant must complete all introductory and intermediate actions). The ambition actions built off each other, usually increasing the requirements on a percentage basis. For example, in introductory arable soils, a green cover needed to be on at least 5 per cent of the land, but at the intermediate level, the green cover requirement increased to 10 per cent. In cases where there was a repetition of what was required, pilot participants were expected to follow the number specified in the ambition level selected (e.g., from the previous example, the farmer would need to ensure green cover was at least on 10 per cent of their land because if they were in the intermediate standard, the percentage required supersedes the introductory level requirement). All the actions were designed with the expectation that they would work together to produce environmental and biodiversity outcomes that would lead to the creation of public goods. To illustrate, the actions had a strong focus on nurturing the land in a way that welcomes an increase in biodiversity outcomes (e.g., opening the land to provide a habitat to animals) and encouraging the use of techniques that have an impact on reducing carbon emissions (e.g., using low emission technologies). </w:t>
      </w:r>
    </w:p>
    <w:p w:rsidR="00000000" w:rsidDel="00000000" w:rsidP="00000000" w:rsidRDefault="00000000" w:rsidRPr="00000000" w14:paraId="0000019D">
      <w:pPr>
        <w:shd w:fill="ffffff" w:val="clea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Built into the policy was also an annual change period that allowed pilot participants to amend their agreement at the end of each pilot year. During this period, farmers were able to decide whether to increase or decrease the ambition of a standard, add or remove a standard from their agreement, or add or remove plots of land from their agreement. </w:t>
      </w:r>
    </w:p>
    <w:p w:rsidR="00000000" w:rsidDel="00000000" w:rsidP="00000000" w:rsidRDefault="00000000" w:rsidRPr="00000000" w14:paraId="0000019E">
      <w:pPr>
        <w:shd w:fill="ffffff" w:val="clea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were compensated for their delivery of standard actions, or public goods, through the provision of area-based payment rates. Every standard had a set of pre-defined payment rates (see Table 2.5. below), which varied according to the level of ambition. Payment rates increased with ambition level due to the expected additional actions and investment necessary to implement a higher ambition level. The pilot was also used to evaluate whether payment rates were justified or if changes needed to be made before the rollout of SFI 2022 and the full scheme (Defra, 2022). The method used to calculate farmer compensation was based on the amount of land entered a standard at the selected ambition rate. For example, if a farmer entered 50 hectares (ha) of land into the improved grassland standard at an advanced level, the farmer would receive £97/ha, amounting to £4,850. The amount the farmer would be eligible to receive was then broken down and paid in quarterly instalments, if the farmer has completed the necessary actions for the ambition level and standard. </w:t>
      </w:r>
    </w:p>
    <w:p w:rsidR="00000000" w:rsidDel="00000000" w:rsidP="00000000" w:rsidRDefault="00000000" w:rsidRPr="00000000" w14:paraId="0000019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214p4rhhkyt0" w:id="36"/>
      <w:bookmarkEnd w:id="36"/>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6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2.5. SFI Standard Payment Rates, circa 2022</w:t>
      </w:r>
    </w:p>
    <w:tbl>
      <w:tblPr>
        <w:tblStyle w:val="Table5"/>
        <w:tblW w:w="89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2235"/>
        <w:gridCol w:w="2235"/>
        <w:gridCol w:w="2235"/>
        <w:tblGridChange w:id="0">
          <w:tblGrid>
            <w:gridCol w:w="2235"/>
            <w:gridCol w:w="2235"/>
            <w:gridCol w:w="2235"/>
            <w:gridCol w:w="2235"/>
          </w:tblGrid>
        </w:tblGridChange>
      </w:tblGrid>
      <w:tr>
        <w:trPr>
          <w:cantSplit w:val="0"/>
          <w:trHeight w:val="447"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0">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Standard</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1">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Payment, based on ambition level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4">
            <w:pPr>
              <w:spacing w:after="200" w:line="360" w:lineRule="auto"/>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A5">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Introductory</w:t>
            </w:r>
          </w:p>
        </w:tc>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A6">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Intermediate</w:t>
            </w:r>
          </w:p>
        </w:tc>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A7">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Advanced</w:t>
            </w:r>
          </w:p>
        </w:tc>
      </w:tr>
      <w:tr>
        <w:trPr>
          <w:cantSplit w:val="0"/>
          <w:trHeight w:val="670"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A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Arable and horticultural: land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£57/ha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£79/ha</w:t>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A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Arable and horticultural: soils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D">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A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£60/ha</w:t>
            </w:r>
          </w:p>
        </w:tc>
      </w:tr>
      <w:tr>
        <w:trPr>
          <w:cantSplit w:val="0"/>
          <w:trHeight w:val="594"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B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woodland (only one ambition level available)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£49/ha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B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Hedgerows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£19/100 metre (m)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£25/100m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£28/100m</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B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Improved grassland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£68/ha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£97/ha</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B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Improved grassland: soils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D">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B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£84/ha</w:t>
            </w:r>
          </w:p>
        </w:tc>
      </w:tr>
      <w:tr>
        <w:trPr>
          <w:cantSplit w:val="0"/>
          <w:trHeight w:val="639"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C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Low and no input grassland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£114/ha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£120/ha</w:t>
            </w:r>
          </w:p>
        </w:tc>
      </w:tr>
      <w:tr>
        <w:trPr>
          <w:cantSplit w:val="0"/>
          <w:trHeight w:val="237"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0.0" w:type="dxa"/>
              <w:left w:w="0.0" w:type="dxa"/>
              <w:bottom w:w="0.0" w:type="dxa"/>
              <w:right w:w="0.0" w:type="dxa"/>
            </w:tcMar>
          </w:tcPr>
          <w:p w:rsidR="00000000" w:rsidDel="00000000" w:rsidP="00000000" w:rsidRDefault="00000000" w:rsidRPr="00000000" w14:paraId="000001C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body buffering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£18/100m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£33/100m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C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£38/100m</w:t>
            </w:r>
          </w:p>
        </w:tc>
      </w:tr>
    </w:tbl>
    <w:p w:rsidR="00000000" w:rsidDel="00000000" w:rsidP="00000000" w:rsidRDefault="00000000" w:rsidRPr="00000000" w14:paraId="000001C8">
      <w:pPr>
        <w:shd w:fill="ffffff" w:val="clear"/>
        <w:spacing w:after="20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The table above is a slightly modified version of the payment rates table included in the Future Farming blog post on the SFI pilot (Defra, 2022).</w:t>
      </w:r>
    </w:p>
    <w:p w:rsidR="00000000" w:rsidDel="00000000" w:rsidP="00000000" w:rsidRDefault="00000000" w:rsidRPr="00000000" w14:paraId="000001C9">
      <w:pPr>
        <w:shd w:fill="ffffff" w:val="clea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compensation from standards, farmers also had the option to apply for capital grant funding to support the delivery of standards that farmers signed up for in the SFI pilot (Defra, 2022). The capital grant funding was only to be applied to land entered into the SFI pilot, and farmers were only eligible to apply from a predefined list of different capital grant items. </w:t>
      </w:r>
    </w:p>
    <w:p w:rsidR="00000000" w:rsidDel="00000000" w:rsidP="00000000" w:rsidRDefault="00000000" w:rsidRPr="00000000" w14:paraId="000001C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in the SFI pilot also received a one-off £5,000 payment, known as the pilot participation payment, to account for the time farmers spent participating in pilot learning activities. This payment was designed to encourage farmers to partake in different co-design and learning activities during their pilot agreement (Defra, 2022). The pilot participation payment necessitated farmers participating in different learning activities, documenting their progress in the SFI pilot in a learning log, and keeping an updated land management plan. Farmers were expected to participate in at least fifteen hours of learning activities per month, and Defra was responsible for documenting their participation. The purpose of documenting different learning activities was to gather insight from farmers on what was and was not working in the pilot so recommendations could be fed back to Defra to design the full rollout of the SFI better. </w:t>
      </w:r>
    </w:p>
    <w:p w:rsidR="00000000" w:rsidDel="00000000" w:rsidP="00000000" w:rsidRDefault="00000000" w:rsidRPr="00000000" w14:paraId="000001C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Co-design was presented as a vehicle for Defra to engage with farmers and a chance to test the institutional change they committed to improving as part of the larger Green Brexit transition. It was anticipated that by applying policy co-design farmers would have the opportunity to have their views heard and validated and that their concerns would be used to shape future policy. Through learning activities, Defra could use co-design to learn more about farmers' attitudes towards public money for public goods; this was seen as especially important as the successful implementation of new agricultural regimes depends on farmers’ attitudes towards producing public goods (Howley et al. 2014). </w:t>
      </w:r>
    </w:p>
    <w:p w:rsidR="00000000" w:rsidDel="00000000" w:rsidP="00000000" w:rsidRDefault="00000000" w:rsidRPr="00000000" w14:paraId="000001C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monitor the performance and delivery of public goods, Defra decided that the system used to monitor the compliance and performance of farmers participating in the SFI pilot would shift to ‘focus on outcomes and improvement instead of penalties’ (Defra, 2022). Compared to the previous systems, which may have penalised farmers for miscalculating or incorrectly implementing a scheme, Defra reiterated that the pilot would be a learning opportunity that would aim to learn from farmers who had trouble completing the standards to better understand the weaknesses of the pilot (Defra, 2022). This monitoring and compliance approach reflected Defra’s goals in developing a new ELM policy ‘to change the relationship between government, farmers and landowners in support of delivering a better environment and thriving farming industry’ (NAO, 2019, p. 5).  The progress of the pilot was monitored by holding site visits (both in-person and virtual), administrative checks and remote monitoring conducted by the Rural Payments Agency (RPA) (Defra, 2022). </w:t>
      </w:r>
    </w:p>
    <w:p w:rsidR="00000000" w:rsidDel="00000000" w:rsidP="00000000" w:rsidRDefault="00000000" w:rsidRPr="00000000" w14:paraId="000001CD">
      <w:pPr>
        <w:pStyle w:val="Heading4"/>
        <w:numPr>
          <w:ilvl w:val="2"/>
          <w:numId w:val="4"/>
        </w:numPr>
        <w:ind w:left="1224" w:hanging="504.00000000000006"/>
        <w:rPr/>
      </w:pPr>
      <w:bookmarkStart w:colFirst="0" w:colLast="0" w:name="_heading=h.vxmtbt98y12g" w:id="37"/>
      <w:bookmarkEnd w:id="37"/>
      <w:r w:rsidDel="00000000" w:rsidR="00000000" w:rsidRPr="00000000">
        <w:rPr>
          <w:rtl w:val="0"/>
        </w:rPr>
        <w:t xml:space="preserve">Early Concerns Regarding the SFI Pilot</w:t>
      </w:r>
    </w:p>
    <w:p w:rsidR="00000000" w:rsidDel="00000000" w:rsidP="00000000" w:rsidRDefault="00000000" w:rsidRPr="00000000" w14:paraId="000001C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obvious limitation of the SFI Pilot was the short period between the pilot's commencement in October 2021 and the first launch of the live SFI scheme in 2022. Further, SFI 2022 was introduced to the public before the pilot studies were completed, constraining the insights that co-design could contribute to the development of the scheme before the live offer was introduced. The short timeline did not allow for much flexibility in amending the standards from the pilot or the actions. This also meant that if there was an issue with the policy, there was not enough time to solve and mitigate the issue before rollout. The short period between the pilot and full launch of the SFI could be interpreted as undermining the role of co-design because the feedback loop between policymakers and pilot participants would be subservient to Defra deadlines. Further, the fact that the full launch of the program would occur before the pilot completed signalled to farmers that their ongoing contributions to the pilot would have limited impact as the pilot would run in parallel with the live scheme and therefore their feedback would be processed alongside a live version of the scheme (rather than being collected to design the launch of the live scheme). For example, instead of the pilot being completed and a new scheme being developed immediately after, feeding back in all insights. Pilot farmers would only have the chance to see their feedback being utilised when the government decided on its milestones for new versions of the SFI live scheme to be developed.  </w:t>
      </w:r>
    </w:p>
    <w:p w:rsidR="00000000" w:rsidDel="00000000" w:rsidP="00000000" w:rsidRDefault="00000000" w:rsidRPr="00000000" w14:paraId="000001C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National Audit Office (2021) pointed out that a rushed rollout of the SFI, failing to consider pilot study findings, could lead to reputational damage for Defra. This reputational damage would be due to the loss of farmer trust that the SFI policy was working with farmers, which could negatively impact the future recruitment of farmers to join the full rollout (NAO, 2021).  In a 2022 farmer opinion tracker survey commissioned by Defra, English farmers were asked how confident they were that changes to schemes and regulations would lead to a successful future for farming, and 68 per cent of farmers responded that they were not at all confident (Defra, 2022). Further, from the same survey, only 40 per cent of farmers reported that they felt either very or somewhat optimistic about the future of farming when they considered the changes to existing payments and regulations and the new schemes (Defra, 2022). Comparing these metrics to responses from the October 2024 survey responses, the number of farmers not at all confident in the changes in schemes decreased 2 per cent to 66 per cent, and the percentage of farmers optimistic about the future of farming decreased from 40 per cent to 35 per cent (Defra, 2025). These preliminary findings make the SFI Pilot a compelling case for evaluating how farmers engaged with the post-Brexit transition to deepen our understanding of the mechanisms driving their decision-making and participation in AES. </w:t>
      </w:r>
    </w:p>
    <w:p w:rsidR="00000000" w:rsidDel="00000000" w:rsidP="00000000" w:rsidRDefault="00000000" w:rsidRPr="00000000" w14:paraId="000001D0">
      <w:pPr>
        <w:pStyle w:val="Heading2"/>
        <w:numPr>
          <w:ilvl w:val="0"/>
          <w:numId w:val="4"/>
        </w:numPr>
        <w:ind w:left="360" w:hanging="360"/>
        <w:rPr/>
      </w:pPr>
      <w:bookmarkStart w:colFirst="0" w:colLast="0" w:name="_heading=h.uytvy7qm00cm" w:id="38"/>
      <w:bookmarkEnd w:id="38"/>
      <w:r w:rsidDel="00000000" w:rsidR="00000000" w:rsidRPr="00000000">
        <w:rPr>
          <w:rtl w:val="0"/>
        </w:rPr>
        <w:t xml:space="preserve">Demographic Breakdown of the Post-Brexit Agricultural Landscape in England</w:t>
      </w:r>
    </w:p>
    <w:p w:rsidR="00000000" w:rsidDel="00000000" w:rsidP="00000000" w:rsidRDefault="00000000" w:rsidRPr="00000000" w14:paraId="000001D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this thesis examines farmer decision-making in post-Brexit England, this section provides an overview of the agriculture sector in England and introduces the terminology associated with the sector which is referenced in the subsequent chapters of this thesis. </w:t>
      </w:r>
    </w:p>
    <w:p w:rsidR="00000000" w:rsidDel="00000000" w:rsidP="00000000" w:rsidRDefault="00000000" w:rsidRPr="00000000" w14:paraId="000001D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agriculture industry serves a significant role in the economy of the United Kingdom, contributing to areas such as food production, land management, and rural employment. In 2021, agriculture accounted for around 0.5 per cent of the UK's GDP, while the broader agri-food sector represented 7.2 per cent of national gross value</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rtl w:val="0"/>
        </w:rPr>
        <w:t xml:space="preserve">added (Defra, 2022)</w:t>
      </w:r>
      <w:r w:rsidDel="00000000" w:rsidR="00000000" w:rsidRPr="00000000">
        <w:rPr>
          <w:rFonts w:ascii="Calibri" w:cs="Calibri" w:eastAsia="Calibri" w:hAnsi="Calibri"/>
          <w:sz w:val="24"/>
          <w:szCs w:val="24"/>
          <w:vertAlign w:val="superscript"/>
        </w:rPr>
        <w:footnoteReference w:customMarkFollows="0" w:id="15"/>
      </w:r>
      <w:r w:rsidDel="00000000" w:rsidR="00000000" w:rsidRPr="00000000">
        <w:rPr>
          <w:rFonts w:ascii="Calibri" w:cs="Calibri" w:eastAsia="Calibri" w:hAnsi="Calibri"/>
          <w:sz w:val="24"/>
          <w:szCs w:val="24"/>
          <w:rtl w:val="0"/>
        </w:rPr>
        <w:t xml:space="preserve">. The sector contributes to national food production, employs nearly half a million people across the UK, and is deeply embedded in the country’s environmental stewardship and rural economy (Defra, 2022). The total Utilised Agricultural Area (UAA), which includes arable crops, grassland, and common grazing, has covered between 17 and 18 million hectares of land in the UK since 2000 (Defra, 2022). Of the food produced from the UAA, as of 2021, over half (58 per cent) of all food consumed in the UK was of UK origin, with this number having decreased from 66 per cent since 1988 (Defra, 2022). </w:t>
      </w:r>
    </w:p>
    <w:p w:rsidR="00000000" w:rsidDel="00000000" w:rsidP="00000000" w:rsidRDefault="00000000" w:rsidRPr="00000000" w14:paraId="000001D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Narrowing in focus to the agricultural sector in England specifically, it can be differentiated into eight regions (as demonstrated in Figure 2.5 below), the East of England; East Midlands; North East; North West; South East; South West; West Midlands; Yorkshire and the Humber. These regions each have their own unique composition and agricultural landscapes, necessitating them to be viewed independently from one another. For example, the soil composition in the South West and the biodiversity prevalent in that region differs from the wildlife and land formations in the North East. </w:t>
      </w:r>
    </w:p>
    <w:p w:rsidR="00000000" w:rsidDel="00000000" w:rsidP="00000000" w:rsidRDefault="00000000" w:rsidRPr="00000000" w14:paraId="000001D4">
      <w:pPr>
        <w:keepNext w:val="1"/>
        <w:spacing w:after="200" w:line="360" w:lineRule="auto"/>
        <w:rPr/>
      </w:pPr>
      <w:r w:rsidDel="00000000" w:rsidR="00000000" w:rsidRPr="00000000">
        <w:rPr>
          <w:rFonts w:ascii="Calibri" w:cs="Calibri" w:eastAsia="Calibri" w:hAnsi="Calibri"/>
          <w:sz w:val="24"/>
          <w:szCs w:val="24"/>
        </w:rPr>
        <w:drawing>
          <wp:inline distB="114300" distT="114300" distL="114300" distR="114300">
            <wp:extent cx="2662238" cy="3278496"/>
            <wp:effectExtent b="0" l="0" r="0" t="0"/>
            <wp:docPr id="1297365377" name="image4.png"/>
            <a:graphic>
              <a:graphicData uri="http://schemas.openxmlformats.org/drawingml/2006/picture">
                <pic:pic>
                  <pic:nvPicPr>
                    <pic:cNvPr id="0" name="image4.png"/>
                    <pic:cNvPicPr preferRelativeResize="0"/>
                  </pic:nvPicPr>
                  <pic:blipFill>
                    <a:blip r:embed="rId16"/>
                    <a:srcRect b="0" l="25654" r="20418" t="0"/>
                    <a:stretch>
                      <a:fillRect/>
                    </a:stretch>
                  </pic:blipFill>
                  <pic:spPr>
                    <a:xfrm>
                      <a:off x="0" y="0"/>
                      <a:ext cx="2662238" cy="3278496"/>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z9j6si44ehd4" w:id="39"/>
      <w:bookmarkEnd w:id="39"/>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6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2.5. Regional Breakdown of England: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bookmarkStart w:colFirst="0" w:colLast="0" w:name="_heading=h.1gynz0jg3y4y" w:id="40"/>
      <w:bookmarkEnd w:id="40"/>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Source: Taken directly from Defra (2024) Official Statistics: Agricultural facts: Summary</w:t>
      </w:r>
    </w:p>
    <w:p w:rsidR="00000000" w:rsidDel="00000000" w:rsidP="00000000" w:rsidRDefault="00000000" w:rsidRPr="00000000" w14:paraId="000001D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account for the variation of farm landscapes in England, there are two main ways to classify farms: either by farm type or by farm size (UK Government, 2014). Classification by farm type means that the farm is categorised based on what the farm produces (e.g. dairy, livestock); if a farm conducts more than one type of farming then their classification is weighted by the outputs they produce and what percentage they contribute to the overall farm business (UK Government, 2014). The different classifications by outputs recognised by Defra to categorise farms in England include: General Cropping, Cereals, Mixed, Horticulture, Poultry, Pigs, Dairy, Grazing livestock-lowland, Grazing livestock-less favoured area (Defra, 2022). The table below represents the breakdown of farm types in England as well as the percentage of the English agricultural sector they represent. As demonstrated in Table 2.6. below, the most common farm type in England is grazing livestock in lowland areas. In 2021, over half of the total value of the UK’s agricultural production came from livestock, specifically dairy and beef which are the largest contributors (Defra, 2022). </w:t>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koqzvrnuph64" w:id="41"/>
      <w:bookmarkEnd w:id="41"/>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7</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Table 2.6. Breakdown of Agricultural Sector in England, by Farm Type</w:t>
      </w:r>
    </w:p>
    <w:tbl>
      <w:tblPr>
        <w:tblStyle w:val="Table6"/>
        <w:tblW w:w="788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006"/>
        <w:gridCol w:w="1957"/>
        <w:gridCol w:w="1924"/>
        <w:tblGridChange w:id="0">
          <w:tblGrid>
            <w:gridCol w:w="4006"/>
            <w:gridCol w:w="1957"/>
            <w:gridCol w:w="1924"/>
          </w:tblGrid>
        </w:tblGridChange>
      </w:tblGrid>
      <w:tr>
        <w:trPr>
          <w:cantSplit w:val="0"/>
          <w:trHeight w:val="572" w:hRule="atLeast"/>
          <w:tblHeader w:val="0"/>
        </w:trPr>
        <w:tc>
          <w:tcPr>
            <w:shd w:fill="b6d7a8" w:val="clear"/>
            <w:tcMar>
              <w:top w:w="160.0" w:type="dxa"/>
              <w:left w:w="0.0" w:type="dxa"/>
              <w:bottom w:w="160.0" w:type="dxa"/>
              <w:right w:w="300.0" w:type="dxa"/>
            </w:tcMar>
          </w:tcPr>
          <w:p w:rsidR="00000000" w:rsidDel="00000000" w:rsidP="00000000" w:rsidRDefault="00000000" w:rsidRPr="00000000" w14:paraId="000001D9">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type</w:t>
            </w:r>
          </w:p>
        </w:tc>
        <w:tc>
          <w:tcPr>
            <w:shd w:fill="b6d7a8" w:val="clear"/>
            <w:tcMar>
              <w:top w:w="160.0" w:type="dxa"/>
              <w:left w:w="0.0" w:type="dxa"/>
              <w:bottom w:w="160.0" w:type="dxa"/>
              <w:right w:w="300.0" w:type="dxa"/>
            </w:tcMar>
          </w:tcPr>
          <w:p w:rsidR="00000000" w:rsidDel="00000000" w:rsidP="00000000" w:rsidRDefault="00000000" w:rsidRPr="00000000" w14:paraId="000001DA">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farms</w:t>
            </w:r>
          </w:p>
        </w:tc>
        <w:tc>
          <w:tcPr>
            <w:shd w:fill="b6d7a8" w:val="clear"/>
            <w:tcMar>
              <w:top w:w="160.0" w:type="dxa"/>
              <w:left w:w="0.0" w:type="dxa"/>
              <w:bottom w:w="160.0" w:type="dxa"/>
              <w:right w:w="0.0" w:type="dxa"/>
            </w:tcMar>
          </w:tcPr>
          <w:p w:rsidR="00000000" w:rsidDel="00000000" w:rsidP="00000000" w:rsidRDefault="00000000" w:rsidRPr="00000000" w14:paraId="000001DB">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Proportion of farms</w:t>
            </w:r>
          </w:p>
        </w:tc>
      </w:tr>
      <w:tr>
        <w:trPr>
          <w:cantSplit w:val="0"/>
          <w:trHeight w:val="357" w:hRule="atLeast"/>
          <w:tblHeader w:val="0"/>
        </w:trPr>
        <w:tc>
          <w:tcPr>
            <w:tcMar>
              <w:top w:w="160.0" w:type="dxa"/>
              <w:left w:w="0.0" w:type="dxa"/>
              <w:bottom w:w="160.0" w:type="dxa"/>
              <w:right w:w="300.0" w:type="dxa"/>
            </w:tcMar>
          </w:tcPr>
          <w:p w:rsidR="00000000" w:rsidDel="00000000" w:rsidP="00000000" w:rsidRDefault="00000000" w:rsidRPr="00000000" w14:paraId="000001DC">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Cereals</w:t>
            </w:r>
          </w:p>
        </w:tc>
        <w:tc>
          <w:tcPr>
            <w:tcMar>
              <w:top w:w="160.0" w:type="dxa"/>
              <w:left w:w="0.0" w:type="dxa"/>
              <w:bottom w:w="160.0" w:type="dxa"/>
              <w:right w:w="300.0" w:type="dxa"/>
            </w:tcMar>
          </w:tcPr>
          <w:p w:rsidR="00000000" w:rsidDel="00000000" w:rsidP="00000000" w:rsidRDefault="00000000" w:rsidRPr="00000000" w14:paraId="000001DD">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17,399</w:t>
            </w:r>
          </w:p>
        </w:tc>
        <w:tc>
          <w:tcPr>
            <w:tcMar>
              <w:top w:w="160.0" w:type="dxa"/>
              <w:left w:w="0.0" w:type="dxa"/>
              <w:bottom w:w="160.0" w:type="dxa"/>
              <w:right w:w="0.0" w:type="dxa"/>
            </w:tcMar>
          </w:tcPr>
          <w:p w:rsidR="00000000" w:rsidDel="00000000" w:rsidP="00000000" w:rsidRDefault="00000000" w:rsidRPr="00000000" w14:paraId="000001DE">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per cent</w:t>
            </w:r>
          </w:p>
        </w:tc>
      </w:tr>
      <w:tr>
        <w:trPr>
          <w:cantSplit w:val="0"/>
          <w:trHeight w:val="406" w:hRule="atLeast"/>
          <w:tblHeader w:val="0"/>
        </w:trPr>
        <w:tc>
          <w:tcPr>
            <w:tcMar>
              <w:top w:w="160.0" w:type="dxa"/>
              <w:left w:w="0.0" w:type="dxa"/>
              <w:bottom w:w="160.0" w:type="dxa"/>
              <w:right w:w="300.0" w:type="dxa"/>
            </w:tcMar>
          </w:tcPr>
          <w:p w:rsidR="00000000" w:rsidDel="00000000" w:rsidP="00000000" w:rsidRDefault="00000000" w:rsidRPr="00000000" w14:paraId="000001DF">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cropping</w:t>
            </w:r>
          </w:p>
        </w:tc>
        <w:tc>
          <w:tcPr>
            <w:tcMar>
              <w:top w:w="160.0" w:type="dxa"/>
              <w:left w:w="0.0" w:type="dxa"/>
              <w:bottom w:w="160.0" w:type="dxa"/>
              <w:right w:w="300.0" w:type="dxa"/>
            </w:tcMar>
          </w:tcPr>
          <w:p w:rsidR="00000000" w:rsidDel="00000000" w:rsidP="00000000" w:rsidRDefault="00000000" w:rsidRPr="00000000" w14:paraId="000001E0">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21,541</w:t>
            </w:r>
          </w:p>
        </w:tc>
        <w:tc>
          <w:tcPr>
            <w:tcMar>
              <w:top w:w="160.0" w:type="dxa"/>
              <w:left w:w="0.0" w:type="dxa"/>
              <w:bottom w:w="160.0" w:type="dxa"/>
              <w:right w:w="0.0" w:type="dxa"/>
            </w:tcMar>
          </w:tcPr>
          <w:p w:rsidR="00000000" w:rsidDel="00000000" w:rsidP="00000000" w:rsidRDefault="00000000" w:rsidRPr="00000000" w14:paraId="000001E1">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per cent</w:t>
            </w:r>
          </w:p>
        </w:tc>
      </w:tr>
      <w:tr>
        <w:trPr>
          <w:cantSplit w:val="0"/>
          <w:trHeight w:val="440" w:hRule="atLeast"/>
          <w:tblHeader w:val="0"/>
        </w:trPr>
        <w:tc>
          <w:tcPr>
            <w:tcMar>
              <w:top w:w="160.0" w:type="dxa"/>
              <w:left w:w="0.0" w:type="dxa"/>
              <w:bottom w:w="160.0" w:type="dxa"/>
              <w:right w:w="300.0" w:type="dxa"/>
            </w:tcMar>
          </w:tcPr>
          <w:p w:rsidR="00000000" w:rsidDel="00000000" w:rsidP="00000000" w:rsidRDefault="00000000" w:rsidRPr="00000000" w14:paraId="000001E2">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Horticulture</w:t>
            </w:r>
          </w:p>
        </w:tc>
        <w:tc>
          <w:tcPr>
            <w:tcMar>
              <w:top w:w="160.0" w:type="dxa"/>
              <w:left w:w="0.0" w:type="dxa"/>
              <w:bottom w:w="160.0" w:type="dxa"/>
              <w:right w:w="300.0" w:type="dxa"/>
            </w:tcMar>
          </w:tcPr>
          <w:p w:rsidR="00000000" w:rsidDel="00000000" w:rsidP="00000000" w:rsidRDefault="00000000" w:rsidRPr="00000000" w14:paraId="000001E3">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3,757</w:t>
            </w:r>
          </w:p>
        </w:tc>
        <w:tc>
          <w:tcPr>
            <w:tcMar>
              <w:top w:w="160.0" w:type="dxa"/>
              <w:left w:w="0.0" w:type="dxa"/>
              <w:bottom w:w="160.0" w:type="dxa"/>
              <w:right w:w="0.0" w:type="dxa"/>
            </w:tcMar>
          </w:tcPr>
          <w:p w:rsidR="00000000" w:rsidDel="00000000" w:rsidP="00000000" w:rsidRDefault="00000000" w:rsidRPr="00000000" w14:paraId="000001E4">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per cent</w:t>
            </w:r>
          </w:p>
        </w:tc>
      </w:tr>
      <w:tr>
        <w:trPr>
          <w:cantSplit w:val="0"/>
          <w:trHeight w:val="365" w:hRule="atLeast"/>
          <w:tblHeader w:val="0"/>
        </w:trPr>
        <w:tc>
          <w:tcPr>
            <w:tcMar>
              <w:top w:w="160.0" w:type="dxa"/>
              <w:left w:w="0.0" w:type="dxa"/>
              <w:bottom w:w="160.0" w:type="dxa"/>
              <w:right w:w="300.0" w:type="dxa"/>
            </w:tcMar>
          </w:tcPr>
          <w:p w:rsidR="00000000" w:rsidDel="00000000" w:rsidP="00000000" w:rsidRDefault="00000000" w:rsidRPr="00000000" w14:paraId="000001E5">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Specialist pigs</w:t>
            </w:r>
          </w:p>
        </w:tc>
        <w:tc>
          <w:tcPr>
            <w:tcMar>
              <w:top w:w="160.0" w:type="dxa"/>
              <w:left w:w="0.0" w:type="dxa"/>
              <w:bottom w:w="160.0" w:type="dxa"/>
              <w:right w:w="300.0" w:type="dxa"/>
            </w:tcMar>
          </w:tcPr>
          <w:p w:rsidR="00000000" w:rsidDel="00000000" w:rsidP="00000000" w:rsidRDefault="00000000" w:rsidRPr="00000000" w14:paraId="000001E6">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1,700</w:t>
            </w:r>
          </w:p>
        </w:tc>
        <w:tc>
          <w:tcPr>
            <w:tcMar>
              <w:top w:w="160.0" w:type="dxa"/>
              <w:left w:w="0.0" w:type="dxa"/>
              <w:bottom w:w="160.0" w:type="dxa"/>
              <w:right w:w="0.0" w:type="dxa"/>
            </w:tcMar>
          </w:tcPr>
          <w:p w:rsidR="00000000" w:rsidDel="00000000" w:rsidP="00000000" w:rsidRDefault="00000000" w:rsidRPr="00000000" w14:paraId="000001E7">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per cent</w:t>
            </w:r>
          </w:p>
        </w:tc>
      </w:tr>
      <w:tr>
        <w:trPr>
          <w:cantSplit w:val="0"/>
          <w:trHeight w:val="373" w:hRule="atLeast"/>
          <w:tblHeader w:val="0"/>
        </w:trPr>
        <w:tc>
          <w:tcPr>
            <w:tcMar>
              <w:top w:w="160.0" w:type="dxa"/>
              <w:left w:w="0.0" w:type="dxa"/>
              <w:bottom w:w="160.0" w:type="dxa"/>
              <w:right w:w="300.0" w:type="dxa"/>
            </w:tcMar>
          </w:tcPr>
          <w:p w:rsidR="00000000" w:rsidDel="00000000" w:rsidP="00000000" w:rsidRDefault="00000000" w:rsidRPr="00000000" w14:paraId="000001E8">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Specialist poultry</w:t>
            </w:r>
          </w:p>
        </w:tc>
        <w:tc>
          <w:tcPr>
            <w:tcMar>
              <w:top w:w="160.0" w:type="dxa"/>
              <w:left w:w="0.0" w:type="dxa"/>
              <w:bottom w:w="160.0" w:type="dxa"/>
              <w:right w:w="300.0" w:type="dxa"/>
            </w:tcMar>
          </w:tcPr>
          <w:p w:rsidR="00000000" w:rsidDel="00000000" w:rsidP="00000000" w:rsidRDefault="00000000" w:rsidRPr="00000000" w14:paraId="000001E9">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2,327</w:t>
            </w:r>
          </w:p>
        </w:tc>
        <w:tc>
          <w:tcPr>
            <w:tcMar>
              <w:top w:w="160.0" w:type="dxa"/>
              <w:left w:w="0.0" w:type="dxa"/>
              <w:bottom w:w="160.0" w:type="dxa"/>
              <w:right w:w="0.0" w:type="dxa"/>
            </w:tcMar>
          </w:tcPr>
          <w:p w:rsidR="00000000" w:rsidDel="00000000" w:rsidP="00000000" w:rsidRDefault="00000000" w:rsidRPr="00000000" w14:paraId="000001EA">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per cent</w:t>
            </w:r>
          </w:p>
        </w:tc>
      </w:tr>
      <w:tr>
        <w:trPr>
          <w:cantSplit w:val="0"/>
          <w:trHeight w:val="381" w:hRule="atLeast"/>
          <w:tblHeader w:val="0"/>
        </w:trPr>
        <w:tc>
          <w:tcPr>
            <w:tcMar>
              <w:top w:w="160.0" w:type="dxa"/>
              <w:left w:w="0.0" w:type="dxa"/>
              <w:bottom w:w="160.0" w:type="dxa"/>
              <w:right w:w="300.0" w:type="dxa"/>
            </w:tcMar>
          </w:tcPr>
          <w:p w:rsidR="00000000" w:rsidDel="00000000" w:rsidP="00000000" w:rsidRDefault="00000000" w:rsidRPr="00000000" w14:paraId="000001EB">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Dairy</w:t>
            </w:r>
          </w:p>
        </w:tc>
        <w:tc>
          <w:tcPr>
            <w:tcMar>
              <w:top w:w="160.0" w:type="dxa"/>
              <w:left w:w="0.0" w:type="dxa"/>
              <w:bottom w:w="160.0" w:type="dxa"/>
              <w:right w:w="300.0" w:type="dxa"/>
            </w:tcMar>
          </w:tcPr>
          <w:p w:rsidR="00000000" w:rsidDel="00000000" w:rsidP="00000000" w:rsidRDefault="00000000" w:rsidRPr="00000000" w14:paraId="000001EC">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5,136</w:t>
            </w:r>
          </w:p>
        </w:tc>
        <w:tc>
          <w:tcPr>
            <w:tcMar>
              <w:top w:w="160.0" w:type="dxa"/>
              <w:left w:w="0.0" w:type="dxa"/>
              <w:bottom w:w="160.0" w:type="dxa"/>
              <w:right w:w="0.0" w:type="dxa"/>
            </w:tcMar>
          </w:tcPr>
          <w:p w:rsidR="00000000" w:rsidDel="00000000" w:rsidP="00000000" w:rsidRDefault="00000000" w:rsidRPr="00000000" w14:paraId="000001ED">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per cent</w:t>
            </w:r>
          </w:p>
        </w:tc>
      </w:tr>
      <w:tr>
        <w:trPr>
          <w:cantSplit w:val="0"/>
          <w:trHeight w:val="388" w:hRule="atLeast"/>
          <w:tblHeader w:val="0"/>
        </w:trPr>
        <w:tc>
          <w:tcPr>
            <w:tcMar>
              <w:top w:w="160.0" w:type="dxa"/>
              <w:left w:w="0.0" w:type="dxa"/>
              <w:bottom w:w="160.0" w:type="dxa"/>
              <w:right w:w="300.0" w:type="dxa"/>
            </w:tcMar>
          </w:tcPr>
          <w:p w:rsidR="00000000" w:rsidDel="00000000" w:rsidP="00000000" w:rsidRDefault="00000000" w:rsidRPr="00000000" w14:paraId="000001EE">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Grazing livestock (Less Favoured Area)</w:t>
            </w:r>
          </w:p>
        </w:tc>
        <w:tc>
          <w:tcPr>
            <w:tcMar>
              <w:top w:w="160.0" w:type="dxa"/>
              <w:left w:w="0.0" w:type="dxa"/>
              <w:bottom w:w="160.0" w:type="dxa"/>
              <w:right w:w="300.0" w:type="dxa"/>
            </w:tcMar>
          </w:tcPr>
          <w:p w:rsidR="00000000" w:rsidDel="00000000" w:rsidP="00000000" w:rsidRDefault="00000000" w:rsidRPr="00000000" w14:paraId="000001EF">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11,965</w:t>
            </w:r>
          </w:p>
        </w:tc>
        <w:tc>
          <w:tcPr>
            <w:tcMar>
              <w:top w:w="160.0" w:type="dxa"/>
              <w:left w:w="0.0" w:type="dxa"/>
              <w:bottom w:w="160.0" w:type="dxa"/>
              <w:right w:w="0.0" w:type="dxa"/>
            </w:tcMar>
          </w:tcPr>
          <w:p w:rsidR="00000000" w:rsidDel="00000000" w:rsidP="00000000" w:rsidRDefault="00000000" w:rsidRPr="00000000" w14:paraId="000001F0">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per cent</w:t>
            </w:r>
          </w:p>
        </w:tc>
      </w:tr>
      <w:tr>
        <w:trPr>
          <w:cantSplit w:val="0"/>
          <w:trHeight w:val="381" w:hRule="atLeast"/>
          <w:tblHeader w:val="0"/>
        </w:trPr>
        <w:tc>
          <w:tcPr>
            <w:tcMar>
              <w:top w:w="160.0" w:type="dxa"/>
              <w:left w:w="0.0" w:type="dxa"/>
              <w:bottom w:w="160.0" w:type="dxa"/>
              <w:right w:w="300.0" w:type="dxa"/>
            </w:tcMar>
          </w:tcPr>
          <w:p w:rsidR="00000000" w:rsidDel="00000000" w:rsidP="00000000" w:rsidRDefault="00000000" w:rsidRPr="00000000" w14:paraId="000001F1">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Grazing livestock (lowland)</w:t>
            </w:r>
          </w:p>
        </w:tc>
        <w:tc>
          <w:tcPr>
            <w:tcMar>
              <w:top w:w="160.0" w:type="dxa"/>
              <w:left w:w="0.0" w:type="dxa"/>
              <w:bottom w:w="160.0" w:type="dxa"/>
              <w:right w:w="300.0" w:type="dxa"/>
            </w:tcMar>
          </w:tcPr>
          <w:p w:rsidR="00000000" w:rsidDel="00000000" w:rsidP="00000000" w:rsidRDefault="00000000" w:rsidRPr="00000000" w14:paraId="000001F2">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30,420</w:t>
            </w:r>
          </w:p>
        </w:tc>
        <w:tc>
          <w:tcPr>
            <w:tcMar>
              <w:top w:w="160.0" w:type="dxa"/>
              <w:left w:w="0.0" w:type="dxa"/>
              <w:bottom w:w="160.0" w:type="dxa"/>
              <w:right w:w="0.0" w:type="dxa"/>
            </w:tcMar>
          </w:tcPr>
          <w:p w:rsidR="00000000" w:rsidDel="00000000" w:rsidP="00000000" w:rsidRDefault="00000000" w:rsidRPr="00000000" w14:paraId="000001F3">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per cent</w:t>
            </w:r>
          </w:p>
        </w:tc>
      </w:tr>
      <w:tr>
        <w:trPr>
          <w:cantSplit w:val="0"/>
          <w:trHeight w:val="369" w:hRule="atLeast"/>
          <w:tblHeader w:val="0"/>
        </w:trPr>
        <w:tc>
          <w:tcPr>
            <w:tcMar>
              <w:top w:w="160.0" w:type="dxa"/>
              <w:left w:w="0.0" w:type="dxa"/>
              <w:bottom w:w="160.0" w:type="dxa"/>
              <w:right w:w="300.0" w:type="dxa"/>
            </w:tcMar>
          </w:tcPr>
          <w:p w:rsidR="00000000" w:rsidDel="00000000" w:rsidP="00000000" w:rsidRDefault="00000000" w:rsidRPr="00000000" w14:paraId="000001F4">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Mixed</w:t>
            </w:r>
          </w:p>
        </w:tc>
        <w:tc>
          <w:tcPr>
            <w:tcMar>
              <w:top w:w="160.0" w:type="dxa"/>
              <w:left w:w="0.0" w:type="dxa"/>
              <w:bottom w:w="160.0" w:type="dxa"/>
              <w:right w:w="300.0" w:type="dxa"/>
            </w:tcMar>
          </w:tcPr>
          <w:p w:rsidR="00000000" w:rsidDel="00000000" w:rsidP="00000000" w:rsidRDefault="00000000" w:rsidRPr="00000000" w14:paraId="000001F5">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7,165</w:t>
            </w:r>
          </w:p>
        </w:tc>
        <w:tc>
          <w:tcPr>
            <w:tcMar>
              <w:top w:w="160.0" w:type="dxa"/>
              <w:left w:w="0.0" w:type="dxa"/>
              <w:bottom w:w="160.0" w:type="dxa"/>
              <w:right w:w="0.0" w:type="dxa"/>
            </w:tcMar>
          </w:tcPr>
          <w:p w:rsidR="00000000" w:rsidDel="00000000" w:rsidP="00000000" w:rsidRDefault="00000000" w:rsidRPr="00000000" w14:paraId="000001F6">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per cent</w:t>
            </w:r>
          </w:p>
        </w:tc>
      </w:tr>
      <w:tr>
        <w:trPr>
          <w:cantSplit w:val="0"/>
          <w:trHeight w:val="373" w:hRule="atLeast"/>
          <w:tblHeader w:val="0"/>
        </w:trPr>
        <w:tc>
          <w:tcPr>
            <w:tcMar>
              <w:top w:w="160.0" w:type="dxa"/>
              <w:left w:w="0.0" w:type="dxa"/>
              <w:bottom w:w="160.0" w:type="dxa"/>
              <w:right w:w="300.0" w:type="dxa"/>
            </w:tcMar>
          </w:tcPr>
          <w:p w:rsidR="00000000" w:rsidDel="00000000" w:rsidP="00000000" w:rsidRDefault="00000000" w:rsidRPr="00000000" w14:paraId="000001F7">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Other/unclassified</w:t>
            </w:r>
          </w:p>
        </w:tc>
        <w:tc>
          <w:tcPr>
            <w:tcMar>
              <w:top w:w="160.0" w:type="dxa"/>
              <w:left w:w="0.0" w:type="dxa"/>
              <w:bottom w:w="160.0" w:type="dxa"/>
              <w:right w:w="300.0" w:type="dxa"/>
            </w:tcMar>
          </w:tcPr>
          <w:p w:rsidR="00000000" w:rsidDel="00000000" w:rsidP="00000000" w:rsidRDefault="00000000" w:rsidRPr="00000000" w14:paraId="000001F8">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995</w:t>
            </w:r>
          </w:p>
        </w:tc>
        <w:tc>
          <w:tcPr>
            <w:tcMar>
              <w:top w:w="160.0" w:type="dxa"/>
              <w:left w:w="0.0" w:type="dxa"/>
              <w:bottom w:w="160.0" w:type="dxa"/>
              <w:right w:w="0.0" w:type="dxa"/>
            </w:tcMar>
          </w:tcPr>
          <w:p w:rsidR="00000000" w:rsidDel="00000000" w:rsidP="00000000" w:rsidRDefault="00000000" w:rsidRPr="00000000" w14:paraId="000001F9">
            <w:pPr>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per cent</w:t>
            </w:r>
          </w:p>
        </w:tc>
      </w:tr>
    </w:tbl>
    <w:p w:rsidR="00000000" w:rsidDel="00000000" w:rsidP="00000000" w:rsidRDefault="00000000" w:rsidRPr="00000000" w14:paraId="000001FA">
      <w:pPr>
        <w:spacing w:after="200" w:line="240" w:lineRule="auto"/>
        <w:rPr>
          <w:rFonts w:ascii="Calibri" w:cs="Calibri" w:eastAsia="Calibri" w:hAnsi="Calibri"/>
          <w:i w:val="1"/>
          <w:sz w:val="24"/>
          <w:szCs w:val="24"/>
        </w:rPr>
      </w:pPr>
      <w:r w:rsidDel="00000000" w:rsidR="00000000" w:rsidRPr="00000000">
        <w:rPr>
          <w:rFonts w:ascii="Calibri" w:cs="Calibri" w:eastAsia="Calibri" w:hAnsi="Calibri"/>
          <w:i w:val="1"/>
          <w:color w:val="000000"/>
          <w:sz w:val="24"/>
          <w:szCs w:val="24"/>
          <w:rtl w:val="0"/>
        </w:rPr>
        <w:t xml:space="preserve">Source: Directly taken from Defra’s Farming evidence - key statistics published in September 2024</w:t>
      </w:r>
      <w:r w:rsidDel="00000000" w:rsidR="00000000" w:rsidRPr="00000000">
        <w:rPr>
          <w:rtl w:val="0"/>
        </w:rPr>
      </w:r>
    </w:p>
    <w:p w:rsidR="00000000" w:rsidDel="00000000" w:rsidP="00000000" w:rsidRDefault="00000000" w:rsidRPr="00000000" w14:paraId="000001F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Alternatively, farms can be classified by farm size; measuring in this way is determined based on the amount of labour involved in farming the land, calculated using Standard Labour Requirements (UK Government, 2014). From 2012 to 2023, the average farm size in England increased from 85 hectares to 88 hectares, but almost half of all farms across England are less than 20 hectares in size (Defra, 2022; Defra, 2024). Table 2.7. below demonstrates the variation in farm size across England, highlighting the variation in farm size across England, with farms in the North East (145 hectares) averaging the largest in size, while those in the West Midlands (67 hectares) had the smallest (Defra, 2024). </w:t>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woftqn72haks" w:id="42"/>
      <w:bookmarkEnd w:id="42"/>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8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2.7. Distribution of Farm Size in England</w:t>
      </w:r>
    </w:p>
    <w:tbl>
      <w:tblPr>
        <w:tblStyle w:val="Table7"/>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36"/>
        <w:gridCol w:w="1281"/>
        <w:gridCol w:w="1291"/>
        <w:gridCol w:w="1314"/>
        <w:gridCol w:w="1337"/>
        <w:gridCol w:w="1291"/>
        <w:tblGridChange w:id="0">
          <w:tblGrid>
            <w:gridCol w:w="2836"/>
            <w:gridCol w:w="1281"/>
            <w:gridCol w:w="1291"/>
            <w:gridCol w:w="1314"/>
            <w:gridCol w:w="1337"/>
            <w:gridCol w:w="1291"/>
          </w:tblGrid>
        </w:tblGridChange>
      </w:tblGrid>
      <w:tr>
        <w:trPr>
          <w:cantSplit w:val="0"/>
          <w:trHeight w:val="593" w:hRule="atLeast"/>
          <w:tblHeader w:val="0"/>
        </w:trPr>
        <w:tc>
          <w:tcPr>
            <w:shd w:fill="b6d7a8" w:val="clear"/>
            <w:tcMar>
              <w:top w:w="160.0" w:type="dxa"/>
              <w:left w:w="0.0" w:type="dxa"/>
              <w:bottom w:w="160.0" w:type="dxa"/>
              <w:right w:w="300.0" w:type="dxa"/>
            </w:tcMar>
          </w:tcPr>
          <w:p w:rsidR="00000000" w:rsidDel="00000000" w:rsidP="00000000" w:rsidRDefault="00000000" w:rsidRPr="00000000" w14:paraId="000001FD">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Region</w:t>
            </w:r>
          </w:p>
        </w:tc>
        <w:tc>
          <w:tcPr>
            <w:shd w:fill="b6d7a8" w:val="clear"/>
            <w:tcMar>
              <w:top w:w="160.0" w:type="dxa"/>
              <w:left w:w="0.0" w:type="dxa"/>
              <w:bottom w:w="160.0" w:type="dxa"/>
              <w:right w:w="300.0" w:type="dxa"/>
            </w:tcMar>
          </w:tcPr>
          <w:p w:rsidR="00000000" w:rsidDel="00000000" w:rsidP="00000000" w:rsidRDefault="00000000" w:rsidRPr="00000000" w14:paraId="000001FE">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&lt;5 ha</w:t>
            </w:r>
          </w:p>
        </w:tc>
        <w:tc>
          <w:tcPr>
            <w:shd w:fill="b6d7a8" w:val="clear"/>
            <w:tcMar>
              <w:top w:w="160.0" w:type="dxa"/>
              <w:left w:w="0.0" w:type="dxa"/>
              <w:bottom w:w="160.0" w:type="dxa"/>
              <w:right w:w="300.0" w:type="dxa"/>
            </w:tcMar>
          </w:tcPr>
          <w:p w:rsidR="00000000" w:rsidDel="00000000" w:rsidP="00000000" w:rsidRDefault="00000000" w:rsidRPr="00000000" w14:paraId="000001FF">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5&lt;20 ha</w:t>
            </w:r>
          </w:p>
        </w:tc>
        <w:tc>
          <w:tcPr>
            <w:shd w:fill="b6d7a8" w:val="clear"/>
            <w:tcMar>
              <w:top w:w="160.0" w:type="dxa"/>
              <w:left w:w="0.0" w:type="dxa"/>
              <w:bottom w:w="160.0" w:type="dxa"/>
              <w:right w:w="300.0" w:type="dxa"/>
            </w:tcMar>
          </w:tcPr>
          <w:p w:rsidR="00000000" w:rsidDel="00000000" w:rsidP="00000000" w:rsidRDefault="00000000" w:rsidRPr="00000000" w14:paraId="00000200">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20&lt;50 ha</w:t>
            </w:r>
          </w:p>
        </w:tc>
        <w:tc>
          <w:tcPr>
            <w:shd w:fill="b6d7a8" w:val="clear"/>
            <w:tcMar>
              <w:top w:w="160.0" w:type="dxa"/>
              <w:left w:w="0.0" w:type="dxa"/>
              <w:bottom w:w="160.0" w:type="dxa"/>
              <w:right w:w="300.0" w:type="dxa"/>
            </w:tcMar>
          </w:tcPr>
          <w:p w:rsidR="00000000" w:rsidDel="00000000" w:rsidP="00000000" w:rsidRDefault="00000000" w:rsidRPr="00000000" w14:paraId="00000201">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50&lt;100 ha</w:t>
            </w:r>
          </w:p>
        </w:tc>
        <w:tc>
          <w:tcPr>
            <w:shd w:fill="b6d7a8" w:val="clear"/>
            <w:tcMar>
              <w:top w:w="160.0" w:type="dxa"/>
              <w:left w:w="0.0" w:type="dxa"/>
              <w:bottom w:w="160.0" w:type="dxa"/>
              <w:right w:w="300.0" w:type="dxa"/>
            </w:tcMar>
          </w:tcPr>
          <w:p w:rsidR="00000000" w:rsidDel="00000000" w:rsidP="00000000" w:rsidRDefault="00000000" w:rsidRPr="00000000" w14:paraId="00000202">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≥100 ha</w:t>
            </w:r>
          </w:p>
        </w:tc>
      </w:tr>
      <w:tr>
        <w:trPr>
          <w:cantSplit w:val="0"/>
          <w:trHeight w:val="690" w:hRule="atLeast"/>
          <w:tblHeader w:val="0"/>
        </w:trPr>
        <w:tc>
          <w:tcPr>
            <w:tcMar>
              <w:top w:w="160.0" w:type="dxa"/>
              <w:left w:w="0.0" w:type="dxa"/>
              <w:bottom w:w="160.0" w:type="dxa"/>
              <w:right w:w="300.0" w:type="dxa"/>
            </w:tcMar>
          </w:tcPr>
          <w:p w:rsidR="00000000" w:rsidDel="00000000" w:rsidP="00000000" w:rsidRDefault="00000000" w:rsidRPr="00000000" w14:paraId="00000203">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North East</w:t>
            </w:r>
          </w:p>
        </w:tc>
        <w:tc>
          <w:tcPr>
            <w:tcMar>
              <w:top w:w="160.0" w:type="dxa"/>
              <w:left w:w="0.0" w:type="dxa"/>
              <w:bottom w:w="160.0" w:type="dxa"/>
              <w:right w:w="300.0" w:type="dxa"/>
            </w:tcMar>
          </w:tcPr>
          <w:p w:rsidR="00000000" w:rsidDel="00000000" w:rsidP="00000000" w:rsidRDefault="00000000" w:rsidRPr="00000000" w14:paraId="00000204">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10 per cent</w:t>
            </w:r>
          </w:p>
        </w:tc>
        <w:tc>
          <w:tcPr>
            <w:tcMar>
              <w:top w:w="160.0" w:type="dxa"/>
              <w:left w:w="0.0" w:type="dxa"/>
              <w:bottom w:w="160.0" w:type="dxa"/>
              <w:right w:w="300.0" w:type="dxa"/>
            </w:tcMar>
          </w:tcPr>
          <w:p w:rsidR="00000000" w:rsidDel="00000000" w:rsidP="00000000" w:rsidRDefault="00000000" w:rsidRPr="00000000" w14:paraId="00000205">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20 per cent</w:t>
            </w:r>
          </w:p>
        </w:tc>
        <w:tc>
          <w:tcPr>
            <w:tcMar>
              <w:top w:w="160.0" w:type="dxa"/>
              <w:left w:w="0.0" w:type="dxa"/>
              <w:bottom w:w="160.0" w:type="dxa"/>
              <w:right w:w="300.0" w:type="dxa"/>
            </w:tcMar>
          </w:tcPr>
          <w:p w:rsidR="00000000" w:rsidDel="00000000" w:rsidP="00000000" w:rsidRDefault="00000000" w:rsidRPr="00000000" w14:paraId="00000206">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07">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08">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36 per cent</w:t>
            </w:r>
          </w:p>
        </w:tc>
      </w:tr>
      <w:tr>
        <w:trPr>
          <w:cantSplit w:val="0"/>
          <w:trHeight w:val="690" w:hRule="atLeast"/>
          <w:tblHeader w:val="0"/>
        </w:trPr>
        <w:tc>
          <w:tcPr>
            <w:tcMar>
              <w:top w:w="160.0" w:type="dxa"/>
              <w:left w:w="0.0" w:type="dxa"/>
              <w:bottom w:w="160.0" w:type="dxa"/>
              <w:right w:w="300.0" w:type="dxa"/>
            </w:tcMar>
          </w:tcPr>
          <w:p w:rsidR="00000000" w:rsidDel="00000000" w:rsidP="00000000" w:rsidRDefault="00000000" w:rsidRPr="00000000" w14:paraId="00000209">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North West</w:t>
            </w:r>
          </w:p>
        </w:tc>
        <w:tc>
          <w:tcPr>
            <w:tcMar>
              <w:top w:w="160.0" w:type="dxa"/>
              <w:left w:w="0.0" w:type="dxa"/>
              <w:bottom w:w="160.0" w:type="dxa"/>
              <w:right w:w="300.0" w:type="dxa"/>
            </w:tcMar>
          </w:tcPr>
          <w:p w:rsidR="00000000" w:rsidDel="00000000" w:rsidP="00000000" w:rsidRDefault="00000000" w:rsidRPr="00000000" w14:paraId="0000020A">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13 per cent</w:t>
            </w:r>
          </w:p>
        </w:tc>
        <w:tc>
          <w:tcPr>
            <w:tcMar>
              <w:top w:w="160.0" w:type="dxa"/>
              <w:left w:w="0.0" w:type="dxa"/>
              <w:bottom w:w="160.0" w:type="dxa"/>
              <w:right w:w="300.0" w:type="dxa"/>
            </w:tcMar>
          </w:tcPr>
          <w:p w:rsidR="00000000" w:rsidDel="00000000" w:rsidP="00000000" w:rsidRDefault="00000000" w:rsidRPr="00000000" w14:paraId="0000020B">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25 per cent</w:t>
            </w:r>
          </w:p>
        </w:tc>
        <w:tc>
          <w:tcPr>
            <w:tcMar>
              <w:top w:w="160.0" w:type="dxa"/>
              <w:left w:w="0.0" w:type="dxa"/>
              <w:bottom w:w="160.0" w:type="dxa"/>
              <w:right w:w="300.0" w:type="dxa"/>
            </w:tcMar>
          </w:tcPr>
          <w:p w:rsidR="00000000" w:rsidDel="00000000" w:rsidP="00000000" w:rsidRDefault="00000000" w:rsidRPr="00000000" w14:paraId="0000020C">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22 per cent</w:t>
            </w:r>
          </w:p>
        </w:tc>
        <w:tc>
          <w:tcPr>
            <w:tcMar>
              <w:top w:w="160.0" w:type="dxa"/>
              <w:left w:w="0.0" w:type="dxa"/>
              <w:bottom w:w="160.0" w:type="dxa"/>
              <w:right w:w="300.0" w:type="dxa"/>
            </w:tcMar>
          </w:tcPr>
          <w:p w:rsidR="00000000" w:rsidDel="00000000" w:rsidP="00000000" w:rsidRDefault="00000000" w:rsidRPr="00000000" w14:paraId="0000020D">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19 per cent</w:t>
            </w:r>
          </w:p>
        </w:tc>
        <w:tc>
          <w:tcPr>
            <w:tcMar>
              <w:top w:w="160.0" w:type="dxa"/>
              <w:left w:w="0.0" w:type="dxa"/>
              <w:bottom w:w="160.0" w:type="dxa"/>
              <w:right w:w="300.0" w:type="dxa"/>
            </w:tcMar>
          </w:tcPr>
          <w:p w:rsidR="00000000" w:rsidDel="00000000" w:rsidP="00000000" w:rsidRDefault="00000000" w:rsidRPr="00000000" w14:paraId="0000020E">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21 per cent</w:t>
            </w:r>
          </w:p>
        </w:tc>
      </w:tr>
      <w:tr>
        <w:trPr>
          <w:cantSplit w:val="0"/>
          <w:trHeight w:val="1065" w:hRule="atLeast"/>
          <w:tblHeader w:val="0"/>
        </w:trPr>
        <w:tc>
          <w:tcPr>
            <w:tcMar>
              <w:top w:w="160.0" w:type="dxa"/>
              <w:left w:w="0.0" w:type="dxa"/>
              <w:bottom w:w="160.0" w:type="dxa"/>
              <w:right w:w="300.0" w:type="dxa"/>
            </w:tcMar>
          </w:tcPr>
          <w:p w:rsidR="00000000" w:rsidDel="00000000" w:rsidP="00000000" w:rsidRDefault="00000000" w:rsidRPr="00000000" w14:paraId="0000020F">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Yorkshire and the Humber</w:t>
            </w:r>
          </w:p>
        </w:tc>
        <w:tc>
          <w:tcPr>
            <w:tcMar>
              <w:top w:w="160.0" w:type="dxa"/>
              <w:left w:w="0.0" w:type="dxa"/>
              <w:bottom w:w="160.0" w:type="dxa"/>
              <w:right w:w="300.0" w:type="dxa"/>
            </w:tcMar>
          </w:tcPr>
          <w:p w:rsidR="00000000" w:rsidDel="00000000" w:rsidP="00000000" w:rsidRDefault="00000000" w:rsidRPr="00000000" w14:paraId="00000210">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14 per cent</w:t>
            </w:r>
          </w:p>
        </w:tc>
        <w:tc>
          <w:tcPr>
            <w:tcMar>
              <w:top w:w="160.0" w:type="dxa"/>
              <w:left w:w="0.0" w:type="dxa"/>
              <w:bottom w:w="160.0" w:type="dxa"/>
              <w:right w:w="300.0" w:type="dxa"/>
            </w:tcMar>
          </w:tcPr>
          <w:p w:rsidR="00000000" w:rsidDel="00000000" w:rsidP="00000000" w:rsidRDefault="00000000" w:rsidRPr="00000000" w14:paraId="00000211">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23 per cent</w:t>
            </w:r>
          </w:p>
        </w:tc>
        <w:tc>
          <w:tcPr>
            <w:tcMar>
              <w:top w:w="160.0" w:type="dxa"/>
              <w:left w:w="0.0" w:type="dxa"/>
              <w:bottom w:w="160.0" w:type="dxa"/>
              <w:right w:w="300.0" w:type="dxa"/>
            </w:tcMar>
          </w:tcPr>
          <w:p w:rsidR="00000000" w:rsidDel="00000000" w:rsidP="00000000" w:rsidRDefault="00000000" w:rsidRPr="00000000" w14:paraId="00000212">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19 per cent</w:t>
            </w:r>
          </w:p>
        </w:tc>
        <w:tc>
          <w:tcPr>
            <w:tcMar>
              <w:top w:w="160.0" w:type="dxa"/>
              <w:left w:w="0.0" w:type="dxa"/>
              <w:bottom w:w="160.0" w:type="dxa"/>
              <w:right w:w="300.0" w:type="dxa"/>
            </w:tcMar>
          </w:tcPr>
          <w:p w:rsidR="00000000" w:rsidDel="00000000" w:rsidP="00000000" w:rsidRDefault="00000000" w:rsidRPr="00000000" w14:paraId="00000213">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14">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26 per cent</w:t>
            </w:r>
          </w:p>
        </w:tc>
      </w:tr>
      <w:tr>
        <w:trPr>
          <w:cantSplit w:val="0"/>
          <w:trHeight w:val="690" w:hRule="atLeast"/>
          <w:tblHeader w:val="0"/>
        </w:trPr>
        <w:tc>
          <w:tcPr>
            <w:tcMar>
              <w:top w:w="160.0" w:type="dxa"/>
              <w:left w:w="0.0" w:type="dxa"/>
              <w:bottom w:w="160.0" w:type="dxa"/>
              <w:right w:w="300.0" w:type="dxa"/>
            </w:tcMar>
          </w:tcPr>
          <w:p w:rsidR="00000000" w:rsidDel="00000000" w:rsidP="00000000" w:rsidRDefault="00000000" w:rsidRPr="00000000" w14:paraId="00000215">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East Midlands</w:t>
            </w:r>
          </w:p>
        </w:tc>
        <w:tc>
          <w:tcPr>
            <w:tcMar>
              <w:top w:w="160.0" w:type="dxa"/>
              <w:left w:w="0.0" w:type="dxa"/>
              <w:bottom w:w="160.0" w:type="dxa"/>
              <w:right w:w="300.0" w:type="dxa"/>
            </w:tcMar>
          </w:tcPr>
          <w:p w:rsidR="00000000" w:rsidDel="00000000" w:rsidP="00000000" w:rsidRDefault="00000000" w:rsidRPr="00000000" w14:paraId="00000216">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12 per cent</w:t>
            </w:r>
          </w:p>
        </w:tc>
        <w:tc>
          <w:tcPr>
            <w:tcMar>
              <w:top w:w="160.0" w:type="dxa"/>
              <w:left w:w="0.0" w:type="dxa"/>
              <w:bottom w:w="160.0" w:type="dxa"/>
              <w:right w:w="300.0" w:type="dxa"/>
            </w:tcMar>
          </w:tcPr>
          <w:p w:rsidR="00000000" w:rsidDel="00000000" w:rsidP="00000000" w:rsidRDefault="00000000" w:rsidRPr="00000000" w14:paraId="00000217">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25 per cent</w:t>
            </w:r>
          </w:p>
        </w:tc>
        <w:tc>
          <w:tcPr>
            <w:tcMar>
              <w:top w:w="160.0" w:type="dxa"/>
              <w:left w:w="0.0" w:type="dxa"/>
              <w:bottom w:w="160.0" w:type="dxa"/>
              <w:right w:w="300.0" w:type="dxa"/>
            </w:tcMar>
          </w:tcPr>
          <w:p w:rsidR="00000000" w:rsidDel="00000000" w:rsidP="00000000" w:rsidRDefault="00000000" w:rsidRPr="00000000" w14:paraId="00000218">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19 per cent</w:t>
            </w:r>
          </w:p>
        </w:tc>
        <w:tc>
          <w:tcPr>
            <w:tcMar>
              <w:top w:w="160.0" w:type="dxa"/>
              <w:left w:w="0.0" w:type="dxa"/>
              <w:bottom w:w="160.0" w:type="dxa"/>
              <w:right w:w="300.0" w:type="dxa"/>
            </w:tcMar>
          </w:tcPr>
          <w:p w:rsidR="00000000" w:rsidDel="00000000" w:rsidP="00000000" w:rsidRDefault="00000000" w:rsidRPr="00000000" w14:paraId="00000219">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16 per cent</w:t>
            </w:r>
          </w:p>
        </w:tc>
        <w:tc>
          <w:tcPr>
            <w:tcMar>
              <w:top w:w="160.0" w:type="dxa"/>
              <w:left w:w="0.0" w:type="dxa"/>
              <w:bottom w:w="160.0" w:type="dxa"/>
              <w:right w:w="300.0" w:type="dxa"/>
            </w:tcMar>
          </w:tcPr>
          <w:p w:rsidR="00000000" w:rsidDel="00000000" w:rsidP="00000000" w:rsidRDefault="00000000" w:rsidRPr="00000000" w14:paraId="0000021A">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28 per cent</w:t>
            </w:r>
          </w:p>
        </w:tc>
      </w:tr>
      <w:tr>
        <w:trPr>
          <w:cantSplit w:val="0"/>
          <w:trHeight w:val="690" w:hRule="atLeast"/>
          <w:tblHeader w:val="0"/>
        </w:trPr>
        <w:tc>
          <w:tcPr>
            <w:tcMar>
              <w:top w:w="160.0" w:type="dxa"/>
              <w:left w:w="0.0" w:type="dxa"/>
              <w:bottom w:w="160.0" w:type="dxa"/>
              <w:right w:w="300.0" w:type="dxa"/>
            </w:tcMar>
          </w:tcPr>
          <w:p w:rsidR="00000000" w:rsidDel="00000000" w:rsidP="00000000" w:rsidRDefault="00000000" w:rsidRPr="00000000" w14:paraId="0000021B">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West Midlands</w:t>
            </w:r>
          </w:p>
        </w:tc>
        <w:tc>
          <w:tcPr>
            <w:tcMar>
              <w:top w:w="160.0" w:type="dxa"/>
              <w:left w:w="0.0" w:type="dxa"/>
              <w:bottom w:w="160.0" w:type="dxa"/>
              <w:right w:w="300.0" w:type="dxa"/>
            </w:tcMar>
          </w:tcPr>
          <w:p w:rsidR="00000000" w:rsidDel="00000000" w:rsidP="00000000" w:rsidRDefault="00000000" w:rsidRPr="00000000" w14:paraId="0000021C">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13 per cent</w:t>
            </w:r>
          </w:p>
        </w:tc>
        <w:tc>
          <w:tcPr>
            <w:tcMar>
              <w:top w:w="160.0" w:type="dxa"/>
              <w:left w:w="0.0" w:type="dxa"/>
              <w:bottom w:w="160.0" w:type="dxa"/>
              <w:right w:w="300.0" w:type="dxa"/>
            </w:tcMar>
          </w:tcPr>
          <w:p w:rsidR="00000000" w:rsidDel="00000000" w:rsidP="00000000" w:rsidRDefault="00000000" w:rsidRPr="00000000" w14:paraId="0000021D">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28 per cent</w:t>
            </w:r>
          </w:p>
        </w:tc>
        <w:tc>
          <w:tcPr>
            <w:tcMar>
              <w:top w:w="160.0" w:type="dxa"/>
              <w:left w:w="0.0" w:type="dxa"/>
              <w:bottom w:w="160.0" w:type="dxa"/>
              <w:right w:w="300.0" w:type="dxa"/>
            </w:tcMar>
          </w:tcPr>
          <w:p w:rsidR="00000000" w:rsidDel="00000000" w:rsidP="00000000" w:rsidRDefault="00000000" w:rsidRPr="00000000" w14:paraId="0000021E">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21 per cent</w:t>
            </w:r>
          </w:p>
        </w:tc>
        <w:tc>
          <w:tcPr>
            <w:tcMar>
              <w:top w:w="160.0" w:type="dxa"/>
              <w:left w:w="0.0" w:type="dxa"/>
              <w:bottom w:w="160.0" w:type="dxa"/>
              <w:right w:w="300.0" w:type="dxa"/>
            </w:tcMar>
          </w:tcPr>
          <w:p w:rsidR="00000000" w:rsidDel="00000000" w:rsidP="00000000" w:rsidRDefault="00000000" w:rsidRPr="00000000" w14:paraId="0000021F">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20">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20 per cent</w:t>
            </w:r>
          </w:p>
        </w:tc>
      </w:tr>
      <w:tr>
        <w:trPr>
          <w:cantSplit w:val="0"/>
          <w:trHeight w:val="1117" w:hRule="atLeast"/>
          <w:tblHeader w:val="0"/>
        </w:trPr>
        <w:tc>
          <w:tcPr>
            <w:tcMar>
              <w:top w:w="160.0" w:type="dxa"/>
              <w:left w:w="0.0" w:type="dxa"/>
              <w:bottom w:w="160.0" w:type="dxa"/>
              <w:right w:w="300.0" w:type="dxa"/>
            </w:tcMar>
          </w:tcPr>
          <w:p w:rsidR="00000000" w:rsidDel="00000000" w:rsidP="00000000" w:rsidRDefault="00000000" w:rsidRPr="00000000" w14:paraId="00000221">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East of England</w:t>
            </w:r>
          </w:p>
        </w:tc>
        <w:tc>
          <w:tcPr>
            <w:tcMar>
              <w:top w:w="160.0" w:type="dxa"/>
              <w:left w:w="0.0" w:type="dxa"/>
              <w:bottom w:w="160.0" w:type="dxa"/>
              <w:right w:w="300.0" w:type="dxa"/>
            </w:tcMar>
          </w:tcPr>
          <w:p w:rsidR="00000000" w:rsidDel="00000000" w:rsidP="00000000" w:rsidRDefault="00000000" w:rsidRPr="00000000" w14:paraId="00000222">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13 per cent</w:t>
            </w:r>
          </w:p>
        </w:tc>
        <w:tc>
          <w:tcPr>
            <w:tcMar>
              <w:top w:w="160.0" w:type="dxa"/>
              <w:left w:w="0.0" w:type="dxa"/>
              <w:bottom w:w="160.0" w:type="dxa"/>
              <w:right w:w="300.0" w:type="dxa"/>
            </w:tcMar>
          </w:tcPr>
          <w:p w:rsidR="00000000" w:rsidDel="00000000" w:rsidP="00000000" w:rsidRDefault="00000000" w:rsidRPr="00000000" w14:paraId="00000223">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21 per cent</w:t>
            </w:r>
          </w:p>
        </w:tc>
        <w:tc>
          <w:tcPr>
            <w:tcMar>
              <w:top w:w="160.0" w:type="dxa"/>
              <w:left w:w="0.0" w:type="dxa"/>
              <w:bottom w:w="160.0" w:type="dxa"/>
              <w:right w:w="300.0" w:type="dxa"/>
            </w:tcMar>
          </w:tcPr>
          <w:p w:rsidR="00000000" w:rsidDel="00000000" w:rsidP="00000000" w:rsidRDefault="00000000" w:rsidRPr="00000000" w14:paraId="00000224">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16 per cent</w:t>
            </w:r>
          </w:p>
        </w:tc>
        <w:tc>
          <w:tcPr>
            <w:tcMar>
              <w:top w:w="160.0" w:type="dxa"/>
              <w:left w:w="0.0" w:type="dxa"/>
              <w:bottom w:w="160.0" w:type="dxa"/>
              <w:right w:w="300.0" w:type="dxa"/>
            </w:tcMar>
          </w:tcPr>
          <w:p w:rsidR="00000000" w:rsidDel="00000000" w:rsidP="00000000" w:rsidRDefault="00000000" w:rsidRPr="00000000" w14:paraId="00000225">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16 per cent</w:t>
            </w:r>
          </w:p>
        </w:tc>
        <w:tc>
          <w:tcPr>
            <w:tcMar>
              <w:top w:w="160.0" w:type="dxa"/>
              <w:left w:w="0.0" w:type="dxa"/>
              <w:bottom w:w="160.0" w:type="dxa"/>
              <w:right w:w="300.0" w:type="dxa"/>
            </w:tcMar>
          </w:tcPr>
          <w:p w:rsidR="00000000" w:rsidDel="00000000" w:rsidP="00000000" w:rsidRDefault="00000000" w:rsidRPr="00000000" w14:paraId="00000226">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34 per cent</w:t>
            </w:r>
          </w:p>
        </w:tc>
      </w:tr>
      <w:tr>
        <w:trPr>
          <w:cantSplit w:val="0"/>
          <w:trHeight w:val="1065" w:hRule="atLeast"/>
          <w:tblHeader w:val="0"/>
        </w:trPr>
        <w:tc>
          <w:tcPr>
            <w:tcMar>
              <w:top w:w="160.0" w:type="dxa"/>
              <w:left w:w="0.0" w:type="dxa"/>
              <w:bottom w:w="160.0" w:type="dxa"/>
              <w:right w:w="300.0" w:type="dxa"/>
            </w:tcMar>
          </w:tcPr>
          <w:p w:rsidR="00000000" w:rsidDel="00000000" w:rsidP="00000000" w:rsidRDefault="00000000" w:rsidRPr="00000000" w14:paraId="00000227">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South East (including London)</w:t>
            </w:r>
          </w:p>
        </w:tc>
        <w:tc>
          <w:tcPr>
            <w:tcMar>
              <w:top w:w="160.0" w:type="dxa"/>
              <w:left w:w="0.0" w:type="dxa"/>
              <w:bottom w:w="160.0" w:type="dxa"/>
              <w:right w:w="300.0" w:type="dxa"/>
            </w:tcMar>
          </w:tcPr>
          <w:p w:rsidR="00000000" w:rsidDel="00000000" w:rsidP="00000000" w:rsidRDefault="00000000" w:rsidRPr="00000000" w14:paraId="00000228">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14 per cent</w:t>
            </w:r>
          </w:p>
        </w:tc>
        <w:tc>
          <w:tcPr>
            <w:tcMar>
              <w:top w:w="160.0" w:type="dxa"/>
              <w:left w:w="0.0" w:type="dxa"/>
              <w:bottom w:w="160.0" w:type="dxa"/>
              <w:right w:w="300.0" w:type="dxa"/>
            </w:tcMar>
          </w:tcPr>
          <w:p w:rsidR="00000000" w:rsidDel="00000000" w:rsidP="00000000" w:rsidRDefault="00000000" w:rsidRPr="00000000" w14:paraId="00000229">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29 per cent</w:t>
            </w:r>
          </w:p>
        </w:tc>
        <w:tc>
          <w:tcPr>
            <w:tcMar>
              <w:top w:w="160.0" w:type="dxa"/>
              <w:left w:w="0.0" w:type="dxa"/>
              <w:bottom w:w="160.0" w:type="dxa"/>
              <w:right w:w="300.0" w:type="dxa"/>
            </w:tcMar>
          </w:tcPr>
          <w:p w:rsidR="00000000" w:rsidDel="00000000" w:rsidP="00000000" w:rsidRDefault="00000000" w:rsidRPr="00000000" w14:paraId="0000022A">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20 per cent</w:t>
            </w:r>
          </w:p>
        </w:tc>
        <w:tc>
          <w:tcPr>
            <w:tcMar>
              <w:top w:w="160.0" w:type="dxa"/>
              <w:left w:w="0.0" w:type="dxa"/>
              <w:bottom w:w="160.0" w:type="dxa"/>
              <w:right w:w="300.0" w:type="dxa"/>
            </w:tcMar>
          </w:tcPr>
          <w:p w:rsidR="00000000" w:rsidDel="00000000" w:rsidP="00000000" w:rsidRDefault="00000000" w:rsidRPr="00000000" w14:paraId="0000022B">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13 per cent</w:t>
            </w:r>
          </w:p>
        </w:tc>
        <w:tc>
          <w:tcPr>
            <w:tcMar>
              <w:top w:w="160.0" w:type="dxa"/>
              <w:left w:w="0.0" w:type="dxa"/>
              <w:bottom w:w="160.0" w:type="dxa"/>
              <w:right w:w="300.0" w:type="dxa"/>
            </w:tcMar>
          </w:tcPr>
          <w:p w:rsidR="00000000" w:rsidDel="00000000" w:rsidP="00000000" w:rsidRDefault="00000000" w:rsidRPr="00000000" w14:paraId="0000022C">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23 per cent</w:t>
            </w:r>
          </w:p>
        </w:tc>
      </w:tr>
      <w:tr>
        <w:trPr>
          <w:cantSplit w:val="0"/>
          <w:trHeight w:val="690" w:hRule="atLeast"/>
          <w:tblHeader w:val="0"/>
        </w:trPr>
        <w:tc>
          <w:tcPr>
            <w:tcMar>
              <w:top w:w="160.0" w:type="dxa"/>
              <w:left w:w="0.0" w:type="dxa"/>
              <w:bottom w:w="160.0" w:type="dxa"/>
              <w:right w:w="300.0" w:type="dxa"/>
            </w:tcMar>
          </w:tcPr>
          <w:p w:rsidR="00000000" w:rsidDel="00000000" w:rsidP="00000000" w:rsidRDefault="00000000" w:rsidRPr="00000000" w14:paraId="0000022D">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South West</w:t>
            </w:r>
          </w:p>
        </w:tc>
        <w:tc>
          <w:tcPr>
            <w:tcMar>
              <w:top w:w="160.0" w:type="dxa"/>
              <w:left w:w="0.0" w:type="dxa"/>
              <w:bottom w:w="160.0" w:type="dxa"/>
              <w:right w:w="300.0" w:type="dxa"/>
            </w:tcMar>
          </w:tcPr>
          <w:p w:rsidR="00000000" w:rsidDel="00000000" w:rsidP="00000000" w:rsidRDefault="00000000" w:rsidRPr="00000000" w14:paraId="0000022E">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12 per cent</w:t>
            </w:r>
          </w:p>
        </w:tc>
        <w:tc>
          <w:tcPr>
            <w:tcMar>
              <w:top w:w="160.0" w:type="dxa"/>
              <w:left w:w="0.0" w:type="dxa"/>
              <w:bottom w:w="160.0" w:type="dxa"/>
              <w:right w:w="300.0" w:type="dxa"/>
            </w:tcMar>
          </w:tcPr>
          <w:p w:rsidR="00000000" w:rsidDel="00000000" w:rsidP="00000000" w:rsidRDefault="00000000" w:rsidRPr="00000000" w14:paraId="0000022F">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30 per cent</w:t>
            </w:r>
          </w:p>
        </w:tc>
        <w:tc>
          <w:tcPr>
            <w:tcMar>
              <w:top w:w="160.0" w:type="dxa"/>
              <w:left w:w="0.0" w:type="dxa"/>
              <w:bottom w:w="160.0" w:type="dxa"/>
              <w:right w:w="300.0" w:type="dxa"/>
            </w:tcMar>
          </w:tcPr>
          <w:p w:rsidR="00000000" w:rsidDel="00000000" w:rsidP="00000000" w:rsidRDefault="00000000" w:rsidRPr="00000000" w14:paraId="00000230">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22 per cent</w:t>
            </w:r>
          </w:p>
        </w:tc>
        <w:tc>
          <w:tcPr>
            <w:tcMar>
              <w:top w:w="160.0" w:type="dxa"/>
              <w:left w:w="0.0" w:type="dxa"/>
              <w:bottom w:w="160.0" w:type="dxa"/>
              <w:right w:w="300.0" w:type="dxa"/>
            </w:tcMar>
          </w:tcPr>
          <w:p w:rsidR="00000000" w:rsidDel="00000000" w:rsidP="00000000" w:rsidRDefault="00000000" w:rsidRPr="00000000" w14:paraId="00000231">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32">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19 per cent</w:t>
            </w:r>
          </w:p>
        </w:tc>
      </w:tr>
      <w:tr>
        <w:trPr>
          <w:cantSplit w:val="0"/>
          <w:trHeight w:val="330" w:hRule="atLeast"/>
          <w:tblHeader w:val="0"/>
        </w:trPr>
        <w:tc>
          <w:tcPr>
            <w:tcMar>
              <w:top w:w="160.0" w:type="dxa"/>
              <w:left w:w="0.0" w:type="dxa"/>
              <w:bottom w:w="160.0" w:type="dxa"/>
              <w:right w:w="300.0" w:type="dxa"/>
            </w:tcMar>
          </w:tcPr>
          <w:p w:rsidR="00000000" w:rsidDel="00000000" w:rsidP="00000000" w:rsidRDefault="00000000" w:rsidRPr="00000000" w14:paraId="00000233">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England</w:t>
            </w:r>
          </w:p>
        </w:tc>
        <w:tc>
          <w:tcPr>
            <w:tcMar>
              <w:top w:w="160.0" w:type="dxa"/>
              <w:left w:w="0.0" w:type="dxa"/>
              <w:bottom w:w="160.0" w:type="dxa"/>
              <w:right w:w="300.0" w:type="dxa"/>
            </w:tcMar>
          </w:tcPr>
          <w:p w:rsidR="00000000" w:rsidDel="00000000" w:rsidP="00000000" w:rsidRDefault="00000000" w:rsidRPr="00000000" w14:paraId="00000234">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13 per cent</w:t>
            </w:r>
          </w:p>
        </w:tc>
        <w:tc>
          <w:tcPr>
            <w:tcMar>
              <w:top w:w="160.0" w:type="dxa"/>
              <w:left w:w="0.0" w:type="dxa"/>
              <w:bottom w:w="160.0" w:type="dxa"/>
              <w:right w:w="300.0" w:type="dxa"/>
            </w:tcMar>
          </w:tcPr>
          <w:p w:rsidR="00000000" w:rsidDel="00000000" w:rsidP="00000000" w:rsidRDefault="00000000" w:rsidRPr="00000000" w14:paraId="00000235">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26 per cent</w:t>
            </w:r>
          </w:p>
        </w:tc>
        <w:tc>
          <w:tcPr>
            <w:tcMar>
              <w:top w:w="160.0" w:type="dxa"/>
              <w:left w:w="0.0" w:type="dxa"/>
              <w:bottom w:w="160.0" w:type="dxa"/>
              <w:right w:w="300.0" w:type="dxa"/>
            </w:tcMar>
          </w:tcPr>
          <w:p w:rsidR="00000000" w:rsidDel="00000000" w:rsidP="00000000" w:rsidRDefault="00000000" w:rsidRPr="00000000" w14:paraId="00000236">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20 per cent</w:t>
            </w:r>
          </w:p>
        </w:tc>
        <w:tc>
          <w:tcPr>
            <w:tcMar>
              <w:top w:w="160.0" w:type="dxa"/>
              <w:left w:w="0.0" w:type="dxa"/>
              <w:bottom w:w="160.0" w:type="dxa"/>
              <w:right w:w="300.0" w:type="dxa"/>
            </w:tcMar>
          </w:tcPr>
          <w:p w:rsidR="00000000" w:rsidDel="00000000" w:rsidP="00000000" w:rsidRDefault="00000000" w:rsidRPr="00000000" w14:paraId="00000237">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17 per cent</w:t>
            </w:r>
          </w:p>
        </w:tc>
        <w:tc>
          <w:tcPr>
            <w:tcMar>
              <w:top w:w="160.0" w:type="dxa"/>
              <w:left w:w="0.0" w:type="dxa"/>
              <w:bottom w:w="160.0" w:type="dxa"/>
              <w:right w:w="300.0" w:type="dxa"/>
            </w:tcMar>
          </w:tcPr>
          <w:p w:rsidR="00000000" w:rsidDel="00000000" w:rsidP="00000000" w:rsidRDefault="00000000" w:rsidRPr="00000000" w14:paraId="00000238">
            <w:pPr>
              <w:spacing w:after="200" w:line="240" w:lineRule="auto"/>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24 per cent</w:t>
            </w:r>
          </w:p>
        </w:tc>
      </w:tr>
    </w:tbl>
    <w:p w:rsidR="00000000" w:rsidDel="00000000" w:rsidP="00000000" w:rsidRDefault="00000000" w:rsidRPr="00000000" w14:paraId="00000239">
      <w:pPr>
        <w:spacing w:after="200" w:line="360" w:lineRule="auto"/>
        <w:rPr>
          <w:rFonts w:ascii="Calibri" w:cs="Calibri" w:eastAsia="Calibri" w:hAnsi="Calibri"/>
          <w:i w:val="1"/>
          <w:sz w:val="24"/>
          <w:szCs w:val="24"/>
        </w:rPr>
      </w:pPr>
      <w:r w:rsidDel="00000000" w:rsidR="00000000" w:rsidRPr="00000000">
        <w:rPr>
          <w:rFonts w:ascii="Calibri" w:cs="Calibri" w:eastAsia="Calibri" w:hAnsi="Calibri"/>
          <w:i w:val="1"/>
          <w:color w:val="000000"/>
          <w:sz w:val="24"/>
          <w:szCs w:val="24"/>
          <w:rtl w:val="0"/>
        </w:rPr>
        <w:t xml:space="preserve">Source: Directly taken from Defra (2024) Official Statistics: Agricultural facts: Summary</w:t>
      </w:r>
      <w:r w:rsidDel="00000000" w:rsidR="00000000" w:rsidRPr="00000000">
        <w:rPr>
          <w:rtl w:val="0"/>
        </w:rPr>
      </w:r>
    </w:p>
    <w:p w:rsidR="00000000" w:rsidDel="00000000" w:rsidP="00000000" w:rsidRDefault="00000000" w:rsidRPr="00000000" w14:paraId="0000023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way to differentiate farm businesses is their ownership status. Specifically, whether a farm is fully owned by the farmer, partially owned (otherwise known as mixed tenure), or fully tenanted from a landowner. As of 2021, 54 per cent of farms in England were owned, followed by 31 per cent mixed tenure and 14 per cent entirely tenanted and 1 per cent of responses being undeclared (Defra, 2022).  Tenancies can be considered either Full Agricultural Tenancies (can have a lifetime security of tenure) or Farm Business Tenancies (can be either formal or informal but do not have the same legal documentation as Full Agricultural Tenancies); both of these kinds of tenancies can vary whether the farmers on the tenancies were BPS eligible and which farm assets they include (Defra, 2022). There are also more flexible, shorter-term tenancies like seasonal agreements which include special licences for grazing and mowing; these tenancies could also be eligible for BPS payments (Defra, 2022). Noting the ownership status of a farmer is significant when evaluating the dynamics of farmer behaviour as farmers may need to make informed decisions regarding the timelines of their tenancy and the preferences of their landlord. It is also important to note that just because someone owns land that is farmed does not mean they are a farmer, but it is the person who farms the land that is considered one. Further, the legal definition of a farmer, according to UK tax law, is an individual who occupies the land (either through activity or a physical presence on the land; it is not synonymous with ownership or legal possession), resides in the United Kingdom, and maintains the land either wholly or mainly for the purpose of husbandry (e.g., farming or conservation) (HMRC, 2025). Demographically, farmers are considered to be an ageing workforce with over one third of all farmers in the UK being older than sixty-five and only 3 per cent of farmers being younger than thirty-five (Defra, 2022). </w:t>
      </w:r>
    </w:p>
    <w:p w:rsidR="00000000" w:rsidDel="00000000" w:rsidP="00000000" w:rsidRDefault="00000000" w:rsidRPr="00000000" w14:paraId="0000023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context and breakdown of the agriculture sector in England, how farms and farmers are organised within the industry, and what classifications are relevant, are necessary to fully understand the empirical data presented in the following chapters of the thesis. </w:t>
      </w:r>
    </w:p>
    <w:p w:rsidR="00000000" w:rsidDel="00000000" w:rsidP="00000000" w:rsidRDefault="00000000" w:rsidRPr="00000000" w14:paraId="0000023C">
      <w:pPr>
        <w:pStyle w:val="Heading2"/>
        <w:numPr>
          <w:ilvl w:val="0"/>
          <w:numId w:val="4"/>
        </w:numPr>
        <w:ind w:left="360" w:hanging="360"/>
        <w:rPr/>
      </w:pPr>
      <w:bookmarkStart w:colFirst="0" w:colLast="0" w:name="_heading=h.nkixc19f8ot7" w:id="43"/>
      <w:bookmarkEnd w:id="43"/>
      <w:r w:rsidDel="00000000" w:rsidR="00000000" w:rsidRPr="00000000">
        <w:rPr>
          <w:rtl w:val="0"/>
        </w:rPr>
        <w:t xml:space="preserve">Conclusion </w:t>
      </w:r>
    </w:p>
    <w:p w:rsidR="00000000" w:rsidDel="00000000" w:rsidP="00000000" w:rsidRDefault="00000000" w:rsidRPr="00000000" w14:paraId="0000023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Brexit has had a profound and transformative impact on the agricultural landscape of the United Kingdom, creating significant financial and legislative change for farmers, agricultural policies, and rural communities. This thesis focuses on the case of England due to the early implementation of new policies in the post-Brexit era, particularly with regard to the introduction of agricultural schemes such as the Sustainable Farming Incentive Pilot. As England has served as the testing ground for post-Brexit changes, it is an excellent case for evaluating how farmers have responded to the challenges and opportunities presented by this transition. The availability of data, combined with the accessibility of information and participation from key stakeholders (e.g. SFI Pilot farmers) involved in the transition process, further justifies the focus on England.</w:t>
      </w:r>
    </w:p>
    <w:p w:rsidR="00000000" w:rsidDel="00000000" w:rsidP="00000000" w:rsidRDefault="00000000" w:rsidRPr="00000000" w14:paraId="0000023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chapter introduces the existing literature on farmer behaviour, decision-making processes, and their engagement with agri-environmental schemes. This chapter also presents the core concepts and theories that underpin the remainder of the thesis. Specifically, it examines what drives farmer participation in agri-environmental schemes, with a particular emphasis on the role of employing the ‘good farmer’ concept to better understand farmer behaviour. Through evaluating farmer behaviour and engagement, this thesis sheds light on the key factors influencing decisions to participate in new agri-environmental initiatives and provides insights to the decision-making of the post-Brexit farmer in England. </w:t>
      </w:r>
    </w:p>
    <w:p w:rsidR="00000000" w:rsidDel="00000000" w:rsidP="00000000" w:rsidRDefault="00000000" w:rsidRPr="00000000" w14:paraId="0000023F">
      <w:pPr>
        <w:pStyle w:val="Title"/>
        <w:spacing w:before="200" w:lineRule="auto"/>
        <w:rPr>
          <w:u w:val="single"/>
        </w:rPr>
      </w:pPr>
      <w:bookmarkStart w:colFirst="0" w:colLast="0" w:name="_heading=h.ij3uaoidfib7" w:id="44"/>
      <w:bookmarkEnd w:id="44"/>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1"/>
        <w:rPr/>
      </w:pPr>
      <w:bookmarkStart w:colFirst="0" w:colLast="0" w:name="_heading=h.29pcmz4313lk" w:id="45"/>
      <w:bookmarkEnd w:id="45"/>
      <w:r w:rsidDel="00000000" w:rsidR="00000000" w:rsidRPr="00000000">
        <w:rPr>
          <w:rtl w:val="0"/>
        </w:rPr>
        <w:t xml:space="preserve">CHAPTER THREE</w:t>
      </w:r>
    </w:p>
    <w:p w:rsidR="00000000" w:rsidDel="00000000" w:rsidP="00000000" w:rsidRDefault="00000000" w:rsidRPr="00000000" w14:paraId="00000241">
      <w:pPr>
        <w:pStyle w:val="Heading1"/>
        <w:rPr/>
      </w:pPr>
      <w:bookmarkStart w:colFirst="0" w:colLast="0" w:name="_heading=h.4htekpb93nl" w:id="46"/>
      <w:bookmarkEnd w:id="46"/>
      <w:r w:rsidDel="00000000" w:rsidR="00000000" w:rsidRPr="00000000">
        <w:rPr>
          <w:rtl w:val="0"/>
        </w:rPr>
        <w:t xml:space="preserve">FARMER DECISION-MAKING AND THE GOOD FARMER </w:t>
      </w:r>
    </w:p>
    <w:p w:rsidR="00000000" w:rsidDel="00000000" w:rsidP="00000000" w:rsidRDefault="00000000" w:rsidRPr="00000000" w14:paraId="00000242">
      <w:pPr>
        <w:pStyle w:val="Heading2"/>
        <w:numPr>
          <w:ilvl w:val="0"/>
          <w:numId w:val="5"/>
        </w:numPr>
        <w:ind w:left="360" w:hanging="360"/>
        <w:rPr/>
      </w:pPr>
      <w:bookmarkStart w:colFirst="0" w:colLast="0" w:name="_heading=h.6xd9l5jiwdz4" w:id="47"/>
      <w:bookmarkEnd w:id="47"/>
      <w:r w:rsidDel="00000000" w:rsidR="00000000" w:rsidRPr="00000000">
        <w:rPr>
          <w:rtl w:val="0"/>
        </w:rPr>
        <w:t xml:space="preserve">Introduction</w:t>
      </w:r>
    </w:p>
    <w:p w:rsidR="00000000" w:rsidDel="00000000" w:rsidP="00000000" w:rsidRDefault="00000000" w:rsidRPr="00000000" w14:paraId="00000243">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outlined in Chapter One, the impact of climate change on agriculture emphasises the urgent need for farmers to adopt environmentally sustainable and resilient farming practises. This chapter highlights that a successful ‘green’ transition requires not only new policies and innovative solutions, but also active engagement and participation from farmers. The post-Brexit agricultural transition in England serves as a prime example, underscoring the importance of closely examining farmers’ decision-making processes. The choices farmers make, and their willingness to participate in such transitions, play a pivotal role in determining the success and sustainability of movements towards a greener future. Understanding farmer behaviour is crucial, encompassing their decisions, values, and perceptions of their role as farmers. Moreover, analysing whether farmers adopt sustainable practises within their existing contexts necessitates a clear understanding of the barriers and challenges they face in transitioning towards greener approaches.</w:t>
      </w:r>
    </w:p>
    <w:p w:rsidR="00000000" w:rsidDel="00000000" w:rsidP="00000000" w:rsidRDefault="00000000" w:rsidRPr="00000000" w14:paraId="0000024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builds off Chapter Two, which outlined the key policy changes that have occurred in the UK between 1973 and 2020, with a particular focus on England and the farming sector’s responses to the shifts brought about by Brexit. The contextual background provided from the preceding chapter is essential for understanding the literature introduced in this chapter, which offers an in-depth understanding of farmer identity, the factors influencing their decision-making, and the considerations they make when navigating periods of transition or engaging with agricultural schemes. This chapter introduces the literature on how farmers respond to periods of change (Sutherland et al., 2012), and how the actions and opinions of peers influence their decision-making processes (Burton, 2004; Burton et al., 2008; Burton and Paragahawewa, 2011; Sutherland and Burton, 2011; Riley, 2014; Burton et al., 2020; Cusworth and Dodsworth, 2021). This body of literature forms the foundation for testing how current concepts of farmer decision-making may need to be revised to better reflect the changes of the post-Brexit agricultural landscape.</w:t>
      </w:r>
    </w:p>
    <w:p w:rsidR="00000000" w:rsidDel="00000000" w:rsidP="00000000" w:rsidRDefault="00000000" w:rsidRPr="00000000" w14:paraId="00000245">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post-Brexit landscape has confronted farmers with a series of changes that significantly impact the agricultural sector. These changes require farmers to make crucial decisions about the future of their farm businesses, with some choices potentially reshaping how they farm and influencing the long-term viability of their operations. For example, some farmers may opt to participate in the new Environmental Land Management schemes to recover funds lost due to the phasing out of BPS, investing in greener farming practices. In contrast, others may turn to intensification strategies, such as increasing stock numbers, to make up for lost income.</w:t>
      </w:r>
    </w:p>
    <w:p w:rsidR="00000000" w:rsidDel="00000000" w:rsidP="00000000" w:rsidRDefault="00000000" w:rsidRPr="00000000" w14:paraId="00000246">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fully understand farmer behaviour and the factors that drive their decisions, it is important to examine how farmers have historically engaged with previous schemes, adapted to changes within their farm businesses, and the underlying factors that shape their behaviour, specifically how they approach change and opportunities within their sector. This chapter reviews the literature on farmer decision-making, exploring the factors that shape their participation in agri-environmental schemes and identifying factors that have been used in the past to understand farmer behaviour. This chapter also draws connections between the existing literature on farmer behaviour and research on farmers' responses to change. This framework is analysed in relation to the Brexit transition, which is a key example of how external changes disrupt established practices and require farmers to adapt. </w:t>
      </w:r>
    </w:p>
    <w:p w:rsidR="00000000" w:rsidDel="00000000" w:rsidP="00000000" w:rsidRDefault="00000000" w:rsidRPr="00000000" w14:paraId="00000247">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this chapter introduces the key elements of the ‘good farmer’ framework, which are subsequently explored and further developed throughout the remainder of the thesis. It also demonstrates how the economic, social, and cultural capital dimensions of the ‘good farmer’ conceptualisation can be applied to better understand farmers' decisions to participate in schemes. This chapter argues that the existing conceptualisation of the ‘good farmer’ is outdated and no longer reflects the complexities of modern farming. It proposes a new framework for understanding farmer behaviour that considers the challenges faced during transitional periods. This revised approach is applied in the empirical chapters, which examine whether financial motivations and environmental values continue to influence farmers’ engagement with schemes in England today. The subsequent empirical sections of this thesis leverage the theoretical foundation introduced in this chapter to enhance the understanding of farmer behaviour, contributing to the development of a more comprehensive social theory and analytical framework for studying farmer decision-making in the context of significant policy change.</w:t>
      </w:r>
    </w:p>
    <w:p w:rsidR="00000000" w:rsidDel="00000000" w:rsidP="00000000" w:rsidRDefault="00000000" w:rsidRPr="00000000" w14:paraId="00000248">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literature review that follows is structured to reflect the progression of literature which shaped this thesis. Initially, literature was consulted to develop an understanding of farmer identity. This included the broader literature on farmer behaviour, particularly at the practical level, including engagement with existing environmental schemes. This also included an examination of how farmers’ environmental attitudes and demographic characteristics relate to their participation in such initiatives. The chapter then shifts to how farmers respond to change. The chapter concludes with a detailed introduction to, and critique of, the ‘good farmer’, which provides a central analytical framework for the chapters that follow.</w:t>
      </w:r>
    </w:p>
    <w:p w:rsidR="00000000" w:rsidDel="00000000" w:rsidP="00000000" w:rsidRDefault="00000000" w:rsidRPr="00000000" w14:paraId="00000249">
      <w:pPr>
        <w:pStyle w:val="Heading2"/>
        <w:numPr>
          <w:ilvl w:val="0"/>
          <w:numId w:val="5"/>
        </w:numPr>
        <w:ind w:left="360" w:hanging="360"/>
        <w:rPr/>
      </w:pPr>
      <w:bookmarkStart w:colFirst="0" w:colLast="0" w:name="_heading=h.rawqhdq5svz" w:id="48"/>
      <w:bookmarkEnd w:id="48"/>
      <w:r w:rsidDel="00000000" w:rsidR="00000000" w:rsidRPr="00000000">
        <w:rPr>
          <w:rtl w:val="0"/>
        </w:rPr>
        <w:t xml:space="preserve">Farmer Participation in Agri-Environmental Scheme </w:t>
      </w:r>
    </w:p>
    <w:p w:rsidR="00000000" w:rsidDel="00000000" w:rsidP="00000000" w:rsidRDefault="00000000" w:rsidRPr="00000000" w14:paraId="0000024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 participation in agri-environmental schemes can be explained by a range of factors (Mills et al., 2018), such as the personal characteristics of the farmer, including age, education level, and income level (Wilson, 1996; Mathijs, 2003; Defrancesco, 2008). Whilst farmer age is often taken as an indicator of AES participation, this approach is commonly oversimplified and provides an unreliable predictor because it fails to recognise the role of other variables (e.g. education, income) (Pannell et al., 2006; Knowler and Bradshaw, 2007; Burton, 2014). Analyses of younger farmers have suggested a positive correlation between youth and participation in agri-environmental schemes, especially in cases where farmers have higher levels of education (Ellis et al., 1999; Vanslembrouck et al., 2002; Mathijs, 2003; Brodt et al., 2006; Siebert et al., 2006, Murphy et al., 201; Barreiro-Hurle et al.,2010). Similarly, Capitanio et al. (2011) found that older farmers were less likely to indicate a willingness to participate in agri-environmental schemes. However, other studies have indicated the opposite, where young farmers are less willing to participate in AES, and that age has no impact on agri-environmental scheme participation at all (Wilson, 1997; Kristensen et al., 2004; Defrancesco, 2008; Siebert et al., 2010). Overall, these studies indicate that there is no distinct causality between age and farmer participation but rather a correlation between age and participation that sit alongside a series of other variables (Burton, 2014). To better understand the correlation between age and farmer participation in AES, Burton (2014) suggests there are four different ways to view the relationship: (1) apply farmer’s age to the context of the ‘social cohort’ in which they were born, (2) consider the impact of age on mental and physical efficacy and how this relates to investment and labour decisions, (3) understand the correlation between age and experience, and the impact that experience has on decision-making, and (4) view in the context of the life cycle of the ‘farming family’ and succession. </w:t>
      </w:r>
    </w:p>
    <w:p w:rsidR="00000000" w:rsidDel="00000000" w:rsidP="00000000" w:rsidRDefault="00000000" w:rsidRPr="00000000" w14:paraId="0000024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correlation between levels of formal education and AES involvement have also been commonly disputed when observing farmer participation in AES schemes (Wilson, 1996; Mathjis, 2003; Riley, 2006; Defrancesco et al., 2008). The guiding principle for much of the research on formal education level and its impact on farmer participation in AES is that as farmer education levels and amount of knowledge increase, the knowledge of the information needed to encourage a farmer to participate will likewise increase, encouraging farmer participation. Peerlings and Polman (2009) and Wilson and Hart (2000) found a positive correlation between farmers with higher education levels and their likelihood of participation in AES. However, there have also been several studies indicating that the level of education has no impact at all on AES participation (Siebert et al., 2010; Yiridoe et al., 2010; Finger and Lehmann, 2012). Further, Defrancesco (2008) found that farmers educated to a higher level demonstrated more resistance to adopting AES. A reason that may account for inconsistencies in the correlation between education level and AES participation is that farming communities foster a culture where educational qualifications tend not to be as highly respected or prestigious as the skills and experiential knowledge that is gained through the physical practice of farming (Sutherland et al., 2013; Burton, 2014). Though a significant portion of the literature suggests a positive relationship between education and farmer participation in AES, as Burton (2014) suggests, “the results are by no means conclusive.” </w:t>
      </w:r>
    </w:p>
    <w:p w:rsidR="00000000" w:rsidDel="00000000" w:rsidP="00000000" w:rsidRDefault="00000000" w:rsidRPr="00000000" w14:paraId="0000024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income level is less controversial as a variable indicating the likelihood of participation in agri-environmental schemes. Delfrancesco et al. (2008) and Mathjis (2003) found a negative correlation between farmers' willingness to participate in AES and farms where farm income makes up the majority of household income. Ruto and Garrod (2009) and Peerlings and Polman (2009) had complementary results finding that farm households with higher levels of off-farm income had a positive impact on farmer willingness to participate in AES. The reason for this being that the risk associated with participating in AES is considered minimal as it does not involve jeopardising the main income source. </w:t>
      </w:r>
    </w:p>
    <w:p w:rsidR="00000000" w:rsidDel="00000000" w:rsidP="00000000" w:rsidRDefault="00000000" w:rsidRPr="00000000" w14:paraId="0000024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Mills et al. (2018) and Zanella et al. (2014) both found that the characteristics of an AES serve a role in influencing the willingness of farmer engagement. To illustrate, if an agri-environmental scheme requires changes to the current agriculture system or production processes, lower-income farmers may be averse to adopting the scheme, especially if these changes are not subsidised by AES payments (Zanella et al., 2014). Further, farmers evaluate the direct cost-benefits of participating in the system and assess the larger structural changes and impact different AES necessitate (McDermott et al., 2012). Other descriptive aspects of the farm, such as farm tenure, land size, and farm type also are found to have had an impact on whether farmers consider an AES to be the right fit for their farm (Wilson and Hart, 2000; Vanslembrouck et al., 2002; Kabii and Howritz, 2006). </w:t>
      </w:r>
    </w:p>
    <w:p w:rsidR="00000000" w:rsidDel="00000000" w:rsidP="00000000" w:rsidRDefault="00000000" w:rsidRPr="00000000" w14:paraId="0000024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critical dimension farmers consider when assessing scheme fit is succession plans (Potter and Lobley, 1996). Succession plans and long-term strategies serve a role in influencing farmer AES participation (Ingram et al., 2013). This is especially important as schemes typically range from five to ten years in length. Further, Potter and Lobley (1996) found that farms with a successor present are more likely to be incentivised to make long-term investments in capital and restructuring than farms where a successor is not present or uncertain. On the contrary, farms that lack successors are more likely to disengage and withdraw from full-time agricultural extensification because they either lack the incentive or may be nearing the end of their farming career (Potter and Lobley, 1996).  Thus, these findings signify that economic variables prove to be an important dimension which guide farmer behaviour. </w:t>
      </w:r>
    </w:p>
    <w:p w:rsidR="00000000" w:rsidDel="00000000" w:rsidP="00000000" w:rsidRDefault="00000000" w:rsidRPr="00000000" w14:paraId="0000024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Aside from behavioural or generalisable characteristics to understand farmer behaviour, there is also a school of literature which specifically centres on farmer participation in AES in England. To better contextualise the literature which is relevant to the geographical area of this thesis, the following sub-section summarises the behavioural dynamics and motivations of English farmers in relation to agri-environmental scheme participation.</w:t>
      </w:r>
    </w:p>
    <w:p w:rsidR="00000000" w:rsidDel="00000000" w:rsidP="00000000" w:rsidRDefault="00000000" w:rsidRPr="00000000" w14:paraId="00000250">
      <w:pPr>
        <w:pStyle w:val="Heading3"/>
        <w:numPr>
          <w:ilvl w:val="1"/>
          <w:numId w:val="5"/>
        </w:numPr>
        <w:ind w:left="792" w:hanging="432"/>
        <w:rPr/>
      </w:pPr>
      <w:bookmarkStart w:colFirst="0" w:colLast="0" w:name="_heading=h.c9iocyl8qi4i" w:id="49"/>
      <w:bookmarkEnd w:id="49"/>
      <w:r w:rsidDel="00000000" w:rsidR="00000000" w:rsidRPr="00000000">
        <w:rPr>
          <w:rtl w:val="0"/>
        </w:rPr>
        <w:t xml:space="preserve">AES Participation in England</w:t>
      </w:r>
    </w:p>
    <w:p w:rsidR="00000000" w:rsidDel="00000000" w:rsidP="00000000" w:rsidRDefault="00000000" w:rsidRPr="00000000" w14:paraId="0000025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effectively contextualise farmer behaviour in relation to the Environmental Land Management schemes in England, this section chronologically introduces the existing literature on farmer engagement with previous agri-environmental schemes in England. It is also worth noting that the literature introduced in the remainder of this section was largely developed during the UK’s membership of the EU. The option to join an agri-environmental scheme voluntarily, without facing an additional financial burden (such as losing of BPS payments), contrasts with the financial position of farmers in the post-Brexit transition period. As mentioned in Chapter Two, each of the devolved administrations had discretion over designing their own AES, under EU membership, using EU funds, which needed to align with EU goals for the agricultural sector – this caused agricultural policy in England to be ‘Europeanised’ in nature. As a result, many of the assumptions made in this school of literature are now outdated</w:t>
      </w:r>
      <w:r w:rsidDel="00000000" w:rsidR="00000000" w:rsidRPr="00000000">
        <w:rPr>
          <w:rFonts w:ascii="Calibri" w:cs="Calibri" w:eastAsia="Calibri" w:hAnsi="Calibri"/>
          <w:sz w:val="24"/>
          <w:szCs w:val="24"/>
          <w:vertAlign w:val="superscript"/>
        </w:rPr>
        <w:footnoteReference w:customMarkFollows="0" w:id="16"/>
      </w:r>
      <w:r w:rsidDel="00000000" w:rsidR="00000000" w:rsidRPr="00000000">
        <w:rPr>
          <w:rFonts w:ascii="Calibri" w:cs="Calibri" w:eastAsia="Calibri" w:hAnsi="Calibri"/>
          <w:sz w:val="24"/>
          <w:szCs w:val="24"/>
          <w:rtl w:val="0"/>
        </w:rPr>
        <w:t xml:space="preserve">, given the significant changes in policy and funding regimes. That being said, it is important to review the existing literature to provide a foundation upon which this thesis can build and develop. The intention of this section is to critically assess how the literature on farmer behaviour can help to inform an understanding of farmer engagement with the ELM schemes. </w:t>
      </w:r>
    </w:p>
    <w:p w:rsidR="00000000" w:rsidDel="00000000" w:rsidP="00000000" w:rsidRDefault="00000000" w:rsidRPr="00000000" w14:paraId="0000025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review is structured chronologically, in accordance with Figure 2.1 (see Chapter Two), starting with the introduction of Environmental Sensitive Areas (ESAs) and concluding with the final iteration of the Entry Level Stewardship (ELS), highlighting key shifts and developments in the literature related to farmer behaviour and participation in schemes over time. While Figure 2.1, effectively outlines the progression of schemes in England from the 1980s to the present day, it overlooks the broader contextual drivers–such as environmental challenges and technological advancements–that have significantly influenced the evolution of agri-environmental scheme content, shaped farmer decision-making, and contributed to shifting conceptualisations of good farming practices. These drivers are addressed in the subsequent sections of this chapter. </w:t>
      </w:r>
    </w:p>
    <w:p w:rsidR="00000000" w:rsidDel="00000000" w:rsidP="00000000" w:rsidRDefault="00000000" w:rsidRPr="00000000" w14:paraId="0000025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of the agri-environmental schemes introduced in England was the Environmentally Sensitive Areas Scheme in 1987. The scheme was intended to attract farmers from a wide range of backgrounds who were looking to maintain (note: not improve) the conservation of the area they farmed (Lobley and Potter, 1998). The farmers in the scheme had high compliance rates but their willingness to move into higher levels of the scheme and produce more environmentally friendly outcomes was unclear despite their participation (Lobley and Potter, 1998). Farmer motivations for joining the scheme were proven to be mainly financial but also were related to the support and information they received from farmer organisations (e.g. Agricultural Development Advisory Service [ADAS]</w:t>
      </w:r>
      <w:r w:rsidDel="00000000" w:rsidR="00000000" w:rsidRPr="00000000">
        <w:rPr>
          <w:rFonts w:ascii="Calibri" w:cs="Calibri" w:eastAsia="Calibri" w:hAnsi="Calibri"/>
          <w:sz w:val="24"/>
          <w:szCs w:val="24"/>
          <w:vertAlign w:val="superscript"/>
        </w:rPr>
        <w:footnoteReference w:customMarkFollows="0" w:id="17"/>
      </w:r>
      <w:r w:rsidDel="00000000" w:rsidR="00000000" w:rsidRPr="00000000">
        <w:rPr>
          <w:rFonts w:ascii="Calibri" w:cs="Calibri" w:eastAsia="Calibri" w:hAnsi="Calibri"/>
          <w:sz w:val="24"/>
          <w:szCs w:val="24"/>
          <w:rtl w:val="0"/>
        </w:rPr>
        <w:t xml:space="preserve">), the flexibility of the scheme design, and the ability to complement the scheme with their established farming practices (Wilson, 1997; Lobley and Potter, 1998). </w:t>
      </w:r>
    </w:p>
    <w:p w:rsidR="00000000" w:rsidDel="00000000" w:rsidP="00000000" w:rsidRDefault="00000000" w:rsidRPr="00000000" w14:paraId="0000025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Morris and Potter (1995), also examined farmer involvement in ESAs and specifically focused on farmers in the South Downs area of England, comparing those who adopted the policy to those who did not. Morris and Potter (1995) found that there were two distinct types of farmers when it came to the adoption of the ESA scheme in England: </w:t>
      </w:r>
      <w:r w:rsidDel="00000000" w:rsidR="00000000" w:rsidRPr="00000000">
        <w:rPr>
          <w:rFonts w:ascii="Calibri" w:cs="Calibri" w:eastAsia="Calibri" w:hAnsi="Calibri"/>
          <w:i w:val="1"/>
          <w:sz w:val="24"/>
          <w:szCs w:val="24"/>
          <w:rtl w:val="0"/>
        </w:rPr>
        <w:t xml:space="preserve">active adopters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i w:val="1"/>
          <w:sz w:val="24"/>
          <w:szCs w:val="24"/>
          <w:rtl w:val="0"/>
        </w:rPr>
        <w:t xml:space="preserve">passive adopters.</w:t>
      </w:r>
      <w:r w:rsidDel="00000000" w:rsidR="00000000" w:rsidRPr="00000000">
        <w:rPr>
          <w:rFonts w:ascii="Calibri" w:cs="Calibri" w:eastAsia="Calibri" w:hAnsi="Calibri"/>
          <w:sz w:val="24"/>
          <w:szCs w:val="24"/>
          <w:rtl w:val="0"/>
        </w:rPr>
        <w:t xml:space="preserve"> The contrast between these two adopter groups is outlined in the table below and the diagram of the participation spectrum which was recreated directly from Morris and Potter’s research.  </w:t>
      </w:r>
    </w:p>
    <w:p w:rsidR="00000000" w:rsidDel="00000000" w:rsidP="00000000" w:rsidRDefault="00000000" w:rsidRPr="00000000" w14:paraId="00000255">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Morris and Potter's (1995) idea of how farmers adopt schemes in response to new agricultural policies shapes the empirical evidence presented in the following chapters, given the context in which their research was conducted. Further, similar to the post-Brexit transition policies, ESAs were generally considered unprecedented in the English agriculture sector, so understanding the range of farmer reaction to this specific scheme is helpful in expanding upon the existing literature and establishing an understanding of farmer reaction in the post-Brexit transition. </w:t>
      </w:r>
    </w:p>
    <w:p w:rsidR="00000000" w:rsidDel="00000000" w:rsidP="00000000" w:rsidRDefault="00000000" w:rsidRPr="00000000" w14:paraId="0000025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9dj5upp98pkf" w:id="50"/>
      <w:bookmarkEnd w:id="50"/>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9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3.1. Comparison of Passive and Active Adopter</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Characteristics </w:t>
            </w:r>
          </w:p>
        </w:tc>
        <w:tc>
          <w:tcPr>
            <w:shd w:fill="b6d7a8"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Passive Adopter</w:t>
            </w:r>
          </w:p>
        </w:tc>
        <w:tc>
          <w:tcPr>
            <w:shd w:fill="b6d7a8"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Active Adopter </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 motive for entry </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Economic/financial 'passive</w:t>
            </w:r>
          </w:p>
          <w:p w:rsidR="00000000" w:rsidDel="00000000" w:rsidP="00000000" w:rsidRDefault="00000000" w:rsidRPr="00000000" w14:paraId="0000025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restructuring'.</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Environmental. Altruistic. 'Active</w:t>
            </w:r>
          </w:p>
          <w:p w:rsidR="00000000" w:rsidDel="00000000" w:rsidP="00000000" w:rsidRDefault="00000000" w:rsidRPr="00000000" w14:paraId="0000025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restructuring for survival'.</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2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Conservation history </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likely to have carried out small-scale creative conservation works, less</w:t>
            </w:r>
          </w:p>
          <w:p w:rsidR="00000000" w:rsidDel="00000000" w:rsidP="00000000" w:rsidRDefault="00000000" w:rsidRPr="00000000" w14:paraId="0000026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likely to have reduced production intensity, to have sought conservation grants and advice.</w:t>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likely to have carried out large scale conservation works, to have reduced production intensity, to have sought conservation grants and advice.</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2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 in attitude towards self as a result of participation</w:t>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Minimal change/little reorientation in thinking.</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Significant change/reorientation in thinking.</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2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Perceived conservation value of</w:t>
            </w:r>
          </w:p>
          <w:p w:rsidR="00000000" w:rsidDel="00000000" w:rsidP="00000000" w:rsidRDefault="00000000" w:rsidRPr="00000000" w14:paraId="000002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Scheme</w:t>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Minimal. Motive for entry largely unrelated to environmental factors.</w:t>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Significant. Motive for entry based on recognition of positive environmental benefit of scheme.</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2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Impact of scheme on attitude to</w:t>
            </w:r>
          </w:p>
          <w:p w:rsidR="00000000" w:rsidDel="00000000" w:rsidP="00000000" w:rsidRDefault="00000000" w:rsidRPr="00000000" w14:paraId="000002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conservation</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change in attitude to conservation or land use.</w:t>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Rethinking of conservation and land use attitudes on ESA and non-ESA land.</w:t>
            </w:r>
          </w:p>
        </w:tc>
      </w:tr>
    </w:tbl>
    <w:p w:rsidR="00000000" w:rsidDel="00000000" w:rsidP="00000000" w:rsidRDefault="00000000" w:rsidRPr="00000000" w14:paraId="0000026E">
      <w:pPr>
        <w:spacing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Morris and Potter (1995, p. 58)</w:t>
      </w:r>
    </w:p>
    <w:p w:rsidR="00000000" w:rsidDel="00000000" w:rsidP="00000000" w:rsidRDefault="00000000" w:rsidRPr="00000000" w14:paraId="0000026F">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70">
      <w:pPr>
        <w:keepNext w:val="1"/>
        <w:spacing w:line="360" w:lineRule="auto"/>
        <w:rPr/>
      </w:pPr>
      <w:r w:rsidDel="00000000" w:rsidR="00000000" w:rsidRPr="00000000">
        <w:rPr>
          <w:rFonts w:ascii="Calibri" w:cs="Calibri" w:eastAsia="Calibri" w:hAnsi="Calibri"/>
          <w:b w:val="1"/>
          <w:sz w:val="24"/>
          <w:szCs w:val="24"/>
        </w:rPr>
        <mc:AlternateContent>
          <mc:Choice Requires="wpg">
            <w:drawing>
              <wp:inline distB="114300" distT="114300" distL="114300" distR="114300">
                <wp:extent cx="5441950" cy="3545958"/>
                <wp:effectExtent b="0" l="0" r="0" t="0"/>
                <wp:docPr id="1297365366" name=""/>
                <a:graphic>
                  <a:graphicData uri="http://schemas.microsoft.com/office/word/2010/wordprocessingGroup">
                    <wpg:wgp>
                      <wpg:cNvGrpSpPr/>
                      <wpg:grpSpPr>
                        <a:xfrm>
                          <a:off x="2625025" y="2007000"/>
                          <a:ext cx="5441950" cy="3545958"/>
                          <a:chOff x="2625025" y="2007000"/>
                          <a:chExt cx="5441950" cy="3546000"/>
                        </a:xfrm>
                      </wpg:grpSpPr>
                      <wpg:grpSp>
                        <wpg:cNvGrpSpPr/>
                        <wpg:grpSpPr>
                          <a:xfrm>
                            <a:off x="2625025" y="2007021"/>
                            <a:ext cx="5441950" cy="3545958"/>
                            <a:chOff x="2625025" y="2202853"/>
                            <a:chExt cx="5441950" cy="3956070"/>
                          </a:xfrm>
                        </wpg:grpSpPr>
                        <wps:wsp>
                          <wps:cNvSpPr/>
                          <wps:cNvPr id="3" name="Shape 3"/>
                          <wps:spPr>
                            <a:xfrm>
                              <a:off x="2625025" y="2202853"/>
                              <a:ext cx="5441950" cy="395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25025" y="2202853"/>
                              <a:ext cx="5441950" cy="3956070"/>
                              <a:chOff x="2625000" y="2169534"/>
                              <a:chExt cx="5441975" cy="4629362"/>
                            </a:xfrm>
                          </wpg:grpSpPr>
                          <wps:wsp>
                            <wps:cNvSpPr/>
                            <wps:cNvPr id="5" name="Shape 5"/>
                            <wps:spPr>
                              <a:xfrm>
                                <a:off x="2625000" y="2398575"/>
                                <a:ext cx="5441975" cy="323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25025" y="2169534"/>
                                <a:ext cx="5441950" cy="4629362"/>
                                <a:chOff x="728800" y="1226685"/>
                                <a:chExt cx="6830700" cy="5458383"/>
                              </a:xfrm>
                            </wpg:grpSpPr>
                            <wps:wsp>
                              <wps:cNvSpPr/>
                              <wps:cNvPr id="7" name="Shape 7"/>
                              <wps:spPr>
                                <a:xfrm>
                                  <a:off x="728800" y="1496750"/>
                                  <a:ext cx="6830700" cy="325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18550" y="2440050"/>
                                  <a:ext cx="6325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486000" y="2182650"/>
                                  <a:ext cx="0" cy="51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181400" y="2182650"/>
                                  <a:ext cx="0" cy="51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876800" y="2182650"/>
                                  <a:ext cx="0" cy="51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02300" y="2182650"/>
                                  <a:ext cx="0" cy="51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2424200" y="2717946"/>
                                  <a:ext cx="1514400" cy="396712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Conditional non-adopters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Decided not to participate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under existing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circumstances but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persuadable provided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subsidy is made more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commensurate with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scheme conditions and/or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 change in farmer/farm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family circumstances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91425" lIns="91425" spcFirstLastPara="1" rIns="91425" wrap="square" tIns="91425">
                                <a:noAutofit/>
                              </wps:bodyPr>
                            </wps:wsp>
                            <wps:wsp>
                              <wps:cNvSpPr/>
                              <wps:cNvPr id="14" name="Shape 14"/>
                              <wps:spPr>
                                <a:xfrm>
                                  <a:off x="728800" y="2735050"/>
                                  <a:ext cx="1514400" cy="201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Resistant non-adopters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Would not participate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under any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circumstances</w:t>
                                    </w:r>
                                  </w:p>
                                </w:txbxContent>
                              </wps:txbx>
                              <wps:bodyPr anchorCtr="0" anchor="t" bIns="91425" lIns="91425" spcFirstLastPara="1" rIns="91425" wrap="square" tIns="91425">
                                <a:noAutofit/>
                              </wps:bodyPr>
                            </wps:wsp>
                            <wps:wsp>
                              <wps:cNvSpPr/>
                              <wps:cNvPr id="15" name="Shape 15"/>
                              <wps:spPr>
                                <a:xfrm>
                                  <a:off x="4119600" y="2717475"/>
                                  <a:ext cx="1514400" cy="32310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Passive Adopters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The 'new conservationists'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participants attracted by the financial inducements on offer and able to stay inside the 'green box' at minimal cost and inconvenience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91425" lIns="91425" spcFirstLastPara="1" rIns="91425" wrap="square" tIns="91425">
                                <a:noAutofit/>
                              </wps:bodyPr>
                            </wps:wsp>
                            <wps:wsp>
                              <wps:cNvSpPr/>
                              <wps:cNvPr id="16" name="Shape 16"/>
                              <wps:spPr>
                                <a:xfrm>
                                  <a:off x="6045100" y="2734501"/>
                                  <a:ext cx="1514400" cy="38196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Active Adopters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The most committed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participants, often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conservationist farms with a history of countryside management activity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environmental innovators and potential demonstrators of best practice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91425" lIns="91425" spcFirstLastPara="1" rIns="91425" wrap="square" tIns="91425">
                                <a:noAutofit/>
                              </wps:bodyPr>
                            </wps:wsp>
                            <wps:wsp>
                              <wps:cNvCnPr/>
                              <wps:spPr>
                                <a:xfrm>
                                  <a:off x="1234300" y="1870875"/>
                                  <a:ext cx="6325200" cy="19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8" name="Shape 18"/>
                              <wps:spPr>
                                <a:xfrm>
                                  <a:off x="1118549" y="1226685"/>
                                  <a:ext cx="6157200" cy="6650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Non-Adoption				Passive Adoption 		Active Adoption </w:t>
                                    </w:r>
                                  </w:p>
                                </w:txbxContent>
                              </wps:txbx>
                              <wps:bodyPr anchorCtr="0" anchor="t" bIns="91425" lIns="91425" spcFirstLastPara="1" rIns="91425" wrap="square" tIns="91425">
                                <a:noAutofit/>
                              </wps:bodyPr>
                            </wps:wsp>
                          </wpg:grpSp>
                        </wpg:grpSp>
                      </wpg:grpSp>
                    </wpg:wgp>
                  </a:graphicData>
                </a:graphic>
              </wp:inline>
            </w:drawing>
          </mc:Choice>
          <mc:Fallback>
            <w:drawing>
              <wp:inline distB="114300" distT="114300" distL="114300" distR="114300">
                <wp:extent cx="5441950" cy="3545958"/>
                <wp:effectExtent b="0" l="0" r="0" t="0"/>
                <wp:docPr id="1297365366"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5441950" cy="35459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q1c90b77qojo" w:id="51"/>
      <w:bookmarkEnd w:id="51"/>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7</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3.1.  Scale of Scheme Adoption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Source: Morris and Potter 1995, p. 58</w:t>
      </w:r>
    </w:p>
    <w:p w:rsidR="00000000" w:rsidDel="00000000" w:rsidP="00000000" w:rsidRDefault="00000000" w:rsidRPr="00000000" w14:paraId="0000027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highlighted in Morris and Potter's work (1995), farmers worked alongside arms-length bodies, such as ADAS, to help deliver ESAs and determine the best fit for their land. Wilson’s (1997) research alludes to the impact of the relationships between farmers and external influences, examining how these relationships shape farmer decision-making. Wilson's (1997) research on ESAs, emphasises that certain sociological and psychological phenomena, such as relationships with ADAS, landlord-tenant dynamics, and psychological interactions within farm families, are inherently difficult to capture through statistical analysis like surveys and questionnaires. His research goes on to emphasise that there needs to be a greater integration of the social dimensions that influence farmers' decision-making processes. The following sections of this chapter will further elaborate on these social dimensions and their inherent impact on farmer decision-making. </w:t>
      </w:r>
    </w:p>
    <w:p w:rsidR="00000000" w:rsidDel="00000000" w:rsidP="00000000" w:rsidRDefault="00000000" w:rsidRPr="00000000" w14:paraId="0000027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scheme that followed ESAs was the Countryside Stewardship Scheme (CSS) which offered more specific management actions for farmers and was targeted to attract farmers who were already interested in local conservation programmes and held interests towards countryside management and conservation (Lobley and Potter, 1998). CSS sought to attract more of the conservationist-motivated farmers, and a study of arable farmers in the scheme found their main motivations for joining were whether the options were practical, if there was a suitable enough financial reward and if the scheme fit within their own farm business objectives (Morris, et al., 2000). The distinction between the CSS and the predecessor scheme (ESAs) was that farmers participating in ESA were those who did so because they were motivated to earn an additional income from activities that could easily be incorporated into their pre-existing practices, whereas CSS attracted farmers who were looking to get more involved in conservation efforts and held a genuine interest in such (Lobley and Potter, 1998). This evolution in the motivation behind participant decision-making from ESAs to CSS also highlights that due to EU reforms, agri-environmental schemes continued to push the agriculture sector to become more post-productivist in nature, which therefore shifted the focus of subsidies in the agricultural industry and clearly also influenced farmer response to post-productivist</w:t>
      </w:r>
      <w:r w:rsidDel="00000000" w:rsidR="00000000" w:rsidRPr="00000000">
        <w:rPr>
          <w:rFonts w:ascii="Calibri" w:cs="Calibri" w:eastAsia="Calibri" w:hAnsi="Calibri"/>
          <w:sz w:val="24"/>
          <w:szCs w:val="24"/>
          <w:vertAlign w:val="superscript"/>
        </w:rPr>
        <w:footnoteReference w:customMarkFollows="0" w:id="18"/>
      </w:r>
      <w:r w:rsidDel="00000000" w:rsidR="00000000" w:rsidRPr="00000000">
        <w:rPr>
          <w:rFonts w:ascii="Calibri" w:cs="Calibri" w:eastAsia="Calibri" w:hAnsi="Calibri"/>
          <w:sz w:val="24"/>
          <w:szCs w:val="24"/>
          <w:rtl w:val="0"/>
        </w:rPr>
        <w:t xml:space="preserve"> schemes (also see Chapter Two). </w:t>
      </w:r>
    </w:p>
    <w:p w:rsidR="00000000" w:rsidDel="00000000" w:rsidP="00000000" w:rsidRDefault="00000000" w:rsidRPr="00000000" w14:paraId="0000027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CSS was then replaced with the Environmental Stewardship scheme, in response to another round of CAP reforms in the early 2000s.  As noted in Chapter Two Environmental Stewardship encompassed three schemes:  Entry Level Stewardship (ELS), Organic Entry Level Stewardship (OELS), and Higher-Level Stewardship (HLS). Literature studying farmer behaviour in ES found that agricultural supply conditions were the main reasons for farmers joining the Entry-Level Stewardship scheme, rather than the demand for environmental changes (Hodge and Reader, 2010). In comparison, farmers who joined the Higher-Level Stewardship scheme noted that the relationship with advisors</w:t>
      </w:r>
      <w:r w:rsidDel="00000000" w:rsidR="00000000" w:rsidRPr="00000000">
        <w:rPr>
          <w:rFonts w:ascii="Calibri" w:cs="Calibri" w:eastAsia="Calibri" w:hAnsi="Calibri"/>
          <w:sz w:val="24"/>
          <w:szCs w:val="24"/>
          <w:vertAlign w:val="superscript"/>
        </w:rPr>
        <w:footnoteReference w:customMarkFollows="0" w:id="19"/>
      </w:r>
      <w:r w:rsidDel="00000000" w:rsidR="00000000" w:rsidRPr="00000000">
        <w:rPr>
          <w:rFonts w:ascii="Calibri" w:cs="Calibri" w:eastAsia="Calibri" w:hAnsi="Calibri"/>
          <w:sz w:val="24"/>
          <w:szCs w:val="24"/>
          <w:rtl w:val="0"/>
        </w:rPr>
        <w:t xml:space="preserve"> played a critical role in facilitating them joining the higher ambition level of the scheme (Hejnowicz, et al, 2016). The role of advice served as a critical influence in farmer participation due to the perceived complexity of guidance in the scheme, the need for financial advice on how the scheme could fit within their specific farming business, finding common ground on the expectations of the scheme’s requirements and the own farmer’s goals, and providing reassurance on the scheme monitoring and expected outcomes (Hejnowicz, et al.,2016). </w:t>
      </w:r>
    </w:p>
    <w:p w:rsidR="00000000" w:rsidDel="00000000" w:rsidP="00000000" w:rsidRDefault="00000000" w:rsidRPr="00000000" w14:paraId="0000027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outlined above, the literature continues to highlight the importance of social dynamics like advice and relationships to organisations and cultural dynamics such as how farmers view their role in the industry as different factors influencing participation in schemes. Since the publication of Wilson (1997) and Hejnowicz, et al. (2016), numerous studies have emerged, which further evaluate the social and cultural factors that shape how farmers make decisions. The remainder of this section will further explore the social and cultural elements of farmer decision-making that can enhance understanding of farmers' participation in AES.</w:t>
      </w:r>
    </w:p>
    <w:p w:rsidR="00000000" w:rsidDel="00000000" w:rsidP="00000000" w:rsidRDefault="00000000" w:rsidRPr="00000000" w14:paraId="00000277">
      <w:pPr>
        <w:pStyle w:val="Heading4"/>
        <w:numPr>
          <w:ilvl w:val="2"/>
          <w:numId w:val="5"/>
        </w:numPr>
        <w:ind w:left="1224" w:hanging="504.00000000000006"/>
        <w:rPr>
          <w:color w:val="434343"/>
        </w:rPr>
      </w:pPr>
      <w:bookmarkStart w:colFirst="0" w:colLast="0" w:name="_heading=h.srpkgqix1urc" w:id="52"/>
      <w:bookmarkEnd w:id="52"/>
      <w:r w:rsidDel="00000000" w:rsidR="00000000" w:rsidRPr="00000000">
        <w:rPr>
          <w:rtl w:val="0"/>
        </w:rPr>
        <w:t xml:space="preserve">Using Social and Cultural Values to Understand Farmer Decision-making</w:t>
      </w:r>
      <w:r w:rsidDel="00000000" w:rsidR="00000000" w:rsidRPr="00000000">
        <w:rPr>
          <w:rtl w:val="0"/>
        </w:rPr>
      </w:r>
    </w:p>
    <w:p w:rsidR="00000000" w:rsidDel="00000000" w:rsidP="00000000" w:rsidRDefault="00000000" w:rsidRPr="00000000" w14:paraId="0000027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Gasson (1973) noted that farmers do not always make their business decisions based on rationality defined by economics; rather, they may make decisions that fulfil their social and intrinsic goals. Several studies have established that a positive attitude towards environmental concerns is an indicator that a farmer is more likely to undertake greater environmental management behaviour on their farm (Defrancesco et al., 2008; Ruto &amp; Garrod, 2009; Barreiro-Hurlé et al., 2010; Coyne et al., 2021). Complementary research has also found that farmers with a conservation-focused mindset are guided by their environmental values when deciding whether to participate in agri-environmental schemes. (Wilson and Hart, 2000). However, Burton et al. (2008) suggest that participation in agri-environmental schemes is so prescriptive that farmers do not need to gain the knowledge of what good conservation looks like, they just need to follow the rules, so strong environmental preferences is not always a strong predictor. Despite the seemingly positive correlation between environmental awareness and AES participation, Dupraz et al. (2003) further highlight that this relationship cannot be generalised because there are still cases where farmers participate in AES programs for economic rather than environmental reasons. De Snoo et al. (2013) confirmed this finding, noting that the relationship between financial incentives and behaviour change is not simple and that perceptions of what constitutes a ‘good’ farming practice may be dependent on monetary incentives rather than attitudinal changes. Coyne et al. (2021) echo these findings and note that this relationship may not always hold as farmers may consider themselves to be sufficiently achieving their own defined environmental goals and categorise themselves as ‘good farmers’, which then, in turn, disincentives them from participating in greater AES goals. </w:t>
      </w:r>
    </w:p>
    <w:p w:rsidR="00000000" w:rsidDel="00000000" w:rsidP="00000000" w:rsidRDefault="00000000" w:rsidRPr="00000000" w14:paraId="0000027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to summarise farmer decisions are influenced by personal and social goals, not just economic rationality, with environmental attitudes linked to greater sustainable practices and participation in agri-environmental schemes (Defrancesco et al., 2008; Ruto and Garrod, 2009; Barreiro-Hurlé et al., 2010). However, the relationship between environmental awareness and AES participation is complex, as financial incentives and perceptions of ‘good farming’ may sometimes outweigh altruistic motivations (Dupraz et al., 2003; De Snoo et al., 2013).</w:t>
      </w:r>
    </w:p>
    <w:p w:rsidR="00000000" w:rsidDel="00000000" w:rsidP="00000000" w:rsidRDefault="00000000" w:rsidRPr="00000000" w14:paraId="0000027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better understand the ‘good farming’ element and the impact this has on farmer decision-making, Burton and Schwarz (2013) analysed the relationship between what a farmer perceives as ‘good’ and scheme participation and found that if results-based schemes were to increase in popularity, farmer participation could become a key element of what other farmers consider as ‘good farming’, even among those who previously had no moral ties to environmentalism. This would occur because such policies require farmers to demonstrate their knowledge of the land and their ability to implement the scheme in order to receive compensation and succeed. This finding underscores the importance of understanding the drivers behind farmer behaviour, particularly how economic, social, and cultural factors impact farmer decision-making, especially in response to policy changes like the introduction of schemes like SFI which compensate farmers for successfully delivering environmental actions. </w:t>
      </w:r>
    </w:p>
    <w:p w:rsidR="00000000" w:rsidDel="00000000" w:rsidP="00000000" w:rsidRDefault="00000000" w:rsidRPr="00000000" w14:paraId="0000027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pre-Brexit literature tended to focus upon schemes that followed a 'carrot' approach, offering incentives, in contrast to the 'stick' approach (as seen through the phasing out of the BPS and the removal of EU policies with only new ELM schemes on offer to replace financial losses). This shift to a more stick-based approach raises questions about the validity of previous findings, particularly in modern-day England, where behavioural change was researched in a less reactive policy period with far less substantial policy change. This thesis expands upon the findings of the existing literature, specifically, focussing upon whether financial motivations, along with relationships to environmentalism, remain predictive indicators of scheme engagement in England today.</w:t>
      </w:r>
    </w:p>
    <w:p w:rsidR="00000000" w:rsidDel="00000000" w:rsidP="00000000" w:rsidRDefault="00000000" w:rsidRPr="00000000" w14:paraId="0000027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this thesis focuses on farmer behaviour during a period of transition the following section introduces the literature on how to study farmer behaviour in response to significant change and in transition periods. This work further contextualises the unseen dynamics of farmer decision-making and behaviour during periods of change which are reflective of the changes seen in the post-Brexit transition. </w:t>
      </w:r>
    </w:p>
    <w:p w:rsidR="00000000" w:rsidDel="00000000" w:rsidP="00000000" w:rsidRDefault="00000000" w:rsidRPr="00000000" w14:paraId="0000027D">
      <w:pPr>
        <w:pStyle w:val="Heading2"/>
        <w:numPr>
          <w:ilvl w:val="0"/>
          <w:numId w:val="5"/>
        </w:numPr>
        <w:ind w:left="360" w:hanging="360"/>
        <w:rPr/>
      </w:pPr>
      <w:bookmarkStart w:colFirst="0" w:colLast="0" w:name="_heading=h.rxem1prn9pb" w:id="53"/>
      <w:bookmarkEnd w:id="53"/>
      <w:r w:rsidDel="00000000" w:rsidR="00000000" w:rsidRPr="00000000">
        <w:rPr>
          <w:rtl w:val="0"/>
        </w:rPr>
        <w:t xml:space="preserve">Brexit as a Triggering Change to the Agriculture Policy Landscape</w:t>
      </w:r>
    </w:p>
    <w:p w:rsidR="00000000" w:rsidDel="00000000" w:rsidP="00000000" w:rsidRDefault="00000000" w:rsidRPr="00000000" w14:paraId="0000027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preceding chapter and sections above reiterate the different policy changes introduced to the English agricultural landscape as a result of the post-Brexit agricultural transition plans and the 2020 Agriculture Act. These changes rewrote the policy landscape to which farmers were accustomed and restructured the compensatory structure by which they were paid. These changes also provide an opportunity to evaluate farmers and their decision-making at a clear inflexion point, where Brexit has triggered a change to the policies and the status quo that farmers have experienced, which has and will continue to impact their decision-making. Sutherland et al. (2012) provide a useful conceptualisation of how changes like this, otherwise known as a ‘triggering change’, can serve as a moment that requires a farming system to be reoriented in a different direction, most commonly due to succession or financial difficulties. Sutherland, et al. (2012) conceptualised the ‘Triggering Change Cycle’ introduced below (Figure 3.3.) as a result of inductive research from 48 farm interviews to illustrate how farmers embrace this type of change. The ‘Triggering Change Cycle’ was developed from concepts derived from a ‘European Commission funded project on agricultural land use decision-making (Sutherland, 2010), a UK Government (DEFRA) project on pro-environmental behaviour (Burton et al.,2007; Slee et al., 2006; Dwyer et al., 2008), and a Rural Economy and Land Use (RELU) funded project on ‘neighbourhood effects’ in organic farming (Sutherland, 2011)’ (Sutherland, et al, 2012).</w:t>
      </w:r>
    </w:p>
    <w:p w:rsidR="00000000" w:rsidDel="00000000" w:rsidP="00000000" w:rsidRDefault="00000000" w:rsidRPr="00000000" w14:paraId="0000027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et al. (2012) define a ‘triggering change</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as a major shift in farming practices that occurs in response to ‘trigger events’. A ‘major change’ is characterised by a significant reorientation of farming resources, which can be described as a ‘transition’ (Sutherland, et al., 2012). In contrast, a ‘minor change’ does not alter the farm's direction or focus; for instance, adding different environmental elements gradually or making small adjustments to production levels are considered minor; however, a transformation such as converting to organic farming is considered a major change (Sutherland, 2011; Sutherland et al., 2012). Sutherland et al. (2012) also distinguish between triggers and trigger events, recognising that it may take a period of time or a series of triggers for a recognition of a ‘triggering event’ to occur. They note that triggers leading to a trigger event can be either positive or negative. Sutherland et al. (2012) found that ‘opportunities’ can lead to changes in farming trajectory and, conversely, they also identified ‘imperatives’ such as new regulations, market fluctuations, and financial duress, which can act as more urgent drivers of change. In the case of Brexit, new regulations and financial duress resulting from the phasing out of BPS during this period can be considered an imperative trigger. Sutherland et al. (2012) also identified two emergent categories of triggers: those related to the life course of the farm household, such as succession, retirement, and fluctuations in labour availability, and those related to the farm business, including land availability, commodity prices, regulations, and subsidy schemes. Brexit impacted both categories: labour availability, as noted in the previous chapter, and the farm business, due to the removal of EU funding and the introduction of new domestic funding structures and regulations, which collectively triggered a significant change in farming practices. Thus, applying the triggering change model to conceptualise farmer decision-making and response to change is useful in the context of this thesis. </w:t>
      </w:r>
    </w:p>
    <w:p w:rsidR="00000000" w:rsidDel="00000000" w:rsidP="00000000" w:rsidRDefault="00000000" w:rsidRPr="00000000" w14:paraId="00000280">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different stages of the process, as defined by Sutherland et al. (2012), are briefly described below, and a model of the framework is provided in Figure 3.3. </w:t>
      </w:r>
    </w:p>
    <w:p w:rsidR="00000000" w:rsidDel="00000000" w:rsidP="00000000" w:rsidRDefault="00000000" w:rsidRPr="00000000" w14:paraId="00000281">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Path Dependency:</w:t>
      </w:r>
      <w:r w:rsidDel="00000000" w:rsidR="00000000" w:rsidRPr="00000000">
        <w:rPr>
          <w:rFonts w:ascii="Calibri" w:cs="Calibri" w:eastAsia="Calibri" w:hAnsi="Calibri"/>
          <w:sz w:val="24"/>
          <w:szCs w:val="24"/>
          <w:rtl w:val="0"/>
        </w:rPr>
        <w:t xml:space="preserve"> All components of the new system are considered to be working together effectively, so the incentive for the farmer to change the system is low. This stage can be otherwise considered the ‘status quo’ and may exist indefinitely. </w:t>
      </w:r>
      <w:r w:rsidDel="00000000" w:rsidR="00000000" w:rsidRPr="00000000">
        <w:rPr>
          <w:rtl w:val="0"/>
        </w:rPr>
      </w:r>
    </w:p>
    <w:p w:rsidR="00000000" w:rsidDel="00000000" w:rsidP="00000000" w:rsidRDefault="00000000" w:rsidRPr="00000000" w14:paraId="00000282">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Trigger Event: </w:t>
      </w:r>
      <w:r w:rsidDel="00000000" w:rsidR="00000000" w:rsidRPr="00000000">
        <w:rPr>
          <w:rFonts w:ascii="Calibri" w:cs="Calibri" w:eastAsia="Calibri" w:hAnsi="Calibri"/>
          <w:sz w:val="24"/>
          <w:szCs w:val="24"/>
          <w:rtl w:val="0"/>
        </w:rPr>
        <w:t xml:space="preserve">The farm manager either encounters or anticipates a ‘trigger event’ that prompts the realisation that a system change is needed to meet farm management objectives or exploit new opportunities. Trigger events can include “changes in the farm household through succession, injury or sudden death, new market opportunities or failures.”</w:t>
      </w:r>
      <w:r w:rsidDel="00000000" w:rsidR="00000000" w:rsidRPr="00000000">
        <w:rPr>
          <w:rtl w:val="0"/>
        </w:rPr>
      </w:r>
    </w:p>
    <w:p w:rsidR="00000000" w:rsidDel="00000000" w:rsidP="00000000" w:rsidRDefault="00000000" w:rsidRPr="00000000" w14:paraId="00000283">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Active Assessment: </w:t>
      </w:r>
      <w:r w:rsidDel="00000000" w:rsidR="00000000" w:rsidRPr="00000000">
        <w:rPr>
          <w:rFonts w:ascii="Calibri" w:cs="Calibri" w:eastAsia="Calibri" w:hAnsi="Calibri"/>
          <w:sz w:val="24"/>
          <w:szCs w:val="24"/>
          <w:rtl w:val="0"/>
        </w:rPr>
        <w:t xml:space="preserve">This is an iterative process whereby farmers actively assess different business options available to them. This stage includes whether a farmer will experiment with different options, consult their network for opinions, and explore the implications of changing their current system. </w:t>
      </w:r>
      <w:r w:rsidDel="00000000" w:rsidR="00000000" w:rsidRPr="00000000">
        <w:rPr>
          <w:rtl w:val="0"/>
        </w:rPr>
      </w:r>
    </w:p>
    <w:p w:rsidR="00000000" w:rsidDel="00000000" w:rsidP="00000000" w:rsidRDefault="00000000" w:rsidRPr="00000000" w14:paraId="00000284">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Implementation: </w:t>
      </w:r>
      <w:r w:rsidDel="00000000" w:rsidR="00000000" w:rsidRPr="00000000">
        <w:rPr>
          <w:rFonts w:ascii="Calibri" w:cs="Calibri" w:eastAsia="Calibri" w:hAnsi="Calibri"/>
          <w:sz w:val="24"/>
          <w:szCs w:val="24"/>
          <w:rtl w:val="0"/>
        </w:rPr>
        <w:t xml:space="preserve">The new system is chosen, and the farmer implements changes. The farmer makes a financial commitment to structural changes and to developing “new skills, knowledge and establishing new social and business networks around the new system.”</w:t>
      </w:r>
      <w:r w:rsidDel="00000000" w:rsidR="00000000" w:rsidRPr="00000000">
        <w:rPr>
          <w:rtl w:val="0"/>
        </w:rPr>
      </w:r>
    </w:p>
    <w:p w:rsidR="00000000" w:rsidDel="00000000" w:rsidP="00000000" w:rsidRDefault="00000000" w:rsidRPr="00000000" w14:paraId="00000285">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Consolidation</w:t>
      </w:r>
      <w:r w:rsidDel="00000000" w:rsidR="00000000" w:rsidRPr="00000000">
        <w:rPr>
          <w:rFonts w:ascii="Calibri" w:cs="Calibri" w:eastAsia="Calibri" w:hAnsi="Calibri"/>
          <w:sz w:val="24"/>
          <w:szCs w:val="24"/>
          <w:rtl w:val="0"/>
        </w:rPr>
        <w:t xml:space="preserve">: The farmer develops new skills, knowledge, and networks due to the new system. The new system is assessed to see whether or not it appropriately addresses the issues raised as a result of the ‘trigger event’.  If the new system established is not successful then the farmer returns to Step 3 and “the investment undertaken during implementation may weaken the ability of the farm manager to implement further new changes” Sutherland, et al. (2012).</w:t>
      </w:r>
      <w:r w:rsidDel="00000000" w:rsidR="00000000" w:rsidRPr="00000000">
        <w:rPr>
          <w:rtl w:val="0"/>
        </w:rPr>
      </w:r>
    </w:p>
    <w:p w:rsidR="00000000" w:rsidDel="00000000" w:rsidP="00000000" w:rsidRDefault="00000000" w:rsidRPr="00000000" w14:paraId="00000286">
      <w:pPr>
        <w:numPr>
          <w:ilvl w:val="0"/>
          <w:numId w:val="3"/>
        </w:numPr>
        <w:spacing w:after="200" w:before="200" w:line="360" w:lineRule="auto"/>
        <w:ind w:left="720" w:hanging="360"/>
        <w:rPr/>
      </w:pPr>
      <w:r w:rsidDel="00000000" w:rsidR="00000000" w:rsidRPr="00000000">
        <w:rPr>
          <w:rFonts w:ascii="Calibri" w:cs="Calibri" w:eastAsia="Calibri" w:hAnsi="Calibri"/>
          <w:b w:val="1"/>
          <w:sz w:val="24"/>
          <w:szCs w:val="24"/>
          <w:rtl w:val="0"/>
        </w:rPr>
        <w:t xml:space="preserve">Path Dependency: </w:t>
      </w:r>
      <w:r w:rsidDel="00000000" w:rsidR="00000000" w:rsidRPr="00000000">
        <w:rPr>
          <w:rFonts w:ascii="Calibri" w:cs="Calibri" w:eastAsia="Calibri" w:hAnsi="Calibri"/>
          <w:sz w:val="24"/>
          <w:szCs w:val="24"/>
          <w:rtl w:val="0"/>
        </w:rPr>
        <w:t xml:space="preserve">If the new system is successful, the farmer returns to Step 1 of Path Dependency. </w:t>
      </w:r>
      <w:r w:rsidDel="00000000" w:rsidR="00000000" w:rsidRPr="00000000">
        <w:rPr>
          <w:rtl w:val="0"/>
        </w:rPr>
      </w:r>
    </w:p>
    <w:p w:rsidR="00000000" w:rsidDel="00000000" w:rsidP="00000000" w:rsidRDefault="00000000" w:rsidRPr="00000000" w14:paraId="00000287">
      <w:pPr>
        <w:keepNext w:val="1"/>
        <w:spacing w:after="200" w:before="200" w:line="360" w:lineRule="auto"/>
        <w:rPr/>
      </w:pPr>
      <w:r w:rsidDel="00000000" w:rsidR="00000000" w:rsidRPr="00000000">
        <w:rPr>
          <w:rFonts w:ascii="Calibri" w:cs="Calibri" w:eastAsia="Calibri" w:hAnsi="Calibri"/>
          <w:sz w:val="24"/>
          <w:szCs w:val="24"/>
        </w:rPr>
        <w:drawing>
          <wp:inline distB="114300" distT="114300" distL="114300" distR="114300">
            <wp:extent cx="4410075" cy="4542959"/>
            <wp:effectExtent b="0" l="0" r="0" t="0"/>
            <wp:docPr id="1297365380" name="image5.jpg"/>
            <a:graphic>
              <a:graphicData uri="http://schemas.openxmlformats.org/drawingml/2006/picture">
                <pic:pic>
                  <pic:nvPicPr>
                    <pic:cNvPr id="0" name="image5.jpg"/>
                    <pic:cNvPicPr preferRelativeResize="0"/>
                  </pic:nvPicPr>
                  <pic:blipFill>
                    <a:blip r:embed="rId18"/>
                    <a:srcRect b="0" l="21826" r="23548" t="0"/>
                    <a:stretch>
                      <a:fillRect/>
                    </a:stretch>
                  </pic:blipFill>
                  <pic:spPr>
                    <a:xfrm>
                      <a:off x="0" y="0"/>
                      <a:ext cx="4410075" cy="4542959"/>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t5yz3enja28m" w:id="54"/>
      <w:bookmarkEnd w:id="54"/>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8</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3.2. The ‘triggering change’ cycle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1"/>
          <w:smallCaps w:val="0"/>
          <w:strike w:val="0"/>
          <w:color w:val="000000"/>
          <w:sz w:val="24"/>
          <w:szCs w:val="24"/>
          <w:u w:val="none"/>
          <w:vertAlign w:val="baseline"/>
          <w:rtl w:val="0"/>
        </w:rPr>
        <w:t xml:space="preserve">   Source: Sutherland et al., 2012</w:t>
      </w:r>
    </w:p>
    <w:p w:rsidR="00000000" w:rsidDel="00000000" w:rsidP="00000000" w:rsidRDefault="00000000" w:rsidRPr="00000000" w14:paraId="0000028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model captures effectively the fact there is a constant flow of re-evaluation and deliberation, which is exacerbated by a ‘triggering change’. To illustrate, when farmers are in the consolidation stage they will revert back to active assessment to ensure that the decisions on their farm are working for themselves, and if it is not then they restart the ‘triggering change’ cycle. In the context of this thesis, decisions that farmers made at the start of the post-Brexit transition (trigger event) do not mean that they have addressed the event and fully moved on, but rather that they have entered into a cycle of active assessment to consolidation where they evaluate the decisions they made and determine if they are sustainable for themselves.</w:t>
      </w:r>
    </w:p>
    <w:p w:rsidR="00000000" w:rsidDel="00000000" w:rsidP="00000000" w:rsidRDefault="00000000" w:rsidRPr="00000000" w14:paraId="0000028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conceptual model also provides a framework for understanding the decision-making process of farmers by focusing on their attitudes and beliefs at different stages of decision-making. As outlined above, in response to a triggering event the active assessment stage, according to Sutherland et al. (2012), represents the shift in the knowledge acquisition of a farmer; this is followed by a period of consolidation where the farmer uses the new knowledge and skills developed to develop and implement a new system to their farming practices. </w:t>
      </w:r>
    </w:p>
    <w:p w:rsidR="00000000" w:rsidDel="00000000" w:rsidP="00000000" w:rsidRDefault="00000000" w:rsidRPr="00000000" w14:paraId="0000028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Breaking down the process of farmer decision-making allows for a more nuanced examination of the various factors that influence farmer behaviour and choices, rather than viewing farmer decision-making as a singular event. Sutherland et al. (2012) found that formal knowledge of farming, and the cultural context associated with that education, had a significant impact on farmers’ willingness to embrace change and make decisions in response to a triggering change. This is further compounded by the source of information that farmers surround themselves with, which shapes their knowledge and willingness to engage with new practices. The interactions with these sources of knowledge can reinforce existing types of knowledge, thereby supporting the trajectory that farmers decide to follow (Sutherland, et al., 2012).</w:t>
      </w:r>
    </w:p>
    <w:p w:rsidR="00000000" w:rsidDel="00000000" w:rsidP="00000000" w:rsidRDefault="00000000" w:rsidRPr="00000000" w14:paraId="0000028D">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et al. (2012) also found that the triggering change cycle is closely related to another prominent conceptualisation used to understand farmer behaviour which was alluded to earlier in this chapter: the ‘good farmer’. Specifically, Sutherland et al. (2012) observed that, when faced with change, some farmers become locked into their farming trajectories or refuse to consider specific alternatives due to embedded beliefs about the opportunities presented and the potential loss of social position associated in the case of an unsuccessful adoption of new approaches. For example, farmers may resist change because they fear being perceived as deviating from the symbols of ‘good farming’ by their peers or failing due to venturing and trying something new.</w:t>
      </w:r>
    </w:p>
    <w:p w:rsidR="00000000" w:rsidDel="00000000" w:rsidP="00000000" w:rsidRDefault="00000000" w:rsidRPr="00000000" w14:paraId="0000028E">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time of this research taking place, it was believed that farmers would be situated in the active assessment stage of the triggering change cycle–due to the constant updates and emerging information of the transition period, which required farmers to constantly stay aware of updates impacting their businesses and cognisant of new opportunities available to them. These updates and changes of the post-Brexit transition are reflective of an iterative process of farmers </w:t>
      </w:r>
      <w:r w:rsidDel="00000000" w:rsidR="00000000" w:rsidRPr="00000000">
        <w:rPr>
          <w:rFonts w:ascii="Calibri" w:cs="Calibri" w:eastAsia="Calibri" w:hAnsi="Calibri"/>
          <w:i w:val="1"/>
          <w:sz w:val="24"/>
          <w:szCs w:val="24"/>
          <w:rtl w:val="0"/>
        </w:rPr>
        <w:t xml:space="preserve">actively assessing</w:t>
      </w:r>
      <w:r w:rsidDel="00000000" w:rsidR="00000000" w:rsidRPr="00000000">
        <w:rPr>
          <w:rFonts w:ascii="Calibri" w:cs="Calibri" w:eastAsia="Calibri" w:hAnsi="Calibri"/>
          <w:sz w:val="24"/>
          <w:szCs w:val="24"/>
          <w:rtl w:val="0"/>
        </w:rPr>
        <w:t xml:space="preserve"> different options available to them and making considerations of their current situation, thereby making the categorisation of the active assessment stage suitable for the farmers interviewed in this thesis. Chapter Four also references the triggering change cycle, specifically, how this concept was used for data collection to formulate the questions for interviews with farmers.</w:t>
      </w:r>
    </w:p>
    <w:p w:rsidR="00000000" w:rsidDel="00000000" w:rsidP="00000000" w:rsidRDefault="00000000" w:rsidRPr="00000000" w14:paraId="0000028F">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section further elaborates on and dissects the ‘good farmer’ concept, presenting how it can be used to understand farmer behaviour and address the gaps which exist in the current literature.</w:t>
      </w:r>
    </w:p>
    <w:p w:rsidR="00000000" w:rsidDel="00000000" w:rsidP="00000000" w:rsidRDefault="00000000" w:rsidRPr="00000000" w14:paraId="00000290">
      <w:pPr>
        <w:pStyle w:val="Heading2"/>
        <w:numPr>
          <w:ilvl w:val="0"/>
          <w:numId w:val="5"/>
        </w:numPr>
        <w:ind w:left="360" w:hanging="360"/>
        <w:rPr/>
      </w:pPr>
      <w:bookmarkStart w:colFirst="0" w:colLast="0" w:name="_heading=h.hxb9agjg4mcx" w:id="55"/>
      <w:bookmarkEnd w:id="55"/>
      <w:r w:rsidDel="00000000" w:rsidR="00000000" w:rsidRPr="00000000">
        <w:rPr>
          <w:rtl w:val="0"/>
        </w:rPr>
        <w:t xml:space="preserve">The Good Farmer </w:t>
      </w:r>
    </w:p>
    <w:p w:rsidR="00000000" w:rsidDel="00000000" w:rsidP="00000000" w:rsidRDefault="00000000" w:rsidRPr="00000000" w14:paraId="0000029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outlined above, and in line with this thesis's inductive approach, the ‘good farmer’ concept emerged as a valuable framework for engaging with the data collected; this section offers an in-depth analysis of the concept and establishes the foundation for how it will be engaged with throughout the remainder of the thesis.</w:t>
      </w:r>
    </w:p>
    <w:p w:rsidR="00000000" w:rsidDel="00000000" w:rsidP="00000000" w:rsidRDefault="00000000" w:rsidRPr="00000000" w14:paraId="0000029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concept was developed to account for how normative and social values guide farmer decision-making and attitudes (Burton et al., 2008; Sutherland and Darnhofer, 2012; Burton et al., 2020). This concept has emerged as one of the most prominent approaches to understanding farmer behaviour (Burton, 2004; Burton et al., 2008; Burton &amp; Paragahawewa, 2011; Sutherland &amp; Burton, 2011; Riley, 2014; Cusworth &amp; Dodsworth, 2021). As suggested above, the triggering change of the Brexit transition positions this concept as being suitable to account for farmer behaviour in this period of transition.</w:t>
      </w:r>
    </w:p>
    <w:p w:rsidR="00000000" w:rsidDel="00000000" w:rsidP="00000000" w:rsidRDefault="00000000" w:rsidRPr="00000000" w14:paraId="0000029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literature emphasises that farmers care about how their communities view them and make business decisions that will lead to them being well respected in their field or viewed as ‘good farmers’ (Burton et al., 2008). Burton et al. (2008) and McGuire et al. (2013) use Bourdieu's social theory to break down the different elements which form the ‘good farmer’ and demonstrate that farmer behaviour is not simply economically motivated. Burton’s conceptualisation of the ‘good farmer’ follows the logic of Pierre Bourdieu's (1997) social and cultural reproduction theory, which explains how individuals act in their environment concerning their capital, habitus, and field (Bourdieu, 1997; Bourdieu, 2002). Bourdieu (1986) defines capital in three different dimensions: economic (financials, ability to invest in other capitals, monetary), cultural (skills, value, knowledge) and social (networks, memberships, community) capital. According to Bourdieu (1986), capital defines an individual's role in society, and the amount of economic capital one possesses underpins the social and cultural capital available to a person. </w:t>
      </w:r>
    </w:p>
    <w:p w:rsidR="00000000" w:rsidDel="00000000" w:rsidP="00000000" w:rsidRDefault="00000000" w:rsidRPr="00000000" w14:paraId="0000029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has been applied in various ways to further the concept of the ‘good farmer’, and Figure 3.4. brings these interpretations together to develop a comprehensive theoretical framework. Specifically, the figure illustrates how Bourdieu’s social theory framework–encompassing economic, cultural, and social capital–is related to the ‘good farmer’ concept, particularly through examples of social and cultural capital that have been highlighted in the literature (Bourdieu, 1986, 1997, 2002; Burton, 2004; Burton &amp; Paragahawewa, 2011; Burton et al., 2008; Sutherland &amp; Burton, 2011; Riley, 2014; Cusworth &amp; Dodsworth, 2021).For instance, cultural capital in farming is reflected through farmers' knowledge, skills, values, and behaviours, with the products of this cultural capital often embodied in farming symbols that can be categorised as ‘good’, thus defining the ‘good farmer’ (Burton, 2004; Burton et al., 2008; Burton &amp; Paragahawewa, 2011; Sutherland &amp; Burton, 2011). This analytical framework provides a reference point for the rest of this thesis, which outlines how the different forms of capital work together and interact. The figure simplifies the definitions and concepts related to the ‘good farmer’ and allows for an easier understanding of how economic, cultural, and social capital have evolved in the post-Brexit transition and impacted farmer decision-making and behaviour during this period.</w:t>
      </w:r>
    </w:p>
    <w:p w:rsidR="00000000" w:rsidDel="00000000" w:rsidP="00000000" w:rsidRDefault="00000000" w:rsidRPr="00000000" w14:paraId="00000295">
      <w:pPr>
        <w:keepNext w:val="1"/>
        <w:spacing w:after="200" w:before="200" w:line="360" w:lineRule="auto"/>
        <w:rPr/>
      </w:pPr>
      <w:r w:rsidDel="00000000" w:rsidR="00000000" w:rsidRPr="00000000">
        <w:rPr>
          <w:rFonts w:ascii="Calibri" w:cs="Calibri" w:eastAsia="Calibri" w:hAnsi="Calibri"/>
          <w:sz w:val="24"/>
          <w:szCs w:val="24"/>
        </w:rPr>
        <w:drawing>
          <wp:inline distB="114300" distT="114300" distL="114300" distR="114300">
            <wp:extent cx="5614035" cy="4183708"/>
            <wp:effectExtent b="0" l="0" r="0" t="0"/>
            <wp:docPr id="1297365379" name="image7.jpg"/>
            <a:graphic>
              <a:graphicData uri="http://schemas.openxmlformats.org/drawingml/2006/picture">
                <pic:pic>
                  <pic:nvPicPr>
                    <pic:cNvPr id="0" name="image7.jpg"/>
                    <pic:cNvPicPr preferRelativeResize="0"/>
                  </pic:nvPicPr>
                  <pic:blipFill>
                    <a:blip r:embed="rId19"/>
                    <a:srcRect b="0" l="11955" r="12443" t="0"/>
                    <a:stretch>
                      <a:fillRect/>
                    </a:stretch>
                  </pic:blipFill>
                  <pic:spPr>
                    <a:xfrm>
                      <a:off x="0" y="0"/>
                      <a:ext cx="5614035" cy="4183708"/>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h6001lez8q4a" w:id="56"/>
      <w:bookmarkEnd w:id="56"/>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9</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3.3: Conceptual framework of Bourdieu's social theory applied to the ‘good farmer’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concept in the context of English Farming</w:t>
      </w:r>
    </w:p>
    <w:p w:rsidR="00000000" w:rsidDel="00000000" w:rsidP="00000000" w:rsidRDefault="00000000" w:rsidRPr="00000000" w14:paraId="00000298">
      <w:pPr>
        <w:spacing w:after="200" w:before="20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Source: Author’s own work derived from: Bourdieu (1986, 1997, 2002), Sutherland and Burton   (2011), Burton and Paragahawewa (2011), Burton et al. (2008), Riley (2014), Burton (2004), and Cusworth and Dodsworth (2021) </w:t>
      </w:r>
    </w:p>
    <w:p w:rsidR="00000000" w:rsidDel="00000000" w:rsidP="00000000" w:rsidRDefault="00000000" w:rsidRPr="00000000" w14:paraId="0000029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Cusworth (2020) explores the relationship between the ‘good farmer’ and capital, finding that the ‘good farmer’ can reproduce cultural capital by participating in environmental management and, inversely, farmers can lose cultural and social capital through ‘environmental negligence’ (e.g., unkempt farms, overflowing slurry storage). Thus, farmers may make decisions hoping to achieve social or cultural capital which relates to that idea of social validation and acceptance. The validation received from their peers is what allows them to self-categorise and be perceived by others as a ‘good farmer’ or valued community member. Burton and Paragahawewa (2011) find that through participation in agri-environmental schemes, farmers gain cultural capital through learning how to farm in a new way and create social capital because access to a group environment allows for the sharing of experiences with peers. Social capital is also linked to the connections (e.g., access to advisors, professional workshops, membership of professional organisations) farmers have prior to joining schemes and the positive impact those networks have on their ability to join (Mathjis, 2003).  </w:t>
      </w:r>
    </w:p>
    <w:p w:rsidR="00000000" w:rsidDel="00000000" w:rsidP="00000000" w:rsidRDefault="00000000" w:rsidRPr="00000000" w14:paraId="0000029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(1986) denotes that cultural and social capital work interdependently, and personal connections and social environments (social capital) can largely influence cultural capital. Cultural capital comprises three different dimensions – embodied, objectified, and institutionalised– combined, these three dimensions produce the different examples of how cultural capital presents itself in society and how an individual is perceived within their community (Bourdieu, 1986). To illustrate, </w:t>
      </w:r>
      <w:r w:rsidDel="00000000" w:rsidR="00000000" w:rsidRPr="00000000">
        <w:rPr>
          <w:rFonts w:ascii="Calibri" w:cs="Calibri" w:eastAsia="Calibri" w:hAnsi="Calibri"/>
          <w:i w:val="1"/>
          <w:sz w:val="24"/>
          <w:szCs w:val="24"/>
          <w:rtl w:val="0"/>
        </w:rPr>
        <w:t xml:space="preserve">embodied cultural capital</w:t>
      </w:r>
      <w:r w:rsidDel="00000000" w:rsidR="00000000" w:rsidRPr="00000000">
        <w:rPr>
          <w:rFonts w:ascii="Calibri" w:cs="Calibri" w:eastAsia="Calibri" w:hAnsi="Calibri"/>
          <w:sz w:val="24"/>
          <w:szCs w:val="24"/>
          <w:rtl w:val="0"/>
        </w:rPr>
        <w:t xml:space="preserve"> is the knowledge or skills a person acquires, </w:t>
      </w:r>
      <w:r w:rsidDel="00000000" w:rsidR="00000000" w:rsidRPr="00000000">
        <w:rPr>
          <w:rFonts w:ascii="Calibri" w:cs="Calibri" w:eastAsia="Calibri" w:hAnsi="Calibri"/>
          <w:i w:val="1"/>
          <w:sz w:val="24"/>
          <w:szCs w:val="24"/>
          <w:rtl w:val="0"/>
        </w:rPr>
        <w:t xml:space="preserve">objectified cultural capital</w:t>
      </w:r>
      <w:r w:rsidDel="00000000" w:rsidR="00000000" w:rsidRPr="00000000">
        <w:rPr>
          <w:rFonts w:ascii="Calibri" w:cs="Calibri" w:eastAsia="Calibri" w:hAnsi="Calibri"/>
          <w:sz w:val="24"/>
          <w:szCs w:val="24"/>
          <w:rtl w:val="0"/>
        </w:rPr>
        <w:t xml:space="preserve"> is the possessions that can contribute to the cultural capital an individual has, and </w:t>
      </w:r>
      <w:r w:rsidDel="00000000" w:rsidR="00000000" w:rsidRPr="00000000">
        <w:rPr>
          <w:rFonts w:ascii="Calibri" w:cs="Calibri" w:eastAsia="Calibri" w:hAnsi="Calibri"/>
          <w:i w:val="1"/>
          <w:sz w:val="24"/>
          <w:szCs w:val="24"/>
          <w:rtl w:val="0"/>
        </w:rPr>
        <w:t xml:space="preserve">institutionalised cultural capital</w:t>
      </w:r>
      <w:r w:rsidDel="00000000" w:rsidR="00000000" w:rsidRPr="00000000">
        <w:rPr>
          <w:rFonts w:ascii="Calibri" w:cs="Calibri" w:eastAsia="Calibri" w:hAnsi="Calibri"/>
          <w:sz w:val="24"/>
          <w:szCs w:val="24"/>
          <w:rtl w:val="0"/>
        </w:rPr>
        <w:t xml:space="preserve"> is the cultural capital an individual has related to their formal associations and certifications (Bourdieu, 1986). All of these different dimensions form cultural capital and interact with the social capital of an individual to form the habitus. </w:t>
      </w:r>
    </w:p>
    <w:p w:rsidR="00000000" w:rsidDel="00000000" w:rsidP="00000000" w:rsidRDefault="00000000" w:rsidRPr="00000000" w14:paraId="0000029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Habitus addresses the dichotomy between humans having free will but also being confined to making decisions based on the judgement and opinions of others (Maton, 2008). Different cultures and classes have their own habitus. Over time, the decisions made within these various levels of society have evolved into the social tendencies of these groups and have codified the psychologies behind why they are more likely to behave in certain ways (Bourdieu, 1986). A farmer's habitus and social capital therefore work hand in hand because there is an inter-reliance between a farmer’s identity (habitus) defining themselves as a farmer and their social grouping of peers regarding them as one as well (Burns, 2021). </w:t>
      </w:r>
    </w:p>
    <w:p w:rsidR="00000000" w:rsidDel="00000000" w:rsidP="00000000" w:rsidRDefault="00000000" w:rsidRPr="00000000" w14:paraId="0000029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case of the farmer, the ‘habitus’ is an extension of the years of cultural capital that have shaped farmer habits, skills, and dispositions regarding how they react in their environment, otherwise known as their ‘field’. The ‘field’ is considered a designated competitive space where individuals make different decisions, with their goal being to accumulate different types of capital (Bourdieu, 1984; Burton, 2008). Burton (2008) suggests that in the agricultural system, the habitus is informed by the economic and embodied cultural capital from previous experiences and interactions to guide an individual’s decision-making. For example, the embodied element of cultural capital a farmer may gain could be learning from the methods and skills used by their family historically. Therefore, the exposure to this method of farming would be ingrained in the individual farmer’s ‘habitus’ and thus develop into either habits or skills of how they wish to farm when they are given the opportunity to and guide their decision-making when making changes on the farm. The guidelines (e.g. what is considered impressive versus discouraged) of the field are established based on how the group members operating in that field regularise practices and view them as legitimate which then translates into what practices are considered accepted (Burns, 2021). </w:t>
      </w:r>
    </w:p>
    <w:p w:rsidR="00000000" w:rsidDel="00000000" w:rsidP="00000000" w:rsidRDefault="00000000" w:rsidRPr="00000000" w14:paraId="0000029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Within the ‘habitus’, Bourdieu (1984) uses ‘rules of the game’ to outline the structures which confine the individual’s ability to navigate decision-making in a changing environment; the rules of the game are not explicitly stated but are learned over time from being in an environment. Bourdieu (1986) explains how an individual's cultural and social capital equips them with dispositions that help explain how and why they may react in specific ways and abide by the rules of the game. The terminology Bourdieu (1986) uses to describe this is ‘the subjective expectations of objective possibilities’ or rather providing power to the habitus that there are boundaries and possibilities within one’s decision-making, based on their capital. Still, there are not an infinite number of possibilities available.  In cases where the ‘rules of the game’ are stable, then it is assumed that individuals with similar habitus are expected to respond in the same manner, whereas when there is a change in the ‘rules of the game’, then there is expected to be creative responses to the sudden change (Burton, 2008). Sutherland’s (2013) research confirmed this interpretation of Bourdieu's model when farmers experienced declining financial returns and viewed the changing trends towards organic farming as an alternative system to produce cultural capital and value.</w:t>
      </w:r>
    </w:p>
    <w:p w:rsidR="00000000" w:rsidDel="00000000" w:rsidP="00000000" w:rsidRDefault="00000000" w:rsidRPr="00000000" w14:paraId="0000029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outlined by Burton et al. (2020), there is no single definition of what it means to be a ‘good farmer’; instead, the good farmer concept is used to understand farmer decision-making, considering the existing cultural environment and objects. For example, the term ‘good farmer’ (and what it means to be one) has set an example of how farmers in the industry should operate, which in turn influences farmers to make decisions which can increase their visibility of being recognised as a ‘good farmer’ (Burton, 2008). It is also a concept that is employed by academics to capture and conceptualise the behaviour of farmers more generally. The terminology of the ‘good farmer’ is thus recursive. In the case of this thesis, the ‘good farmer’ is likewise analysed in both veins– from the viewpoint of how farmers view their peers as ‘good farmer’ (and how this guides decision-making) and how non-farming communities (e.g. academics) recognise the evolution of the ‘good farmer’ concept and what farmers consider as ‘good’ practices.  </w:t>
      </w:r>
    </w:p>
    <w:p w:rsidR="00000000" w:rsidDel="00000000" w:rsidP="00000000" w:rsidRDefault="00000000" w:rsidRPr="00000000" w14:paraId="0000029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conceptualisation of the ‘good farmer’ has evolved significantly from the early 2000s and is deeply rooted in agrarianism, which views agriculture as an all-encompassing lifestyle aimed at sustaining families and farming communities rather than just as an occupation (Marioa, 2005). Agrarianism emphasises the importance of family farming, political decentralisation, and tradition, and holds a sceptical view of ideology, science, and technology (Heath, 2020). These elements of agrarianism such as the emphasis on community, tradition, and family are all relevant dynamics which are addressed in the ‘good farmer’ concept.  The ‘good farmer’ concept works in a manner where farmers can use what is necessitated as ‘good’ by their peers to be an indicator of where they sit within their societal grouping of the farming community; this concept has been cited as being especially useful to understand the changes of farmer behaviour during periods of agricultural transition because applying the concept lends insight to how the role of productivism has evolved in relation what actions define the good farmer (Burton 2004 and Burton et al. 2008). </w:t>
      </w:r>
    </w:p>
    <w:p w:rsidR="00000000" w:rsidDel="00000000" w:rsidP="00000000" w:rsidRDefault="00000000" w:rsidRPr="00000000" w14:paraId="000002A0">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 to the introduction of AES in England in the late 1980s, the focus of agricultural policy in the UK post-WWII was on securing food supply and supporting rural communities; the UK’s entrance to the EU and therefore joining of the CAP bolstered the support for production-based outcome due to its model of subsidising farmers for their agricultural output (Burton et al., 2004). The encouragement from the government (financially and legislatively) to produce food ingrained a ‘productivist’ mindset into farmers which therefore impacted their decisions, prompting them to farm in a way that maximised farm output and relied on intensive methods (Wilson, 2001; Burton, 2004). Burton (2004) argues that this period was responsible for the identification of productivism as a symbol of ‘good farming’ as it embodied the role of contributing towards national food security. The definition of ‘good farming’ continued to evolve though as the implications of intensive farming grew (e.g. environmental impact, disease outbreaks like BSE and foot and mouth, and overproduction) and there was a larger societal shift towards environmentalism (Burton, 2004). </w:t>
      </w:r>
    </w:p>
    <w:p w:rsidR="00000000" w:rsidDel="00000000" w:rsidP="00000000" w:rsidRDefault="00000000" w:rsidRPr="00000000" w14:paraId="000002A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introduced in the previous sections, the introduction of the first agri-environmental schemes to England in the late 1980s highlighted the shift towards farmers adopting conservationist and environmentally focused outcomes. This shift in agricultural policy has raised questions about whether ‘good farming’ symbols have also shifted to become more post-productivist in nature. Burton (2004) suggests that as farmers become accustomed to the new roles promoted by AES policies, they develop new behaviours and therefore identify new symbols of ‘good farming’. For example, farmers may come to see the impact of environmentally friendly farming practices, such as restoring biodiversity to be a new, and 'good' farming practice, that contrasts with the hitherto valued uniformity and high production (Burton, 2004). The risk of pushing the evolution of these farming symbols to change too quickly, is that if farmers fail to understand why the changes are taking place and do not see the financial gain in making the changes, then they may fail to adapt to the changing ‘good farming’ symbols and may decide to leave the industry, taking with them their years of knowledge of their land and the practicalities of it which are necessary in making the first step towards environmentally-friendly farming (Burton, 2004). Therefore, to understand transitions and farmers' responses to them it is important to be able to identify what farmers view as important symbols of ‘good farming’ and how these symbols can be broken down to better assess farmer behaviour and decision-making. It is useful to evaluate the ‘good farmer’ in the wake of a triggering change because it provides an opportunity to understand how the role of the farmer has evolved in response to industry changes. To illustrate this point, according to Burton, et al. (2020, pg. 156-157):</w:t>
      </w:r>
    </w:p>
    <w:p w:rsidR="00000000" w:rsidDel="00000000" w:rsidP="00000000" w:rsidRDefault="00000000" w:rsidRPr="00000000" w14:paraId="000002A2">
      <w:pPr>
        <w:spacing w:after="240" w:before="24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The good farmer is </w:t>
      </w:r>
      <w:r w:rsidDel="00000000" w:rsidR="00000000" w:rsidRPr="00000000">
        <w:rPr>
          <w:rFonts w:ascii="Calibri" w:cs="Calibri" w:eastAsia="Calibri" w:hAnsi="Calibri"/>
          <w:b w:val="1"/>
          <w:i w:val="1"/>
          <w:sz w:val="24"/>
          <w:szCs w:val="24"/>
          <w:rtl w:val="0"/>
        </w:rPr>
        <w:t xml:space="preserve">constantly adapting to changing</w:t>
      </w:r>
      <w:r w:rsidDel="00000000" w:rsidR="00000000" w:rsidRPr="00000000">
        <w:rPr>
          <w:rFonts w:ascii="Calibri" w:cs="Calibri" w:eastAsia="Calibri" w:hAnsi="Calibri"/>
          <w:i w:val="1"/>
          <w:sz w:val="24"/>
          <w:szCs w:val="24"/>
          <w:rtl w:val="0"/>
        </w:rPr>
        <w:t xml:space="preserve"> technologies, broader expectations for social behaviour (e.g. gender roles), and </w:t>
      </w:r>
      <w:r w:rsidDel="00000000" w:rsidR="00000000" w:rsidRPr="00000000">
        <w:rPr>
          <w:rFonts w:ascii="Calibri" w:cs="Calibri" w:eastAsia="Calibri" w:hAnsi="Calibri"/>
          <w:b w:val="1"/>
          <w:i w:val="1"/>
          <w:sz w:val="24"/>
          <w:szCs w:val="24"/>
          <w:rtl w:val="0"/>
        </w:rPr>
        <w:t xml:space="preserve">changing expectations for the role of agriculture</w:t>
      </w:r>
      <w:r w:rsidDel="00000000" w:rsidR="00000000" w:rsidRPr="00000000">
        <w:rPr>
          <w:rFonts w:ascii="Calibri" w:cs="Calibri" w:eastAsia="Calibri" w:hAnsi="Calibri"/>
          <w:i w:val="1"/>
          <w:sz w:val="24"/>
          <w:szCs w:val="24"/>
          <w:rtl w:val="0"/>
        </w:rPr>
        <w:t xml:space="preserve"> in society (e.g. environmental). The good farmer could indeed be a farmer reluctant to introduce change – if the peer group happens to consist of similarly oriented farmers – but is more commonly a farmer at the top of his/her game in terms of farming and that means</w:t>
      </w:r>
      <w:r w:rsidDel="00000000" w:rsidR="00000000" w:rsidRPr="00000000">
        <w:rPr>
          <w:rFonts w:ascii="Calibri" w:cs="Calibri" w:eastAsia="Calibri" w:hAnsi="Calibri"/>
          <w:b w:val="1"/>
          <w:i w:val="1"/>
          <w:sz w:val="24"/>
          <w:szCs w:val="24"/>
          <w:rtl w:val="0"/>
        </w:rPr>
        <w:t xml:space="preserve"> constantly responding to changing social, environmental, and economic conditions </w:t>
      </w:r>
      <w:r w:rsidDel="00000000" w:rsidR="00000000" w:rsidRPr="00000000">
        <w:rPr>
          <w:rFonts w:ascii="Calibri" w:cs="Calibri" w:eastAsia="Calibri" w:hAnsi="Calibri"/>
          <w:i w:val="1"/>
          <w:sz w:val="24"/>
          <w:szCs w:val="24"/>
          <w:rtl w:val="0"/>
        </w:rPr>
        <w:t xml:space="preserve">to stay in farming</w:t>
      </w:r>
      <w:r w:rsidDel="00000000" w:rsidR="00000000" w:rsidRPr="00000000">
        <w:rPr>
          <w:rFonts w:ascii="Calibri" w:cs="Calibri" w:eastAsia="Calibri" w:hAnsi="Calibri"/>
          <w:i w:val="1"/>
          <w:sz w:val="24"/>
          <w:szCs w:val="24"/>
          <w:vertAlign w:val="superscript"/>
        </w:rPr>
        <w:footnoteReference w:customMarkFollows="0" w:id="20"/>
      </w:r>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2A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the ‘good farmer’ is how the farmer views their role in society and their responses to change are constantly evolving, impacting how the concept of the concept can be defined. The concept of the ‘good farmer’ stems in part from the ‘good farming’ principles farmers observed in other members of the farming community; these traditionally included farmers gaining prestige through producing mutually recognised symbols such as high yields, quality of livestock, and tidy fields, which are seen as markers of the farmer’s skill and cultural capital (Gray, 1998; Silvasti, 2003; Burton, 2004; Setten, 2004; Burton et al., 2008; Haggerty et al., 2009; Sutherland, 2013). The research suggests that farmers consider weed-free fields and tidy hedges as highly valued symbols of economic and cultural capital, which causes them to be less likely to participate in agri-environmental schemes because these schemes do not produce the neat and clean landscapes that align with the traditional symbols of good farming (Burton, 2004; Burton, 2008).This example highlights the complexity of how farmers categorise ‘good farming’ practices in this case, farmers consider a productivist landscape as an example of good farming practices, but at the same time they do not want to be seen solely as a custodian of the land through the participation in AES (Cusworth and Dodsworth, 2021). </w:t>
      </w:r>
    </w:p>
    <w:p w:rsidR="00000000" w:rsidDel="00000000" w:rsidP="00000000" w:rsidRDefault="00000000" w:rsidRPr="00000000" w14:paraId="000002A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farmers have responded negatively to agri-environmental schemes in the past due to a perceived conflict between their identities and the goals of agri-schemes. For example, Williams et al. (1994) argue that farmers decided against the adoption of the Community Forest ethos, due to their self-perception of being farmers, not foresters. Burgess et al. (2000) complement Williams et al.'s (1994) findings, by concluding that farmer identity and self-perception (in many cases as a food producer) inhibited them from joining agri-environmental schemes. A consistent theme in the literature is that the decisions that farmers make in AES represent farmers' values and the role they see themselves performing in society (e.g. green versus food producer). Participating in environmental schemes and choosing to produce different symbols of ‘good farming’, opens them up to the judgment of their peers and to the criticism that may no longer fit within the farming community’s definition of the ‘good farmer’ (Burton, 2004). Thus, using the ‘good farmer’ concept can be useful in evaluating agri-environmental scheme participation because it allows for the unpacking of the different social, cultural and economic elements that form farmer identity on an individual level and therefore influence their decision-making. </w:t>
      </w:r>
    </w:p>
    <w:p w:rsidR="00000000" w:rsidDel="00000000" w:rsidP="00000000" w:rsidRDefault="00000000" w:rsidRPr="00000000" w14:paraId="000002A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literature also demonstrates that farmers do not want to participate in schemes unless the schemes produce different symbols that are well respected and valued by their peers (Burton, 2004). The social validation aspect of the ‘good farmer’ is crucial to understand because as society evolves and transforms the definition of prestigious (or not) good farming symbols also shifts. For example, Sutherland (2013) investigates if the ‘good farmer’ concept had evolved with regard to organic farming, where the economy and market for organic products has grown significantly; however, in organic farming, the emphasis is not on high yields and, therefore, new ‘good farming’ symbols such as a demonstrated ability to farm using organic methods and earning a respectable income from this farming approach emerged. Sutherland (2013) finds that despite the lack of higher yields in organic farming, the higher profits from organic farming and the technique to farm in that method were considered new ‘good farmer’ skills that were considered valued by both traditional and organic farmers. More broadly, Sutherland (2013) highlights that cultural capital evolves with changing economic awards, leading to new symbols of ‘good farming’ forming. Burton et al. (2008) proposes that three conditions must be present for a new symbols of prestige and cultural capital amongst farming communities: (1) the activity must require a skill that is able to be categorised as either ‘poor’ or ‘good’ in performance; (2) the outcome of the skill must be a visible symbol; (3) the farming community must be able to see the symbol produced. Relating this back to Sutherland’s (2013) example of organic farming, organic farmers demonstrated their skill in being able to successfully implement organic farming methods and produce a good crop, the ‘good’ performance of this skill and the visible success of a healthy crop and higher price for organic crop (which were demonstrated to farmers involved in the study) allowed farmers to consider organic farming practices as ‘good’. </w:t>
      </w:r>
    </w:p>
    <w:p w:rsidR="00000000" w:rsidDel="00000000" w:rsidP="00000000" w:rsidRDefault="00000000" w:rsidRPr="00000000" w14:paraId="000002A6">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Despite the valuable foundation provided by the existing literature in helping to understand and conceptualise the ‘good farmer’, there remain notable limitations in how this concept has been theorised. Much of the literature tends to engage with Bourdieu’s theory only partially, often focusing on a single dimension of capital, whether cultural, social, or economic, without fully integrating all three or linking them cohesively back to Bourdieu’s broader social theory. As a result, the ‘good farmer’ is often reviewed through a somewhat singular and one-dimensional lens, rather than being explored as a complex, multi-faceted concept shaped by the interplay of various forms of capital.</w:t>
      </w:r>
    </w:p>
    <w:p w:rsidR="00000000" w:rsidDel="00000000" w:rsidP="00000000" w:rsidRDefault="00000000" w:rsidRPr="00000000" w14:paraId="000002A7">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illustrate, this thesis addresses a gap by evaluating changes in social, cultural, and economic capital through the lens of the Bourdieusian model, which underpins the ‘good farmer’. While elements of the different forms of capital have been explored in existing research, no study has explicitly revisited all three in relation to the ‘good farmer’. For example, the economic or financial motivations behind farmers’ participation in agri-environmental schemes have been considered, though not within the context of Bourdieu or the ‘good farmer’ (Coyne et al.,2020; Wilson and Hart, 2000). The role of social capital, particularly how farmer groups and advisory networks provide social validation and support for decision-making, has been addressed by Burton et al. (2008), Mathjis (2003) and Sutherland et al. (2013). Similarly, the evolution of cultural capital, specifically in relation to shifting symbols of ‘good farming’ and the move away from traditional practices, has been studied by Cusworth and Dodsworth (2021), Naylor et al. (2016), Sutherland (2012), Sutherland and Darnhofer (2012), and Wheeler et al. (2018). However, no single academic source applies all three forms of capital to a specific case or uses this integrated approach to develop an updated understanding of farmer decision-making within the ‘good farmer’ framework. As a result, the current literature remains open-ended, lacking a cohesive conceptual model that addresses how the ‘good farmer’ should evolve. This thesis seeks to fill that gap by analysing how different forms of capital influenced farmers’ decision-making during the post-Brexit transition period, thereby addressing the first and second research questions. Building on this empirical foundation, the thesis aims to provide a more comprehensive and theoretically grounded reconceptualisation of the ‘good farmer’ by answering the final research question: how can the ‘good farmer’ framework be reconceptualised to reflect the experiences of farmers in the post-Brexit transition?</w:t>
      </w:r>
    </w:p>
    <w:p w:rsidR="00000000" w:rsidDel="00000000" w:rsidP="00000000" w:rsidRDefault="00000000" w:rsidRPr="00000000" w14:paraId="000002A8">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builds upon Burton’s foundational work, which, while influential, is now over fifteen years old and in need of updating. Although recent developments, such as Burton et al. (2020), have advanced the concept, this thesis argues that the concept must continue to evolve, particularly in response to major changes within the agricultural sector. Importantly, the ‘good farmer’ has not been re-examined in the context of the post-Brexit transition, a period which has brought about significant shifts in farming policy. England is used here as a case study, for the purposes of this thesis and to represent wider ‘greener’ transitions across the sector, which is further explored in the Conclusion. </w:t>
      </w:r>
    </w:p>
    <w:p w:rsidR="00000000" w:rsidDel="00000000" w:rsidP="00000000" w:rsidRDefault="00000000" w:rsidRPr="00000000" w14:paraId="000002A9">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section presents the case for why the post-Brexit transition represents a timely and critical opportunity to challenge the existing conceptualisation of the ‘good farmer’. It introduces how this concept can be refined and modernised to better reflect the current realities and expectations of the agricultural industry in England today.</w:t>
      </w:r>
    </w:p>
    <w:p w:rsidR="00000000" w:rsidDel="00000000" w:rsidP="00000000" w:rsidRDefault="00000000" w:rsidRPr="00000000" w14:paraId="000002AA">
      <w:pPr>
        <w:pStyle w:val="Heading2"/>
        <w:numPr>
          <w:ilvl w:val="0"/>
          <w:numId w:val="5"/>
        </w:numPr>
        <w:ind w:left="360" w:hanging="360"/>
        <w:rPr/>
      </w:pPr>
      <w:bookmarkStart w:colFirst="0" w:colLast="0" w:name="_heading=h.p56tsyq39hbo" w:id="57"/>
      <w:bookmarkEnd w:id="57"/>
      <w:r w:rsidDel="00000000" w:rsidR="00000000" w:rsidRPr="00000000">
        <w:rPr>
          <w:rtl w:val="0"/>
        </w:rPr>
        <w:t xml:space="preserve">Applying the Good Farmer to the post-Brexit Transition </w:t>
      </w:r>
    </w:p>
    <w:p w:rsidR="00000000" w:rsidDel="00000000" w:rsidP="00000000" w:rsidRDefault="00000000" w:rsidRPr="00000000" w14:paraId="000002A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outlines how the triggering change of Brexit presents an opportunity to reconceptualise the ‘good farmer’. The concept of a triggering change cycle is used to illustrate the specific moment in which this research is situated, highlighting key stages in farmers' decision-making and their established processes for navigating change. Recognising Brexit as a triggering change allows for a re-evaluation of what shapes farmers’ trajectories and what they consider as symbols of good farming, particularly as periods of transition open up space for new opportunities and shifts in values. Brexit, therefore, serves as a useful case through which to examine how these values and symbols evolve. The ‘good farmer’ conceptualisation provides a means of understanding why certain farming trajectories are adopted over others by focusing on how different forms of capital influence decision-making during transitions. As such, this section introduces how, by concentrating on the shifting capital structures of the post-Brexit period, this thesis offers an updated and contextually grounded understanding of the ‘good farmer’. The section closes with an outlining of how the theoretical framework introduced in this section is applied to the data in Chapters Five, Six, and Seven The post-Brexit transition period presents a period in which  the economic capital</w:t>
      </w:r>
      <w:r w:rsidDel="00000000" w:rsidR="00000000" w:rsidRPr="00000000">
        <w:rPr>
          <w:rFonts w:ascii="Calibri" w:cs="Calibri" w:eastAsia="Calibri" w:hAnsi="Calibri"/>
          <w:sz w:val="24"/>
          <w:szCs w:val="24"/>
          <w:vertAlign w:val="superscript"/>
        </w:rPr>
        <w:footnoteReference w:customMarkFollows="0" w:id="21"/>
      </w:r>
      <w:r w:rsidDel="00000000" w:rsidR="00000000" w:rsidRPr="00000000">
        <w:rPr>
          <w:rFonts w:ascii="Calibri" w:cs="Calibri" w:eastAsia="Calibri" w:hAnsi="Calibri"/>
          <w:sz w:val="24"/>
          <w:szCs w:val="24"/>
          <w:rtl w:val="0"/>
        </w:rPr>
        <w:t xml:space="preserve"> of the majority of English farmers are in a state of flux and as new AES are introduced it offers the chance to better examine the motivations of farmers participating in the new schemes and to develop an understanding of those who choose not to participate. </w:t>
      </w:r>
    </w:p>
    <w:p w:rsidR="00000000" w:rsidDel="00000000" w:rsidP="00000000" w:rsidRDefault="00000000" w:rsidRPr="00000000" w14:paraId="000002A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existing ‘good farmer’ literature has focused primarily on the evolution of good farming systems within a context where agriculture policy was largely complementary, if not, supportive of productivist systems (e.g. BPS under CAP making a majority of farmer payments, rather than ‘post-productivist’ greening policies). Since the post-Brexit policies in England have adjusted the financial incentives for farmers and linked them to post-productivist schemes, there is an opportunity to assess the impact that these changes have had on the evolution of the ‘good farmer’. </w:t>
      </w:r>
    </w:p>
    <w:p w:rsidR="00000000" w:rsidDel="00000000" w:rsidP="00000000" w:rsidRDefault="00000000" w:rsidRPr="00000000" w14:paraId="000002AD">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introduction of the SFI Pilot and other ELM policies can be considered an imperative major triggering change to the industry as a whole. If we accept this interpretation, then it follows that there is a need for a deeper understanding of how social and cultural dynamics impact farmer decision-making in the context of the post-Brexit transition. The existing literature anticipates that changes in agriculture affect the conceptualisation of the good farmer. Burton et al. (2020)</w:t>
      </w:r>
      <w:r w:rsidDel="00000000" w:rsidR="00000000" w:rsidRPr="00000000">
        <w:rPr>
          <w:rFonts w:ascii="Calibri" w:cs="Calibri" w:eastAsia="Calibri" w:hAnsi="Calibri"/>
          <w:sz w:val="24"/>
          <w:szCs w:val="24"/>
          <w:vertAlign w:val="superscript"/>
        </w:rPr>
        <w:footnoteReference w:customMarkFollows="0" w:id="22"/>
      </w:r>
      <w:r w:rsidDel="00000000" w:rsidR="00000000" w:rsidRPr="00000000">
        <w:rPr>
          <w:rFonts w:ascii="Calibri" w:cs="Calibri" w:eastAsia="Calibri" w:hAnsi="Calibri"/>
          <w:sz w:val="24"/>
          <w:szCs w:val="24"/>
          <w:rtl w:val="0"/>
        </w:rPr>
        <w:t xml:space="preserve"> outlined seven evolutions of agricultural systems with the potential to change the rules of the game and, therefore, the social and cultural capital that have formed the identity of the good farmer. The table below provides a description of the seven evolutions and how these evolutions specifically can impact the conceptualisation of ‘good farmer’ values. </w:t>
      </w:r>
    </w:p>
    <w:p w:rsidR="00000000" w:rsidDel="00000000" w:rsidP="00000000" w:rsidRDefault="00000000" w:rsidRPr="00000000" w14:paraId="000002A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1dic4hc38z8t" w:id="58"/>
      <w:bookmarkEnd w:id="58"/>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10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3.2. Seven Evolutions of Agricultural Systems</w:t>
      </w:r>
    </w:p>
    <w:tbl>
      <w:tblPr>
        <w:tblStyle w:val="Table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65"/>
        <w:tblGridChange w:id="0">
          <w:tblGrid>
            <w:gridCol w:w="4680"/>
            <w:gridCol w:w="4665"/>
          </w:tblGrid>
        </w:tblGridChange>
      </w:tblGrid>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shd w:fill="b6d7a8" w:val="clear"/>
            <w:tcMar>
              <w:top w:w="100.0" w:type="dxa"/>
              <w:left w:w="100.0" w:type="dxa"/>
              <w:bottom w:w="100.0" w:type="dxa"/>
              <w:right w:w="100.0" w:type="dxa"/>
            </w:tcMar>
          </w:tcPr>
          <w:p w:rsidR="00000000" w:rsidDel="00000000" w:rsidP="00000000" w:rsidRDefault="00000000" w:rsidRPr="00000000" w14:paraId="000002AF">
            <w:pPr>
              <w:spacing w:after="240" w:before="24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Evolution of Agriculture System</w:t>
            </w:r>
          </w:p>
        </w:tc>
        <w:tc>
          <w:tcPr>
            <w:tcBorders>
              <w:top w:color="000000" w:space="0" w:sz="5" w:val="single"/>
              <w:left w:color="000000" w:space="0" w:sz="0" w:val="nil"/>
              <w:bottom w:color="000000" w:space="0" w:sz="5" w:val="single"/>
              <w:right w:color="000000" w:space="0" w:sz="5" w:val="single"/>
            </w:tcBorders>
            <w:shd w:fill="b6d7a8" w:val="clear"/>
            <w:tcMar>
              <w:top w:w="100.0" w:type="dxa"/>
              <w:left w:w="100.0" w:type="dxa"/>
              <w:bottom w:w="100.0" w:type="dxa"/>
              <w:right w:w="100.0" w:type="dxa"/>
            </w:tcMar>
          </w:tcPr>
          <w:p w:rsidR="00000000" w:rsidDel="00000000" w:rsidP="00000000" w:rsidRDefault="00000000" w:rsidRPr="00000000" w14:paraId="000002B0">
            <w:pPr>
              <w:spacing w:after="240" w:before="24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it impacts ‘good farmer’ values</w:t>
            </w:r>
          </w:p>
        </w:tc>
      </w:tr>
      <w:tr>
        <w:trPr>
          <w:cantSplit w:val="0"/>
          <w:trHeight w:val="4593"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Declining visibility of symbols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evolution of the agricultural sector (e.g., the introduction of more agri-environmental schemes and advancements in machinery) makes it harder to identify good farming symbols. For example, the output of agri-environmental schemes challenges symbols of good farming, and what occurs behind the closed doors of intensified farms does not allow for symbols to be viewed by other farmers. Good farmer values can no longer be generalised from assessing fields from afar; they now need to be evaluated closely to understand the different skills and knowledge required for production rather than just measuring production itself.</w:t>
            </w:r>
          </w:p>
        </w:tc>
      </w:tr>
      <w:tr>
        <w:trPr>
          <w:cantSplit w:val="0"/>
          <w:trHeight w:val="424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increasingly contested notion of what a ‘good farmer’ is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may be able to get cultural and economic capital from revenues outside of farming (e.g., carbon offset schemes, farm shops, etc.). Does the changing role of the farmer impact what it means to be a ‘good farmer’?</w:t>
            </w:r>
          </w:p>
          <w:p w:rsidR="00000000" w:rsidDel="00000000" w:rsidP="00000000" w:rsidRDefault="00000000" w:rsidRPr="00000000" w14:paraId="000002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 For example…</w:t>
            </w:r>
          </w:p>
          <w:p w:rsidR="00000000" w:rsidDel="00000000" w:rsidP="00000000" w:rsidRDefault="00000000" w:rsidRPr="00000000" w14:paraId="000002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B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a part-time farmer considered a ‘good farmer’? Is a farmer who diversifies considered a ‘good farmer’? Can a farmer be a ‘good farmer’ if society deems them as doing such, but their peers do not?</w:t>
            </w:r>
          </w:p>
        </w:tc>
      </w:tr>
      <w:tr>
        <w:trPr>
          <w:cantSplit w:val="0"/>
          <w:trHeight w:val="14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impact of advanced mechanisation and automation on farms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Machinery absorbs the skills and knowledge that farmers need to display good farming practices. Farmers cannot gain cultural capital if the machinery absorbs the skills.</w:t>
            </w:r>
          </w:p>
        </w:tc>
      </w:tr>
      <w:tr>
        <w:trPr>
          <w:cantSplit w:val="0"/>
          <w:trHeight w:val="14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Climate change and farming practices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farmers decide to address the roles of food production and mitigating climate change in the future will continue to influence changing ‘good farmer’ values.</w:t>
            </w:r>
          </w:p>
        </w:tc>
      </w:tr>
      <w:tr>
        <w:trPr>
          <w:cantSplit w:val="0"/>
          <w:trHeight w:val="23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Synthetic proteins and food production without farmers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Lab-grown food takes the role of the farmer out of the equation and questions what their existence will look like in the future. If farmers are no longer the primary livestock producers, how will this impact how livestock farmers display capital and, therefore, are recognised as ‘good farmers’?</w:t>
            </w:r>
          </w:p>
        </w:tc>
      </w:tr>
      <w:tr>
        <w:trPr>
          <w:cantSplit w:val="0"/>
          <w:trHeight w:val="20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Agri-environmental schemes and payments by results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Conservation is considered a product of emerging agri-environmental schemes. With this, farmers' knowledge of the environment and how to achieve different conservation goals challenge the cultural capital, which represents the ‘good farmer’.</w:t>
            </w:r>
          </w:p>
        </w:tc>
      </w:tr>
      <w:tr>
        <w:trPr>
          <w:cantSplit w:val="0"/>
          <w:trHeight w:val="26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technologies and communication in food systems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Technology serves a role in more advanced monitoring for scheme participation and more connected forms of online communities. It is unknown how advancements in technology will impact how farmers form social and cultural capital and how technology will measure farmer success in schemes. </w:t>
            </w:r>
          </w:p>
        </w:tc>
      </w:tr>
    </w:tbl>
    <w:p w:rsidR="00000000" w:rsidDel="00000000" w:rsidP="00000000" w:rsidRDefault="00000000" w:rsidRPr="00000000" w14:paraId="000002C2">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color w:val="000000"/>
          <w:sz w:val="24"/>
          <w:szCs w:val="24"/>
          <w:rtl w:val="0"/>
        </w:rPr>
        <w:t xml:space="preserve">Source: Summary of Burton, et al. (2020)</w:t>
      </w:r>
      <w:r w:rsidDel="00000000" w:rsidR="00000000" w:rsidRPr="00000000">
        <w:rPr>
          <w:rtl w:val="0"/>
        </w:rPr>
      </w:r>
    </w:p>
    <w:p w:rsidR="00000000" w:rsidDel="00000000" w:rsidP="00000000" w:rsidRDefault="00000000" w:rsidRPr="00000000" w14:paraId="000002C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evolutions impact the dynamics in the agriculture sector, including how farmers conduct their practices, what changes they make, and how they obtain capital.  New symbols of good farming emerge in response to the changes brought about by these evolutions and the changing rules of the game (Burton et al., 2020). It is important to note that of these evolutions listed above, not all of them apply or are relevant to the nature of the post-Brexit transition. Further, these evolutions over-simplify changes to a singular event or ‘evolution’ whereas the post-Brexit transition has demonstrated that there is not one singular change occurring but, rather, multiple evolutions coinciding at once. For example, the previous chapter demonstrated that farmers are experiencing a broad landscape of changes and deciding whether to participate in new schemes in the wake of a growing green policy movement, an evolution of agri-environmental schemes content, and changing financial structures – all of which also have the potential to impact how the ‘good farmer’  and the new symbols of the ‘good farmer’ are perceived. </w:t>
      </w:r>
    </w:p>
    <w:p w:rsidR="00000000" w:rsidDel="00000000" w:rsidP="00000000" w:rsidRDefault="00000000" w:rsidRPr="00000000" w14:paraId="000002C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Evolutions and how we study them need to be improved and not considered simplistically as singular events. The case of Brexit, for example, highlights the complexity of an evolution or transformation of the agricultural sector and how it is important to recognise the different coinciding variables throughout a transition period rather than focusing on a singular cause and effect. These contributions from Burton et al. (2020) and the wider literature (see above) highlight that much of the existing literature on farmer decision-making and periods of evolution or transition are quite linear in their approach, oversimplify, and do not account for the complexity and different dynamics of the agricultural sector. </w:t>
      </w:r>
    </w:p>
    <w:p w:rsidR="00000000" w:rsidDel="00000000" w:rsidP="00000000" w:rsidRDefault="00000000" w:rsidRPr="00000000" w14:paraId="000002C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illustrate, in the case of Brexit, the changing of farmer compensation through government schemes called for a phasing out of direct payments (money which could be used at the discretion of farmers). As outlined in the previous chapter, Brexit also led the UK government to introduce new schemes to earn income and to reorganise the previous operations. The reforms introduced by government can be considered as an evolution in themselves, but they also impact the discretionary funds of farmers, which therefore impact what farmers are able to invest in (e.g. advanced mechanisation); these reforms can also impact farmer attitudes towards climate change as the new policies are centred in biodiversity restoration and, as this thesis emphasises, these changes all can shape farmer decision-making and therefore the conceptualisation of the ‘good farmer’. Thus, the literature needs to account for how transitions can capture the multiple evolutions occurring concurrently and it needs to be brought up to date with a new approach that addresses all of these factors influencing farmer decision-making. This thesis accounts for all these different factors by considering the different motivations and patterns that influence farmers’ experiences during a transition period. </w:t>
      </w:r>
    </w:p>
    <w:p w:rsidR="00000000" w:rsidDel="00000000" w:rsidP="00000000" w:rsidRDefault="00000000" w:rsidRPr="00000000" w14:paraId="000002C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Examining the emergence of new forms of cultural capital is critical to understanding the evolution of the ‘good farmer’. Further, as identified in Sutherland’s (2013) research, new farming symbols of cultural capital emerged with organic farming and its recognition of producing a crop with lower inputs and higher profits, therefore making the ‘good farmer’ evolve in line with economic awards. In the case of the post-Brexit transition, the format of the Sustainable Farming Incentive (SFI) policy provides a useful example to evaluate how the good farmer identity responds to the changing rules of the game because the policy also changes the way payments are delegated in England through agri-environmental scheme participation. In predecessor schemes, farmers were considered successful if they understood and abided by the rules. However, if the format of the scheme were to change, then it would affect how farmers gain social and cultural capital. This is because the new scheme would place greater value on farmers who possess the skills and knowledge to interpret and apply a less rigid, more flexible approach (Burton et al., 2020). </w:t>
      </w:r>
    </w:p>
    <w:p w:rsidR="00000000" w:rsidDel="00000000" w:rsidP="00000000" w:rsidRDefault="00000000" w:rsidRPr="00000000" w14:paraId="000002C7">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 SFI, farmers are compensated through delivering environmental actions (e.g., improving soil health, restoring habitats, etc.) and the scheme strays away from being prescriptive and dictating to farmers exactly what is expected of them.  The scheme format is flexible in that, so long as farmers deliver the minimum requirements of the policy, they are endowed with the control and creativity to determine the best way to implement the new standards on their farms. For example, the improved grassland soils SFI standard encourages farmers to establish herbal leys on their land; farmers have the flexibility to decide what seed or combination of seeds works best for their land and can troubleshoot their own methods on how to best establish the herbal ley (Defra, 2022). The movement towards the new SFI policy, therefore, introduces a new way for farmers to exhibit their skills and abilities to their peers and provides new metrics for being considered a good farmer. To reference Burton and Schwarz (2013) again, they anticipated that if results-based schemes, similar to this one,  were to increase in popularity, then farmer participation in these schemes could evolve to be a key element of the good farmer identity, even if farmers participating in the schemes held no moral ties to environmentalism in the past; this would largely be since the policy would require farmers to demonstrate their knowledge of the land and their ability to implement the scheme in order to receive compensation and be successful. </w:t>
      </w:r>
    </w:p>
    <w:p w:rsidR="00000000" w:rsidDel="00000000" w:rsidP="00000000" w:rsidRDefault="00000000" w:rsidRPr="00000000" w14:paraId="000002C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Referring back to the herbal ley example above, if a farmer successfully established an herbal ley, they would be demonstrating to the larger farming community their capability to produce a specific output on their land. In this case, the output is the herbal ley itself, for which the farmer gains economic capital upon establishment. The fact that the farmer would need specific knowledge of their land and soil conditions (e.g. knowledge of what variation of herbs are most conducive to being established in their terrain, root structure, when to drill the seed, etc.) to establish the herbal ley means that, once successfully grown, the ley becomes a symbol of cultural capital. It showcases that there is a skill required to create it, which aligns with the processes outlined by Burton et al. (2020) and Sutherland (2012) regarding how cultural capital is formed. This example is also consistent with the concept of embodied cultural capital, illustrated in Figure 3.5 above, where 'expertise of farm management' is a key element contributing to cultural capital.</w:t>
      </w:r>
    </w:p>
    <w:p w:rsidR="00000000" w:rsidDel="00000000" w:rsidP="00000000" w:rsidRDefault="00000000" w:rsidRPr="00000000" w14:paraId="000002C9">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farmers respond to a triggering change, it presents an opportunity to reorient their farming practices and make significant adjustments. Sutherland et al. (2012) found that the social circles farmers surround themselves with and the knowledge they possess play a crucial role in influencing their direction and response to change. In the case of the post-Brexit transition, we observe a complete reorientation of agricultural policy, which necessitates that farmers have the knowledge and skills to implement these new policies. Studying this relationship between farmers and the support systems they leverage in deciding whether to join a scheme is largely representative of the social capital dimension of Bourdieu’s theory which contributes to how this form of capital contributes to decision-making. This thesis develops a further understanding of how social capital (and differences in this type of capital) translate into famer decision-making and how farmers consider what constitutes a ‘good farmer’. For example, if Farmer A and Farmer B are surrounded by two entirely different social circles, or forms of social capital, what impact (if any) does this have on their decision-making and what they consider to be a ‘good farmer’? The value in this clarification is to provide a more precise understanding of </w:t>
      </w:r>
      <w:r w:rsidDel="00000000" w:rsidR="00000000" w:rsidRPr="00000000">
        <w:rPr>
          <w:rFonts w:ascii="Calibri" w:cs="Calibri" w:eastAsia="Calibri" w:hAnsi="Calibri"/>
          <w:i w:val="1"/>
          <w:sz w:val="24"/>
          <w:szCs w:val="24"/>
          <w:rtl w:val="0"/>
        </w:rPr>
        <w:t xml:space="preserve">farmers </w:t>
      </w:r>
      <w:r w:rsidDel="00000000" w:rsidR="00000000" w:rsidRPr="00000000">
        <w:rPr>
          <w:rFonts w:ascii="Calibri" w:cs="Calibri" w:eastAsia="Calibri" w:hAnsi="Calibri"/>
          <w:sz w:val="24"/>
          <w:szCs w:val="24"/>
          <w:rtl w:val="0"/>
        </w:rPr>
        <w:t xml:space="preserve">as a multidimensional group, rather than being oversimplified and implied to have a shared consensus of motivations and goals, which the existing literature on the ‘good farmer’ tends to do (Burton, et al., 2020). </w:t>
      </w:r>
    </w:p>
    <w:p w:rsidR="00000000" w:rsidDel="00000000" w:rsidP="00000000" w:rsidRDefault="00000000" w:rsidRPr="00000000" w14:paraId="000002C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Additionally, the post-Brexit transition is coupled with a broader green movement, which has introduced new macro-trends, prompting an exploration of how the characteristics that defined a 'good farmer' from when the concept was first introduced to the literature has evolved. Accessibility to information and data, specifically pertaining to climate change and its impacts, has steadily increased with the rise of digitalisation. The impact and rise of these different trends are not particularly addressed in the ‘good farmer’ debate nor Bourdieu’s model. Forms of cultural capital and social capital can now be gained in completely different methods than what was possible sixteen years ago (when the concept first emerged). For example, a new entrant farmer today can gain cultural capital (farming knowledge and skills) by watching YouTube videos, following farmer blogs, and using the internet to gather new information. Likewise, they can gain social capital (access to connections and networks) through joining online farming forums or cluster groups or subscribing to different organisations' newsletters which circulate information on different topics and events. The same case applies to access to information on climate change and its impacts, which may have evolved to exist in the field or general mindset of farmers. The juxtaposition between the idea of a traditional way of doing things and forming ideas and a new modern approach is something that is examined in the following empirical sections and used to inform how the conceptualisation of the ‘good farmer’ can be improved to account for the existing modernities of the world.  </w:t>
      </w:r>
    </w:p>
    <w:p w:rsidR="00000000" w:rsidDel="00000000" w:rsidP="00000000" w:rsidRDefault="00000000" w:rsidRPr="00000000" w14:paraId="000002C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of the existing research of the ‘good farmer’ is not situated during periods of transition (comparable to the extent of Brexit), so it is necessary to consider the changes involved in the post-Brexit transition and how these changes may challenge the findings of the existing literature. For example, as part of post-Brexit policy changes, the UK government’s decision to phase out Basic Payment Scheme (BPS) subsidies in England significantly increased financial vulnerability, with over one-third of farmers now at risk of running unprofitable farms (NAO, 2021). The existing literature has demonstrated that upfront costs associated with joining an agri-environmental scheme can negatively impact farmers' willingness to engage. This is an important consideration in the context of the new schemes, as farms that are not already operating under the required practices may need to make upfront changes to become eligible, all while their income levels are expected to decrease due to the removal of the BPS. As noted above, Mills et al. (2018) and Zanella et al. (2014) found that payment rates can negatively affect farmer engagement, especially when the scheme requires changes to existing practices and involves initial costs. Furthermore, if these new schemes are intended to replace the income previously provided by BPS, Delfrancesco et al. (2008) and Mathijs (2003) found a negative correlation between farmers' willingness to participate in AES and farms where farm income constitutes the majority of household income. However, these findings are outdated in the UK context, as the financial compensation model has significantly changed post-Brexit; particularly, if farmers were not well diversified prior to Brexit and reliant on BPS, then the studies related to farm income as a predictive measurement for participation need to be updated to be reflective of recent policy changes. </w:t>
      </w:r>
    </w:p>
    <w:p w:rsidR="00000000" w:rsidDel="00000000" w:rsidP="00000000" w:rsidRDefault="00000000" w:rsidRPr="00000000" w14:paraId="000002CC">
      <w:pPr>
        <w:pStyle w:val="Heading2"/>
        <w:numPr>
          <w:ilvl w:val="0"/>
          <w:numId w:val="5"/>
        </w:numPr>
        <w:ind w:left="360" w:hanging="360"/>
        <w:rPr/>
      </w:pPr>
      <w:bookmarkStart w:colFirst="0" w:colLast="0" w:name="_heading=h.q07ihkz0t47" w:id="59"/>
      <w:bookmarkEnd w:id="59"/>
      <w:r w:rsidDel="00000000" w:rsidR="00000000" w:rsidRPr="00000000">
        <w:rPr>
          <w:rtl w:val="0"/>
        </w:rPr>
        <w:t xml:space="preserve">Good Farmers and Brexit </w:t>
      </w:r>
    </w:p>
    <w:p w:rsidR="00000000" w:rsidDel="00000000" w:rsidP="00000000" w:rsidRDefault="00000000" w:rsidRPr="00000000" w14:paraId="000002C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changes in the post-Brexit transition reflect what Sutherland et al. (2012) would consider a triggering change, prompting farmers to evaluate their options and providing a critical point in time to reassess their decisions, due to changing levels of resources and capital investment which further leads to financial duress which then serves as a trigger for change. While Sutherland et al. (2012) provides a useful contribution, there is currently no literature which focuses on how this level of change in economic capital impacts the production of cultural capital in a transition period, highlighting a gap. This research aims to address this gap in the existing literature, which has emerged as a result of the post-Brexit transition. The implications of relying on the existing literature, without considering the complexities and changes of the transition period, to develop an understanding of farmer behaviour and production of cultural capital in this transition oversimplifies how we understand farmer participation in schemes and how we recognise a farmer as ‘good’. </w:t>
      </w:r>
    </w:p>
    <w:p w:rsidR="00000000" w:rsidDel="00000000" w:rsidP="00000000" w:rsidRDefault="00000000" w:rsidRPr="00000000" w14:paraId="000002C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continues to critically engage with the concept of the ‘good farmer’ and evaluate whether the concept needs to be updated in the wake of the agricultural transformations taking place during the post-Brexit transition. Part of this evaluation necessitates addressing what the alternative to the ‘good farmer’ may be. From the existing literature, Burton et al. (2021, pp. 172-173) have warned future researchers against the generalisation of ‘bad farmers’ and have encouraged further research to explore alternatives to the ‘good farmer’: </w:t>
      </w:r>
    </w:p>
    <w:p w:rsidR="00000000" w:rsidDel="00000000" w:rsidP="00000000" w:rsidRDefault="00000000" w:rsidRPr="00000000" w14:paraId="000002CF">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0">
      <w:pPr>
        <w:spacing w:after="200" w:line="360" w:lineRule="auto"/>
        <w:ind w:left="720" w:firstLine="0"/>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There is no question that agriculture has needed to be modernised over the centuries to meet the demand for increased production and food security.  However, </w:t>
      </w:r>
      <w:r w:rsidDel="00000000" w:rsidR="00000000" w:rsidRPr="00000000">
        <w:rPr>
          <w:rFonts w:ascii="Calibri" w:cs="Calibri" w:eastAsia="Calibri" w:hAnsi="Calibri"/>
          <w:b w:val="1"/>
          <w:i w:val="1"/>
          <w:sz w:val="24"/>
          <w:szCs w:val="24"/>
          <w:rtl w:val="0"/>
        </w:rPr>
        <w:t xml:space="preserve">this has often been done by drawing a simple dichotomy between ‘good farmers’ and ‘bad farmers’ with ‘bad farmers’ generally those following customary practices or acting under constraints improvers did not understand. </w:t>
      </w:r>
      <w:r w:rsidDel="00000000" w:rsidR="00000000" w:rsidRPr="00000000">
        <w:rPr>
          <w:rFonts w:ascii="Calibri" w:cs="Calibri" w:eastAsia="Calibri" w:hAnsi="Calibri"/>
          <w:i w:val="1"/>
          <w:sz w:val="24"/>
          <w:szCs w:val="24"/>
          <w:rtl w:val="0"/>
        </w:rPr>
        <w:t xml:space="preserve">This has resulted in the loss of a wide range of farming practices that today might be considered ‘good farming’ (e.g. the ‘traditional ecological knowledge’ of which ecologists frequently bemoan the loss) and</w:t>
      </w:r>
      <w:r w:rsidDel="00000000" w:rsidR="00000000" w:rsidRPr="00000000">
        <w:rPr>
          <w:rFonts w:ascii="Calibri" w:cs="Calibri" w:eastAsia="Calibri" w:hAnsi="Calibri"/>
          <w:b w:val="1"/>
          <w:i w:val="1"/>
          <w:sz w:val="24"/>
          <w:szCs w:val="24"/>
          <w:rtl w:val="0"/>
        </w:rPr>
        <w:t xml:space="preserve"> serves as a warning both against trying to define a single ‘good farmer’ and using the concept of the ‘bad farmer’ to forward our own agendas. There is indeed such a thing as ‘bad farming’. </w:t>
      </w:r>
      <w:r w:rsidDel="00000000" w:rsidR="00000000" w:rsidRPr="00000000">
        <w:rPr>
          <w:rFonts w:ascii="Calibri" w:cs="Calibri" w:eastAsia="Calibri" w:hAnsi="Calibri"/>
          <w:i w:val="1"/>
          <w:sz w:val="24"/>
          <w:szCs w:val="24"/>
          <w:rtl w:val="0"/>
        </w:rPr>
        <w:t xml:space="preserve">As with people in any occupation, farmers can be inattentive, incapable, or incompetent – leading to poor displays of the symbols of ‘good farming’ and earning a reputation as a ‘bad farmer’. However, </w:t>
      </w:r>
      <w:r w:rsidDel="00000000" w:rsidR="00000000" w:rsidRPr="00000000">
        <w:rPr>
          <w:rFonts w:ascii="Calibri" w:cs="Calibri" w:eastAsia="Calibri" w:hAnsi="Calibri"/>
          <w:b w:val="1"/>
          <w:i w:val="1"/>
          <w:sz w:val="24"/>
          <w:szCs w:val="24"/>
          <w:rtl w:val="0"/>
        </w:rPr>
        <w:t xml:space="preserve">when it comes to strategic choices on farm management or making the best of what is available, the existence of ‘bad farming’ is more questionable</w:t>
      </w:r>
      <w:r w:rsidDel="00000000" w:rsidR="00000000" w:rsidRPr="00000000">
        <w:rPr>
          <w:rFonts w:ascii="Calibri" w:cs="Calibri" w:eastAsia="Calibri" w:hAnsi="Calibri"/>
          <w:b w:val="1"/>
          <w:i w:val="1"/>
          <w:sz w:val="24"/>
          <w:szCs w:val="24"/>
          <w:vertAlign w:val="superscript"/>
        </w:rPr>
        <w:footnoteReference w:customMarkFollows="0" w:id="23"/>
      </w:r>
      <w:r w:rsidDel="00000000" w:rsidR="00000000" w:rsidRPr="00000000">
        <w:rPr>
          <w:rFonts w:ascii="Calibri" w:cs="Calibri" w:eastAsia="Calibri" w:hAnsi="Calibri"/>
          <w:b w:val="1"/>
          <w:i w:val="1"/>
          <w:sz w:val="24"/>
          <w:szCs w:val="24"/>
          <w:rtl w:val="0"/>
        </w:rPr>
        <w:t xml:space="preserve">.</w:t>
      </w:r>
    </w:p>
    <w:p w:rsidR="00000000" w:rsidDel="00000000" w:rsidP="00000000" w:rsidRDefault="00000000" w:rsidRPr="00000000" w14:paraId="000002D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acknowledges the findings of Burton et al. (2021) and avoids the oversimplification of the 'good farmer' as a dichotomous concept with a 'bad farmer' as the only alternative. Instead, it continues to engage deeply with farmers' management decisions post-Brexit, exploring the intentions that drove their decisions and how their decisions impact their categorisation as a ‘good farmer’. Thus, this thesis investigates whether changing policies that shift the responsibilities and role of the farmer also alter how a farmer is defined as 'good' in their field, and how they are recognised and valued more generally. It also examines how differences in farmers' capital structures impact what a farmer can be considered other than a ‘bad farmer’, simply because they may not possess the capital to be deemed a ‘good farmer’ according to existing literature. This thesis continues to investigate the alternative to the ‘good farmer’, and how by expanding and introducing alternatives to the ‘good farmer’, there is an opportunity to fully comprehend the intricacies of farmer decision-making.</w:t>
      </w:r>
    </w:p>
    <w:p w:rsidR="00000000" w:rsidDel="00000000" w:rsidP="00000000" w:rsidRDefault="00000000" w:rsidRPr="00000000" w14:paraId="000002D2">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highlighted above, the conceptualisation of the ‘good farmer’ was developed prior to Brexit, and an analysis of the post-Brexit era is necessary to understand how and why farmers have responded to the changes, as well as whether and how the concept may need updating to reflect farmer behaviour during this period. Therefore, this thesis will critically evaluate the concept of the ‘good farmer’ through an analysis of the post-Brexit reforms in England. To achieve this, the thesis will analyse the behaviour of English farmers, participants and non-participants in the SFI pilot, identifying the drivers and barriers to participation in the scheme. It will examine the impact of changes in economic capital on farmers’ ability and motivation to produce new forms of cultural capital that would categorise them as a ‘good farmer’. The thesis will examine what symbols of cultural capital have emerged in the wake of the post-Brexit transition and investigate whether there is a difference in the cultural capital valued by farmers who are choosing to participate in new ELM schemes, such as the SFI pilot, and those who are not. It will also analyse the role social capital serves in the emergence of new forms of cultural capital and changes in economic capital. Additionally, it will explore the alternative to the ‘good farmer’ and how this term can evolve to encompass the complexities and challenges of the post-Brexit transition. On the basis of this analysis, the thesis will continue to develop and apply a novel conceptualisation of the ‘good farmer’ that introduces an up-to-date interpretation, one that is multifaceted and accounts for changing capital structures, as well as how the concept can be updated to reflect different macro trends (e.g. policy transformations to address climate change and technological developments) impacting farming communities globally. These findings can be tested and applied beyond the specific case study. </w:t>
      </w:r>
    </w:p>
    <w:p w:rsidR="00000000" w:rsidDel="00000000" w:rsidP="00000000" w:rsidRDefault="00000000" w:rsidRPr="00000000" w14:paraId="000002D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the existing literature on periods of transition and their impact on the ‘good farmer’ are over-simplified and do not account for how multiple changes in economic (e.g. loss of BPS, new financial incentives introduced), social (e.g. England/UK bodies taking over the policy role of the EU and the ripple effect this has on farming communities and organisations), and cultural (e.g. new agri-environmental schemes introduced which promote different outcomes than CAP) capital jointly impact farmer decision-making (Burton, et al. 2020). The literature which exists to date contributes to the concept of the ‘good farmer’ piece by piece, allowing us to understand how change allows for farmers to grow to consider new symbols of good farming (Sutherland, 2013), farmers reactions to ‘public goods’ as potential symbols of ‘good farming’ (Cusworth and Dodsworth, 2021), and how farmers consider and judge the actions of their peers in their communities (Burton, 2004). Despite these contributions to the literature, there is still a large gap on how all of these dimensions of capital work alongside each other and relate back to Bourdieu, whose work underpins the concept. This thesis fills this gap by directly addressing the transformation of each dimension of capital for farmers, throughout the post-Brexit transition, and then relating the collected empirical data back to provide an updated conceptualisation of the ‘good farmer’. </w:t>
      </w:r>
    </w:p>
    <w:p w:rsidR="00000000" w:rsidDel="00000000" w:rsidP="00000000" w:rsidRDefault="00000000" w:rsidRPr="00000000" w14:paraId="000002D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thesis thus makes an empirical contribution through a comparative analysis of farmers participating in and making decisions during a period of policy transition in England, drawing upon interview data from SFI pilot and non-pilot farmers and analysis of primary documents. It further makes a theoretical and conceptual contribution through an inductive research design, and modern approach to grounded theory, that develops the concept of the ‘good farmer’ through critical engagement and testing. Specifically, the thesis proposes that the current conceptual framework for the ‘good farmer’ is not up to date and does not reflect the complexities of the modern world we live in. A new approach to analysing farmer behaviour and what categorises a farmer as ‘good’ needs to be developed to account for the intricate dynamics of farming communities and the constraints farmers face during periods of transition. This approach is introduced and expanded upon in the empirical chapters of this thesis. </w:t>
      </w:r>
    </w:p>
    <w:p w:rsidR="00000000" w:rsidDel="00000000" w:rsidP="00000000" w:rsidRDefault="00000000" w:rsidRPr="00000000" w14:paraId="000002D5">
      <w:pPr>
        <w:pStyle w:val="Heading2"/>
        <w:numPr>
          <w:ilvl w:val="0"/>
          <w:numId w:val="5"/>
        </w:numPr>
        <w:ind w:left="360" w:hanging="360"/>
        <w:rPr/>
      </w:pPr>
      <w:bookmarkStart w:colFirst="0" w:colLast="0" w:name="_heading=h.7l34v67ne4h3" w:id="60"/>
      <w:bookmarkEnd w:id="60"/>
      <w:r w:rsidDel="00000000" w:rsidR="00000000" w:rsidRPr="00000000">
        <w:rPr>
          <w:rtl w:val="0"/>
        </w:rPr>
        <w:t xml:space="preserve">Conclusion </w:t>
      </w:r>
    </w:p>
    <w:p w:rsidR="00000000" w:rsidDel="00000000" w:rsidP="00000000" w:rsidRDefault="00000000" w:rsidRPr="00000000" w14:paraId="000002D6">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has introduced the existing literature, highlighting key factors identified by scholars and studies that influence participation in agri-environmental schemes. This provides useful context for the following chapters, which will analyse farmer behaviour during the post-Brexit transition period and dissect the motivations behind farmers' decisions to either participate in or opt out of new post-productivist schemes, namely the Sustainable Farming Incentive, in England.</w:t>
      </w:r>
    </w:p>
    <w:p w:rsidR="00000000" w:rsidDel="00000000" w:rsidP="00000000" w:rsidRDefault="00000000" w:rsidRPr="00000000" w14:paraId="000002D7">
      <w:pPr>
        <w:spacing w:after="240" w:before="240" w:line="360" w:lineRule="auto"/>
        <w:rPr/>
      </w:pPr>
      <w:r w:rsidDel="00000000" w:rsidR="00000000" w:rsidRPr="00000000">
        <w:rPr>
          <w:rFonts w:ascii="Calibri" w:cs="Calibri" w:eastAsia="Calibri" w:hAnsi="Calibri"/>
          <w:sz w:val="24"/>
          <w:szCs w:val="24"/>
          <w:rtl w:val="0"/>
        </w:rPr>
        <w:t xml:space="preserve">Most importantly, this chapter introduced the concept of the ‘good farmer’ as a framework for investigating farmer behaviour during periods of transition, particularly in response to a ‘triggering change’. It has acknowledged the limitations of the current conceptualisation of the ‘good farmer’ and outlined how the empirical chapters expand and refine this framework to better reflect the modern-day farmer and the evolving relationship between different forms of capital that define the ‘good farmer’. To critically assess how the ‘good farmer’ concept has evolved in the wake of the post-Brexit transition, this thesis uses qualitative research methods to engage with farmers navigating this agricultural transition. The following chapter details the methods selected for data collection and explains the rationale behind choosing post-Brexit England as the case study for this research.</w:t>
      </w:r>
      <w:r w:rsidDel="00000000" w:rsidR="00000000" w:rsidRPr="00000000">
        <w:rPr>
          <w:rtl w:val="0"/>
        </w:rPr>
      </w:r>
    </w:p>
    <w:p w:rsidR="00000000" w:rsidDel="00000000" w:rsidP="00000000" w:rsidRDefault="00000000" w:rsidRPr="00000000" w14:paraId="000002D8">
      <w:pPr>
        <w:pStyle w:val="Title"/>
        <w:spacing w:before="200" w:lineRule="auto"/>
        <w:rPr>
          <w:u w:val="single"/>
        </w:rPr>
      </w:pPr>
      <w:bookmarkStart w:colFirst="0" w:colLast="0" w:name="_heading=h.91h6rvi295c5" w:id="61"/>
      <w:bookmarkEnd w:id="61"/>
      <w:r w:rsidDel="00000000" w:rsidR="00000000" w:rsidRPr="00000000">
        <w:rPr>
          <w:rtl w:val="0"/>
        </w:rPr>
      </w:r>
    </w:p>
    <w:p w:rsidR="00000000" w:rsidDel="00000000" w:rsidP="00000000" w:rsidRDefault="00000000" w:rsidRPr="00000000" w14:paraId="000002D9">
      <w:pPr>
        <w:pStyle w:val="Title"/>
        <w:spacing w:before="200" w:lineRule="auto"/>
        <w:rPr>
          <w:u w:val="single"/>
        </w:rPr>
      </w:pPr>
      <w:bookmarkStart w:colFirst="0" w:colLast="0" w:name="_heading=h.c21aot8e0za8" w:id="62"/>
      <w:bookmarkEnd w:id="62"/>
      <w:r w:rsidDel="00000000" w:rsidR="00000000" w:rsidRPr="00000000">
        <w:br w:type="page"/>
      </w:r>
      <w:r w:rsidDel="00000000" w:rsidR="00000000" w:rsidRPr="00000000">
        <w:rPr>
          <w:rtl w:val="0"/>
        </w:rPr>
      </w:r>
    </w:p>
    <w:p w:rsidR="00000000" w:rsidDel="00000000" w:rsidP="00000000" w:rsidRDefault="00000000" w:rsidRPr="00000000" w14:paraId="000002DA">
      <w:pPr>
        <w:pStyle w:val="Heading1"/>
        <w:rPr/>
      </w:pPr>
      <w:bookmarkStart w:colFirst="0" w:colLast="0" w:name="_heading=h.qji8yv24pwut" w:id="63"/>
      <w:bookmarkEnd w:id="63"/>
      <w:r w:rsidDel="00000000" w:rsidR="00000000" w:rsidRPr="00000000">
        <w:rPr>
          <w:rtl w:val="0"/>
        </w:rPr>
        <w:t xml:space="preserve">CHAPTER FOUR</w:t>
      </w:r>
    </w:p>
    <w:p w:rsidR="00000000" w:rsidDel="00000000" w:rsidP="00000000" w:rsidRDefault="00000000" w:rsidRPr="00000000" w14:paraId="000002DB">
      <w:pPr>
        <w:pStyle w:val="Heading1"/>
        <w:rPr/>
      </w:pPr>
      <w:bookmarkStart w:colFirst="0" w:colLast="0" w:name="_heading=h.z5wh77qfavrx" w:id="64"/>
      <w:bookmarkEnd w:id="64"/>
      <w:r w:rsidDel="00000000" w:rsidR="00000000" w:rsidRPr="00000000">
        <w:rPr>
          <w:rtl w:val="0"/>
        </w:rPr>
        <w:t xml:space="preserve">RESEARCH DESIGN AND METHODOLOGY </w:t>
      </w:r>
    </w:p>
    <w:p w:rsidR="00000000" w:rsidDel="00000000" w:rsidP="00000000" w:rsidRDefault="00000000" w:rsidRPr="00000000" w14:paraId="000002DC">
      <w:pPr>
        <w:pStyle w:val="Heading2"/>
        <w:numPr>
          <w:ilvl w:val="0"/>
          <w:numId w:val="7"/>
        </w:numPr>
        <w:ind w:left="360" w:hanging="360"/>
        <w:rPr/>
      </w:pPr>
      <w:bookmarkStart w:colFirst="0" w:colLast="0" w:name="_heading=h.4sro757di2kc" w:id="65"/>
      <w:bookmarkEnd w:id="65"/>
      <w:r w:rsidDel="00000000" w:rsidR="00000000" w:rsidRPr="00000000">
        <w:rPr>
          <w:rtl w:val="0"/>
        </w:rPr>
        <w:t xml:space="preserve">Introduction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highlighted in the previous chapter, much of the existing farming literature is quite linear in its interpretation and solely focuses on one variable; the literature fails to put significant weight on the power that human values, culture, and experience serve in the creation of a person’s reality and, therefore, environment for making decisions. In contrast, an interpretive epistemological approach to developing theory provides the opportunity to be more constructivist in nature and track patterns and connections to better understand a phenomenon (Charmaz, 2006). The constructivist approach allows for the data to be analysed in a way by which it acknowledges how different emerging social and cultural constructs shape an individuals’ responses and attitudes which allows for greater contextualisation of the data collected. This approach is appropriate for this thesis because there is no linear or distinct conceptualisation to explain how farmers have been navigating the Brexit transition, not least because of the number of changes to the policy environment that farmers have faced. When analysing farmer decision-making, it is therefore important not to look for a single reason why some acted in one way but to consider the different motivations and patterns that influenced the farmers’ own reality and, hence, their decisions. By applying this kind of approach, this thesis contributes to the literature by producing a more well-rounded theory that contextualises the environment of farmer decision-making, allowing for a better understanding of the reasoning behind why certain decisions were made in the post-Brexit transition. </w:t>
      </w:r>
    </w:p>
    <w:p w:rsidR="00000000" w:rsidDel="00000000" w:rsidP="00000000" w:rsidRDefault="00000000" w:rsidRPr="00000000" w14:paraId="000002D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thesis therefore applies an inductive approach to allow for theories to emerge naturally from the data. This kind of approach has been demonstrated to be especially useful in qualitative research to develop theories which help to explain social processes and concepts (in the case of this research– the ‘good farmer’) (Glaser and Strauss, 1999). Further, using inductive reasoning is a core element of grounded theory which allows for insights to emerge that may not be anticipated at the start of the research process (Bryman, 2016). In the case of this research, the post-Brexit transition presents unprecedented change to the agriculture industry in England which therefore requires research on this area to not be limited to the preconceived hypothesis and existing theories, but to allow new findings and theories to emerge which are representative of the transitory period. To account for the pragmatic approach required by this research, this thesis adopts a modern interpretation of grounded theory, as introduced by Charmaz (2006). Charmaz’s (2006) approach is informed by existing literature on inductive and grounded methodologies, and it offers greater flexibility and contextual sensitivity, both of which are essential when examining changes during a transitional period and the cultural factors influencing decision-making throughout such times of change (see below for greater detail).</w:t>
      </w:r>
    </w:p>
    <w:p w:rsidR="00000000" w:rsidDel="00000000" w:rsidP="00000000" w:rsidRDefault="00000000" w:rsidRPr="00000000" w14:paraId="000002D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PhD applied a grounded theory approach and employed case studies to gather empirical evidence to investigate the phenomena of farmer decision-making during the agricultural transition and determine how these findings can contribute to the further development of the ‘good farmer’. Through semi-structured interviews with farmers, this research produced an explanatory theory which further developed the existing theory of the ‘good farmer’. This theory provides an account of the relationship between farmers and the agricultural transition and identifies the changes in capital structures that have influenced farmer decision-making. Primary and secondary data sources were analysed to form the basis of the different cases and establish selection criteria. The data collected for this thesis were used to compare the cases of two groups of farmers: those involved in the early rollout or development of agri-environmental schemes in England (ELM schemes) and farmers who did not participate in the early rollout of the new ELM schemes. </w:t>
      </w:r>
    </w:p>
    <w:p w:rsidR="00000000" w:rsidDel="00000000" w:rsidP="00000000" w:rsidRDefault="00000000" w:rsidRPr="00000000" w14:paraId="000002E0">
      <w:pPr>
        <w:pStyle w:val="Heading2"/>
        <w:numPr>
          <w:ilvl w:val="0"/>
          <w:numId w:val="7"/>
        </w:numPr>
        <w:ind w:left="360" w:hanging="360"/>
        <w:rPr/>
      </w:pPr>
      <w:bookmarkStart w:colFirst="0" w:colLast="0" w:name="_heading=h.fjadeb5nx4t" w:id="66"/>
      <w:bookmarkEnd w:id="66"/>
      <w:r w:rsidDel="00000000" w:rsidR="00000000" w:rsidRPr="00000000">
        <w:rPr>
          <w:rtl w:val="0"/>
        </w:rPr>
        <w:t xml:space="preserve">Research Design</w:t>
      </w:r>
    </w:p>
    <w:p w:rsidR="00000000" w:rsidDel="00000000" w:rsidP="00000000" w:rsidRDefault="00000000" w:rsidRPr="00000000" w14:paraId="000002E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thesis uses an inductive analysis technique to directly capture different ‘patterns, themes and categories of analysis’ from the data collected (Patton, 1980). The inductive approach equips the researcher with the ability to find the meaning and interpretation of the data to produce empirical generalisations outside of existing theory (Ruane, 1954). The grounded theory approach was chosen as the most suitable method to explore the post-Brexit transition and the unique policy changes in the UK. Collecting data and analysing the different behavioural patterns and decisions of farmers during the period of transition, provided an opportunity for new theories and explanations to be developed to explain decision-making during periods of change.</w:t>
      </w:r>
    </w:p>
    <w:p w:rsidR="00000000" w:rsidDel="00000000" w:rsidP="00000000" w:rsidRDefault="00000000" w:rsidRPr="00000000" w14:paraId="000002E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Eisenhardt and Graebner (2007) suggest that applying inductive approaches to research can help address the gaps in existing theories and provide more insight into areas that fall outside the parameters of existing deductive research. As there is limited research on farmers' decision-making process during modern transition periods, there are few appropriate theories to test using deductive reasoning, making an inductive approach more suitable. This thesis uses an inductive approach to build upon the ‘good farmer’ theory and to provide more context on the environmental and cultural elements that have guided farmers in the UK to navigate decision-making during a period of change. </w:t>
      </w:r>
    </w:p>
    <w:p w:rsidR="00000000" w:rsidDel="00000000" w:rsidP="00000000" w:rsidRDefault="00000000" w:rsidRPr="00000000" w14:paraId="000002E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example to illustrate how this type of inductive approach was applied can be demonstrated from the process of designing the research questions for this thesis. At the start of the thesis, the original research questions were more centred in evaluating the relationship between farmers and the methodological actions which drive their decision-making. For example, the following were my original research questions at the start of the thesis, which guided the development of the original interview guide:</w:t>
      </w:r>
    </w:p>
    <w:p w:rsidR="00000000" w:rsidDel="00000000" w:rsidP="00000000" w:rsidRDefault="00000000" w:rsidRPr="00000000" w14:paraId="000002E4">
      <w:pPr>
        <w:numPr>
          <w:ilvl w:val="0"/>
          <w:numId w:val="6"/>
        </w:numPr>
        <w:spacing w:before="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are farmers receiving information regarding new post-Brexit agricultural policy changes? </w:t>
      </w:r>
    </w:p>
    <w:p w:rsidR="00000000" w:rsidDel="00000000" w:rsidP="00000000" w:rsidRDefault="00000000" w:rsidRPr="00000000" w14:paraId="000002E5">
      <w:pPr>
        <w:numPr>
          <w:ilvl w:val="0"/>
          <w:numId w:val="6"/>
        </w:numPr>
        <w:spacing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farmers’ processes for learning about policy information and trying to apply it to their own business model? </w:t>
      </w:r>
    </w:p>
    <w:p w:rsidR="00000000" w:rsidDel="00000000" w:rsidP="00000000" w:rsidRDefault="00000000" w:rsidRPr="00000000" w14:paraId="000002E6">
      <w:pPr>
        <w:numPr>
          <w:ilvl w:val="0"/>
          <w:numId w:val="6"/>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would farmers define their own perceptions of environmental engagement? </w:t>
      </w:r>
    </w:p>
    <w:p w:rsidR="00000000" w:rsidDel="00000000" w:rsidP="00000000" w:rsidRDefault="00000000" w:rsidRPr="00000000" w14:paraId="000002E7">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I started coding the data collected from farmer interviews, I then began mapping my data to existing theories – such as the ‘good farmer’-- and refining my research questions to be more precise and theoretical in nature. Adopting this approach led to the development of research questions for this thesis and allowed for these questions to be developed fully considering the complexities of the transition period and finding how different iterations of the data collected aligned with existing themes and patterns with the existing farming behaviour literature.</w:t>
      </w:r>
    </w:p>
    <w:p w:rsidR="00000000" w:rsidDel="00000000" w:rsidP="00000000" w:rsidRDefault="00000000" w:rsidRPr="00000000" w14:paraId="000002E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 grounded theory approach also enables the data to be contextualised and then undergo an iterative process (with multiple rounds of coding and analysis), allowing for great depth and understanding of the data and, therefore, aiding in the development of theory (Glaser and Strauss, 1999; Charmaz, 2006; Corbin and Strauss, 2008). The grounded theory approach likewise offers a flexible framework for coding and adapting data collection and focuses on exploring emerging areas of interest (Glaser and Strauss, 1999; Charmaz, 2006). As emphasised by Corbin and Strauss (2008), there is a great need for contextual sensitivity and flexibility when using a grounded theory approach to allow theory to develop naturally from the data collected and not be confined to the preconceptions of the researcher. </w:t>
      </w:r>
    </w:p>
    <w:p w:rsidR="00000000" w:rsidDel="00000000" w:rsidP="00000000" w:rsidRDefault="00000000" w:rsidRPr="00000000" w14:paraId="000002E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context of this thesis, it was crucial to understand the changes farmers have faced and continue to face during the post-Brexit transition, as their decision-making is influenced by multiple factors rather than one single phenomenon. Applying a grounded theory approach, allowed a deeper understanding of their decision-making process, and exploration of emerging concerns and themes from interviews, which could then be adapted and incorporated into the interview guide. Conducting the research in this manner allowed for the development of new theories and contributions to the literature based on the empirical data collected. However, grounded theory is a time-consuming form of data collection and coding. Potential researcher bias in analysing the data is a concern (Charmaz, 2006). The previous experience in qualitative research methods and coding data I have from my undergraduate and masters’ theses, meant that there was no learning curve to adopting a coding methodology and minimised the time-consuming nature of this method.  </w:t>
      </w:r>
    </w:p>
    <w:p w:rsidR="00000000" w:rsidDel="00000000" w:rsidP="00000000" w:rsidRDefault="00000000" w:rsidRPr="00000000" w14:paraId="000002EA">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subjective nature of grounded theory can not necessarily be avoided, but reflexivity can be used to help avoid generalisations or biases influencing the interpretation of the data; to address this concern, there is an additional section at the end of this chapter which discusses how a reflexive approach was taken throughout data collection and analysis. As the aim of this thesis was to understand farmer decision-making during a period of transition, the grounded theory approach provided the most flexibility and was well suited to exploring the different emerging factors that have influenced farmer decision-making.   </w:t>
      </w:r>
    </w:p>
    <w:p w:rsidR="00000000" w:rsidDel="00000000" w:rsidP="00000000" w:rsidRDefault="00000000" w:rsidRPr="00000000" w14:paraId="000002E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grounded theory approach of this PhD is consistent with the work of Charmaz (2014), who developed the original Glaser and Strauss (1967) definition of grounded theory. In a departure from their work Charmaz takes a pragmatic approach to the level of knowledge a researcher has when entering the field. She argues that researchers should be aware of the existing literature before data collection to provide a necessary context for the research topic being studied (Charmaz 2014). For this thesis, before data collection, existing literature was gathered and assessed to inform the interview guides for the different case studies and provide a more holistic view of the researched area. Further, this approach to grounded theory enabled the development of various themes during interviews and is  in line with Bourgeois and Eisenhardt (1998), who suggest that familiarising oneself with the literature and existing theories prior to the research taking place better informs the researcher of how to design their approach and shape future theory (in the context of the theories which already exist). </w:t>
      </w:r>
    </w:p>
    <w:p w:rsidR="00000000" w:rsidDel="00000000" w:rsidP="00000000" w:rsidRDefault="00000000" w:rsidRPr="00000000" w14:paraId="000002E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my data collection, I adopted Charmaz's approach to grounded theory, which allows the researcher to enhance the data by considering the contextual factors–such as social or environmental factors–that emerge during interviews (Charmaz, 2014). Rather than viewing the interview transcript as the sole data source, I focused on the interviewee's reactions, their descriptions of situations, and their emotions, using these elements to provide a richer context and deeper meaning. Applying this combined methodology helped in determining how environmental and social factors influenced decision-making. By applying this approach, I was able to contribute to an existing theory based on empirical data and provide a clearer understanding of how farmers engage with and are influenced by these specific elements.</w:t>
      </w:r>
    </w:p>
    <w:p w:rsidR="00000000" w:rsidDel="00000000" w:rsidP="00000000" w:rsidRDefault="00000000" w:rsidRPr="00000000" w14:paraId="000002E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this thesis better explains farmer decision-making during transition periods by demonstrating how participants [farmers] construct meaning within their given environment and make decisions. Producing an explanatory theory enables the questions of ‘why’ and ‘how’ things occurred to be answered and places these answers into the context of the situation, taking the participants' experiences into account (Benbasat et al., 1987). Employing this methodology provided a better understanding of farmers' decisions during the agricultural transition, why and how they made decisions, and what social and environmental influences impacted that process.</w:t>
      </w:r>
    </w:p>
    <w:p w:rsidR="00000000" w:rsidDel="00000000" w:rsidP="00000000" w:rsidRDefault="00000000" w:rsidRPr="00000000" w14:paraId="000002E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iteration of coding highlighted that farmers consistently discussed how their financial situations, social relationships, and values guided their decision-making during the transition period. Following a review of the literature, it became clear that these themes were largely consistent with the dimensions of capital– economic, social, and cultural capital– of the ‘good farmer’ theory. The inductive nature of this thesis enabled an adaptive, flexible, and responsive approach to the emerging data, allowing the collected data to be meaningfully mapped and built upon existing literature on the ‘good farmer’. This approach supported the development of the theoretical framework and conceptualisation of the ‘good farmer’.</w:t>
      </w:r>
    </w:p>
    <w:p w:rsidR="00000000" w:rsidDel="00000000" w:rsidP="00000000" w:rsidRDefault="00000000" w:rsidRPr="00000000" w14:paraId="000002EF">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similarities of the data collected and the existing ‘good farmer’ concept were recognised, additional iterations of coding were undertaken on the farmer interview datasets. This process involved mapping the findings onto the different forms of capital that underpin the ‘good farmer’ concept. This not only clarified the thesis’ contributions to the ongoing development of this concept but also addressed gaps in the literature concerning the limitations of this concept and applying it to periods of agri-environmental policy transition. </w:t>
      </w:r>
    </w:p>
    <w:p w:rsidR="00000000" w:rsidDel="00000000" w:rsidP="00000000" w:rsidRDefault="00000000" w:rsidRPr="00000000" w14:paraId="000002F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 interviews were coded in line with the different forms of capital (economic, cultural, and social) as outlined in Figure 3.4 in the preceding chapter. These findings were then used in thematic analysis to generate contributions to changes in these forms of capital, which underpin the ‘good farmer’ theory. Thus, this thesis adapts and expands upon the existing ‘good farmer’ theory and presents an explanatory theory which demonstrates a new way to conceptualise the ‘good farmer’ and how the conceptualisation can be brought up to date to account for the changes of the transition period. </w:t>
      </w:r>
    </w:p>
    <w:p w:rsidR="00000000" w:rsidDel="00000000" w:rsidP="00000000" w:rsidRDefault="00000000" w:rsidRPr="00000000" w14:paraId="000002F1">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PhD defines the research population through case studies to develop the theory. As highlighted by Eisenhardt (1989), qualitative case study research enables the identification of patterns or relationships that emerge organically from the data. Case studies are also typically used as a research strategy to investigate something in a real-life context (Yin, 2009). One approach to case study research can be to produce explanatory outcomes, enabling the researcher to understand why and how certain events happen, which may, therefore, impact whether something occurred (Yin, 2009). During the period in which the data in this thesis were collected, evidence showed that farmers consistently chose not to participate in new post-Brexit schemes. Therefore, applying an explanatory approach to case studies enabled me to confirm the participation or non-participation of farmers in these schemes and provided the opportunity to gain insights and understand the motivations behind farmer decision-making. In the case of this research, the two cases of farmers that were analysed were those who actively participated in developing new ELM schemes (pilot farmers) and those who refrained from interacting with the new post-Brexit policies (see below for further detail). </w:t>
      </w:r>
    </w:p>
    <w:p w:rsidR="00000000" w:rsidDel="00000000" w:rsidP="00000000" w:rsidRDefault="00000000" w:rsidRPr="00000000" w14:paraId="000002F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data were derived from semi-structured interviews with farmers. Semi-structured interviews were selected as the primary method because they allow for the ability to probe and investigate key areas (Merriam, 1998). Semi-structured interviews were especially valuable during farmer interviews because they provided the opportunity to tailor the interview questions based on the farmers’ background, expertise, history and experiences. The flexibility of this interview approach allowed for different emerging themes to be uncovered during interviews and for a wider context of farmer decision-making to be developed. While the interviews were being conducted, memos of each interview were kept in a journal to document interview notes and comments on the interviewees' composure and reactions to the interview questions. These notes and comments were referenced during the analysis to help inform the development of an explanatory theory for this thesis. The use of the triggering change cycle and posing questions related to the different components were also used to help inform the questions posed to farmers in the data collection process of this thesis (Sutherland, et al., 2012). For example, in the case of the ‘trigger event’ stage, farmers in interviews were asked their response to changes in the loss of direct payments funding and new policies being introduced and whether there were any changes needed to meet farm management objectives or exploit new opportunities (as this occurs in the ‘trigger event’ stage of the cycle according to Sutherland, et al. 2012). Following the completion of each interview, the interviews were transcribed and then coded using MAXQDA software</w:t>
      </w:r>
      <w:r w:rsidDel="00000000" w:rsidR="00000000" w:rsidRPr="00000000">
        <w:rPr>
          <w:rFonts w:ascii="Calibri" w:cs="Calibri" w:eastAsia="Calibri" w:hAnsi="Calibri"/>
          <w:sz w:val="24"/>
          <w:szCs w:val="24"/>
          <w:vertAlign w:val="superscript"/>
        </w:rPr>
        <w:footnoteReference w:customMarkFollows="0" w:id="24"/>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F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interview transcripts were then coded based on a system of thematic analysis, following Clarke and Braun’s (2013) six-step framework, which consists of familiarisation of data, generating initial codes, combining codes to create themes, reviewing themes, determining the significance of themes, and analysing and reporting findings. This analysis was employed to group common iterations and ‘threads’ from the interview data to form a series of themes that help create the theory's basis (Morse and Field, 1995). The process of thematic analysis is iterative and focuses on identifying patterns in the data presented. Alongside identifying new themes, this thesis also utilised a list of predefined themes, informed by the existing farming literature, that was referenced as guidance while coding. This pre-defined list of themes is largely based on the farming literature discussed in the preceding chapter, which discusses the different factors that have an influence on farmer decision-making. For clarity, some of the main themes referenced and utilised throughout coding the empirical analysis included (listed in alphabetical order) BPS, environmental awareness, financial constraints/variables, the ‘good farmer’, and succession. Newly identified themes discovered through the transcription of interviews were also added to the original list of themes for coding. After completing the first round of coding, the second and third rounds were conducted to better group and refine themes. The third iteration of coding</w:t>
      </w:r>
      <w:r w:rsidDel="00000000" w:rsidR="00000000" w:rsidRPr="00000000">
        <w:rPr>
          <w:rFonts w:ascii="Calibri" w:cs="Calibri" w:eastAsia="Calibri" w:hAnsi="Calibri"/>
          <w:sz w:val="24"/>
          <w:szCs w:val="24"/>
          <w:vertAlign w:val="superscript"/>
        </w:rPr>
        <w:footnoteReference w:customMarkFollows="0" w:id="25"/>
      </w:r>
      <w:r w:rsidDel="00000000" w:rsidR="00000000" w:rsidRPr="00000000">
        <w:rPr>
          <w:rFonts w:ascii="Calibri" w:cs="Calibri" w:eastAsia="Calibri" w:hAnsi="Calibri"/>
          <w:sz w:val="24"/>
          <w:szCs w:val="24"/>
          <w:rtl w:val="0"/>
        </w:rPr>
        <w:t xml:space="preserve"> included coding the interview transcripts in line with different elements of the ‘good farmer model’, namely the different types of capital. The theoretical contributions included in the following empirical chapters of this thesis were derived from these multiple iterations of thematic analysis of interview findings. </w:t>
      </w:r>
    </w:p>
    <w:p w:rsidR="00000000" w:rsidDel="00000000" w:rsidP="00000000" w:rsidRDefault="00000000" w:rsidRPr="00000000" w14:paraId="000002F4">
      <w:pPr>
        <w:pStyle w:val="Heading2"/>
        <w:numPr>
          <w:ilvl w:val="0"/>
          <w:numId w:val="7"/>
        </w:numPr>
        <w:ind w:left="360" w:hanging="360"/>
        <w:rPr/>
      </w:pPr>
      <w:bookmarkStart w:colFirst="0" w:colLast="0" w:name="_heading=h.so2v7yjdpiqh" w:id="67"/>
      <w:bookmarkEnd w:id="67"/>
      <w:r w:rsidDel="00000000" w:rsidR="00000000" w:rsidRPr="00000000">
        <w:rPr>
          <w:rtl w:val="0"/>
        </w:rPr>
        <w:t xml:space="preserve">Why case studies?</w:t>
      </w:r>
    </w:p>
    <w:p w:rsidR="00000000" w:rsidDel="00000000" w:rsidP="00000000" w:rsidRDefault="00000000" w:rsidRPr="00000000" w14:paraId="000002F5">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key advantage of using case studies is that they can “illuminate a </w:t>
      </w:r>
      <w:r w:rsidDel="00000000" w:rsidR="00000000" w:rsidRPr="00000000">
        <w:rPr>
          <w:rFonts w:ascii="Calibri" w:cs="Calibri" w:eastAsia="Calibri" w:hAnsi="Calibri"/>
          <w:i w:val="1"/>
          <w:sz w:val="24"/>
          <w:szCs w:val="24"/>
          <w:rtl w:val="0"/>
        </w:rPr>
        <w:t xml:space="preserve">decision </w:t>
      </w:r>
      <w:r w:rsidDel="00000000" w:rsidR="00000000" w:rsidRPr="00000000">
        <w:rPr>
          <w:rFonts w:ascii="Calibri" w:cs="Calibri" w:eastAsia="Calibri" w:hAnsi="Calibri"/>
          <w:sz w:val="24"/>
          <w:szCs w:val="24"/>
          <w:rtl w:val="0"/>
        </w:rPr>
        <w:t xml:space="preserve">or set of decisions: why they were taken, how they were implemented, and with what result” (Yin’s interpretation of Schramm, 1971; page 13, Yin, 2008). Yin (2009; p.18) describes case studies as empirical inquiries that “investigate a contemporary phenomenon within its real-world context and the boundaries between phenomenon and context may not be clearly evident”. In the case of this research, case studies were applied to examine the ‘boundaries’ that are not evident and to unveil the different factors that influence the relationship between farmers [the phenomenon] and the agricultural transition [context]. Further, the use of cases can be beneficial in providing an in-depth analysis of the causal mechanisms that link causes to outcomes and drive certain events, which in this case would be farmer participation (George and Bennet, 2005). Given that context is necessary for understanding the motivations during a transitory period where there are evolving policies and options available, case studies prove to be an appropriate option for analysis since they stress that to understand the conditions of why something occurs it is important to understand the context to avoid oversimplification or generalisations of data (George and Bennet, 2005). </w:t>
      </w:r>
    </w:p>
    <w:p w:rsidR="00000000" w:rsidDel="00000000" w:rsidP="00000000" w:rsidRDefault="00000000" w:rsidRPr="00000000" w14:paraId="000002F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highlighted in the preceding chapters, the case study selection for this thesis was based on a literature review, insights from an external position</w:t>
      </w:r>
      <w:r w:rsidDel="00000000" w:rsidR="00000000" w:rsidRPr="00000000">
        <w:rPr>
          <w:rFonts w:ascii="Calibri" w:cs="Calibri" w:eastAsia="Calibri" w:hAnsi="Calibri"/>
          <w:sz w:val="24"/>
          <w:szCs w:val="24"/>
          <w:vertAlign w:val="superscript"/>
        </w:rPr>
        <w:footnoteReference w:customMarkFollows="0" w:id="26"/>
      </w:r>
      <w:r w:rsidDel="00000000" w:rsidR="00000000" w:rsidRPr="00000000">
        <w:rPr>
          <w:rFonts w:ascii="Calibri" w:cs="Calibri" w:eastAsia="Calibri" w:hAnsi="Calibri"/>
          <w:sz w:val="24"/>
          <w:szCs w:val="24"/>
          <w:rtl w:val="0"/>
        </w:rPr>
        <w:t xml:space="preserve"> at Defra, and discussions with British farmers. Document analysis was conducted to assess the status of post-Brexit agricultural policies across the UK and devolved administrations, with England emerging as the most developed in terms of policy rollout, including the ELM programs. England’s early implementation of pilot schemes, such as the Sustainable Farming Incentive, provided a rich data source for the study. The main reason for selecting English farmers was the availability of data and the opportunity to study farmers facing the loss of EU funding and deciding whether to participate in the SFI pilot program to compensate for this loss. </w:t>
      </w:r>
    </w:p>
    <w:p w:rsidR="00000000" w:rsidDel="00000000" w:rsidP="00000000" w:rsidRDefault="00000000" w:rsidRPr="00000000" w14:paraId="000002F7">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also worth noting that there was a demonstrable shift in the prescriptiveness in scheme guidance for SFI in comparison to its predecessor scheme, Countryside Stewardship (CS). To illustrate, the policy wording for each scheme, specifically for hedgerow guidance has evolved to become far more descriptive. The CS guidance provides specific parameters on where the action can and cannot be implemented, what is required and what is prohibited, the exact requirements to prepare for monitoring visits, guidance on the successful implementation of actions, and general advice and suggestions on how to carry out the action. In contrast, the guidance for the SFI Pilot strays away from outlining specific numerical requirements, as seen in CS, and instead provides more descriptive guidance, without specific guidelines, which is left to the discretion of the reader. To highlight the movement away from specific and prescriptive guidance, CS guidance for cutting hedgerows was to </w:t>
      </w:r>
      <w:r w:rsidDel="00000000" w:rsidR="00000000" w:rsidRPr="00000000">
        <w:rPr>
          <w:rFonts w:ascii="Calibri" w:cs="Calibri" w:eastAsia="Calibri" w:hAnsi="Calibri"/>
          <w:i w:val="1"/>
          <w:sz w:val="24"/>
          <w:szCs w:val="24"/>
          <w:rtl w:val="0"/>
        </w:rPr>
        <w:t xml:space="preserve">cut hedgerows: either no more than 1 year in 3 between 1 September and 28 February - leave at least two-thirds of hedges untrimmed each year or no more than 1 year in 2 between 1 January and 28 February - leave at least one- half of the hedges untrimmed each year </w:t>
      </w:r>
      <w:r w:rsidDel="00000000" w:rsidR="00000000" w:rsidRPr="00000000">
        <w:rPr>
          <w:rFonts w:ascii="Calibri" w:cs="Calibri" w:eastAsia="Calibri" w:hAnsi="Calibri"/>
          <w:sz w:val="24"/>
          <w:szCs w:val="24"/>
          <w:rtl w:val="0"/>
        </w:rPr>
        <w:t xml:space="preserve">whereas, for the SFI Pilot, the guidance simply stated to </w:t>
      </w:r>
      <w:r w:rsidDel="00000000" w:rsidR="00000000" w:rsidRPr="00000000">
        <w:rPr>
          <w:rFonts w:ascii="Calibri" w:cs="Calibri" w:eastAsia="Calibri" w:hAnsi="Calibri"/>
          <w:i w:val="1"/>
          <w:sz w:val="24"/>
          <w:szCs w:val="24"/>
          <w:rtl w:val="0"/>
        </w:rPr>
        <w:t xml:space="preserve">leave at least 50 per cent of the hedgerow uncut, every year on rotation leave at least half of the total hedgerow length uncut to increase the amount of pollen, nectar and berries for birds and insects </w:t>
      </w:r>
      <w:r w:rsidDel="00000000" w:rsidR="00000000" w:rsidRPr="00000000">
        <w:rPr>
          <w:rFonts w:ascii="Calibri" w:cs="Calibri" w:eastAsia="Calibri" w:hAnsi="Calibri"/>
          <w:sz w:val="24"/>
          <w:szCs w:val="24"/>
          <w:rtl w:val="0"/>
        </w:rPr>
        <w:t xml:space="preserve">(Natural England, 2016; Defra, 2021)</w:t>
      </w:r>
      <w:r w:rsidDel="00000000" w:rsidR="00000000" w:rsidRPr="00000000">
        <w:rPr>
          <w:rFonts w:ascii="Calibri" w:cs="Calibri" w:eastAsia="Calibri" w:hAnsi="Calibri"/>
          <w:sz w:val="24"/>
          <w:szCs w:val="24"/>
          <w:vertAlign w:val="superscript"/>
        </w:rPr>
        <w:footnoteReference w:customMarkFollows="0" w:id="27"/>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By comparing the evolution from Mid-tier CS to the Introductory Hedgerows SFI hedgerow policy, which are comparable policy areas with similar levels of ambition, we can observe a clear shift in policy wording from the more prescriptive language of previous schemes to the more descriptive approach used in the SFI Pilot, making it interesting to understand how farmers respond to this change, particularly in the context of the broader post-Brexit policy shift.</w:t>
      </w:r>
    </w:p>
    <w:p w:rsidR="00000000" w:rsidDel="00000000" w:rsidP="00000000" w:rsidRDefault="00000000" w:rsidRPr="00000000" w14:paraId="000002F8">
      <w:pPr>
        <w:shd w:fill="ffffff" w:val="clea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Focusing on the SFI Policy also presents the chance to understand the dynamics between tenant farmers, their decision-making in the transition period, and how the ‘good farmer’ conceptualisation can be updated to account for the challenges that different types of farmers (e.g. tenant, owner, partial owner) may face. To illustrate, the Rock Review (Tenancy Working Group [TWG], 2022) an independent report, published by the Tenancy Working Group, evaluated the plausibility of new ELM schemes for tenant farmers. The report emphasised that roughly one third of farmed land in England is tenanted and ignoring the needs of this group of farmers would have negative implications on food production and the environmental benefits produced under ELM (TWG, 2022). The unique constraints of tenant farmers are that when the SFI policy was first launched tenanted farmers were required to seek approval of joining the scheme from their landlord which constrained their ability to freely apply and engage with ELM schemes. Further, the Rock Review (TWG, 2022; p. 13) stated that “Defra has a long way to go to make its schemes open to tenants.” Thus, due to these dynamics, tenant farmers face additional challenges during the transition period which are important to consider when analysing their decision-making processes for engaging in the SFI Pilot. </w:t>
      </w:r>
    </w:p>
    <w:p w:rsidR="00000000" w:rsidDel="00000000" w:rsidP="00000000" w:rsidRDefault="00000000" w:rsidRPr="00000000" w14:paraId="000002F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the SFI pilot was initially only available to farmers eligible to receive basic payments (BPS) under the previous CAP policy (</w:t>
      </w:r>
      <w:hyperlink r:id="rId20">
        <w:r w:rsidDel="00000000" w:rsidR="00000000" w:rsidRPr="00000000">
          <w:rPr>
            <w:rFonts w:ascii="Calibri" w:cs="Calibri" w:eastAsia="Calibri" w:hAnsi="Calibri"/>
            <w:color w:val="1155cc"/>
            <w:sz w:val="24"/>
            <w:szCs w:val="24"/>
            <w:u w:val="single"/>
            <w:rtl w:val="0"/>
          </w:rPr>
          <w:t xml:space="preserve">Defra, 2021</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perscript"/>
        </w:rPr>
        <w:footnoteReference w:customMarkFollows="0" w:id="28"/>
      </w:r>
      <w:r w:rsidDel="00000000" w:rsidR="00000000" w:rsidRPr="00000000">
        <w:rPr>
          <w:rFonts w:ascii="Calibri" w:cs="Calibri" w:eastAsia="Calibri" w:hAnsi="Calibri"/>
          <w:sz w:val="24"/>
          <w:szCs w:val="24"/>
          <w:rtl w:val="0"/>
        </w:rPr>
        <w:t xml:space="preserve">. The intention of targeting these farmers for participation was that with the knowledge of their direct payments being phased out over the next seven years, farmers would be more inclined to find a new way to compensate for the payment loss and partake in a new scheme. Defra anticipated between 5,000 to 10,000 farmers would express interest in participating in cohort 1 of the pilot, but only 2,178 farmers expressed interest, and of that, only 873 farmers enrolled in the pilot (NAO, 2021; Defra, 2022). Pilot participants were given the option of selecting which standards and level of ambition they would like to participate in for the next three years (until 2024). The table below illustrates the pilot participation numbers from the start of the pilot in 2021 to its final stages, as of October 2024 (Defra, 2024). </w:t>
      </w:r>
    </w:p>
    <w:p w:rsidR="00000000" w:rsidDel="00000000" w:rsidP="00000000" w:rsidRDefault="00000000" w:rsidRPr="00000000" w14:paraId="000002F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eq2e7j1qo0sb" w:id="68"/>
      <w:bookmarkEnd w:id="68"/>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11</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Table 4.1. Annual Participation in SFI Pilot</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c2d69b" w:val="clear"/>
            <w:tcMar>
              <w:top w:w="100.0" w:type="dxa"/>
              <w:left w:w="100.0" w:type="dxa"/>
              <w:bottom w:w="100.0" w:type="dxa"/>
              <w:right w:w="100.0" w:type="dxa"/>
            </w:tcMar>
          </w:tcPr>
          <w:p w:rsidR="00000000" w:rsidDel="00000000" w:rsidP="00000000" w:rsidRDefault="00000000" w:rsidRPr="00000000" w14:paraId="000002F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 (Milestone)</w:t>
            </w:r>
          </w:p>
        </w:tc>
        <w:tc>
          <w:tcPr>
            <w:shd w:fill="c2d69b" w:val="clear"/>
            <w:tcMar>
              <w:top w:w="100.0" w:type="dxa"/>
              <w:left w:w="100.0" w:type="dxa"/>
              <w:bottom w:w="100.0" w:type="dxa"/>
              <w:right w:w="100.0" w:type="dxa"/>
            </w:tcMar>
          </w:tcPr>
          <w:p w:rsidR="00000000" w:rsidDel="00000000" w:rsidP="00000000" w:rsidRDefault="00000000" w:rsidRPr="00000000" w14:paraId="000002F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Farmers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2021 (Expressions of interest)</w:t>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2,168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2021 (Applications received)</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954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1">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2022 (Live Agreements) </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856</w:t>
            </w:r>
            <w:r w:rsidDel="00000000" w:rsidR="00000000" w:rsidRPr="00000000">
              <w:rPr>
                <w:rFonts w:ascii="Calibri" w:cs="Calibri" w:eastAsia="Calibri" w:hAnsi="Calibri"/>
                <w:sz w:val="24"/>
                <w:szCs w:val="24"/>
                <w:vertAlign w:val="superscript"/>
              </w:rPr>
              <w:footnoteReference w:customMarkFollows="0" w:id="29"/>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3">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2023 (Live Agreements)</w:t>
            </w:r>
          </w:p>
        </w:tc>
        <w:tc>
          <w:tcPr>
            <w:shd w:fill="auto" w:val="clear"/>
            <w:tcMar>
              <w:top w:w="100.0" w:type="dxa"/>
              <w:left w:w="100.0" w:type="dxa"/>
              <w:bottom w:w="100.0" w:type="dxa"/>
              <w:right w:w="100.0" w:type="dxa"/>
            </w:tcMar>
          </w:tcPr>
          <w:p w:rsidR="00000000" w:rsidDel="00000000" w:rsidP="00000000" w:rsidRDefault="00000000" w:rsidRPr="00000000" w14:paraId="00000304">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5">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2024 (Live Agreements)</w:t>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777</w:t>
            </w:r>
          </w:p>
        </w:tc>
      </w:tr>
    </w:tbl>
    <w:p w:rsidR="00000000" w:rsidDel="00000000" w:rsidP="00000000" w:rsidRDefault="00000000" w:rsidRPr="00000000" w14:paraId="00000307">
      <w:pPr>
        <w:spacing w:after="200" w:before="200" w:line="360" w:lineRule="auto"/>
        <w:rPr>
          <w:rFonts w:ascii="Calibri" w:cs="Calibri" w:eastAsia="Calibri" w:hAnsi="Calibri"/>
          <w:i w:val="1"/>
          <w:sz w:val="24"/>
          <w:szCs w:val="24"/>
        </w:rPr>
      </w:pPr>
      <w:r w:rsidDel="00000000" w:rsidR="00000000" w:rsidRPr="00000000">
        <w:rPr>
          <w:rFonts w:ascii="Calibri" w:cs="Calibri" w:eastAsia="Calibri" w:hAnsi="Calibri"/>
          <w:i w:val="1"/>
          <w:color w:val="000000"/>
          <w:sz w:val="24"/>
          <w:szCs w:val="24"/>
          <w:rtl w:val="0"/>
        </w:rPr>
        <w:t xml:space="preserve">Source: Data collected from Defra 2024 SFI Pilot Event</w:t>
      </w:r>
      <w:r w:rsidDel="00000000" w:rsidR="00000000" w:rsidRPr="00000000">
        <w:rPr>
          <w:rtl w:val="0"/>
        </w:rPr>
      </w:r>
    </w:p>
    <w:p w:rsidR="00000000" w:rsidDel="00000000" w:rsidP="00000000" w:rsidRDefault="00000000" w:rsidRPr="00000000" w14:paraId="0000030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studies selected for analysis were farmers who chose to take part in the development of the SFI Pilot and ELM schemes throughout the agricultural transition in England, and the farmers who did not. The non-pilot farmer group is important to study in the context of the broader post-Brexit agricultural policy landscape in England. In 2016, 85,000 farms received Basic Payment Scheme funding</w:t>
      </w:r>
      <w:r w:rsidDel="00000000" w:rsidR="00000000" w:rsidRPr="00000000">
        <w:rPr>
          <w:rFonts w:ascii="Calibri" w:cs="Calibri" w:eastAsia="Calibri" w:hAnsi="Calibri"/>
          <w:sz w:val="24"/>
          <w:szCs w:val="24"/>
          <w:vertAlign w:val="superscript"/>
        </w:rPr>
        <w:footnoteReference w:customMarkFollows="0" w:id="30"/>
      </w:r>
      <w:r w:rsidDel="00000000" w:rsidR="00000000" w:rsidRPr="00000000">
        <w:rPr>
          <w:rFonts w:ascii="Calibri" w:cs="Calibri" w:eastAsia="Calibri" w:hAnsi="Calibri"/>
          <w:sz w:val="24"/>
          <w:szCs w:val="24"/>
          <w:rtl w:val="0"/>
        </w:rPr>
        <w:t xml:space="preserve">. Despite this, as demonstrated above, only a small number of farmers participated in the Sustainable Farming Incentive Pilot, which was open only to prior BPS claimants. The majority of the farming sector chose not to participate in the SFI pilot. Interviewing farmers who did not participate provides an opportunity to analyse the farmers who chose not to be at the forefront of change for their industry and who chose not to adopt the post-Brexit policies quickly. Likewise, engaging with pilot farmers presents the opportunity to better understand their motivations for joining the scheme and how the evolving dynamics of the transition period impacted their decision-making processes between 2021 and 2024.  </w:t>
      </w:r>
    </w:p>
    <w:p w:rsidR="00000000" w:rsidDel="00000000" w:rsidP="00000000" w:rsidRDefault="00000000" w:rsidRPr="00000000" w14:paraId="00000309">
      <w:pPr>
        <w:spacing w:after="200"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Case 1: Farmers involved in the early rollout or development of agri-environmental schemes </w:t>
      </w:r>
      <w:r w:rsidDel="00000000" w:rsidR="00000000" w:rsidRPr="00000000">
        <w:rPr>
          <w:rtl w:val="0"/>
        </w:rPr>
      </w:r>
    </w:p>
    <w:p w:rsidR="00000000" w:rsidDel="00000000" w:rsidP="00000000" w:rsidRDefault="00000000" w:rsidRPr="00000000" w14:paraId="0000030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farmers who chose to participate in the SFI pilot or fully enrol in SFI 2022 was one criterion of case selection. Through interviewing this group of farmers, the research sought to better understand the motivations of farmers involved in the agri-environmental schemes, their intentions to participate in the full rollout of the schemes, and the nature of their relationship with Defra. </w:t>
      </w:r>
    </w:p>
    <w:p w:rsidR="00000000" w:rsidDel="00000000" w:rsidP="00000000" w:rsidRDefault="00000000" w:rsidRPr="00000000" w14:paraId="0000030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Selecting farmers who willingly participated in developing new agri-environmental schemes was anticipated to indicate willingness and openness to learn more about new agricultural policy. This case was also a test of whether participation (in both the pilot and full scheme rollout) could be used as an indicator of willingness and openness because, in both cases, farmer turnout was significantly lower than anticipated, which raised the question of whether the farmers who did sign up were most optimistic towards the schemes and in attitudes towards the environment. These farmers were included to learn more about the drivers that guided them to want to participate in new schemes and to understand their initial thoughts and concerns about how the policies worked for them.</w:t>
      </w:r>
    </w:p>
    <w:p w:rsidR="00000000" w:rsidDel="00000000" w:rsidP="00000000" w:rsidRDefault="00000000" w:rsidRPr="00000000" w14:paraId="0000030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line with earlier studies on farmer behaviour in AES, it was anticipated that this group would include farmers who were already very involved in agri-environmental schemes and had a genuine interest in the environment (Defrancesco et al., 2008; Ruto and Garrod, 2009; Barreiro-Hurlé et al., 2010; Coyne et al., 2021). Alternatively, they may have been interested in joining these schemes for the monetary incentive to compensate for the phasing out of direct payments. Engaging with this group of farmers enabled the identification of the different factors and motivations which drove participation in the agri-environmental transition. Learnings from these groups aided in the developing a deeper understanding of how the ‘good farmer’ navigated the agricultural transition and how this concept has since evolved. </w:t>
      </w:r>
    </w:p>
    <w:p w:rsidR="00000000" w:rsidDel="00000000" w:rsidP="00000000" w:rsidRDefault="00000000" w:rsidRPr="00000000" w14:paraId="0000030D">
      <w:pPr>
        <w:spacing w:after="20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Case 2: Farmers who have chosen not to participate in or help develop new agri-environmental schemes </w:t>
      </w:r>
    </w:p>
    <w:p w:rsidR="00000000" w:rsidDel="00000000" w:rsidP="00000000" w:rsidRDefault="00000000" w:rsidRPr="00000000" w14:paraId="0000030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criterion for the second case was farmers who chose to abstain from engaging with new post-Brexit policies despite being offered the chance to do so. Most of the farmers participating in this research were farmers who received funding under CAP but had chosen not to participate in new policies despite being given a chance to do so.</w:t>
      </w:r>
    </w:p>
    <w:p w:rsidR="00000000" w:rsidDel="00000000" w:rsidP="00000000" w:rsidRDefault="00000000" w:rsidRPr="00000000" w14:paraId="0000030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Interviews with this selected group of farmers were intended to provide insights into the reasons behind their reluctance to participate in new schemes and to highlight potential weaknesses in the agricultural transition. As noted earlier, fewer than 1,000 farm holdings applied for or enrolled in the SFI Pilot. To put this into perspective, Defra recorded 102,400 farm holdings in England as of 2023 (Defra, 2024). While not all of these farms may have been eligible for the scheme for various reasons, the fact that less than 1 per cent of the industry has engaged with what is meant to be the scheme applicable for all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farmers and landowners (from 2021 to 2024) raises a critical question of why farmers have chosen not to participate. </w:t>
      </w:r>
    </w:p>
    <w:p w:rsidR="00000000" w:rsidDel="00000000" w:rsidP="00000000" w:rsidRDefault="00000000" w:rsidRPr="00000000" w14:paraId="0000031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Existing literature has touched upon non-participation in schemes in the context of farmer decision-making, but these interpretations do not consider the complexities of the Brexit transition (see Morris and Potter, 1995; Wilson and Hart, 2000; Burton et al., 2008). Non-participation in the SFI Pilot, presents a particularly intriguing case, as farmers could have enrolled and included a very small portion of their land in the scheme</w:t>
      </w:r>
      <w:r w:rsidDel="00000000" w:rsidR="00000000" w:rsidRPr="00000000">
        <w:rPr>
          <w:rFonts w:ascii="Calibri" w:cs="Calibri" w:eastAsia="Calibri" w:hAnsi="Calibri"/>
          <w:sz w:val="24"/>
          <w:szCs w:val="24"/>
          <w:vertAlign w:val="superscript"/>
        </w:rPr>
        <w:footnoteReference w:customMarkFollows="0" w:id="31"/>
      </w:r>
      <w:r w:rsidDel="00000000" w:rsidR="00000000" w:rsidRPr="00000000">
        <w:rPr>
          <w:rFonts w:ascii="Calibri" w:cs="Calibri" w:eastAsia="Calibri" w:hAnsi="Calibri"/>
          <w:sz w:val="24"/>
          <w:szCs w:val="24"/>
          <w:rtl w:val="0"/>
        </w:rPr>
        <w:t xml:space="preserve">, with minimal risk of failure (since it was a pilot scheme with the monitoring process also being a pilot ), as well as gaining an additional £5,000 in remuneration for simply participating and engaging in ‘learning activities’ with Defra. To illustrate, a farmer could enter 500 metres into the introductory hedgerow option and would be paid £20/metre and the £5000 per year so long as they complete the requirements of leaving at least 50 per cent of the hedgerow uncut and having an average of one hedgerow tree per 400 metres of hedge (as per the 2021 SFI Pilot Guidance on Gov.UK). The opportunity to uncover why farmers chose not to participate, despite the low risk and financial incentives, becomes all the more compelling especially when coupled with the phasing out of the BPS.</w:t>
      </w:r>
    </w:p>
    <w:p w:rsidR="00000000" w:rsidDel="00000000" w:rsidP="00000000" w:rsidRDefault="00000000" w:rsidRPr="00000000" w14:paraId="0000031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it is important to engage with these farmers to better understand the reasons for their non-participation in the new agri-environmental schemes. Likewise, interacting with these farmers also enabled analysis of their perception of the ‘good farmer’ and why they decided against making decisions that could have defined them as a ‘good farmer’ (i.e. participating in new schemes).</w:t>
      </w:r>
    </w:p>
    <w:p w:rsidR="00000000" w:rsidDel="00000000" w:rsidP="00000000" w:rsidRDefault="00000000" w:rsidRPr="00000000" w14:paraId="00000312">
      <w:pPr>
        <w:pStyle w:val="Heading2"/>
        <w:numPr>
          <w:ilvl w:val="0"/>
          <w:numId w:val="7"/>
        </w:numPr>
        <w:ind w:left="360" w:hanging="360"/>
        <w:rPr/>
      </w:pPr>
      <w:bookmarkStart w:colFirst="0" w:colLast="0" w:name="_heading=h.meauh0p25err" w:id="69"/>
      <w:bookmarkEnd w:id="69"/>
      <w:r w:rsidDel="00000000" w:rsidR="00000000" w:rsidRPr="00000000">
        <w:rPr>
          <w:rtl w:val="0"/>
        </w:rPr>
        <w:t xml:space="preserve">Sampling</w:t>
      </w:r>
    </w:p>
    <w:p w:rsidR="00000000" w:rsidDel="00000000" w:rsidP="00000000" w:rsidRDefault="00000000" w:rsidRPr="00000000" w14:paraId="00000313">
      <w:pPr>
        <w:spacing w:after="200" w:line="36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The interview timeline was designed to accommodate the schedules of arable and livestock farmers. Consequently, the interview period began in December 2022 and ran until November 2023</w:t>
      </w:r>
      <w:r w:rsidDel="00000000" w:rsidR="00000000" w:rsidRPr="00000000">
        <w:rPr>
          <w:rFonts w:ascii="Calibri" w:cs="Calibri" w:eastAsia="Calibri" w:hAnsi="Calibri"/>
          <w:sz w:val="24"/>
          <w:szCs w:val="24"/>
          <w:vertAlign w:val="superscript"/>
        </w:rPr>
        <w:footnoteReference w:customMarkFollows="0" w:id="32"/>
      </w:r>
      <w:r w:rsidDel="00000000" w:rsidR="00000000" w:rsidRPr="00000000">
        <w:rPr>
          <w:rFonts w:ascii="Calibri" w:cs="Calibri" w:eastAsia="Calibri" w:hAnsi="Calibri"/>
          <w:sz w:val="24"/>
          <w:szCs w:val="24"/>
          <w:rtl w:val="0"/>
        </w:rPr>
        <w:t xml:space="preserve"> to provide availability outside of busy periods for farmers, such as lambing or harvest season(s). It is also important to reiterate that interviews with farmers took place during a transition. Whilst interviews with farmers took place over time where there was significant policy change, it was also at a point in time where all the policy options available to farmers had already been introduced and during a period when the policy environment stabilised (e.g. the only government schemes available to farmers was the full rollout of SFI 2022</w:t>
      </w:r>
      <w:r w:rsidDel="00000000" w:rsidR="00000000" w:rsidRPr="00000000">
        <w:rPr>
          <w:rFonts w:ascii="Calibri" w:cs="Calibri" w:eastAsia="Calibri" w:hAnsi="Calibri"/>
          <w:sz w:val="24"/>
          <w:szCs w:val="24"/>
          <w:vertAlign w:val="superscript"/>
        </w:rPr>
        <w:footnoteReference w:customMarkFollows="0" w:id="33"/>
      </w:r>
      <w:r w:rsidDel="00000000" w:rsidR="00000000" w:rsidRPr="00000000">
        <w:rPr>
          <w:rFonts w:ascii="Calibri" w:cs="Calibri" w:eastAsia="Calibri" w:hAnsi="Calibri"/>
          <w:sz w:val="24"/>
          <w:szCs w:val="24"/>
          <w:rtl w:val="0"/>
        </w:rPr>
        <w:t xml:space="preserve">. It is also important to reiterate some of the overarching challenges farmers faced during the transition period which include the financial implications of the phasing out of BPS, an emergence of new policy, and a changing policy reward structure which shifted to pay farmers for their production of </w:t>
      </w:r>
      <w:r w:rsidDel="00000000" w:rsidR="00000000" w:rsidRPr="00000000">
        <w:rPr>
          <w:rFonts w:ascii="Calibri" w:cs="Calibri" w:eastAsia="Calibri" w:hAnsi="Calibri"/>
          <w:i w:val="1"/>
          <w:sz w:val="24"/>
          <w:szCs w:val="24"/>
          <w:rtl w:val="0"/>
        </w:rPr>
        <w:t xml:space="preserve">public goods. </w:t>
      </w:r>
    </w:p>
    <w:p w:rsidR="00000000" w:rsidDel="00000000" w:rsidP="00000000" w:rsidRDefault="00000000" w:rsidRPr="00000000" w14:paraId="0000031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Interviews were recruited first through a random sample selection process. This process was then followed by snowball sampling and convenience sampling which had to be used due to accessibility constraints on recruiting farmers to participate. To diversify the sample size of interviewees, an initial list of contact information was compiled from searching for different farms throughout England. This occurred by searching ‘farm’ on Google Maps and identifying different phone numbers and email addresses listed on their geotag. Another avenue was searching farmer clusters and farmer network sites for farmer names and email addresses that were publicly available. There was a random distribution of farm type, size, and location across all the contacted holdings. There was also no prior knowledge of whether these farms participated in agri-environmental schemes. 122 farms found via this search methodology were contacted for an interview request, and eight farmers responded to this request and participated in the research. The intention of recruiting a random sample of farmers to participate in the research, rather than initially recruiting via snowball sampling, was due to the fear of over-researching already vocal and involved farmers. For example, the list of farmers identified as initial contacts for interviews via snowball sampling had already participated in previous research studies and were relatively well connected with the policy community (because they were recruited from Defra-led workshops, events, or research studies). By recruiting farmers who were not met through interactions with academia or Defra, the hope was to diversify the sample size to include farmers who may not have been as well aware of developments in the policy environment.</w:t>
      </w:r>
    </w:p>
    <w:p w:rsidR="00000000" w:rsidDel="00000000" w:rsidP="00000000" w:rsidRDefault="00000000" w:rsidRPr="00000000" w14:paraId="0000031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Snowball sampling was then employed through contacting existing connections in the farming industry. Existing connections included relatives, friends, and family of colleagues working in or from a farming background. Additionally, snowball sampling was used to connect with farmers or friends of farmers who agreed to participate in this research. </w:t>
      </w:r>
    </w:p>
    <w:p w:rsidR="00000000" w:rsidDel="00000000" w:rsidP="00000000" w:rsidRDefault="00000000" w:rsidRPr="00000000" w14:paraId="0000031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Convenience sampling was also used in efforts to help with recruitment. Farmers who held a personal relationship with the interviewee, based on previous research projects</w:t>
      </w:r>
      <w:r w:rsidDel="00000000" w:rsidR="00000000" w:rsidRPr="00000000">
        <w:rPr>
          <w:rFonts w:ascii="Calibri" w:cs="Calibri" w:eastAsia="Calibri" w:hAnsi="Calibri"/>
          <w:sz w:val="24"/>
          <w:szCs w:val="24"/>
          <w:vertAlign w:val="superscript"/>
        </w:rPr>
        <w:footnoteReference w:customMarkFollows="0" w:id="34"/>
      </w:r>
      <w:r w:rsidDel="00000000" w:rsidR="00000000" w:rsidRPr="00000000">
        <w:rPr>
          <w:rFonts w:ascii="Calibri" w:cs="Calibri" w:eastAsia="Calibri" w:hAnsi="Calibri"/>
          <w:sz w:val="24"/>
          <w:szCs w:val="24"/>
          <w:rtl w:val="0"/>
        </w:rPr>
        <w:t xml:space="preserve">, were also asked to be interviewed. In addition, farmers that the researcher met through different on-farm events, conferences, and workshops were also invited to participate in this research study. On-farm events were Defra-led activities that included day-long workshops with farmers to discuss their participation in the SFI Pilot and learn more about how pilot farmers were implementing the different standards on the farm; events also included Defra-led workshops which were hosted to explore different aspects of the SFI pilot like where farmers sought strategic advice, their experiences of the Rural Payments Agency (RPA) monitoring visits, and how they mitigated the consequences of extreme weather to implement SFI standard actions; conferences included the Real Oxford Farming Conference and Groundswell (The Regenerative Agriculture Festival). </w:t>
      </w:r>
    </w:p>
    <w:p w:rsidR="00000000" w:rsidDel="00000000" w:rsidP="00000000" w:rsidRDefault="00000000" w:rsidRPr="00000000" w14:paraId="00000317">
      <w:pPr>
        <w:pStyle w:val="Heading3"/>
        <w:numPr>
          <w:ilvl w:val="1"/>
          <w:numId w:val="7"/>
        </w:numPr>
        <w:ind w:left="792" w:hanging="432"/>
        <w:rPr/>
      </w:pPr>
      <w:bookmarkStart w:colFirst="0" w:colLast="0" w:name="_heading=h.oujtp1vj9tfl" w:id="70"/>
      <w:bookmarkEnd w:id="70"/>
      <w:r w:rsidDel="00000000" w:rsidR="00000000" w:rsidRPr="00000000">
        <w:rPr>
          <w:rtl w:val="0"/>
        </w:rPr>
        <w:t xml:space="preserve">Consent and Research Ethics </w:t>
      </w:r>
    </w:p>
    <w:p w:rsidR="00000000" w:rsidDel="00000000" w:rsidP="00000000" w:rsidRDefault="00000000" w:rsidRPr="00000000" w14:paraId="0000031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 to the research for this thesis commencing, a research ethics application was submitted, and this thesis was granted ethical approval. Included in the ethical approval process was a review of the different correspondence and documents that would be shared with research participants prior to participating in interviews. This included consent forms, project information sheets, and contact information for post-participation queries. </w:t>
      </w:r>
    </w:p>
    <w:p w:rsidR="00000000" w:rsidDel="00000000" w:rsidP="00000000" w:rsidRDefault="00000000" w:rsidRPr="00000000" w14:paraId="0000031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start of the interviews, farmers were provided with a project information sheet (included in the appendix), which provided more information on the research. At the start of the interview, there was also an opportunity for farmers to ask any questions about the research and what it would entail; contact information was provided following the interviews in case there were any outstanding post-interview queries. Farmers were also asked to consent to the interviews being recorded and for the information they provided to be included in the PhD research. </w:t>
      </w:r>
    </w:p>
    <w:p w:rsidR="00000000" w:rsidDel="00000000" w:rsidP="00000000" w:rsidRDefault="00000000" w:rsidRPr="00000000" w14:paraId="0000031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was no predefined number of interviews required for each of the cases. The number of interviews was determined once there was a saturation of responses within each case, and general themes emerged from the empirical data. In total fifteen farmers</w:t>
      </w:r>
      <w:r w:rsidDel="00000000" w:rsidR="00000000" w:rsidRPr="00000000">
        <w:rPr>
          <w:rFonts w:ascii="Calibri" w:cs="Calibri" w:eastAsia="Calibri" w:hAnsi="Calibri"/>
          <w:sz w:val="24"/>
          <w:szCs w:val="24"/>
          <w:vertAlign w:val="superscript"/>
        </w:rPr>
        <w:footnoteReference w:customMarkFollows="0" w:id="35"/>
      </w:r>
      <w:r w:rsidDel="00000000" w:rsidR="00000000" w:rsidRPr="00000000">
        <w:rPr>
          <w:rFonts w:ascii="Calibri" w:cs="Calibri" w:eastAsia="Calibri" w:hAnsi="Calibri"/>
          <w:sz w:val="24"/>
          <w:szCs w:val="24"/>
          <w:rtl w:val="0"/>
        </w:rPr>
        <w:t xml:space="preserve"> were interviewed for this thesis, with the duration of the interviews ranging from approximately one to three hours. Some farmers participating in the research were interviewed on multiple occasions. Additionally, multiple interviewees had a preliminary call before the formal thesis interview to get to know the farmer and their involvement in the new policies. In two instances, farmers preferred to be interviewed in a setting with a fellow farming colleague or co-worker. For the comfort of the interviewees, the researcher accommodated these requests and conducted a joint interview. </w:t>
      </w:r>
    </w:p>
    <w:p w:rsidR="00000000" w:rsidDel="00000000" w:rsidP="00000000" w:rsidRDefault="00000000" w:rsidRPr="00000000" w14:paraId="0000031B">
      <w:pPr>
        <w:pStyle w:val="Heading3"/>
        <w:numPr>
          <w:ilvl w:val="1"/>
          <w:numId w:val="7"/>
        </w:numPr>
        <w:ind w:left="792" w:hanging="432"/>
        <w:rPr/>
      </w:pPr>
      <w:bookmarkStart w:colFirst="0" w:colLast="0" w:name="_heading=h.d21jdt8nzoga" w:id="71"/>
      <w:bookmarkEnd w:id="71"/>
      <w:r w:rsidDel="00000000" w:rsidR="00000000" w:rsidRPr="00000000">
        <w:rPr>
          <w:rtl w:val="0"/>
        </w:rPr>
        <w:t xml:space="preserve">Overview of Research Sample</w:t>
      </w:r>
    </w:p>
    <w:p w:rsidR="00000000" w:rsidDel="00000000" w:rsidP="00000000" w:rsidRDefault="00000000" w:rsidRPr="00000000" w14:paraId="0000031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provides an overview of the demographic data for the research sample included in this thesis. This research involved a total of fifteen farmers, with seven participants from the SFI Pilot scheme and eight non-pilot farmers. Chapter five presents the data collected and analysed from interviews with pilot farmers, while chapter six focuses on the non-pilot farmers. Chapter seven synthesises the remaining data, drawing together the key themes and contributions discussed throughout the thesis.</w:t>
      </w:r>
    </w:p>
    <w:p w:rsidR="00000000" w:rsidDel="00000000" w:rsidP="00000000" w:rsidRDefault="00000000" w:rsidRPr="00000000" w14:paraId="0000031D">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geographical breakdown of interviewees aligns with the regional classifications used by Defra to recognise different agricultural jurisdictions within the UK. As shown in Table 4.3, the South East and South West were the two most represented regions, which is justifiable given the agricultural workforce distribution in England. In 2023, the South West had the highest proportion of England’s total agricultural labour force (22 per cent) and the largest share of its regular workers (19 per cent) (Defra, 2024). Meanwhile, the South East (including London) had the most workers per farm (3.6 workers) and the highest proportion of casual labour (29 per cent) (Defra, 2024).</w:t>
      </w:r>
    </w:p>
    <w:p w:rsidR="00000000" w:rsidDel="00000000" w:rsidP="00000000" w:rsidRDefault="00000000" w:rsidRPr="00000000" w14:paraId="0000031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utup7yg4aqtv" w:id="72"/>
      <w:bookmarkEnd w:id="72"/>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12</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Table 4.2. Geographical Breakdown of Interviews</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31F">
            <w:pPr>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Location </w:t>
            </w:r>
          </w:p>
        </w:tc>
        <w:tc>
          <w:tcPr>
            <w:shd w:fill="b6d7a8" w:val="clear"/>
            <w:tcMar>
              <w:top w:w="100.0" w:type="dxa"/>
              <w:left w:w="100.0" w:type="dxa"/>
              <w:bottom w:w="100.0" w:type="dxa"/>
              <w:right w:w="100.0" w:type="dxa"/>
            </w:tcMar>
          </w:tcPr>
          <w:p w:rsidR="00000000" w:rsidDel="00000000" w:rsidP="00000000" w:rsidRDefault="00000000" w:rsidRPr="00000000" w14:paraId="00000320">
            <w:pPr>
              <w:widowControl w:val="0"/>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Number of Interviews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 East</w:t>
              <w:tab/>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 West</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Yorkshire and the Humber</w:t>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East Midlands</w:t>
            </w:r>
          </w:p>
        </w:tc>
        <w:tc>
          <w:tcPr>
            <w:shd w:fill="auto" w:val="clear"/>
            <w:tcMar>
              <w:top w:w="100.0" w:type="dxa"/>
              <w:left w:w="100.0" w:type="dxa"/>
              <w:bottom w:w="100.0" w:type="dxa"/>
              <w:right w:w="100.0" w:type="dxa"/>
            </w:tcMar>
          </w:tcPr>
          <w:p w:rsidR="00000000" w:rsidDel="00000000" w:rsidP="00000000" w:rsidRDefault="00000000" w:rsidRPr="00000000" w14:paraId="0000032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West Midlands</w:t>
              <w:tab/>
            </w:r>
          </w:p>
          <w:p w:rsidR="00000000" w:rsidDel="00000000" w:rsidP="00000000" w:rsidRDefault="00000000" w:rsidRPr="00000000" w14:paraId="0000032A">
            <w:pPr>
              <w:widowControl w:val="0"/>
              <w:spacing w:after="200" w:line="36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East of England</w:t>
              <w:tab/>
            </w:r>
          </w:p>
          <w:p w:rsidR="00000000" w:rsidDel="00000000" w:rsidP="00000000" w:rsidRDefault="00000000" w:rsidRPr="00000000" w14:paraId="0000032D">
            <w:pPr>
              <w:widowControl w:val="0"/>
              <w:spacing w:after="200" w:line="36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 East (including London) </w:t>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 West</w:t>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333">
            <w:pPr>
              <w:spacing w:after="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Total </w:t>
            </w:r>
          </w:p>
        </w:tc>
        <w:tc>
          <w:tcPr>
            <w:shd w:fill="d9ead3" w:val="clear"/>
            <w:tcMar>
              <w:top w:w="100.0" w:type="dxa"/>
              <w:left w:w="100.0" w:type="dxa"/>
              <w:bottom w:w="100.0" w:type="dxa"/>
              <w:right w:w="100.0" w:type="dxa"/>
            </w:tcMar>
          </w:tcPr>
          <w:p w:rsidR="00000000" w:rsidDel="00000000" w:rsidP="00000000" w:rsidRDefault="00000000" w:rsidRPr="00000000" w14:paraId="00000334">
            <w:pPr>
              <w:widowControl w:val="0"/>
              <w:spacing w:after="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15</w:t>
            </w:r>
          </w:p>
        </w:tc>
      </w:tr>
    </w:tbl>
    <w:p w:rsidR="00000000" w:rsidDel="00000000" w:rsidP="00000000" w:rsidRDefault="00000000" w:rsidRPr="00000000" w14:paraId="00000335">
      <w:pPr>
        <w:spacing w:after="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terms of farm size, the most common farm sizes among the farmers who participated in this study ranged from 200 to over 300 hectares. Among those with farms larger than 300 hectares, the average farm size was 692.25 hectares. According to Defra (2024), the average English farm size is 88 hectares. Therefore, the average farm size in this research was considerably larger than the national average. However, due to sampling constraints, as discussed in the section below, it was challenging to recruit farmers from each respective farm size category, which influenced the representation of farm sizes in the sample.</w:t>
      </w:r>
    </w:p>
    <w:p w:rsidR="00000000" w:rsidDel="00000000" w:rsidP="00000000" w:rsidRDefault="00000000" w:rsidRPr="00000000" w14:paraId="00000337">
      <w:pPr>
        <w:keepNext w:val="1"/>
        <w:spacing w:after="200" w:line="360" w:lineRule="auto"/>
        <w:rPr/>
      </w:pPr>
      <w:r w:rsidDel="00000000" w:rsidR="00000000" w:rsidRPr="00000000">
        <w:rPr>
          <w:rFonts w:ascii="Calibri" w:cs="Calibri" w:eastAsia="Calibri" w:hAnsi="Calibri"/>
          <w:sz w:val="24"/>
          <w:szCs w:val="24"/>
        </w:rPr>
        <w:drawing>
          <wp:inline distB="114300" distT="114300" distL="114300" distR="114300">
            <wp:extent cx="5127124" cy="3150208"/>
            <wp:effectExtent b="0" l="0" r="0" t="0"/>
            <wp:docPr descr="Points scored" id="1297365383" name="image20.png"/>
            <a:graphic>
              <a:graphicData uri="http://schemas.openxmlformats.org/drawingml/2006/picture">
                <pic:pic>
                  <pic:nvPicPr>
                    <pic:cNvPr descr="Points scored" id="0" name="image20.png"/>
                    <pic:cNvPicPr preferRelativeResize="0"/>
                  </pic:nvPicPr>
                  <pic:blipFill>
                    <a:blip r:embed="rId21"/>
                    <a:srcRect b="0" l="0" r="0" t="0"/>
                    <a:stretch>
                      <a:fillRect/>
                    </a:stretch>
                  </pic:blipFill>
                  <pic:spPr>
                    <a:xfrm>
                      <a:off x="0" y="0"/>
                      <a:ext cx="5127124" cy="3150208"/>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ok8buq2w76o" w:id="73"/>
      <w:bookmarkEnd w:id="73"/>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10</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Figure 4.1 Distribution of Farm Size for Interviews</w:t>
      </w:r>
    </w:p>
    <w:p w:rsidR="00000000" w:rsidDel="00000000" w:rsidP="00000000" w:rsidRDefault="00000000" w:rsidRPr="00000000" w14:paraId="00000339">
      <w:pPr>
        <w:spacing w:after="20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3A">
      <w:pPr>
        <w:keepNext w:val="1"/>
        <w:spacing w:after="200" w:line="360" w:lineRule="auto"/>
        <w:rPr/>
      </w:pPr>
      <w:r w:rsidDel="00000000" w:rsidR="00000000" w:rsidRPr="00000000">
        <w:rPr>
          <w:rFonts w:ascii="Calibri" w:cs="Calibri" w:eastAsia="Calibri" w:hAnsi="Calibri"/>
          <w:sz w:val="24"/>
          <w:szCs w:val="24"/>
        </w:rPr>
        <w:drawing>
          <wp:inline distB="114300" distT="114300" distL="114300" distR="114300">
            <wp:extent cx="4367213" cy="2701108"/>
            <wp:effectExtent b="0" l="0" r="0" t="0"/>
            <wp:docPr descr="Points scored" id="1297365381" name="image23.png"/>
            <a:graphic>
              <a:graphicData uri="http://schemas.openxmlformats.org/drawingml/2006/picture">
                <pic:pic>
                  <pic:nvPicPr>
                    <pic:cNvPr descr="Points scored" id="0" name="image23.png"/>
                    <pic:cNvPicPr preferRelativeResize="0"/>
                  </pic:nvPicPr>
                  <pic:blipFill>
                    <a:blip r:embed="rId22"/>
                    <a:srcRect b="0" l="0" r="0" t="0"/>
                    <a:stretch>
                      <a:fillRect/>
                    </a:stretch>
                  </pic:blipFill>
                  <pic:spPr>
                    <a:xfrm>
                      <a:off x="0" y="0"/>
                      <a:ext cx="4367213" cy="2701108"/>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i5loe4bpgldw" w:id="74"/>
      <w:bookmarkEnd w:id="74"/>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11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4.2 Distribution of Farm Type for Interviews</w:t>
      </w:r>
    </w:p>
    <w:p w:rsidR="00000000" w:rsidDel="00000000" w:rsidP="00000000" w:rsidRDefault="00000000" w:rsidRPr="00000000" w14:paraId="0000033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of the fifteen farmers interviewed, three were tenants, one was a partial owner, and the remainder of participants were full owners of their farms. The sample also reflected a range of farm types (as seen in Graph 4.1), with the majority of participants being either arable or mixed farmers. Among the mixed farmers, the majority of farms (with the exception of one dairy and arable farm) managed both arable and livestock operations. In England, the primary categories of farmers are general livestock (41 per cent) and general cropping (21 per cent) (Defra, 2024). Although the farmers in this study predominantly fell within the mixed farming category, their farm businesses, which involved both arable and livestock production, still provided valuable insights into how policy developments in the agricultural transition impact the most represented farm types in England. </w:t>
      </w:r>
    </w:p>
    <w:p w:rsidR="00000000" w:rsidDel="00000000" w:rsidP="00000000" w:rsidRDefault="00000000" w:rsidRPr="00000000" w14:paraId="0000033D">
      <w:pPr>
        <w:pStyle w:val="Heading3"/>
        <w:numPr>
          <w:ilvl w:val="1"/>
          <w:numId w:val="7"/>
        </w:numPr>
        <w:ind w:left="792" w:hanging="432"/>
        <w:rPr/>
      </w:pPr>
      <w:bookmarkStart w:colFirst="0" w:colLast="0" w:name="_heading=h.szmag9esvv9h" w:id="75"/>
      <w:bookmarkEnd w:id="75"/>
      <w:r w:rsidDel="00000000" w:rsidR="00000000" w:rsidRPr="00000000">
        <w:rPr>
          <w:rtl w:val="0"/>
        </w:rPr>
        <w:t xml:space="preserve">Sampling Constraints </w:t>
      </w:r>
    </w:p>
    <w:p w:rsidR="00000000" w:rsidDel="00000000" w:rsidP="00000000" w:rsidRDefault="00000000" w:rsidRPr="00000000" w14:paraId="0000033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several constraints to conducting research with farming communities. Farmers are over-surveyed and often suffer from research fatigue, that their availability is constricted within the remit of harvest seasons, and that they are often harder to reach due to their remote physical location or lack of technological accessibility (Grolleau et al., 2020; Zahl-Thanem et al., 2021). The preceding section addressed how over-surveying communities would be avoided by employing a random sampling methodology. To mitigate some of these other constraints the interviews were conducted over an eleven-month period to account for periods outside of harvest season and lambing. Preliminary conversations with farmers and Defra representatives informed the harvest and lambing season timeline. </w:t>
      </w:r>
    </w:p>
    <w:p w:rsidR="00000000" w:rsidDel="00000000" w:rsidP="00000000" w:rsidRDefault="00000000" w:rsidRPr="00000000" w14:paraId="0000033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account for the accessibility of both the researcher and the farmer, farmers were given the opportunity to partake in the interview either online or in person. Due to the impact of the COVID-19 pandemic, most farmers interviewed were already accustomed to navigating online video conferencing because that was their method of communication with different points of contact for Defra and their business counterparts. The familiarity with video conferencing software enabled the quick scheduling of interviews for circumstances where travel to the farm was not possible or to better accommodate the last-minute schedules of farmers. There was the option for in-person interviews for farmers who might not be as technologically equipped, and farmers were also recruited from in-person events (e.g., conferences, farm walks, and workshops). Recruiting farmers in person for in-person interviews aimed to provide a platform for farmers to participate in the research using their preferred method. In-person recruitment for interviews also sought to engage with farmers who may not have an online presence or access to video conferencing. </w:t>
      </w:r>
    </w:p>
    <w:p w:rsidR="00000000" w:rsidDel="00000000" w:rsidP="00000000" w:rsidRDefault="00000000" w:rsidRPr="00000000" w14:paraId="0000034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were also constraints with regard to the accessibility of data. When this research commenced, there was no public access</w:t>
      </w:r>
      <w:r w:rsidDel="00000000" w:rsidR="00000000" w:rsidRPr="00000000">
        <w:rPr>
          <w:rFonts w:ascii="Calibri" w:cs="Calibri" w:eastAsia="Calibri" w:hAnsi="Calibri"/>
          <w:sz w:val="24"/>
          <w:szCs w:val="24"/>
          <w:vertAlign w:val="superscript"/>
        </w:rPr>
        <w:footnoteReference w:customMarkFollows="0" w:id="36"/>
      </w:r>
      <w:r w:rsidDel="00000000" w:rsidR="00000000" w:rsidRPr="00000000">
        <w:rPr>
          <w:rFonts w:ascii="Calibri" w:cs="Calibri" w:eastAsia="Calibri" w:hAnsi="Calibri"/>
          <w:sz w:val="24"/>
          <w:szCs w:val="24"/>
          <w:rtl w:val="0"/>
        </w:rPr>
        <w:t xml:space="preserve"> to data regarding farmers participating in the SFI pilot or full rollout of the SFI scheme. This meant that farmers had to be approached at random and screened before the research to categorise which case they could be categorised under, if any. The combined constraints of access to public data and farming communities, in general, accounted for interviews taking place outside of the predefined case specifications. Additional off the record interviews were conducted with farmers, members of agricultural organisations, and UK government employees to provide more context to the overarching landscape of farmers in the post-Brexit transition and to investigate potential gaps in the research question.</w:t>
      </w:r>
    </w:p>
    <w:p w:rsidR="00000000" w:rsidDel="00000000" w:rsidP="00000000" w:rsidRDefault="00000000" w:rsidRPr="00000000" w14:paraId="00000341">
      <w:pPr>
        <w:spacing w:after="20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Lastly, there was the constraint that farmers were interviewed at different times during a live and evolving policy rollout and, therefore, had varying opinions as more policy developments were announced and options were introduced. The diagram below illustrates the interview timeline and major policy developments that were announced during the agricultural transition. As introduced in the Chapter Three, at the time of interviews during this thesis, farmers could be considered in the Active Assessment stage whereby they were evaluating business options, experimenting, consulting their network, and considering the implications of changing their current system.</w:t>
      </w:r>
      <w:r w:rsidDel="00000000" w:rsidR="00000000" w:rsidRPr="00000000">
        <w:rPr>
          <w:rtl w:val="0"/>
        </w:rPr>
      </w:r>
    </w:p>
    <w:p w:rsidR="00000000" w:rsidDel="00000000" w:rsidP="00000000" w:rsidRDefault="00000000" w:rsidRPr="00000000" w14:paraId="00000342">
      <w:pPr>
        <w:keepNext w:val="1"/>
        <w:spacing w:after="200" w:before="200" w:line="360" w:lineRule="auto"/>
        <w:rPr/>
      </w:pPr>
      <w:r w:rsidDel="00000000" w:rsidR="00000000" w:rsidRPr="00000000">
        <w:rPr>
          <w:rFonts w:ascii="Calibri" w:cs="Calibri" w:eastAsia="Calibri" w:hAnsi="Calibri"/>
          <w:sz w:val="24"/>
          <w:szCs w:val="24"/>
        </w:rPr>
        <w:drawing>
          <wp:inline distB="114300" distT="114300" distL="114300" distR="114300">
            <wp:extent cx="5731200" cy="2438400"/>
            <wp:effectExtent b="0" l="0" r="0" t="0"/>
            <wp:docPr id="129736538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2"/>
          <w:szCs w:val="22"/>
          <w:u w:val="none"/>
          <w:vertAlign w:val="baseline"/>
        </w:rPr>
      </w:pPr>
      <w:bookmarkStart w:colFirst="0" w:colLast="0" w:name="_heading=h.447aj7asq1k" w:id="76"/>
      <w:bookmarkEnd w:id="76"/>
      <w:r w:rsidDel="00000000" w:rsidR="00000000" w:rsidRPr="00000000">
        <w:rPr>
          <w:rFonts w:ascii="Calibri" w:cs="Calibri" w:eastAsia="Calibri" w:hAnsi="Calibri"/>
          <w:b w:val="1"/>
          <w:i w:val="1"/>
          <w:smallCaps w:val="0"/>
          <w:strike w:val="0"/>
          <w:color w:val="ffffff"/>
          <w:sz w:val="22"/>
          <w:szCs w:val="22"/>
          <w:u w:val="none"/>
          <w:vertAlign w:val="baseline"/>
          <w:rtl w:val="0"/>
        </w:rPr>
        <w:t xml:space="preserve">12 </w:t>
      </w:r>
      <w:r w:rsidDel="00000000" w:rsidR="00000000" w:rsidRPr="00000000">
        <w:rPr>
          <w:rFonts w:ascii="Calibri" w:cs="Calibri" w:eastAsia="Calibri" w:hAnsi="Calibri"/>
          <w:b w:val="1"/>
          <w:i w:val="1"/>
          <w:smallCaps w:val="0"/>
          <w:strike w:val="0"/>
          <w:color w:val="000000"/>
          <w:sz w:val="22"/>
          <w:szCs w:val="22"/>
          <w:u w:val="none"/>
          <w:vertAlign w:val="baseline"/>
          <w:rtl w:val="0"/>
        </w:rPr>
        <w:t xml:space="preserve">Figure 4.3. Timeline of the policy developments and completion of interviews</w:t>
      </w:r>
    </w:p>
    <w:p w:rsidR="00000000" w:rsidDel="00000000" w:rsidP="00000000" w:rsidRDefault="00000000" w:rsidRPr="00000000" w14:paraId="00000344">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number of interviews conducted for this research is representative of the depth and quality of participants' responses. Following the completion of the first ten interviews (five for each case), saturation in interviewee responses was already present, and consistent themes were emerging. Supplementary interviews were conducted to solidify the emerging findings.  For both cases of interviewees, there was a significant range in demographic backgrounds as well as familiarity with government-led schemes. The significant consistency in findings despite these differences provided the researcher with confidence that the empirical evidence was robust. </w:t>
      </w:r>
    </w:p>
    <w:p w:rsidR="00000000" w:rsidDel="00000000" w:rsidP="00000000" w:rsidRDefault="00000000" w:rsidRPr="00000000" w14:paraId="00000345">
      <w:pPr>
        <w:pStyle w:val="Heading2"/>
        <w:numPr>
          <w:ilvl w:val="0"/>
          <w:numId w:val="7"/>
        </w:numPr>
        <w:ind w:left="360" w:hanging="360"/>
        <w:rPr/>
      </w:pPr>
      <w:bookmarkStart w:colFirst="0" w:colLast="0" w:name="_heading=h.lj6wyw8l12xt" w:id="77"/>
      <w:bookmarkEnd w:id="77"/>
      <w:r w:rsidDel="00000000" w:rsidR="00000000" w:rsidRPr="00000000">
        <w:rPr>
          <w:rtl w:val="0"/>
        </w:rPr>
        <w:t xml:space="preserve">Additional Data Sources</w:t>
      </w:r>
    </w:p>
    <w:p w:rsidR="00000000" w:rsidDel="00000000" w:rsidP="00000000" w:rsidRDefault="00000000" w:rsidRPr="00000000" w14:paraId="0000034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primary data underpinning this research are semi-structured interviews with interviewees. Other primary data sources which informed this research include informal interviews with farmers and observations from attending different in person events with farmers (e.g. on farm visits, farmer network meetings, Defra-led policy workshops). </w:t>
      </w:r>
    </w:p>
    <w:p w:rsidR="00000000" w:rsidDel="00000000" w:rsidP="00000000" w:rsidRDefault="00000000" w:rsidRPr="00000000" w14:paraId="00000347">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Secondary data analysed for this project include government policies, farmer opinion trackers, farm newsletters and magazines, and online farm blogs and forums.</w:t>
      </w:r>
      <w:r w:rsidDel="00000000" w:rsidR="00000000" w:rsidRPr="00000000">
        <w:rPr>
          <w:rFonts w:ascii="Calibri" w:cs="Calibri" w:eastAsia="Calibri" w:hAnsi="Calibri"/>
          <w:sz w:val="24"/>
          <w:szCs w:val="24"/>
          <w:vertAlign w:val="superscript"/>
        </w:rPr>
        <w:footnoteReference w:customMarkFollows="0" w:id="37"/>
      </w:r>
      <w:r w:rsidDel="00000000" w:rsidR="00000000" w:rsidRPr="00000000">
        <w:rPr>
          <w:rFonts w:ascii="Calibri" w:cs="Calibri" w:eastAsia="Calibri" w:hAnsi="Calibri"/>
          <w:sz w:val="24"/>
          <w:szCs w:val="24"/>
          <w:rtl w:val="0"/>
        </w:rPr>
        <w:t xml:space="preserve"> These secondary data sources were used to help form interview guides and refine research questions. Government policies and manifestos served to be especially useful in highlighting the main themes of the agricultural transition and tracking the salience of these themes with farmers during interviews. There were significant limitations concerning publicly accessible data on the progress of the SFI pilot and the main scheme rollout. The publicly- available information regarding the SFI Pilot was only available through Defra blog posts on the Future Farming forum and NAO published reports on the status of the pilot (NAO, 2021; Defra n.d.). </w:t>
      </w:r>
    </w:p>
    <w:p w:rsidR="00000000" w:rsidDel="00000000" w:rsidP="00000000" w:rsidRDefault="00000000" w:rsidRPr="00000000" w14:paraId="0000034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Coinciding with the research for this thesis, I held a position as a research consultant in Defra, specifically analysing farmer engagement in the SFI Pilot and policy co-design. This external position as a researcher at Defra was especially useful in providing context on the operations of the pilot because the information on its functioning would not be accessible elsewhere. In this role, I conducted over 200 interviews with pilot farmers (over 80 different farmers; several farmers I interviewed on multiple occasions) on a range of different topics related to the agricultural transition. Further, I conducted fifteen informal interviews related to this thesis with different farmers and government stakeholders which I am unable to directly cite. Over the course of the past four years conducting research on the SFI Pilot I have spent over 60 hours on different farms learning the impact of the SFI Policy on the ground and learning firsthand with farmers the practical barriers of entering the scheme. Spending time physically on the farms was especially useful in contextualising the perspective of the farmer and seeing the practicalities of the policy from their eyes; the insight collected from the physical changes they were required to make, the historical features of their land, and the narration of their decision-making also helped to grasp their evolving attitudes towards productivism and what constitutes as good farming practices. This position as a consultant with Defra provided a unique opportunity to conduct primary research, which helped to provide greater context and insight when designing primary research for this PhD. It is important to note that the data collected from this work was not used in the development of this PhD, but rather the insight gained and connections this role provided aided in finding accessible information, development of research questions, and provided context for the thesis. The positionality of this role and this thesis were addressed in the research ethics approval process. </w:t>
      </w:r>
    </w:p>
    <w:p w:rsidR="00000000" w:rsidDel="00000000" w:rsidP="00000000" w:rsidRDefault="00000000" w:rsidRPr="00000000" w14:paraId="0000034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semi-structured interviews conducted with the two cases of farmers, there were also an additional two interviews conducted with Defra employees (off the record) who were directly involved with the creation and implementation of the co-design process in the SFI pilot. These interviews provided more context for the empirical evidence presented and the scope and limitations of the agricultural transition from the government's viewpoint. Table 4.4 below summarises the main data sources mentioned throughout this chapter and utilised in the formation of this thesis.  </w:t>
      </w:r>
    </w:p>
    <w:p w:rsidR="00000000" w:rsidDel="00000000" w:rsidP="00000000" w:rsidRDefault="00000000" w:rsidRPr="00000000" w14:paraId="0000034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xpvdctrv9aqk" w:id="78"/>
      <w:bookmarkEnd w:id="78"/>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13</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 Table 4.3. Summary of Data Sources</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34B">
            <w:pPr>
              <w:widowControl w:val="0"/>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Type </w:t>
            </w:r>
          </w:p>
        </w:tc>
        <w:tc>
          <w:tcPr>
            <w:shd w:fill="b6d7a8" w:val="clear"/>
            <w:tcMar>
              <w:top w:w="100.0" w:type="dxa"/>
              <w:left w:w="100.0" w:type="dxa"/>
              <w:bottom w:w="100.0" w:type="dxa"/>
              <w:right w:w="100.0" w:type="dxa"/>
            </w:tcMar>
          </w:tcPr>
          <w:p w:rsidR="00000000" w:rsidDel="00000000" w:rsidP="00000000" w:rsidRDefault="00000000" w:rsidRPr="00000000" w14:paraId="0000034C">
            <w:pPr>
              <w:widowControl w:val="0"/>
              <w:spacing w:after="200"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Detail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 Interviews (Pilot and Non-Pilot)</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Informal Farmer Conversations (Off the record for this thesis)</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1">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Employee Interviews (Off the record)</w:t>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3">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Government Reports and White Papers (2018 to 2024)</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spacing w:after="200" w:line="36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12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5">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Blog Posts </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w:t>
            </w:r>
          </w:p>
          <w:p w:rsidR="00000000" w:rsidDel="00000000" w:rsidP="00000000" w:rsidRDefault="00000000" w:rsidRPr="00000000" w14:paraId="00000357">
            <w:pPr>
              <w:widowControl w:val="0"/>
              <w:spacing w:after="200" w:line="36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Average of 2-3 blog posts per month from 2021 to 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Farmer Opinion Trackers (2019 to 2024)</w:t>
            </w:r>
          </w:p>
        </w:tc>
        <w:tc>
          <w:tcPr>
            <w:shd w:fill="auto" w:val="clear"/>
            <w:tcMar>
              <w:top w:w="100.0" w:type="dxa"/>
              <w:left w:w="100.0" w:type="dxa"/>
              <w:bottom w:w="100.0" w:type="dxa"/>
              <w:right w:w="100.0" w:type="dxa"/>
            </w:tcMar>
          </w:tcPr>
          <w:p w:rsidR="00000000" w:rsidDel="00000000" w:rsidP="00000000" w:rsidRDefault="00000000" w:rsidRPr="00000000" w14:paraId="0000035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tl w:val="0"/>
              </w:rPr>
            </w:r>
          </w:p>
          <w:p w:rsidR="00000000" w:rsidDel="00000000" w:rsidP="00000000" w:rsidRDefault="00000000" w:rsidRPr="00000000" w14:paraId="0000035A">
            <w:pPr>
              <w:widowControl w:val="0"/>
              <w:spacing w:after="200" w:line="360" w:lineRule="auto"/>
              <w:rPr>
                <w:rFonts w:ascii="Calibri" w:cs="Calibri" w:eastAsia="Calibri" w:hAnsi="Calibri"/>
                <w:i w:val="1"/>
                <w:sz w:val="24"/>
                <w:szCs w:val="24"/>
              </w:rPr>
            </w:pPr>
            <w:r w:rsidDel="00000000" w:rsidR="00000000" w:rsidRPr="00000000">
              <w:rPr>
                <w:rtl w:val="0"/>
              </w:rPr>
            </w:r>
          </w:p>
        </w:tc>
      </w:tr>
    </w:tbl>
    <w:p w:rsidR="00000000" w:rsidDel="00000000" w:rsidP="00000000" w:rsidRDefault="00000000" w:rsidRPr="00000000" w14:paraId="0000035B">
      <w:pPr>
        <w:pStyle w:val="Heading1"/>
        <w:jc w:val="left"/>
        <w:rPr/>
      </w:pPr>
      <w:bookmarkStart w:colFirst="0" w:colLast="0" w:name="_heading=h.woz28ycku3xv" w:id="79"/>
      <w:bookmarkEnd w:id="79"/>
      <w:r w:rsidDel="00000000" w:rsidR="00000000" w:rsidRPr="00000000">
        <w:rPr>
          <w:rtl w:val="0"/>
        </w:rPr>
      </w:r>
    </w:p>
    <w:p w:rsidR="00000000" w:rsidDel="00000000" w:rsidP="00000000" w:rsidRDefault="00000000" w:rsidRPr="00000000" w14:paraId="0000035C">
      <w:pPr>
        <w:pStyle w:val="Heading2"/>
        <w:numPr>
          <w:ilvl w:val="0"/>
          <w:numId w:val="7"/>
        </w:numPr>
        <w:ind w:left="360" w:hanging="360"/>
        <w:rPr/>
      </w:pPr>
      <w:bookmarkStart w:colFirst="0" w:colLast="0" w:name="_heading=h.npddqoiy1x3s" w:id="80"/>
      <w:bookmarkEnd w:id="80"/>
      <w:r w:rsidDel="00000000" w:rsidR="00000000" w:rsidRPr="00000000">
        <w:rPr>
          <w:rtl w:val="0"/>
        </w:rPr>
        <w:t xml:space="preserve">Analysis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primary data sources for this thesis included semi-structured interviews with farmers. These interviews were essential to investigating farmer decision-making in the context of the post-Brexit agricultural policy transition. Farmer interviews were semi-structured in nature to allow for flexibility in interview questions and content. Flexibility was necessary because farmers varied in different levels of experience, backgrounds, and farm types. The interview guide (see appendix for exemplar) needed to reflect the same level of flexibility. The interview guide was informed by having short, informal conversations with farmers to test the different topic areas and grasp what other things farmers had to say about the initial topics selected. </w:t>
      </w:r>
    </w:p>
    <w:p w:rsidR="00000000" w:rsidDel="00000000" w:rsidP="00000000" w:rsidRDefault="00000000" w:rsidRPr="00000000" w14:paraId="0000035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Completed interviews were transcribed and then coded using MAXQDA software. The coding of the data collected from interviews followed a thematic analysis approach. The interview data were transcribed and coded into themes based on recurring concepts, behaviours, and attitudes related to farmer decision-making in the context of post-Brexit agricultural policies. At the start of the interviews, a list of predefined themes (included in the appendix), informed by the existing literature, was used as guidance while coding. New themes that were discovered through the transcription of interviews were added to the original list of themes for coding. Several iterations of coding were carried out to account for consistency, and all interviews were assessed under the most recent list of thematic elements. Coding was completed based on a line-by-line coding methodology whereby each line of the transcript was assigned one or more codes, which were then used to develop the emerging themes. In line with the constructivist approach to grounded theory, in addition to coding the interview transcript, the interviewee's reactions, description of the situation, and emotions were also accounted for to put the data into context and provide greater meaning (Charmaz, 2014). </w:t>
      </w:r>
    </w:p>
    <w:p w:rsidR="00000000" w:rsidDel="00000000" w:rsidP="00000000" w:rsidRDefault="00000000" w:rsidRPr="00000000" w14:paraId="0000035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terms of data analysis, I employed Charmaz’s approach to grounded theory (Charmaz, 2014), which enabled me to enrich the analysis by incorporating the contextual themes that emerged during interviews, such as social, cultural, and environmental factors. Rather than treating the interview transcript as the sole source of data, I focused on the interactional dynamics of the interviews, including interviewee reactions, the emotions they expressed, and the ways in which they framed their decisions and experiences. This approach provided a richer understanding of how external factors–such as policy changes, economic pressures, and community relationships–interacted with individual farmer identities and decision-making processes.</w:t>
      </w:r>
    </w:p>
    <w:p w:rsidR="00000000" w:rsidDel="00000000" w:rsidP="00000000" w:rsidRDefault="00000000" w:rsidRPr="00000000" w14:paraId="0000036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employing an updated approach to grounded theory (Charmaz 2014), for thematic analysis, I was able to construct a comprehensive explanatory framework for understanding how farmers engage with post-Brexit policy changes and how their decisions reflected evolving perceptions of what it meant to them to be a ‘good farmer.’ This analytical approach helped to identify how changes in the multiple dimensions of capital shape farmers' behaviour and provide a deeper insight into the challenges and opportunities presented by the policy transition. Through using this methodology, I was able to develop key contributions to the ‘good farmer’ concept, and a nuanced view of how farmers, whether participating in the SFI pilot or not, navigated the changing policy landscape and reshaped their roles in the post-Brexit agricultural sector.</w:t>
      </w:r>
    </w:p>
    <w:p w:rsidR="00000000" w:rsidDel="00000000" w:rsidP="00000000" w:rsidRDefault="00000000" w:rsidRPr="00000000" w14:paraId="00000361">
      <w:pPr>
        <w:pStyle w:val="Heading3"/>
        <w:numPr>
          <w:ilvl w:val="1"/>
          <w:numId w:val="7"/>
        </w:numPr>
        <w:ind w:left="792" w:hanging="432"/>
        <w:rPr/>
      </w:pPr>
      <w:bookmarkStart w:colFirst="0" w:colLast="0" w:name="_heading=h.ucbaqb1379or" w:id="81"/>
      <w:bookmarkEnd w:id="81"/>
      <w:r w:rsidDel="00000000" w:rsidR="00000000" w:rsidRPr="00000000">
        <w:rPr>
          <w:rtl w:val="0"/>
        </w:rPr>
        <w:t xml:space="preserve">Coding Frame </w:t>
      </w:r>
    </w:p>
    <w:p w:rsidR="00000000" w:rsidDel="00000000" w:rsidP="00000000" w:rsidRDefault="00000000" w:rsidRPr="00000000" w14:paraId="00000362">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table below provides an example of some of the different codes and how they were organised into groups to create the main themes that emerged from the empirical research. This table provides a few examples</w:t>
      </w:r>
      <w:r w:rsidDel="00000000" w:rsidR="00000000" w:rsidRPr="00000000">
        <w:rPr>
          <w:rFonts w:ascii="Calibri" w:cs="Calibri" w:eastAsia="Calibri" w:hAnsi="Calibri"/>
          <w:sz w:val="24"/>
          <w:szCs w:val="24"/>
          <w:vertAlign w:val="superscript"/>
        </w:rPr>
        <w:footnoteReference w:customMarkFollows="0" w:id="38"/>
      </w:r>
      <w:r w:rsidDel="00000000" w:rsidR="00000000" w:rsidRPr="00000000">
        <w:rPr>
          <w:rFonts w:ascii="Calibri" w:cs="Calibri" w:eastAsia="Calibri" w:hAnsi="Calibri"/>
          <w:sz w:val="24"/>
          <w:szCs w:val="24"/>
          <w:rtl w:val="0"/>
        </w:rPr>
        <w:t xml:space="preserve"> of the codes used in data analysis and examples from the transcripts to illustrate why and how those codes were created. </w:t>
      </w:r>
    </w:p>
    <w:p w:rsidR="00000000" w:rsidDel="00000000" w:rsidP="00000000" w:rsidRDefault="00000000" w:rsidRPr="00000000" w14:paraId="0000036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3bxa4y6qinag" w:id="82"/>
      <w:bookmarkEnd w:id="82"/>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14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Table 4.4. Examples of Codes Generated from Data Analysis</w:t>
      </w:r>
    </w:p>
    <w:tbl>
      <w:tblPr>
        <w:tblStyle w:val="Table13"/>
        <w:tblW w:w="9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0"/>
        <w:gridCol w:w="3110"/>
        <w:gridCol w:w="4330"/>
        <w:tblGridChange w:id="0">
          <w:tblGrid>
            <w:gridCol w:w="1900"/>
            <w:gridCol w:w="3110"/>
            <w:gridCol w:w="433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364">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Code Name</w:t>
            </w:r>
          </w:p>
        </w:tc>
        <w:tc>
          <w:tcPr>
            <w:shd w:fill="b6d7a8" w:val="clear"/>
            <w:tcMar>
              <w:top w:w="100.0" w:type="dxa"/>
              <w:left w:w="100.0" w:type="dxa"/>
              <w:bottom w:w="100.0" w:type="dxa"/>
              <w:right w:w="100.0" w:type="dxa"/>
            </w:tcMar>
          </w:tcPr>
          <w:p w:rsidR="00000000" w:rsidDel="00000000" w:rsidP="00000000" w:rsidRDefault="00000000" w:rsidRPr="00000000" w14:paraId="00000365">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w:t>
            </w:r>
          </w:p>
        </w:tc>
        <w:tc>
          <w:tcPr>
            <w:shd w:fill="b6d7a8" w:val="clear"/>
            <w:tcMar>
              <w:top w:w="100.0" w:type="dxa"/>
              <w:left w:w="100.0" w:type="dxa"/>
              <w:bottom w:w="100.0" w:type="dxa"/>
              <w:right w:w="100.0" w:type="dxa"/>
            </w:tcMar>
          </w:tcPr>
          <w:p w:rsidR="00000000" w:rsidDel="00000000" w:rsidP="00000000" w:rsidRDefault="00000000" w:rsidRPr="00000000" w14:paraId="00000366">
            <w:pPr>
              <w:widowControl w:val="0"/>
              <w:spacing w:after="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from Interview 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7">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Capacity </w:t>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code was attributed to any time farmers discussed why they could not participate in or do something due to time constraints in their daily schedules due to the nature of farming. </w:t>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I've had to work pretty hard to make all these schemes happen. And it doesn't just happen overnight. So, for example, the 200-acre woodland creation scheme has taken four years to come to fruition, you know. So, it's the wild carbon thing. We're still in negotiations now. But you know, those negotiations have been going on for two years. So, it's not easy. And I think because of that, that will put a lot of people off. I don't think a lot of farmers would do what I've done to make this happen. </w:t>
            </w:r>
            <w:r w:rsidDel="00000000" w:rsidR="00000000" w:rsidRPr="00000000">
              <w:rPr>
                <w:rFonts w:ascii="Calibri" w:cs="Calibri" w:eastAsia="Calibri" w:hAnsi="Calibri"/>
                <w:sz w:val="24"/>
                <w:szCs w:val="24"/>
                <w:rtl w:val="0"/>
              </w:rPr>
              <w:t xml:space="preserve">- Interview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A">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Fear/Uncertainty</w:t>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code documents farmer emotions related to fear and uncertainty during the transition period. </w:t>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So that's what I feel about the guidance, I've been getting nothing, I feel very bad about it. All of us look, look at each other around the table and think consultation after consultation, test and trials. No rules coming out six years after Brexit. This is not the way I'd even run a pub or a restaurant. It's tragic, really. I've got no visibility, my headlights are on and I'm running at 70 miles an hour. You know, it's dangerous, very dangerous. I remain relentlessly optimistic because I think out of this if I follow them but it's just my nature. </w:t>
            </w:r>
            <w:r w:rsidDel="00000000" w:rsidR="00000000" w:rsidRPr="00000000">
              <w:rPr>
                <w:rFonts w:ascii="Calibri" w:cs="Calibri" w:eastAsia="Calibri" w:hAnsi="Calibri"/>
                <w:sz w:val="24"/>
                <w:szCs w:val="24"/>
                <w:rtl w:val="0"/>
              </w:rPr>
              <w:t xml:space="preserve">- Interview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D">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Scheme uptake </w:t>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code captures different farmers' opinions about joining the SFI pilot or other agri-environmental schemes, specifically regarding the reasoning behind their decisions. </w:t>
            </w:r>
          </w:p>
        </w:tc>
        <w:tc>
          <w:tcPr>
            <w:shd w:fill="auto" w:val="clear"/>
            <w:tcMar>
              <w:top w:w="100.0" w:type="dxa"/>
              <w:left w:w="100.0" w:type="dxa"/>
              <w:bottom w:w="100.0" w:type="dxa"/>
              <w:right w:w="100.0" w:type="dxa"/>
            </w:tcMar>
          </w:tcPr>
          <w:p w:rsidR="00000000" w:rsidDel="00000000" w:rsidP="00000000" w:rsidRDefault="00000000" w:rsidRPr="00000000" w14:paraId="0000036F">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signed up for the pilot. But for various reasons I'd sort of signed up as being interested in the pilot for various reasons I didn't get involved. I would say there were a number of reasons why I didn't get involved in the pilot. </w:t>
            </w:r>
            <w:r w:rsidDel="00000000" w:rsidR="00000000" w:rsidRPr="00000000">
              <w:rPr>
                <w:rFonts w:ascii="Calibri" w:cs="Calibri" w:eastAsia="Calibri" w:hAnsi="Calibri"/>
                <w:sz w:val="24"/>
                <w:szCs w:val="24"/>
                <w:rtl w:val="0"/>
              </w:rPr>
              <w:t xml:space="preserve">- Interview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0">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Lack of Trust (Defra) </w:t>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code records farmers' relationship with Defra regarding their trust as an organisation. </w:t>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spacing w:after="200" w:line="36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But, you know, they do not support farmers in the way that they should they're far too interested in making themselves look good on these environmental schemes, and they're not actually supporting farming businesses. </w:t>
            </w:r>
            <w:r w:rsidDel="00000000" w:rsidR="00000000" w:rsidRPr="00000000">
              <w:rPr>
                <w:rFonts w:ascii="Calibri" w:cs="Calibri" w:eastAsia="Calibri" w:hAnsi="Calibri"/>
                <w:sz w:val="24"/>
                <w:szCs w:val="24"/>
                <w:rtl w:val="0"/>
              </w:rPr>
              <w:t xml:space="preserve">- Interview 1</w:t>
            </w:r>
          </w:p>
        </w:tc>
      </w:tr>
    </w:tbl>
    <w:p w:rsidR="00000000" w:rsidDel="00000000" w:rsidP="00000000" w:rsidRDefault="00000000" w:rsidRPr="00000000" w14:paraId="00000373">
      <w:pPr>
        <w:spacing w:after="200" w:line="360" w:lineRule="auto"/>
        <w:rPr>
          <w:rFonts w:ascii="Calibri" w:cs="Calibri" w:eastAsia="Calibri" w:hAnsi="Calibri"/>
          <w:color w:val="1f1f1f"/>
          <w:sz w:val="24"/>
          <w:szCs w:val="24"/>
        </w:rPr>
      </w:pPr>
      <w:r w:rsidDel="00000000" w:rsidR="00000000" w:rsidRPr="00000000">
        <w:rPr>
          <w:rtl w:val="0"/>
        </w:rPr>
      </w:r>
    </w:p>
    <w:p w:rsidR="00000000" w:rsidDel="00000000" w:rsidP="00000000" w:rsidRDefault="00000000" w:rsidRPr="00000000" w14:paraId="00000374">
      <w:pPr>
        <w:pStyle w:val="Heading2"/>
        <w:numPr>
          <w:ilvl w:val="0"/>
          <w:numId w:val="7"/>
        </w:numPr>
        <w:ind w:left="360" w:hanging="360"/>
        <w:rPr/>
      </w:pPr>
      <w:bookmarkStart w:colFirst="0" w:colLast="0" w:name="_heading=h.hjmxvdrpbzlj" w:id="83"/>
      <w:bookmarkEnd w:id="83"/>
      <w:r w:rsidDel="00000000" w:rsidR="00000000" w:rsidRPr="00000000">
        <w:rPr>
          <w:rtl w:val="0"/>
        </w:rPr>
        <w:t xml:space="preserve">Limitations to the Research </w:t>
      </w:r>
    </w:p>
    <w:p w:rsidR="00000000" w:rsidDel="00000000" w:rsidP="00000000" w:rsidRDefault="00000000" w:rsidRPr="00000000" w14:paraId="0000037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this thesis provides a comprehensive examination of farmer decision-making during the post-Brexit policy transition, it is not without limitations. The empirical data introduced in this thesis rely on a relatively small sample of farmers, which, while rich in qualitative insights, cannot fully capture the diversity of experience across the broader farming community. Further, whilst the empirical evidence was triangulated with other data sources including government documents, informal interviews, and insight gathered from in-person events, and existing literature, it would have been useful to undertake further interviews with farmers. </w:t>
      </w:r>
    </w:p>
    <w:p w:rsidR="00000000" w:rsidDel="00000000" w:rsidP="00000000" w:rsidRDefault="00000000" w:rsidRPr="00000000" w14:paraId="00000376">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research faced significant challenges and limitations as I wasn’t affiliated to key organisations with access to private data. Partnering with a farmer network organisation (NFU, farmer cluster groups, etc.) or Defra, for example, would have provided access to extensive contact information, facilitating a more diverse participant pool and the ability to be selective. Additionally, a partnership could have granted access to privately held data on farmer opinions and participation, enhancing the validation and depth of the empirical findings. However, the downside to applying this research approach would be access to an already over-surveyed research population and only reaching groups of farmers who are already well-connected and informed.</w:t>
      </w:r>
    </w:p>
    <w:p w:rsidR="00000000" w:rsidDel="00000000" w:rsidP="00000000" w:rsidRDefault="00000000" w:rsidRPr="00000000" w14:paraId="0000037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were also accessibility issues in completing further interviews with farmers due to Covid-19 pandemic, as older farmers and farmers with pre-existing health issues sometimes declined in person interviews due to health concerns. Some farmers were not technologically equipped to have a virtual interview. In addition, the amount of research taking place throughout the transition period by the private sector, likely exacerbated farmers experiencing research fatigue, limiting the recruitment of farmers to this project. </w:t>
      </w:r>
    </w:p>
    <w:p w:rsidR="00000000" w:rsidDel="00000000" w:rsidP="00000000" w:rsidRDefault="00000000" w:rsidRPr="00000000" w14:paraId="0000037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constraints also impacted this thesis, as financial inducements were not available to offer participants. Through interviews, it became apparent that farmers across the country were already engaging with different organisations and governments in research activities for which they were paid for participation.  For example, in the SFI pilot, farmers are compensated £5,000 annually for participating in different pilot-led research activities. The lack of financial incentives might have affected the response rate among the randomly selected farmers who were contacted.</w:t>
      </w:r>
    </w:p>
    <w:p w:rsidR="00000000" w:rsidDel="00000000" w:rsidP="00000000" w:rsidRDefault="00000000" w:rsidRPr="00000000" w14:paraId="0000037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Additionally, this thesis focuses on English farmers, and while many of the findings may be applicable to other regions of the UK or Europe, the specific context of post-Brexit England includes the evolution of capital structures in quite specific ways which may not be generalisable to other case studies of transition. </w:t>
      </w:r>
    </w:p>
    <w:p w:rsidR="00000000" w:rsidDel="00000000" w:rsidP="00000000" w:rsidRDefault="00000000" w:rsidRPr="00000000" w14:paraId="0000037A">
      <w:pPr>
        <w:pStyle w:val="Heading2"/>
        <w:numPr>
          <w:ilvl w:val="0"/>
          <w:numId w:val="7"/>
        </w:numPr>
        <w:ind w:left="360" w:hanging="360"/>
        <w:rPr/>
      </w:pPr>
      <w:bookmarkStart w:colFirst="0" w:colLast="0" w:name="_heading=h.g78ub8rctw1d" w:id="84"/>
      <w:bookmarkEnd w:id="84"/>
      <w:r w:rsidDel="00000000" w:rsidR="00000000" w:rsidRPr="00000000">
        <w:rPr>
          <w:rtl w:val="0"/>
        </w:rPr>
        <w:t xml:space="preserve">Positionality and Ethics in Selecting Case Studies</w:t>
      </w:r>
    </w:p>
    <w:p w:rsidR="00000000" w:rsidDel="00000000" w:rsidP="00000000" w:rsidRDefault="00000000" w:rsidRPr="00000000" w14:paraId="0000037B">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noted above while this thesis was being conducted, I held a position working as a research associate, or consultant, for co-design to Defra’s SFI Pilot team. In this role, I interacted with farmers and policymakers daily, discussing the new ELM policies and how farmer feedback can shape the SFI policy. Working part-time in this research role alongside my thesis required a strong sense of transparency and ownership over work. For example, interviewees were made aware of the thesis's intended purpose at every step of the research process and explained how this research and their data were completely independent of all Defra activity. Positionality and practicality were constantly assessed to uphold a high level of research ethics. </w:t>
      </w:r>
    </w:p>
    <w:p w:rsidR="00000000" w:rsidDel="00000000" w:rsidP="00000000" w:rsidRDefault="00000000" w:rsidRPr="00000000" w14:paraId="0000037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PhD was constantly revisited through a reflexive lens to ensure the research was not skewed based on professional experiences, interactions, or previous knowledge working with farmers. In line with Finlay’s (2002) approach, reflexive analysis was used to question positionality at every stage (pre-research stage, data collection, and data analysis) of the research process to minimise bias in the data collected. </w:t>
      </w:r>
    </w:p>
    <w:p w:rsidR="00000000" w:rsidDel="00000000" w:rsidP="00000000" w:rsidRDefault="00000000" w:rsidRPr="00000000" w14:paraId="0000037D">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pre-research phase, there was an independent reflection on the topic of study and my relationship to the topic of study, as suggested by Finlay (2002). Firstly, to determine positionality, it was important to acknowledge why I entered this area and formed my research questions (Finlay, 2002). In my case, I began researching post-Brexit trade policy during my master’s degree, specifically evaluating the potential evolution of a trade relationship between the United Kingdom and the United States. Being American and being familiar with the landscape of food and animal welfare standards in the United States, my research highlighted that following the exit from the European Union, the UK would not be protected by the EU’s precautionary principle when confronted with US food safety standards in a trade deal. Therefore, American goods could (potentially) freely enter the UK market following a trade deal, undercutting UK farmers' animal welfare practices and standards. This line of research evolved into this thesis which attempts to understand better where and how the UK government supports farmers during the agri-environmental transition, so they are resilient during periods of policy change. Prior to the research taking place, reflective exercises were completed to ensure that interview questions were not biased in a manner that was anti-US trade deal, pro-EU standards, anti-UK government, etc. To minimise any further bias, leading questions were not included in the interview guide, and interviews were approached with an open mind regardless of previous knowledge or beliefs.</w:t>
      </w:r>
    </w:p>
    <w:p w:rsidR="00000000" w:rsidDel="00000000" w:rsidP="00000000" w:rsidRDefault="00000000" w:rsidRPr="00000000" w14:paraId="0000037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position held with Defra as a co-design knowledge exchange associate, there was an opportunity to engage first-hand with farmers navigating the agricultural transition. This position also required an evaluation of positionality and how to best distinguish thesis research from that of Defra research. During this role, conversations with farmers helped to identify the gaps in research, such as why there were lower levels of participation in new policies and hesitation from farmers to adopt these policies. The research position with Defra also highlighted an opportunity to contribute to the current literature because it provides the perspective of an individual who also knows how the policy is being developed live from the policy-making perspective and has a first-hand understanding of the relationship between the government and farmers, as well as the constraints the government faces. It was acknowledged that although I do not have a direct, pre-existing relationship with farming communities, the role with Defra had significant overlap with the research areas of this PhD and provided rich insight from farming communities. The exercise of acknowledging that PhD interviews differed in purpose, scope, and intention helped distinguish the PhD interviews in areas where similar research had already been completed in the Defra role. At times, the information provided in Defra interviews provided greater context for topics discussed in PhD interviews, but follow-up questions were always asked to gain a better understanding of farmer statements and to eliminate any bias. </w:t>
      </w:r>
    </w:p>
    <w:p w:rsidR="00000000" w:rsidDel="00000000" w:rsidP="00000000" w:rsidRDefault="00000000" w:rsidRPr="00000000" w14:paraId="0000037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data collection stage of the research process, positionality was employed to help manage the dynamic between the researcher and the participants. Further, interviews were prefaced with a conversation between me and the farmers. I explained to them my motivation behind the research, my role, and that I am an independent researcher. I reiterated my desire to encourage transparency and make the interviewees feel comfortable sharing their genuine thoughts, fears, and concerns without judgment. An interesting note was that during interviews since farmers knew I was American and could not vote in any Brexit referendum, it aided in positioning myself as a neutral voice when discussing the reaction to post-Brexit changes. The same was the case for living outside the farming community and having no personal opinion on the right way to farm or on what constitutes a ‘good farmer’. </w:t>
      </w:r>
    </w:p>
    <w:p w:rsidR="00000000" w:rsidDel="00000000" w:rsidP="00000000" w:rsidRDefault="00000000" w:rsidRPr="00000000" w14:paraId="00000380">
      <w:pPr>
        <w:spacing w:after="200" w:before="20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Lastly, in the data analysis stage of my research, I acknowledged my interview style to account for positionality when analysing interview transcripts. Further, instead of going into interviews with the sole purpose of getting an individual to answer questions, my interview technique is often driven by an empathetic approach. I like to better understand the whole picture of the participant and their background to provide greater context for their interview responses and motivations. At the beginning of interviews, I often state that I want to learn from farmers to provide a voice for them in this policy transition process. Connecting with farmers on a personal level impacts the connection to the research, so it is important to acknowledge this and approach the data analysis from a more objective perspective, which distinguishes the data collected from the personal connection. </w:t>
      </w:r>
      <w:r w:rsidDel="00000000" w:rsidR="00000000" w:rsidRPr="00000000">
        <w:rPr>
          <w:rtl w:val="0"/>
        </w:rPr>
      </w:r>
    </w:p>
    <w:p w:rsidR="00000000" w:rsidDel="00000000" w:rsidP="00000000" w:rsidRDefault="00000000" w:rsidRPr="00000000" w14:paraId="00000381">
      <w:pPr>
        <w:pStyle w:val="Heading2"/>
        <w:numPr>
          <w:ilvl w:val="0"/>
          <w:numId w:val="7"/>
        </w:numPr>
        <w:ind w:left="360" w:hanging="360"/>
        <w:rPr/>
      </w:pPr>
      <w:bookmarkStart w:colFirst="0" w:colLast="0" w:name="_heading=h.rhgr1t5svmpv" w:id="85"/>
      <w:bookmarkEnd w:id="85"/>
      <w:r w:rsidDel="00000000" w:rsidR="00000000" w:rsidRPr="00000000">
        <w:rPr>
          <w:rtl w:val="0"/>
        </w:rPr>
        <w:t xml:space="preserve">Conclusion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8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adopts an inductive, modern grounded theory approach to understand farmer decision-making during the post-Brexit agricultural transition. By applying a grounded theory framework, the research aims to develop a more comprehensive and nuanced understanding of the factors influencing farmer decision-making, moving beyond linear, pre-existing models that overlook the complexities of human values, culture, and behaviour. Through semi-structured interviews with farmers, this study identifies patterns and themes that reveal the diverse motivations behind their choices, developing an updated conceptualisation of the ‘good farmer’. The grounded theory approach, with its emphasis on flexibility, iteration, and data-driven theory development, is well suited to examining the unprecedented changes in the agricultural sector during this transitional period. This approach allows for new theories to emerge from the data, and in turn, enables this research to offer valuable insights into the role of economic, social, and cultural capital in shaping farmer decision-making and how this relates to the ‘good farmer’. The use of case studies and thematic analysis further enhances the depth and context of the findings, providing a foundation for understanding how English farmers navigate the challenges and opportunities presented by the post-Brexit landscape. </w:t>
      </w:r>
    </w:p>
    <w:p w:rsidR="00000000" w:rsidDel="00000000" w:rsidP="00000000" w:rsidRDefault="00000000" w:rsidRPr="00000000" w14:paraId="00000383">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empirical sections of this PhD introduce the findings from the semi-structured interviews. The data are presented in a way that introduces both empirical and theoretical contributions to this area of research. Chapter Five presents the findings related to the decision-making mechanisms of pilot farmers, while Chapter Six focuses on non-pilot farmers. The data analysis is structured around the ‘good farmer’ social theory framework, directly addressing the changes in (1) economic, (2) social, and (3) cultural capital these two groups of farmers experienced throughout the post-Brexit transition. Organising the findings in this way outlines the contributions this thesis makes to the updated conceptualisation of the ‘good farmer’ and analysis of farmer decision-making during a period of transition.  Chapter Seven ties together the overarching findings to reconceptualise the concept of the ‘good farmer’, capitals and values post-Brexit.</w:t>
      </w:r>
    </w:p>
    <w:p w:rsidR="00000000" w:rsidDel="00000000" w:rsidP="00000000" w:rsidRDefault="00000000" w:rsidRPr="00000000" w14:paraId="00000384">
      <w:pPr>
        <w:pStyle w:val="Title"/>
        <w:rPr/>
      </w:pPr>
      <w:bookmarkStart w:colFirst="0" w:colLast="0" w:name="_heading=h.q025z89jpou3" w:id="86"/>
      <w:bookmarkEnd w:id="86"/>
      <w:r w:rsidDel="00000000" w:rsidR="00000000" w:rsidRPr="00000000">
        <w:br w:type="page"/>
      </w:r>
      <w:r w:rsidDel="00000000" w:rsidR="00000000" w:rsidRPr="00000000">
        <w:rPr>
          <w:rtl w:val="0"/>
        </w:rPr>
      </w:r>
    </w:p>
    <w:p w:rsidR="00000000" w:rsidDel="00000000" w:rsidP="00000000" w:rsidRDefault="00000000" w:rsidRPr="00000000" w14:paraId="00000385">
      <w:pPr>
        <w:pStyle w:val="Heading1"/>
        <w:rPr/>
      </w:pPr>
      <w:bookmarkStart w:colFirst="0" w:colLast="0" w:name="_heading=h.1871h87h91uk" w:id="87"/>
      <w:bookmarkEnd w:id="87"/>
      <w:r w:rsidDel="00000000" w:rsidR="00000000" w:rsidRPr="00000000">
        <w:rPr>
          <w:rtl w:val="0"/>
        </w:rPr>
        <w:t xml:space="preserve">CHAPTER FIVE </w:t>
      </w:r>
    </w:p>
    <w:p w:rsidR="00000000" w:rsidDel="00000000" w:rsidP="00000000" w:rsidRDefault="00000000" w:rsidRPr="00000000" w14:paraId="00000386">
      <w:pPr>
        <w:pStyle w:val="Heading1"/>
        <w:rPr/>
      </w:pPr>
      <w:bookmarkStart w:colFirst="0" w:colLast="0" w:name="_heading=h.ncm77reejqlv" w:id="88"/>
      <w:bookmarkEnd w:id="88"/>
      <w:r w:rsidDel="00000000" w:rsidR="00000000" w:rsidRPr="00000000">
        <w:rPr>
          <w:rtl w:val="0"/>
        </w:rPr>
        <w:t xml:space="preserve">SFI PILOT FARMERS AND THE RECONFIGURATION OF CAPITAL STRUCTURES DEFINING THE ‘GOOD FARMER’</w:t>
      </w:r>
    </w:p>
    <w:p w:rsidR="00000000" w:rsidDel="00000000" w:rsidP="00000000" w:rsidRDefault="00000000" w:rsidRPr="00000000" w14:paraId="00000387">
      <w:pPr>
        <w:pStyle w:val="Heading2"/>
        <w:numPr>
          <w:ilvl w:val="0"/>
          <w:numId w:val="9"/>
        </w:numPr>
        <w:ind w:left="720" w:hanging="360"/>
        <w:rPr/>
      </w:pPr>
      <w:bookmarkStart w:colFirst="0" w:colLast="0" w:name="_heading=h.wr47isz9f8dt" w:id="89"/>
      <w:bookmarkEnd w:id="89"/>
      <w:r w:rsidDel="00000000" w:rsidR="00000000" w:rsidRPr="00000000">
        <w:rPr>
          <w:rtl w:val="0"/>
        </w:rPr>
        <w:t xml:space="preserve">Introduction</w:t>
      </w:r>
    </w:p>
    <w:p w:rsidR="00000000" w:rsidDel="00000000" w:rsidP="00000000" w:rsidRDefault="00000000" w:rsidRPr="00000000" w14:paraId="0000038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presents the empirical evidence gathered from interviews with seven farmers participating in the Sustainable Farming Incentive (SFI) Pilot, offering insight into how these pilot farmers have navigated the post-Brexit agricultural transition. It addresses the research question of how different forms of capital shaped the decision-making processes of farmers who chose to participate in the SFI Pilot. While the sample of farmers introduced in this chapter represents only a small proportion of the 825 farmers who held live pilot agreements in 2023</w:t>
      </w:r>
      <w:r w:rsidDel="00000000" w:rsidR="00000000" w:rsidRPr="00000000">
        <w:rPr>
          <w:rFonts w:ascii="Calibri" w:cs="Calibri" w:eastAsia="Calibri" w:hAnsi="Calibri"/>
          <w:sz w:val="24"/>
          <w:szCs w:val="24"/>
          <w:vertAlign w:val="superscript"/>
        </w:rPr>
        <w:footnoteReference w:customMarkFollows="0" w:id="39"/>
      </w:r>
      <w:r w:rsidDel="00000000" w:rsidR="00000000" w:rsidRPr="00000000">
        <w:rPr>
          <w:rFonts w:ascii="Calibri" w:cs="Calibri" w:eastAsia="Calibri" w:hAnsi="Calibri"/>
          <w:sz w:val="24"/>
          <w:szCs w:val="24"/>
          <w:rtl w:val="0"/>
        </w:rPr>
        <w:t xml:space="preserve"> (when the majority of interviews took place), these accounts provide valuable qualitative insights into the decision-making processes and lived experiences of farmers engaging with the emerging Environmental Land Management (ELM) schemes during a significant period of policy change.</w:t>
      </w:r>
    </w:p>
    <w:p w:rsidR="00000000" w:rsidDel="00000000" w:rsidP="00000000" w:rsidRDefault="00000000" w:rsidRPr="00000000" w14:paraId="0000038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noted in Chapter Four, the post-Brexit transition period demonstrated a change in the ‘rules of the game’ from a movement away from the EU’s BPS to the introduction of new agri-environmental schemes (AES) and other sources of revenue (e.g. net zero offsetting schemes) to replace the former subsidy payments. Burton et al. (2020) emphasise that periods, like the post-Brexit transition, where there is resistance to change, new policies or practices in agriculture being produced, or a cultural turn, provide valuable opportunities for testing the ‘good farmer’ theory to understand changes in traditional farming values and changing beliefs related to the good farmer identity. Thus, the post-Brexit agricultural transition in England presents an exciting opportunity to trace how the ‘good farmer’ concept has since evolved by focusing on pilot farmers. Further, to understand the conceptualisation of the ‘good farmer’ requires understanding the economic, social, and cultural capital underpinning it. </w:t>
      </w:r>
    </w:p>
    <w:p w:rsidR="00000000" w:rsidDel="00000000" w:rsidP="00000000" w:rsidRDefault="00000000" w:rsidRPr="00000000" w14:paraId="0000038A">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on interview data, this chapter outlines how the different forms of capital–economic, social, and cultural–have been utilised, challenged, or transformed in the context of the transition. Whilst economic and social motivations for participation have been demonstrated in the existing literature (Wilson, 1997; Mathijs, 2003; Ruto &amp; Garrod, 2009; Peerlings &amp; Polman, 2009; Hejnowicz et al., 2016), this chapter contributes new empirical insights by examining the nuanced ways in which cultural capital is being reshaped through the transition period. </w:t>
      </w:r>
    </w:p>
    <w:p w:rsidR="00000000" w:rsidDel="00000000" w:rsidP="00000000" w:rsidRDefault="00000000" w:rsidRPr="00000000" w14:paraId="0000038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key contribution of this chapter lies in its presentation of how farmers are balancing dual roles: sustaining food production whilst responding to emerging environmental priorities. This tension has emerged as a central dynamic influencing the development of cultural capital during the transition period. Furthermore, the findings underscore the significance of social capital and economic capital in shaping awareness of, and engagement with, new opportunities in a rapidly evolving policy environment.</w:t>
      </w:r>
    </w:p>
    <w:p w:rsidR="00000000" w:rsidDel="00000000" w:rsidP="00000000" w:rsidRDefault="00000000" w:rsidRPr="00000000" w14:paraId="0000038C">
      <w:pPr>
        <w:spacing w:after="200" w:before="240" w:line="360" w:lineRule="auto"/>
        <w:rPr>
          <w:rFonts w:ascii="Calibri" w:cs="Calibri" w:eastAsia="Calibri" w:hAnsi="Calibri"/>
          <w:color w:val="444746"/>
          <w:sz w:val="24"/>
          <w:szCs w:val="24"/>
        </w:rPr>
      </w:pPr>
      <w:r w:rsidDel="00000000" w:rsidR="00000000" w:rsidRPr="00000000">
        <w:rPr>
          <w:rFonts w:ascii="Calibri" w:cs="Calibri" w:eastAsia="Calibri" w:hAnsi="Calibri"/>
          <w:sz w:val="24"/>
          <w:szCs w:val="24"/>
          <w:rtl w:val="0"/>
        </w:rPr>
        <w:t xml:space="preserve">This chapter is structured based on the different types of capital, so that it individually addresses the data which have emerged, related to each form of capital. By focusing on how capital structures have adapted and interacted during the post-Brexit transition, this chapter deepens an understanding of the everyday experiences and choices of farmers within the SFI Pilot. It reflects on how these changes challenge the existing conceptualisation of the ‘good farmer’ and require an up-to-date and timelier re-conceptualisation.</w:t>
      </w:r>
      <w:r w:rsidDel="00000000" w:rsidR="00000000" w:rsidRPr="00000000">
        <w:rPr>
          <w:rtl w:val="0"/>
        </w:rPr>
      </w:r>
    </w:p>
    <w:p w:rsidR="00000000" w:rsidDel="00000000" w:rsidP="00000000" w:rsidRDefault="00000000" w:rsidRPr="00000000" w14:paraId="0000038D">
      <w:pPr>
        <w:pStyle w:val="Heading2"/>
        <w:numPr>
          <w:ilvl w:val="0"/>
          <w:numId w:val="9"/>
        </w:numPr>
        <w:ind w:left="720" w:hanging="360"/>
        <w:rPr/>
      </w:pPr>
      <w:bookmarkStart w:colFirst="0" w:colLast="0" w:name="_heading=h.dj09tp8al8s5" w:id="90"/>
      <w:bookmarkEnd w:id="90"/>
      <w:r w:rsidDel="00000000" w:rsidR="00000000" w:rsidRPr="00000000">
        <w:rPr>
          <w:rtl w:val="0"/>
        </w:rPr>
        <w:t xml:space="preserve">Economic Capital </w:t>
      </w:r>
    </w:p>
    <w:p w:rsidR="00000000" w:rsidDel="00000000" w:rsidP="00000000" w:rsidRDefault="00000000" w:rsidRPr="00000000" w14:paraId="0000038E">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changing economic capital structures during the post-Brexit transition presented an opportunity to assess and understand the relationship between pilot farmers and their economic capital, and how this capital influenced their decisions to participate in agri-environmental schemes, specifically the SFI Pilot. As reiterated in Chapters Two and Four, instead of farmers being offered direct payments under Pillar One and additional opportunities to participate in agri-environmental schemes funded by Pillar Two, post-Brexit, farmers faced the option of participating in agri-environmental schemes without the support of BPS, which was phased out gradually between 2021 and 2027. The change in the financial incentive structure was therefore a change in farmer economic capital. </w:t>
      </w:r>
    </w:p>
    <w:p w:rsidR="00000000" w:rsidDel="00000000" w:rsidP="00000000" w:rsidRDefault="00000000" w:rsidRPr="00000000" w14:paraId="0000038F">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most commonly cited reason for joining the SFI Pilot (n=7; Interviews</w:t>
      </w:r>
      <w:r w:rsidDel="00000000" w:rsidR="00000000" w:rsidRPr="00000000">
        <w:rPr>
          <w:rFonts w:ascii="Calibri" w:cs="Calibri" w:eastAsia="Calibri" w:hAnsi="Calibri"/>
          <w:sz w:val="24"/>
          <w:szCs w:val="24"/>
          <w:vertAlign w:val="superscript"/>
        </w:rPr>
        <w:footnoteReference w:customMarkFollows="0" w:id="40"/>
      </w:r>
      <w:r w:rsidDel="00000000" w:rsidR="00000000" w:rsidRPr="00000000">
        <w:rPr>
          <w:rFonts w:ascii="Calibri" w:cs="Calibri" w:eastAsia="Calibri" w:hAnsi="Calibri"/>
          <w:sz w:val="24"/>
          <w:szCs w:val="24"/>
          <w:rtl w:val="0"/>
        </w:rPr>
        <w:t xml:space="preserve"> 1,9,11,12,13,14,15) was that the pilot presented an opportunity to gain economic capital during a period of transition. The quotation from interview thirteen presented below illustrates the thought process shared by the seven other pilot farmers interviewed– that the scheme presented a chance to recuperate BPS funding and ‘go for the cash’ (Interview 13).  Further, half of the pilot interviewees (n=4; Interviews 1,9,11,13) stated they would not have joined the pilot without the additional £5000 participation payment it included. </w:t>
      </w:r>
    </w:p>
    <w:p w:rsidR="00000000" w:rsidDel="00000000" w:rsidP="00000000" w:rsidRDefault="00000000" w:rsidRPr="00000000" w14:paraId="00000390">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Yes, it does scare me. But to be frank, I need you to know that with BPS disappearing on our farm, it's going down from 210,000 to Zero. I've got 200,000 pounds worth of income from the environment to replace. And that environmental money was paying for the head keeper's time in producing, you know, world-class nesting sites for grand nesting birds. So very important, I found money. So, I will hang out my preconceptions and just go for the cash. You know, I have to, that's the business. </w:t>
      </w:r>
      <w:r w:rsidDel="00000000" w:rsidR="00000000" w:rsidRPr="00000000">
        <w:rPr>
          <w:rFonts w:ascii="Calibri" w:cs="Calibri" w:eastAsia="Calibri" w:hAnsi="Calibri"/>
          <w:sz w:val="24"/>
          <w:szCs w:val="24"/>
          <w:rtl w:val="0"/>
        </w:rPr>
        <w:t xml:space="preserve">(Interview 13)</w:t>
      </w:r>
    </w:p>
    <w:p w:rsidR="00000000" w:rsidDel="00000000" w:rsidP="00000000" w:rsidRDefault="00000000" w:rsidRPr="00000000" w14:paraId="0000039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contrast, three other pilot farmers shared that, alongside their financial motivation, another reason for joining the SFI Pilot was to learn more about the scheme, how it would develop, and how the scheme would influence the future of the industry. In addition to economic interests, these farmers wanted to get ahead of the curve and have a first look at how post-Brexit schemes were developing. </w:t>
      </w:r>
    </w:p>
    <w:p w:rsidR="00000000" w:rsidDel="00000000" w:rsidP="00000000" w:rsidRDefault="00000000" w:rsidRPr="00000000" w14:paraId="00000392">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And my view was that in order to really criticise it [new SFI policy] effectively, if you like, you need to be on the inside, trying to get them to do that. So, when the pilot started, I volunteered to join in the expectation that it would be what they said, which was a co-design process, whereas, in fact, it very quickly turned out to be a testing of their implementation scheme.</w:t>
      </w:r>
      <w:r w:rsidDel="00000000" w:rsidR="00000000" w:rsidRPr="00000000">
        <w:rPr>
          <w:rFonts w:ascii="Calibri" w:cs="Calibri" w:eastAsia="Calibri" w:hAnsi="Calibri"/>
          <w:sz w:val="24"/>
          <w:szCs w:val="24"/>
          <w:rtl w:val="0"/>
        </w:rPr>
        <w:t xml:space="preserve"> (Interview 1) </w:t>
      </w:r>
    </w:p>
    <w:p w:rsidR="00000000" w:rsidDel="00000000" w:rsidP="00000000" w:rsidRDefault="00000000" w:rsidRPr="00000000" w14:paraId="0000039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findings can be triangulated with a House of Commons report on the SFI Pilot, which suggested that farmers' motivation to join the SFI pilot was primarily driven by economic incentives (HoC, 2021). The report noted the National Farmers' Union view that participants were also curious to learn about the design of the scheme. Thus, the government report triangulates and reinforces the interview findings that the key motivations for farmers joining the SFI pilot were the economic incentives and curiosity. These findings are consistent with the existing literature, which identifies economic capital as a primary motivation for joining agri-environmental schemes (Dupraz et al., 2003; De Snoo et al. 2013). </w:t>
      </w:r>
    </w:p>
    <w:p w:rsidR="00000000" w:rsidDel="00000000" w:rsidP="00000000" w:rsidRDefault="00000000" w:rsidRPr="00000000" w14:paraId="0000039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Pilot farmers also suggested that they were motivated by the fact that they did not require much upfront capital or investment to join the scheme. When further questioned about any upfront investment needed for participation, nearly every pilot farmer (n=6; Interviews 1,9,11,13,14,15) interviewed stated that they did not have to make many changes to their farming practices to join the pilot because they were already farming in an environmentally friendly manner. Thus, there were no large upfront costs to join the scheme, and it was a decision that came easily, especially as participation could compensate for the losses in income from the phasing out of BPS. These findings align with research evaluating farmers' involvement in the Environmental Sensitive Areas scheme, where motivations for joining a scheme were primarily financial and dependent on the flexibility of the scheme design and the scheme’s ease of integration with their existing farming practices (Lobley and Potter, 1998; Morris, et al., 2000). The interview excerpt below exemplifies the mindset of one of the SFI Pilot farmers: </w:t>
      </w:r>
    </w:p>
    <w:p w:rsidR="00000000" w:rsidDel="00000000" w:rsidP="00000000" w:rsidRDefault="00000000" w:rsidRPr="00000000" w14:paraId="00000395">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Initially, I thought when we saw the standards and stuff, I thought, well, most of this I'm doing anyway, or all of this I'm doing anyway, which was another thing. You know, they were asking for things. And I thought, well, that we've already got that. That doesn't matter. It made it a lot easier that we were already doing most of what they wanted. So, I didn't actually have to do very much. </w:t>
      </w:r>
      <w:r w:rsidDel="00000000" w:rsidR="00000000" w:rsidRPr="00000000">
        <w:rPr>
          <w:rFonts w:ascii="Calibri" w:cs="Calibri" w:eastAsia="Calibri" w:hAnsi="Calibri"/>
          <w:sz w:val="24"/>
          <w:szCs w:val="24"/>
          <w:rtl w:val="0"/>
        </w:rPr>
        <w:t xml:space="preserve">(Interview 1)</w:t>
      </w:r>
    </w:p>
    <w:p w:rsidR="00000000" w:rsidDel="00000000" w:rsidP="00000000" w:rsidRDefault="00000000" w:rsidRPr="00000000" w14:paraId="0000039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Diversification of farm income also emerged as a significant coding node across all pilot farmer interviews (n=7). For these farmers, diversified farm income provided them with multiple sources of revenue, which allowed them to join the scheme without significant financial worry (in case something went wrong with the scheme). These findings are consistent with literature findings that farms with high levels of income from off-farm activity were more likely to participate in agri-environmental schemes (Ruto and Garrod, 2009; Peerlings and Polman, 2009). Farmers with diversified income sources, who do not rely solely on farm income, face less financial risk when joining these schemes. The farmer's statement below illustrates how the pilot farmers regarded diversification as a fundamental part of their business strategy and their perception that the income generated from it could help mitigate the financial impact of the transition period.</w:t>
      </w:r>
    </w:p>
    <w:p w:rsidR="00000000" w:rsidDel="00000000" w:rsidP="00000000" w:rsidRDefault="00000000" w:rsidRPr="00000000" w14:paraId="00000397">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How many farmers have got diversification? I can't think of one who hasn't.  I've got storage, I got rent and converted barns for houses, solar panels. I do machinery, I've got a workshop where I do machinery repairs, and then all those things. I'm not too reliant on net farm income. And most farmers, you know, a businessman, and certainly the more educated farmer would have already done this and gone down. But there are farmers that die in the mud thinking, oh, I've got 200 sheep, I should be making a living on it, and they are struggling, you know, there's no doubt.</w:t>
      </w:r>
      <w:r w:rsidDel="00000000" w:rsidR="00000000" w:rsidRPr="00000000">
        <w:rPr>
          <w:rFonts w:ascii="Calibri" w:cs="Calibri" w:eastAsia="Calibri" w:hAnsi="Calibri"/>
          <w:sz w:val="24"/>
          <w:szCs w:val="24"/>
          <w:rtl w:val="0"/>
        </w:rPr>
        <w:t xml:space="preserve"> (Interview 12)</w:t>
      </w:r>
    </w:p>
    <w:p w:rsidR="00000000" w:rsidDel="00000000" w:rsidP="00000000" w:rsidRDefault="00000000" w:rsidRPr="00000000" w14:paraId="00000398">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examples of diversification projects shared in interviews included the outsourcing of farm buildings, use of solar panels, conducting machinery repairs, entering land into carbon schemes, and offering horseback riding passes or educational visits (cited in interviews 1,9,11,14,15). These trends in diversification to maintain financial viability align with findings that suggest that some farmers are no longer willing to live in poverty or work for lower wages to remain in control of the land (Sutherland, 2015; Burton and Farstad, 2020). Further, these varied diversification strategies also illustrate the complexity of some farmer income streams and how farmers' roles have evolved beyond traditional farming duties and tasks. </w:t>
      </w:r>
    </w:p>
    <w:p w:rsidR="00000000" w:rsidDel="00000000" w:rsidP="00000000" w:rsidRDefault="00000000" w:rsidRPr="00000000" w14:paraId="00000399">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summarise, my interviewees from the pilot farmer group were drawn to the scheme primarily for financial reasons, particularly as a means to replace the loss of EU funding. For the majority of these interviewees, joining the scheme required minimal upfront economic capital and as they had already diversified their farm income, there was less financial reliance on the scheme. The following sections examine the social and cultural capital structures of these farmers during the post-Brexit transition.</w:t>
      </w:r>
    </w:p>
    <w:p w:rsidR="00000000" w:rsidDel="00000000" w:rsidP="00000000" w:rsidRDefault="00000000" w:rsidRPr="00000000" w14:paraId="0000039A">
      <w:pPr>
        <w:pStyle w:val="Heading2"/>
        <w:numPr>
          <w:ilvl w:val="0"/>
          <w:numId w:val="9"/>
        </w:numPr>
        <w:ind w:left="720" w:hanging="360"/>
        <w:rPr/>
      </w:pPr>
      <w:bookmarkStart w:colFirst="0" w:colLast="0" w:name="_heading=h.c1gy63ppthps" w:id="91"/>
      <w:bookmarkEnd w:id="91"/>
      <w:r w:rsidDel="00000000" w:rsidR="00000000" w:rsidRPr="00000000">
        <w:rPr>
          <w:rtl w:val="0"/>
        </w:rPr>
        <w:t xml:space="preserve">Social Capital </w:t>
      </w:r>
    </w:p>
    <w:p w:rsidR="00000000" w:rsidDel="00000000" w:rsidP="00000000" w:rsidRDefault="00000000" w:rsidRPr="00000000" w14:paraId="0000039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existing literature on the social dynamics that guide farmer participation in schemes underscores the importance of social capital, specifically the impact of the relationships between farmers, advisors, and organisations in guiding decision-making on agri-environmental schemes (Wilson, 1997; Mathijs, 2003; Hejnowicz et al., 2016). As stated in Chapter Three, the 'good farmer' literature emphasises that farmers care about how they are perceived by their communities, often making business decisions to garner respect from their communities and recognition as 'good farmers' (Burton et al., 2008). Therefore, the relationship between farmers and their social networks is crucial for understanding their decision-making processes and the factors that guide them toward making choices aligned with 'good farming' practices. </w:t>
      </w:r>
    </w:p>
    <w:p w:rsidR="00000000" w:rsidDel="00000000" w:rsidP="00000000" w:rsidRDefault="00000000" w:rsidRPr="00000000" w14:paraId="0000039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coding of pilot farmer responses revealed significant variation in social networks, which contribute towards the creation of social capital. To illustrate, some farmers were involved in local farming groups with their primary engagement being with the National Farmers Union, while others participated on the board of multiple environmental organisations, worked closely with Defra, and were actively engaged in the new Environmental Land Management (ELM) schemes (e.g., two interviewees were involved in the SFI Pilot as well as Landscape Recovery project/wildlife corridor in their area). Interview findings (n=4; Interviews 1,11,12,13) suggested that the farmers who valued close relationships with the NFU and farmer cluster groups had their social networks rooted in agrarianism and were still focused on the farmer's role as a food producer. However, the data also suggested the existence of another type of farmer in the pilot, derived social capital from different connections, such as professional organisations focused on sustainability, environmental groups, or regenerative farming networks (Interviews 9,14,15). These farmers view environmental organisations and arms-length bodies as essential allies in advancing their environmental goals. The advice offered by these networks also informed their decision-making processes. </w:t>
      </w:r>
    </w:p>
    <w:p w:rsidR="00000000" w:rsidDel="00000000" w:rsidP="00000000" w:rsidRDefault="00000000" w:rsidRPr="00000000" w14:paraId="0000039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variation in farmers’ involvement in social networks emerged as a key factor influencing how their habitus, specifically with these networks impacting how their opinions and decisions during the transition period developed. Variation in farmers' social networks also underscores the multidimensional nature of the ‘good farmer’: farmers are each surrounded by their own unique social circles and peer groups, which shape their differing schools of thought, values, and opinions. To illustrate, differences in farmer social capital translate directly into variations in cultural capital. For some pilot farmers, social capital derived from connections to organisations like the NFU and a broader network of traditional, productivist-focused farming peers (Interviews 1,11,12,13), which in turn fostered cultural capital centred around traditional farming values and food production (See also Burton and Wilson, 2006). In contrast, social networks tied to different governmental arms-length bodies and environmental organisations encouraged the development of cultural capital focused on environmentalism and climate change prevention (Interviews 9, 14,15). </w:t>
      </w:r>
    </w:p>
    <w:p w:rsidR="00000000" w:rsidDel="00000000" w:rsidP="00000000" w:rsidRDefault="00000000" w:rsidRPr="00000000" w14:paraId="0000039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social capital that each pilot farmer shared, while distinct, was also directly cited as a tool which encouraged their participation in the SFI Pilot in some way. For example, for Interviews 11, 12, and 13 a peer network helped them to complete the application and informed them how to engage with the scheme with the fewest changes, for others (Interviews 9, 14) an environmental organisation guided the farmer on how they could be ambitious in the selection of scheme to maximise environmental impact. Hence the different forms of social capital, shaped by different peer groups, led to a shared engagement with the same agricultural policies.  Referring back to Mathijs (2003), these findings highlight that access to advisors or information and membership in organisations can prove to positively influence a farmer’s ability to join an AES, or in this case, the SFI Pilot.</w:t>
      </w:r>
    </w:p>
    <w:p w:rsidR="00000000" w:rsidDel="00000000" w:rsidP="00000000" w:rsidRDefault="00000000" w:rsidRPr="00000000" w14:paraId="0000039F">
      <w:pPr>
        <w:spacing w:after="200" w:line="36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The interview excerpt below exemplifies the motivation of a pilot farmer in joining the SFI Pilot and exhibits that this farmer acknowledged how they interacted with different farming networks, and the government was different from the norms of their field, and alludes to the variation of social capital, which was exhibited throughout interviews. The excerpt from interview thirteen demonstrates that this pilot farmer joined the scheme to report back to their social network on whether it was worth participating in. As their social group was not necessarily involved in these schemes at the same level this pilot farmer saw themselves as being at the forefront of the policy change amongst their peer group.</w:t>
      </w:r>
      <w:r w:rsidDel="00000000" w:rsidR="00000000" w:rsidRPr="00000000">
        <w:rPr>
          <w:rtl w:val="0"/>
        </w:rPr>
      </w:r>
    </w:p>
    <w:p w:rsidR="00000000" w:rsidDel="00000000" w:rsidP="00000000" w:rsidRDefault="00000000" w:rsidRPr="00000000" w14:paraId="000003A0">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I've sort of felt that I wanted to look to enrol in these things so that I can be so we can be the guinea pigs for other farmers who, you know, to say whether it was worth pursuing or not.</w:t>
      </w:r>
      <w:r w:rsidDel="00000000" w:rsidR="00000000" w:rsidRPr="00000000">
        <w:rPr>
          <w:rFonts w:ascii="Calibri" w:cs="Calibri" w:eastAsia="Calibri" w:hAnsi="Calibri"/>
          <w:sz w:val="24"/>
          <w:szCs w:val="24"/>
          <w:rtl w:val="0"/>
        </w:rPr>
        <w:t xml:space="preserve"> (Interview 13).</w:t>
      </w:r>
    </w:p>
    <w:p w:rsidR="00000000" w:rsidDel="00000000" w:rsidP="00000000" w:rsidRDefault="00000000" w:rsidRPr="00000000" w14:paraId="000003A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comparison, the excerpt from interviewee nine (below) demonstrated that this pilot farmer was heavily involved in several different environmental organisations and went beyond the participation their peers would consider to be the norm. Comparing interviews nine and thirteen suggests a potential divide between farmers who are a part of relatively traditional farming groups and were not strongly involved in the pilot or Defra schemes and those who work alongside different environmental organisations or groups with a specific environmental focus or ambition who were constantly immersed in and at the forefront of environmental policy changes in the post-Brexit transition.   </w:t>
      </w:r>
    </w:p>
    <w:p w:rsidR="00000000" w:rsidDel="00000000" w:rsidP="00000000" w:rsidRDefault="00000000" w:rsidRPr="00000000" w14:paraId="000003A2">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I've got my ear to the ground on all this stuff constantly, you know, I receive a lot of emails about all this stuff because I'm signed up to various newsletters and all that kind of stuff. I go to meetings, I log into webinars, you know, I make it my business to know what's going on. I'm involved in various organisations, whether it's, as a trustee, or board member of the local Wildlife Trust, I've been on various other committees, I've been chairman of a kind of local land management facilitation fund group... So, a lot of farmers wouldn't be doing that. Some of that is because they're tied up with the day-to-day work involved with running a food production farm, whether it's with livestock or whatever, that's pretty full-time… Some of our neighbours think we're mental, probably for doing what we're doing. </w:t>
      </w:r>
      <w:r w:rsidDel="00000000" w:rsidR="00000000" w:rsidRPr="00000000">
        <w:rPr>
          <w:rFonts w:ascii="Calibri" w:cs="Calibri" w:eastAsia="Calibri" w:hAnsi="Calibri"/>
          <w:sz w:val="24"/>
          <w:szCs w:val="24"/>
          <w:rtl w:val="0"/>
        </w:rPr>
        <w:t xml:space="preserve">(Interview 9)</w:t>
      </w:r>
    </w:p>
    <w:p w:rsidR="00000000" w:rsidDel="00000000" w:rsidP="00000000" w:rsidRDefault="00000000" w:rsidRPr="00000000" w14:paraId="000003A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social validation a farmer receives from their peer group is also a critical component of the ‘good farmer’. Cusworth (2020) explored the link between the 'good farmer' and capital, finding that farmers may make decisions regarding environmental management to receive social validation from their peers because they have been recognised for producing symbols of good farming (cultural capital). Thus, economic capital is not the only factor driving farmer decision-making; considerations of generating social or cultural capital may also be important (also see Burton and Paragahawewa, 2011).</w:t>
      </w:r>
    </w:p>
    <w:p w:rsidR="00000000" w:rsidDel="00000000" w:rsidP="00000000" w:rsidRDefault="00000000" w:rsidRPr="00000000" w14:paraId="000003A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summarise amongst SFI Pilot farmers, there were two distinct forms of social capital. One type was based on traditional farming networks, with values deeply rooted in food production and agrarianism. The other type was connected to environmental organisations, encouraging the role of farmers to focus on producing environmental benefits. Despite these two distinguishable types of social capital, interviews also revealed that access to these social networks, more generally, provided farmers with the advice and information they needed to feel equipped to join the SFI pilot. The following section introduces the dimensions of cultural capital to examine whether the transition period has affected what pilot farmers consider to be good farming practices, and which aspects of cultural capital are valued by their farming peers and social networks. Addressing this final dimension of capital offers a deeper understanding of how the changing capital structures have affected the perception of the ‘good farmer’ among pilot participants in the post-Brexit transition. </w:t>
      </w:r>
    </w:p>
    <w:p w:rsidR="00000000" w:rsidDel="00000000" w:rsidP="00000000" w:rsidRDefault="00000000" w:rsidRPr="00000000" w14:paraId="000003A5">
      <w:pPr>
        <w:pStyle w:val="Heading2"/>
        <w:numPr>
          <w:ilvl w:val="0"/>
          <w:numId w:val="9"/>
        </w:numPr>
        <w:ind w:left="720" w:hanging="360"/>
        <w:rPr/>
      </w:pPr>
      <w:bookmarkStart w:colFirst="0" w:colLast="0" w:name="_heading=h.p7n01irkqyza" w:id="92"/>
      <w:bookmarkEnd w:id="92"/>
      <w:r w:rsidDel="00000000" w:rsidR="00000000" w:rsidRPr="00000000">
        <w:rPr>
          <w:rtl w:val="0"/>
        </w:rPr>
        <w:t xml:space="preserve">Cultural Capital</w:t>
      </w:r>
    </w:p>
    <w:p w:rsidR="00000000" w:rsidDel="00000000" w:rsidP="00000000" w:rsidRDefault="00000000" w:rsidRPr="00000000" w14:paraId="000003A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introduced in Chapter Three, cultural capital refers to the knowledge, skills, values, and behaviours that shape a farmer’s habitus, and therefore habits, which then serve a role in determining what farmers consider to be ‘good farming practices.’  Cultural capital directly relates to the concept of the 'good farmer' because symbols of what farmers consider ‘good farming’ inform what defines a ‘good farmer’ within their community (Burton, 2004). Further, for a ‘good farming symbol’ to be recognised as cultural capital, it must be visible and demonstrable within the farming community (Burton et al., 2008). </w:t>
      </w:r>
    </w:p>
    <w:p w:rsidR="00000000" w:rsidDel="00000000" w:rsidP="00000000" w:rsidRDefault="00000000" w:rsidRPr="00000000" w14:paraId="000003A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policy changes in the post-Brexit agricultural landscape provide scope for new symbols of ‘good farming’ to emerge. As outlined in Chapter Two, unlike previous, more prescriptive policies, the new ELM schemes offered flexibility, providing farmers with the power to determine how best to implement the standards of the scheme on their farms and earn money for producing public goods. This shift in policy presented an opportunity for farmers to find innovative ways to demonstrate their skills and expertise, which are two fundamental components of cultural capital formation. Burton and Schwarz (2013) predicted that if results-based schemes, similar to ELM schemes, gained popularity, farmer participation in AES could become a key component of the ‘good farmer’ identity because it would require farmers to showcase their knowledge of the land and their ability to implement the policy effectively in order to receive compensation and succeed.</w:t>
      </w:r>
    </w:p>
    <w:p w:rsidR="00000000" w:rsidDel="00000000" w:rsidP="00000000" w:rsidRDefault="00000000" w:rsidRPr="00000000" w14:paraId="000003A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the pilot farmers interviewed (n=7) shared that joining the pilot amidst the phasing out of BPS was an instinctive decision because the skills, knowledge, and values (cultural capital) they held were already aligned with the new SFI scheme. Further, pilot farmers shared they did not need to learn extensive new skills or relearn their farming practices to join the scheme (n=7); to put in the term of Bourdieu their habitus was already equipped to navigate the changing of the ‘rules of the game’ (the new SFI scheme) due to their existing knowledge and experience. </w:t>
      </w:r>
    </w:p>
    <w:p w:rsidR="00000000" w:rsidDel="00000000" w:rsidP="00000000" w:rsidRDefault="00000000" w:rsidRPr="00000000" w14:paraId="000003A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 excerpts below demonstrate how pilot farmers already held and could produce the cultural capital to join the new scheme and deliver public money for public goods. These excerpts highlight the farmers’ embedded experience of carrying out the pilot actions and regenerative farming practices.  The quotes also demonstrate that the pilot farmers already possessed the cultural capital, i.e. the knowledge of some regenerative farming practices and the skills to successfully implement this kind of farming. Interviews with pilot farmers (n=7) found that this environmental approach to agriculture was a core element of these farmers’ habitus. </w:t>
      </w:r>
    </w:p>
    <w:p w:rsidR="00000000" w:rsidDel="00000000" w:rsidP="00000000" w:rsidRDefault="00000000" w:rsidRPr="00000000" w14:paraId="000003AA">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You know, a lot of those [SFI] options in there were stuff we've been doing for 20 years. So, I feel it's a reward for us for building soil health, but also helping nature recover, recover on the farm. So, I'm really excited about going into it. I'm really excited that they've got ambitious with it.</w:t>
      </w:r>
      <w:r w:rsidDel="00000000" w:rsidR="00000000" w:rsidRPr="00000000">
        <w:rPr>
          <w:rFonts w:ascii="Calibri" w:cs="Calibri" w:eastAsia="Calibri" w:hAnsi="Calibri"/>
          <w:sz w:val="24"/>
          <w:szCs w:val="24"/>
          <w:rtl w:val="0"/>
        </w:rPr>
        <w:t xml:space="preserve"> (Interview 9)</w:t>
      </w:r>
    </w:p>
    <w:p w:rsidR="00000000" w:rsidDel="00000000" w:rsidP="00000000" w:rsidRDefault="00000000" w:rsidRPr="00000000" w14:paraId="000003AB">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looked at the pilot and said, what can I do? Some of it I was doing anyway, soil testing, nutrient management plans, these are all part of things you'd have to do for yourself… And of course, we had this payment, public money for public goods. </w:t>
      </w:r>
      <w:r w:rsidDel="00000000" w:rsidR="00000000" w:rsidRPr="00000000">
        <w:rPr>
          <w:rFonts w:ascii="Calibri" w:cs="Calibri" w:eastAsia="Calibri" w:hAnsi="Calibri"/>
          <w:sz w:val="24"/>
          <w:szCs w:val="24"/>
          <w:rtl w:val="0"/>
        </w:rPr>
        <w:t xml:space="preserve"> (Interview 12)</w:t>
      </w:r>
    </w:p>
    <w:p w:rsidR="00000000" w:rsidDel="00000000" w:rsidP="00000000" w:rsidRDefault="00000000" w:rsidRPr="00000000" w14:paraId="000003AC">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We didn't have to make big changes to how we were already farming. Suddenly, BPS is going to generate income from that land. We don't want to grow crops on it. So, if it didn't involve big changes, it kind of fitted in with what we were already doing…But on the whole, we didn't have to do too much.</w:t>
      </w:r>
      <w:r w:rsidDel="00000000" w:rsidR="00000000" w:rsidRPr="00000000">
        <w:rPr>
          <w:rFonts w:ascii="Calibri" w:cs="Calibri" w:eastAsia="Calibri" w:hAnsi="Calibri"/>
          <w:sz w:val="24"/>
          <w:szCs w:val="24"/>
          <w:rtl w:val="0"/>
        </w:rPr>
        <w:t xml:space="preserve"> (Interview 14)</w:t>
      </w:r>
    </w:p>
    <w:p w:rsidR="00000000" w:rsidDel="00000000" w:rsidP="00000000" w:rsidRDefault="00000000" w:rsidRPr="00000000" w14:paraId="000003A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Likewise, coding from interviews indicated that pilot farmers held an interest in preserving wildlife and valued farming in an environmentally friendly way, which aligned with the environmental goals of the SFI Pilot. Every interview with pilot farmers (n=7) mentioned the terminology: care for the environment, previous scheme involvement, and concern for climate change (Interviews 1,9,11,12,13,14,15). </w:t>
      </w:r>
    </w:p>
    <w:p w:rsidR="00000000" w:rsidDel="00000000" w:rsidP="00000000" w:rsidRDefault="00000000" w:rsidRPr="00000000" w14:paraId="000003A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Despite a general appreciation of the environment demonstrated across all pilot farmer interviews, there was a clear divide on whether environmentalism was the primary motivating for joining the scheme. To illustrate, in interviews with one group of pilot farmers (n=3; Interviews 9,14,15), they described themselves as different from ‘normal’ or ‘traditional’ farmers. Unlike traditional farmers, whose focus is on crops and livestock, these farmers prioritised rewilding efforts, demonstrating a significant shift in the form of cultural capital they produce (Burton et al. 2008; Sutherland 2013). The cultural capital of these farmers is not centred on typical agricultural products like high yields, quality livestock, and tidy fields–symbols that the literature has found to be considered a 'good farmer' (Gray, 1998; Silvasti, 2003; Burton, 2004; Setten, 2004; Burton et al., 2008; Haggerty et al., 2009; Sutherland, 2013). Instead, the main goals of these farmers were to focus on producing environmental outputs such as sequestering carbon and rewilding. This group of pilot farmers also expressed that they had less of a connection to the use of their land. They were willing to take land out of production for environmental purposes, especially if it meant they would also benefit financially from that decision. Hence, they were not as tied to the role of food producers and were less bound to the traditional definitions or confines of being a traditional ‘good farmer’. These pilot farmers also had different social capital, as they gained recognition not from traditional agricultural organisations (e.g. the NFU), but from environmental groups such as the Wildlife Trusts and Environmental Farmer Cluster Groups. The social capital of these relationships enabled this group of farmers to further their education on wildlife and biodiversity. Thus, the social capital they possessed, combined with the cultural capital they valued, enabled them to respond to the changing rules of the game of Brexit through engaging with different environmental policies like SFI. </w:t>
      </w:r>
    </w:p>
    <w:p w:rsidR="00000000" w:rsidDel="00000000" w:rsidP="00000000" w:rsidRDefault="00000000" w:rsidRPr="00000000" w14:paraId="000003A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Yet some of the pilot farmers (n=4; Interviews 1,11,12,13) remained strongly connected to cultural capital related to the traditional symbols of good farming. Their social capital was deeply rooted in agrarianism and farmer organisations such as the NFU. These pilot farmers (n=4) faced constraints in delivering more public goods due to limited access to specialist advice, which negatively impacted their confidence in navigating the transition period. This lack of confidence, therefore, placed limitations on the cultural capital they produced. Further, even though these farmers had an interest in the environmental aspects of their farm, the lack of access to advice and lack of confidence impacted their willingness to make more drastic rewilding or conservation decisions. Three interviewees mentioned confidence (Interviews 1, 11,13) in reference to their ability to understand how the SFI scheme could have a positive impact on the environment. One of the main concerns raised was how to track and measure biodiversity outcomes which translated into a lack of confidence in the scheme and its clarity. The quote below demonstrates how a pilot farmer had a genuine interest in biodiversity, but was sceptical about the actions of the SFI scheme and the motives of environmental organisations: </w:t>
      </w:r>
    </w:p>
    <w:p w:rsidR="00000000" w:rsidDel="00000000" w:rsidP="00000000" w:rsidRDefault="00000000" w:rsidRPr="00000000" w14:paraId="000003B0">
      <w:pPr>
        <w:spacing w:after="200" w:before="24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But actually, what would have been much more valuable was to have a really detailed assessment of what wildlife we have on the farm. That would have been useful both to them and to us. Because I know for a fact that we have hundreds of things here…And I've reported several things that have turned out to be incredibly rare. And yet they clearly are here in abundance. And they're not just here, they're probably on my neighbour's land as well. And yet to hear wildlife organisations speak we're in desperate straits. We haven't got all these species, well, if you don't go looking for them, you won't find them. So why didn't Defra pay for that?</w:t>
      </w:r>
      <w:r w:rsidDel="00000000" w:rsidR="00000000" w:rsidRPr="00000000">
        <w:rPr>
          <w:rFonts w:ascii="Calibri" w:cs="Calibri" w:eastAsia="Calibri" w:hAnsi="Calibri"/>
          <w:sz w:val="24"/>
          <w:szCs w:val="24"/>
          <w:rtl w:val="0"/>
        </w:rPr>
        <w:t xml:space="preserve"> (Interview 1) </w:t>
      </w:r>
    </w:p>
    <w:p w:rsidR="00000000" w:rsidDel="00000000" w:rsidP="00000000" w:rsidRDefault="00000000" w:rsidRPr="00000000" w14:paraId="000003B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aspect of confidence in recognising biodiversity outcomes and environmental impact is another distinguishing factor. Unlike the group of pilot farmers mentioned above, who worked with arms-length bodies and specialists to understand the exact species and scientific makeup of their farms, this group of farmers did not feel as capable of taking a hands-on approach to tracking the environmental progress on their farms (n=2; Interviews 1,12). To illustrate, an SFI Pilot farmer (Interviewee 12) expressed concerns about the policy's effectiveness, noting that because the policy did not require biodiversity mapping from the outset, there was uncertainty about how both the government and farmers could assess the policy’s success in the absence of a clear benchmark. Another concern raised by this farmer was how the farmer was supposed to know if they were making a positive impact on the ecosystem, without knowing what ecosystems already exist on their farm and if they were impacting them in a solely positive way (Interviewee 1). They shared a sense of distrust towards the policy’s intention of biodiversity restoration. Later in the interview, this farmer shared their plans to exit the pilot early and their decision against wanting to join any future schemes.</w:t>
      </w:r>
    </w:p>
    <w:p w:rsidR="00000000" w:rsidDel="00000000" w:rsidP="00000000" w:rsidRDefault="00000000" w:rsidRPr="00000000" w14:paraId="000003B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concerns and lack of confidence in the policy were closely followed by worries about monitoring decisions and the fear that pilot participants would be told their actions were inadequate or a failure. In interviews, farmers shared several anecdotes regarding the impact that weather had on the success of SFI standards being established, and therefore the biodiversity which could emerge on the farm. The fear of farmers was anchored in the belief that there was a lack of transparency about the possibility of something beyond their control going wrong (e.g. drought impacting the ability of an herbal ley to grow) and how this affects the expectations of their agreement. To illustrate, another pilot farmer expressed the hope that SFI would address this potential eventuality in a fair way, but was not completely confident: </w:t>
      </w:r>
    </w:p>
    <w:p w:rsidR="00000000" w:rsidDel="00000000" w:rsidP="00000000" w:rsidRDefault="00000000" w:rsidRPr="00000000" w14:paraId="000003B3">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The whole hope of SFI is that if somebody comes along and says that's not good enough, we are hoping that they'll be there and I'll be back in two years’ time and I hope to see something better, rather than you failing, or taking all the money back from it.</w:t>
      </w:r>
      <w:r w:rsidDel="00000000" w:rsidR="00000000" w:rsidRPr="00000000">
        <w:rPr>
          <w:rFonts w:ascii="Calibri" w:cs="Calibri" w:eastAsia="Calibri" w:hAnsi="Calibri"/>
          <w:sz w:val="24"/>
          <w:szCs w:val="24"/>
          <w:rtl w:val="0"/>
        </w:rPr>
        <w:t xml:space="preserve"> (Interview 11)</w:t>
      </w:r>
    </w:p>
    <w:p w:rsidR="00000000" w:rsidDel="00000000" w:rsidP="00000000" w:rsidRDefault="00000000" w:rsidRPr="00000000" w14:paraId="000003B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lack of confidence in the pilot impacted the development of cultural capital in several ways. To illustrate, economic capital is intricately linked to the successful production of cultural capital (e.g. scheme actions), and if farmers are uncertain about how they will be monitored for the production of cultural capital, and if there is no baseline against which to measure their success, they may be discouraged from participating in schemes due to the risk of a potential loss of economic capital. As noted in Figure 3.4, cultural capital is shaped by an individual’s knowledge and behaviour; thus, if a pilot farmer has a negative experience with Defra, their knowledge and negative perception of the scheme will influence their view of the scheme being a vehicle for generating cultural capital. If the scheme fails to produce such capital, it may undermine farmers' willingness to join, and farmer may form different opinions on how successful the scheme is at producing ‘good farming practices’. Thus, adding a layer of complexity to how farmer qualify practices as those of ‘good farming’.</w:t>
      </w:r>
    </w:p>
    <w:p w:rsidR="00000000" w:rsidDel="00000000" w:rsidP="00000000" w:rsidRDefault="00000000" w:rsidRPr="00000000" w14:paraId="000003B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group of pilot farmers (n=4; Interviews 1,11,12,13) still valued food production as a key aspect of their identity and cultural capital and expressed concerns that post-Brexit policies failed to emphasise the importance of food security and the farmer’s role as a food producer. Specifically, some farmers (Interviews 1,11,12) emphasised that the cultural capital associated with food production, like being a reliable and skilled food producer, was a critical aspect of their identity as farmers, so they would not consider completely rewilding or taking land out of production to be more ambitious in an agri-environmental scheme. The connection farmers had to their role as a ‘producer’ was demonstrated throughout the farmers' involvement in the pilot scheme, where interviewed farmers shared they were willing to enrol in the scheme only if they could place unproductive land and margins (marginal land) into them without sacrificing productive areas, reflecting a strong connection between the farmer and the land they cultivate (Interviews 1,11,12,13). These findings align with previous research, which suggests that farmers have historically viewed agri-environmental schemes negatively, perceiving them as a challenge to their identity as food producers and their role in contributing to national food security (Williams et al., 1994; Burgess et al., 2000). Although the number of pilot interviewees in this research is limited, the findings align with previous studies, where farmers tend to adopt a productivist view of farming, prioritising food production and tangible outputs. This perspective is consistent with the conclusions drawn by Burton (2004). Interviews with this group of pilot farmers revealed that some farmers derived a sense of purpose from their role as food producers, providing sustenance for the national population. This sense of purpose appeared to be deeply embedded as a core value, which led to food production being seen not just as a product for consumption or sale, but as a cultural product in its own right. Moreover, food production is a tangible output that farmers can assess and compare against their peers. As Burton et al. (2008) note, for a new symbol of ‘good farming’ to be recognised, it must be categorised as either ‘good’ or ‘poor’ in terms of performance, visibility, and something the farming community can recognise. In this context, food production is easily visible and can be judged on its quality, thereby positioning it as a form of cultural capital and a symbol of ‘good farming.’</w:t>
      </w:r>
    </w:p>
    <w:p w:rsidR="00000000" w:rsidDel="00000000" w:rsidP="00000000" w:rsidRDefault="00000000" w:rsidRPr="00000000" w14:paraId="000003B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instance of how concerns towards food production were raised by this subset of farmers was the contradiction of the UK entering into free trade agreements with countries like New Zealand (Interviews 1,11,12,13). These agreements, which eliminate tariffs on goods imported to the UK and incentivise the expansion of sheep and beef exports, contrast with the challenges faced by domestic producers who are losing money due to the reduction of BPS and are not encouraged to compete with external competition, but rather to focus on producing environmental benefits and ‘public goods’ (NZ MFAT, 2022). The contradiction in this scenario lies in the UK government's ambition to reduce carbon emissions while simultaneously entering into trade agreements that promote importing food from over 18,000 kilometres away, rather than supporting domestic production. The failure of the UK government to acknowledge and address these contradictory policy positions led some farmers to express scepticism and a lack of trust in the new ELM policies, questioning whether they are truly designed for the benefit of farming communities or will effectively contribute to UK emissions reduction and environmental improvement. This sentiment was also reflected in Defra-commissioned Farmer Opinion Tracker reports, which consistently show low confidence levels, with 63% of farmers expressing no confidence in October 2022, and 62% reporting the same in April 2023; in the latter, only 29% of farmers were either somewhat (28%) or very (1%) confident in Defra and its agencies’ ability to deliver planned changes which were promised from schemes and regulations (Defra, 2023).</w:t>
      </w:r>
    </w:p>
    <w:p w:rsidR="00000000" w:rsidDel="00000000" w:rsidP="00000000" w:rsidRDefault="00000000" w:rsidRPr="00000000" w14:paraId="000003B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policy decisions made by the UK government during the transition period introduced new financial incentives and forms of economic capital, which had an impact on decision-making and therefore what kinds of cultural capital farmers sought to establish. Further, this same group of pilot farmers (n=4; Interviews 1,11,12,13) argued that the current agricultural payment marketplace under ELM was valuing environmental goods at a higher rate than goods generated from food production.  In interviews, these farmers (Interviews 1,11,12,13) expressed concerns about the implications for domestic food production and food security in England if farmers were compelled to prioritise economic capital incentives. This concern was cited directly in relation to how payments under ELM schemes are greater than the payments for wheat production, per hectare, which therefore has the impact of reducing food production because once the BPS phase-out is completed, farmers may feel the need to follow the economic capital to stay afloat (Interviews 1,11,13).  As the agricultural transition period progresses, the constraints imposed by the market on the development of cultural capital will become increasingly significant. With the market being structured to prioritise economic incentives, there is greater potential for the financial incentive associated with these schemes to influence farmers’ decisions to participate in more environmentally friendly methods of farming.</w:t>
      </w:r>
    </w:p>
    <w:p w:rsidR="00000000" w:rsidDel="00000000" w:rsidP="00000000" w:rsidRDefault="00000000" w:rsidRPr="00000000" w14:paraId="000003B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possible development of new cultural capital, which has emerged during the transition period, is the rise of carbon schemes as a new form of cultural capital. All pilot interviews acknowledged them as a controversial and emerging topic (n=7). A key issue shared by farmers was the uncertainty surrounding the development and future of these schemes, with farmers expressing concerns about the lack of regulation, guidance, and clarity on the terms of participation, such as the length of commitment to schemes and payment details. This uncertainty added to the hesitation of farmers to join carbon-offsetting schemes. However, there was also the recognition that, for farmers struggling to stay afloat and adapt to new agricultural schemes, entering into a long-term agreement may eventually appear more attractive as a means of securing financial stability. Despite these economic advantages, some farmers (n=2) stated in interviews that they were staunchly opposed to carbon offsetting schemes, due to ethics and not wanting larger corporations to gain from the work of farmers rather than adjusting their corporate practices. The excerpt from farmer below demonstrates the uncertainty surrounding new carbon schemes and hesitancy in participating in them. </w:t>
      </w:r>
    </w:p>
    <w:p w:rsidR="00000000" w:rsidDel="00000000" w:rsidP="00000000" w:rsidRDefault="00000000" w:rsidRPr="00000000" w14:paraId="000003B9">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Everyone's being approached, I would say the majority of people are waiting and seeing. But I do know, people who have joined schemes, I feel very nervous. Because I know we've been measuring so often for 25 years. And it's a very difficult thing to measure. I would feel very worried about going into selling carbon until I really understood what the actual physical outcome was going to be intense within the lives of those with the lives of those regions.</w:t>
      </w:r>
      <w:r w:rsidDel="00000000" w:rsidR="00000000" w:rsidRPr="00000000">
        <w:rPr>
          <w:rFonts w:ascii="Calibri" w:cs="Calibri" w:eastAsia="Calibri" w:hAnsi="Calibri"/>
          <w:sz w:val="24"/>
          <w:szCs w:val="24"/>
          <w:rtl w:val="0"/>
        </w:rPr>
        <w:t xml:space="preserve"> (Interview 9) </w:t>
      </w:r>
    </w:p>
    <w:p w:rsidR="00000000" w:rsidDel="00000000" w:rsidP="00000000" w:rsidRDefault="00000000" w:rsidRPr="00000000" w14:paraId="000003B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farmer (Interviewee 1) shared that there appears to be an emerging moral divide among farmers regarding the ethics of selling carbon credits to corporations, with some questioning whether this practice aligns with their values. This farmer highlighted their concerns about the new ELM policy prioritising reaching net zero, highlighting that without clearly outlining the role of private corporation investment and payments for offsetting by both domestic and non-domestic corporations, public schemes are susceptible to be undermined by private schemes. This farmer’s concerns mirrored similar uncertainty demonstrated by Interviews Nine and Thirteen, who also shared their hesitations surrounding joining carbon schemes without a clear understanding of their purpose in the transition period.</w:t>
      </w:r>
    </w:p>
    <w:p w:rsidR="00000000" w:rsidDel="00000000" w:rsidP="00000000" w:rsidRDefault="00000000" w:rsidRPr="00000000" w14:paraId="000003B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the majority of the farmers interviewed were opposed to carbon offsetting schemes, a few pilot farmers suggested that, given the financial pressures stemming from Brexit, they would ‘not mind’ accepting income from the scheme as a potential source of revenue, as demonstrated by Interviewee 13 below. This highlights a growing divide between how farmers consider these schemes as part of their future planning and the risks associated with joining these schemes. </w:t>
      </w:r>
    </w:p>
    <w:p w:rsidR="00000000" w:rsidDel="00000000" w:rsidP="00000000" w:rsidRDefault="00000000" w:rsidRPr="00000000" w14:paraId="000003BC">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can't remember if he mentioned money, but it again, it sorts of seemed like another way to get a few extra quid for not doing an awful lot differently or just merely sort of recording what our farming practices were. And so, we sort of made some inquiries, created a profile on the platform, and have been telling them about our tillage regime [on learning more about carbon schemes]</w:t>
      </w:r>
      <w:r w:rsidDel="00000000" w:rsidR="00000000" w:rsidRPr="00000000">
        <w:rPr>
          <w:rFonts w:ascii="Calibri" w:cs="Calibri" w:eastAsia="Calibri" w:hAnsi="Calibri"/>
          <w:sz w:val="24"/>
          <w:szCs w:val="24"/>
          <w:rtl w:val="0"/>
        </w:rPr>
        <w:t xml:space="preserve">. (Interview 13)</w:t>
      </w:r>
    </w:p>
    <w:p w:rsidR="00000000" w:rsidDel="00000000" w:rsidP="00000000" w:rsidRDefault="00000000" w:rsidRPr="00000000" w14:paraId="000003BD">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highlights a potential ethical dilemma for farmers. If the financial situation for farmers worsens, carbon offsetting could increasingly become a practice that is rewarded for them, raising important concerns about regulation. Specifically, if offshore companies are allowed to purchase farmers' carbon credits, it begs the question of whether this truly contributes to the UK’s net-zero goals (similar to importing food that can be grown domestically). This also calls into question whether cultural capital will evolve to meet the demands of this emerging market. </w:t>
      </w:r>
    </w:p>
    <w:p w:rsidR="00000000" w:rsidDel="00000000" w:rsidP="00000000" w:rsidRDefault="00000000" w:rsidRPr="00000000" w14:paraId="000003B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at the time this research took place, the lack of tangible ways for farmers to visualise or recognise whether they have been successful in sequestering carbon inhibited carbon sequestration or carbon credits from evolving into a recognised symbol of cultural capital. Additionally, the uncertainty surrounding the logistics of carbon measurement, trading, and market operations limited the farmers' ability to view carbon credits as a valid cultural symbol. Despite growing interest in these schemes as financial aid, the lack of clarity around how they operate restricted their widespread adoption and recognition as valuable cultural capital within farming communities. There is also the tension between ethical considerations of corporations’ responsibility to reduce their own emissions and the financial necessity of farmers, as well as the potential for the economic capital provided by the market to drive the reshaping of farmers’ perspectives and complicate how cultural capital is recognised in the future. These constraints underscore how the post-Brexit policy transition is reshaping cultural capital in agriculture, influencing both the symbols farmers use to define ‘good farming’ and the broader dynamics which also constrain how this capital is formed within the farming sector.</w:t>
      </w:r>
    </w:p>
    <w:p w:rsidR="00000000" w:rsidDel="00000000" w:rsidP="00000000" w:rsidRDefault="00000000" w:rsidRPr="00000000" w14:paraId="000003B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has outlined the emerging themes related to how cultural capital has developed during the post-Brexit transition. Cultural capital, which encompasses knowledge, skills, and values, plays a significant role in shaping how farmers define themselves and their practices. The introduction of new SFI Pilot guidance offers flexibility, allowing farmers to align their existing practices with environmental goals, but this shift also reveals emerging divisions among farmers. Some farmers, particularly those already engaged in regenerative practices, view environmental sustainability as an integral part of their identity and farming ethos. Others, however, remain tied to more traditional forms of cultural capital, prioritising food production and expressing concerns over the lack of support and guidance to adapt to the changing landscape. Further, the increasing prominence of carbon offsetting schemes adds another layer of complexity, with ethical dilemmas and uncertainties about their future making it a contentious issue among farmers. At face value, privately funded carbon offsetting schemes position themselves as a potential future symbol of ‘good farming’, however, the scepticism amongst the farming community may limit its adoption and challenge this practice from fully being recognised as a ‘good farming’ symbol.  The changes of the post-Brexit transition significantly shape how cultural capital is defined and valued within the farming community, influencing the way farmers engage with environmental schemes and balance economic pressures. The next section builds on the findings presented here, applying them specifically to the case of the tenant farmer. Of the eight pilot farmers, three were tenant farmers, and their experiences highlight the additional challenges they face due to the changing capital structure, a situation compounded by the constraints of being a tenant. </w:t>
      </w:r>
    </w:p>
    <w:p w:rsidR="00000000" w:rsidDel="00000000" w:rsidP="00000000" w:rsidRDefault="00000000" w:rsidRPr="00000000" w14:paraId="000003C0">
      <w:pPr>
        <w:pStyle w:val="Heading2"/>
        <w:numPr>
          <w:ilvl w:val="0"/>
          <w:numId w:val="9"/>
        </w:numPr>
        <w:ind w:left="720" w:hanging="360"/>
        <w:rPr/>
      </w:pPr>
      <w:bookmarkStart w:colFirst="0" w:colLast="0" w:name="_heading=h.95mrpo192y4b" w:id="93"/>
      <w:bookmarkEnd w:id="93"/>
      <w:r w:rsidDel="00000000" w:rsidR="00000000" w:rsidRPr="00000000">
        <w:rPr>
          <w:rtl w:val="0"/>
        </w:rPr>
        <w:t xml:space="preserve">Redefining 'Good Farming': The Role of Capital Structures in Tenant Farmers' Decisions</w:t>
      </w:r>
    </w:p>
    <w:p w:rsidR="00000000" w:rsidDel="00000000" w:rsidP="00000000" w:rsidRDefault="00000000" w:rsidRPr="00000000" w14:paraId="000003C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examines how the changing capital structures during the transition period impacted the decision-making processes of tenant farmers. By focusing on the shared experiences of three tenant pilot farmers (Interviews 13,14,15) the chapter illustrates how these farmers navigated the changing rules of the game within the agricultural landscape. It also presents the unique constraints faced by tenant farmers, demonstrating how these limitations shaped the cultural capital they were able to produce. This, in turn, influences their ability to generate symbols of ‘good farming’ that can mark them as ‘good farmers’ in the eyes of their peers. </w:t>
      </w:r>
    </w:p>
    <w:p w:rsidR="00000000" w:rsidDel="00000000" w:rsidP="00000000" w:rsidRDefault="00000000" w:rsidRPr="00000000" w14:paraId="000003C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Rock Review (TWG, 2023) evaluated the plausibility of new ELM schemes for tenant farmers. The report emphasised that roughly one-third of farmed land in England is tenanted, and ignoring the needs of this group of farmers would have negative implications on food production and the environmental benefits produced under ELM (2023). Interview findings from pilot tenant farmers echoed the report's cautionary message that with BPS being phased out, tenant farmers were being faced with a reduced cash flow, no concessions on rent prices, and struggling to stay financially secure; thus the report recommended that government policies were needed to support this group of farmers to prevent intensification of their farming practices or them exiting the industry. In addition to the challenges identified above, a further issue is the need to balance the length of tenancy agreements, to align with the length of ELM agreements.  Two of the interviewees argued that the current approach is not concrete or secure enough for many tenants to commit to schemes. They stated that while there have been some concessions (provided by landlords) allowing tenants with shorter tenancies to enter the SFI scheme if they believe they can continue their tenancy for the required length, this goodwill approach does not provide tenant farmers with sufficient confidence to enter the scheme. </w:t>
      </w:r>
    </w:p>
    <w:p w:rsidR="00000000" w:rsidDel="00000000" w:rsidP="00000000" w:rsidRDefault="00000000" w:rsidRPr="00000000" w14:paraId="000003C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constraints faced by tenant farmers, such as tenancy length and requiring the approval of landlords, limit their ability to make long-term investments in land management and some environmental improvements. This creates a tension between the agricultural standards that such farmers may strive to uphold, and the outcomes required by agri-environmental schemes. My interviewees were willing to incorporate more environmentally friendly practices into their farming, but external limitations beyond their control during the transition period hindered their ability to increase their ambition and benefit from new policies. </w:t>
      </w:r>
    </w:p>
    <w:p w:rsidR="00000000" w:rsidDel="00000000" w:rsidP="00000000" w:rsidRDefault="00000000" w:rsidRPr="00000000" w14:paraId="000003C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official legislative guidance for the SFI scheme has evolved since the interviews were carried out, so that tenant farmers no longer need permission from landlords to join the scheme, but the policy still does not account for the cultural dynamics and constraints of tenant-to-landlord relationships (Defra, 2023). Thus, there appears to be a cultural gap between what the SFI scheme under ELM schemes promotes and what the landlords and non-farmers view as good agricultural practices and preserving the countryside. Burton and Paragahawewa (2011) term this phenomenon as ‘roadside farming’ whereby conforming to a system of ‘tidy farming’, such as well-maintained hedges, translates to a visible skill (cultural capital) that onlookers can judge from a distance, rather than an unkempt hedge which may have significant levels of biodiversity, but is unable to be spotted from afar. For ELM schemes to be successful and adopted by more farmers, there needs to be a cultural shift so that when landlords see untrimmed hedges along the road, they know it is not a matter of tenant negligence, but an environmental benefit for wildlife and biodiversity. Until that larger cultural change takes place, the expectations of the landlord on what constitutes ‘good’ tenant practices will continue to constrain the ambition of tenants looking to enter the schemes. Further, some farmers might have the desire to be more environmentally ambitious, but the realities of being able to balance the dynamic of landlord directives and wishes with the requirements of agri-environmental schemes may limit tenant farmers' ambitions. </w:t>
      </w:r>
    </w:p>
    <w:p w:rsidR="00000000" w:rsidDel="00000000" w:rsidP="00000000" w:rsidRDefault="00000000" w:rsidRPr="00000000" w14:paraId="000003C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Tenant farmers (n=3; Interviews 13,14,15) also raised concerns about the constraints of cultural capital they can produce, and the significant financial impact that the phasing out of BPS had specifically on the rental market for tenant farmers. For context, previously, the BPS payment would be delegated to the tenant, and then the tenant would use that amount to pay the rent to their landlord. With the phasing out of BPS, tenant farmers need to find alternative revenue to cover their rental costs. Moreover, instead of rental costs responding to the decreases in BPS (and dropping), rents have remained high because there is increasing competition for land, with solar farms, real estate developers and environmental schemes like Countryside Stewardship offering higher returns than traditional farming for food production (Interview 13,14,15). These findings align with Defra-led industry research, which reported that between 2022/23 and 2023/24, the average rent per hectare for land-only full agricultural tenancy agreements rose by 15 per cent, reaching £234 per hectare (an 8 per cent increase when adjusted for inflation) (Defra, 2024). </w:t>
      </w:r>
    </w:p>
    <w:p w:rsidR="00000000" w:rsidDel="00000000" w:rsidP="00000000" w:rsidRDefault="00000000" w:rsidRPr="00000000" w14:paraId="000003C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shift in this structure for tenant farmers means that if they cannot afford the rent, then the landlord can decide to have a contractor come instead to enter areas of the land into the new Countryside Stewardship or SFI schemes, as the payment rates for environmental benefits supersede the current amounts landlords are being paid for food production. This creates a situation where the tenant farmer may be squeezed out, as landowners no longer need to rely on their profits from food production and can continue to receive government payments because they have contracted lower to no input environmental works, which are recognised under payments provided by SFI and CS (Interview 14,15). Tenant farmers (n=2; Interview 14,15) also noted that another alternative could be that if landowners cut the tenant farmer out and enter agri-environmental schemes themselves, they might also be inclined to put the land into carbon offsetting programmes due to their low commitment and easy financial reward. </w:t>
      </w:r>
    </w:p>
    <w:p w:rsidR="00000000" w:rsidDel="00000000" w:rsidP="00000000" w:rsidRDefault="00000000" w:rsidRPr="00000000" w14:paraId="000003C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limitations and changes to economic capital as outlined above further constrict tenant farmers' ability to deliver cultural capital. With landlords now presented with incentives to adopt schemes like Countryside Stewardship or SFI themselves, they may choose to contract out the environmental work, diminishing the role of tenant farmers in traditional food production. This shift allows landlords greater discretion over tenant farmers’ ability to engage in environmental practices and constrains their decision-making. These changes are not only affecting tenant farmers but also transforming the dynamics of agricultural decision-making and the definition of ‘good farming’ (as shared by interviewees 14 and 15).</w:t>
      </w:r>
    </w:p>
    <w:p w:rsidR="00000000" w:rsidDel="00000000" w:rsidP="00000000" w:rsidRDefault="00000000" w:rsidRPr="00000000" w14:paraId="000003C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quarter of the interviews conducted, including those with non-tenant pilot farmers (n=4; Interview 1,11,14,15), highlighted the risks posed by the new ELM schemes to tenant farmers, particularly if landlords decide to directly enrol land in agri-environmental schemes, effectively bypassing tenant farmers. As of 2022, when interviews for this thesis commenced, the policies in place did not have limitations on the percentage of land a landowner could enter a scheme. Though, for example, in the case of the SFI pilot, the policy implies that margins and land out of production would be rewilded and entered the scheme, there is nothing in the guidance to prevent fields being taken out of production and the entire land being entered into the policy. However, in March 2024, </w:t>
      </w:r>
      <w:hyperlink r:id="rId24">
        <w:r w:rsidDel="00000000" w:rsidR="00000000" w:rsidRPr="00000000">
          <w:rPr>
            <w:rFonts w:ascii="Calibri" w:cs="Calibri" w:eastAsia="Calibri" w:hAnsi="Calibri"/>
            <w:color w:val="1155cc"/>
            <w:sz w:val="24"/>
            <w:szCs w:val="24"/>
            <w:u w:val="single"/>
            <w:rtl w:val="0"/>
          </w:rPr>
          <w:t xml:space="preserve">Defra </w:t>
        </w:r>
      </w:hyperlink>
      <w:r w:rsidDel="00000000" w:rsidR="00000000" w:rsidRPr="00000000">
        <w:rPr>
          <w:rFonts w:ascii="Calibri" w:cs="Calibri" w:eastAsia="Calibri" w:hAnsi="Calibri"/>
          <w:sz w:val="24"/>
          <w:szCs w:val="24"/>
          <w:rtl w:val="0"/>
        </w:rPr>
        <w:t xml:space="preserve">introduced new legislation specifying that a maximum of 25 per cent of productive land could be taken out of production to enter into SFI actions. Though this policy was introduced, it still has a negative impact on small holdings, where there may not even be 25 per cent of land able to be taken out of production, without jeopardising food production; this is especially common as almost half of farms in the UK are under 20 hectares in size (the average farm size in the UK being 82 hectares) (Defra, 2024). </w:t>
      </w:r>
    </w:p>
    <w:p w:rsidR="00000000" w:rsidDel="00000000" w:rsidP="00000000" w:rsidRDefault="00000000" w:rsidRPr="00000000" w14:paraId="000003C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contrast, Countryside Stewardship, which has since been introduced alongside SFI, has no limits on the maximum amount of land entered into agreements, which means the concerns of tenant farmers were still valid at the time of submission of this thesis in 2025.  CS actions provide opportunities to take land out of production, without limitations, and to earn more income from it over a longer period, more environmentally ambitious agreement. The concern of ELM policies conflicting with tenancy protections was also voiced in the main recommendations in the Rock Review under recommendation one (TWG, 2023, p.17). </w:t>
      </w:r>
    </w:p>
    <w:p w:rsidR="00000000" w:rsidDel="00000000" w:rsidP="00000000" w:rsidRDefault="00000000" w:rsidRPr="00000000" w14:paraId="000003CA">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Defra must design all Environmental Land Management schemes and Productivity schemes to be accessible and open to tenant farmers. This should be done by starting from the basic principle that tenants should not need landlord consent to enter tenanted land into schemes and landlords should not be allowed to enter tenanted land into schemes unilaterally. Building from this, the necessary details are: ….</w:t>
      </w:r>
      <w:r w:rsidDel="00000000" w:rsidR="00000000" w:rsidRPr="00000000">
        <w:rPr>
          <w:rtl w:val="0"/>
        </w:rPr>
      </w:r>
    </w:p>
    <w:p w:rsidR="00000000" w:rsidDel="00000000" w:rsidP="00000000" w:rsidRDefault="00000000" w:rsidRPr="00000000" w14:paraId="000003CB">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…This must be met with adequate protections to stop the land being taken back in hand and subsequently entered into schemes by landlords where tenants could have carried out the action unless the tenant has not objected.</w:t>
      </w:r>
      <w:r w:rsidDel="00000000" w:rsidR="00000000" w:rsidRPr="00000000">
        <w:rPr>
          <w:rtl w:val="0"/>
        </w:rPr>
      </w:r>
    </w:p>
    <w:p w:rsidR="00000000" w:rsidDel="00000000" w:rsidP="00000000" w:rsidRDefault="00000000" w:rsidRPr="00000000" w14:paraId="000003C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Interviewed farmers were concerned that if this issue were not addressed, then it would further exacerbate issues surrounding food security and eliminate the need for tenant farmers overall. </w:t>
      </w:r>
    </w:p>
    <w:p w:rsidR="00000000" w:rsidDel="00000000" w:rsidP="00000000" w:rsidRDefault="00000000" w:rsidRPr="00000000" w14:paraId="000003CD">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And with all the current schemes, there is the risk of landlords taking land back in hand in order to access the scheme. Which I mean, if you're being really harsh, and you've been a kind of grumpy tenant, you could say, well, that's just landlords, being landlords, you know, getting rid of tenants and being horrible. I think the actual reality, and I completely understand this from a landlord's perspective, is that in order to access some of the schemes, it's a lot easier to do if you don't have a tenant there. They may not, they may actually, they may well prefer to have a tenant, but actually for them to enter that scheme. It's easier to do it without one. And that's a massive concern. </w:t>
      </w:r>
      <w:r w:rsidDel="00000000" w:rsidR="00000000" w:rsidRPr="00000000">
        <w:rPr>
          <w:rFonts w:ascii="Calibri" w:cs="Calibri" w:eastAsia="Calibri" w:hAnsi="Calibri"/>
          <w:sz w:val="24"/>
          <w:szCs w:val="24"/>
          <w:rtl w:val="0"/>
        </w:rPr>
        <w:t xml:space="preserve">(Interviewee 14)</w:t>
      </w:r>
    </w:p>
    <w:p w:rsidR="00000000" w:rsidDel="00000000" w:rsidP="00000000" w:rsidRDefault="00000000" w:rsidRPr="00000000" w14:paraId="000003C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farmer further elaborated on this issue by suggesting that there should be restrictions on how much of a farm can be put into all stewardship schemes (Interviewee 15). They suggested implementing a cap of around 30-40 per cent to ensure that farming remains viable while prioritising food production alongside environmental initiatives. This would be similar to the cap introduced in 2024 for land taken out of production and entered into the SFI scheme. However, the proposed cap should apply to the entire farm, covering all areas in all ELM schemes, meaning a single cap of 25 per cent for the whole farm, rather than separate caps for each scheme, such as 25 per cent for SFI and 40 per cent for CS. These challenges the tenant farmers face are major barriers for the farming sector to find a way to combine food production alongside environmentalism and balance the two needs. Farmers being removed from the equation raises questions about what impact that will have on the cultural capital of farming communities in the future. </w:t>
      </w:r>
    </w:p>
    <w:p w:rsidR="00000000" w:rsidDel="00000000" w:rsidP="00000000" w:rsidRDefault="00000000" w:rsidRPr="00000000" w14:paraId="000003C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has outlined the unique relationship between pilot tenant farmers (n=3) and changing capital structures in the post-Brexit transition. These farmers experienced limitations in fully embracing new environmental practices due to their reliance on landlord approval. Some landlords may not agree with environmentally focused policies (specifically re-wilding land or taking it out of production) and may want the land to be maintained in a way so future tenants can continue carrying out food production. As a result, tenant farmers may face limitations in joining AES because their landlords prioritise traditional symbols of good farming over the ‘new’ biodiversity-focused ones. In turn, these limitations constrain the symbols of cultural capital that tenant farmers can produce. Changing economic capital structures also impact the ability of tenant farmers to respond and make decisions in a post-Brexit landscape, thereby further inhibiting their ability to freely produce the cultural capital that may be of value to them or could be seen as a symbol of ‘good farming’. These challenges are specific to Brexit because there were no formal mechanisms or guidance in place for tenants who wanted to enter an AES that their landlord did not want them to pursue. In addition, the BPS, which was once used to aid tenants in covering rental costs, has been phased out. The case of the tenant farmer highlights the complexities of the post-Brexit transition period and illustrates that the definition of the ‘good farmer’ has become much more complex than allowed for in the existing literature.</w:t>
      </w:r>
    </w:p>
    <w:p w:rsidR="00000000" w:rsidDel="00000000" w:rsidP="00000000" w:rsidRDefault="00000000" w:rsidRPr="00000000" w14:paraId="000003D0">
      <w:pPr>
        <w:pStyle w:val="Heading2"/>
        <w:numPr>
          <w:ilvl w:val="0"/>
          <w:numId w:val="9"/>
        </w:numPr>
        <w:ind w:left="720" w:hanging="360"/>
        <w:rPr/>
      </w:pPr>
      <w:bookmarkStart w:colFirst="0" w:colLast="0" w:name="_heading=h.dqa3aqepj6mf" w:id="94"/>
      <w:bookmarkEnd w:id="94"/>
      <w:r w:rsidDel="00000000" w:rsidR="00000000" w:rsidRPr="00000000">
        <w:rPr>
          <w:rtl w:val="0"/>
        </w:rPr>
        <w:t xml:space="preserve">Conclusion </w:t>
      </w:r>
    </w:p>
    <w:p w:rsidR="00000000" w:rsidDel="00000000" w:rsidP="00000000" w:rsidRDefault="00000000" w:rsidRPr="00000000" w14:paraId="000003D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chapter addresses the research question of: how did different forms of capital shape the decision-making processes of farmers who chose to participate in the SFI Pilot? It introduces the empirical evidence from interviews with pilot farmers, shedding light on how the transformations in economic, social, and cultural capital that farmers experienced during the post-Brexit transition translated into farmer decision-making.  </w:t>
      </w:r>
    </w:p>
    <w:p w:rsidR="00000000" w:rsidDel="00000000" w:rsidP="00000000" w:rsidRDefault="00000000" w:rsidRPr="00000000" w14:paraId="000003D2">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Changes in capital structures shaped farmer decision-making within the SFI pilot in several different ways. Pilot farmers placed considerable value on the economic capital they had built through diversification. Their diversified income streams provided financial stability during the post-Brexit transition, which gave farmers the confidence to engage with the new agri-environmental schemes; knowing their farm businesses were not entirely financially dependent on the success of the pilot allowed them to participate with a degree of flexibility and willingness to take risk.</w:t>
      </w:r>
    </w:p>
    <w:p w:rsidR="00000000" w:rsidDel="00000000" w:rsidP="00000000" w:rsidRDefault="00000000" w:rsidRPr="00000000" w14:paraId="000003D3">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Additionally, pilot farmers who already held cultural capital, such as the knowledge and skills to integrate environmental benefits into farming practices, were well positioned to adapt to the transition. These farmers were able to engage with the new schemes without facing steep learning curves or needing significant upfront investment to learn the scheme.</w:t>
      </w:r>
    </w:p>
    <w:p w:rsidR="00000000" w:rsidDel="00000000" w:rsidP="00000000" w:rsidRDefault="00000000" w:rsidRPr="00000000" w14:paraId="000003D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terms of social capital, pilot farmers drew support from a range of organisations, including environmental groups, the National Farmers’ Union, and local farmer clusters. The empirical evidence demonstrates that farmers’ involvement in these communities varied, but their social networks had a strong influence on how they perceived and pursued different forms of cultural capital. For example, farmers embedded in more traditional agrarian communities tended to value productivist symbols, while others aligned more closely with regenerative or environmentally focused farming values. These divisions in cultural capital were reflected in how farmers navigated the transition period. </w:t>
      </w:r>
    </w:p>
    <w:p w:rsidR="00000000" w:rsidDel="00000000" w:rsidP="00000000" w:rsidRDefault="00000000" w:rsidRPr="00000000" w14:paraId="000003D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evidence introduced in this chapter illustrates a clear divide between farmers who see their role as food producers, with the cultural capital tied to food production, as more important than the role of custodians of the countryside. This divide challenges how farming communities will evolve in recognising symbols of ‘good farming’ and raises questions about whether the existing definition of the ‘good farmer’ is dynamic and multifaceted enough to properly reflect how changes in capital influence farmer behaviour and decision-making during this period.</w:t>
      </w:r>
    </w:p>
    <w:p w:rsidR="00000000" w:rsidDel="00000000" w:rsidP="00000000" w:rsidRDefault="00000000" w:rsidRPr="00000000" w14:paraId="000003D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key contribution of this chapter lies in its proposal of a more contemporary conceptualisation of the ‘good farmer’. The findings suggest that existing definitions, often rooted in traditional symbols of productivity and land stewardship, are no longer sufficient to capture the multifaceted realities of modern farming. Instead, the data reveal that farmers increasingly see themselves as occupying multiple and, at times, conflicting roles: as both food producers and environmental stewards. These two types of identities influence the decisions they make, the practices they adopt, and the symbols they use to define ‘good farming’.</w:t>
      </w:r>
    </w:p>
    <w:p w:rsidR="00000000" w:rsidDel="00000000" w:rsidP="00000000" w:rsidRDefault="00000000" w:rsidRPr="00000000" w14:paraId="000003D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evidencing these tensions, the chapter argues that the framework used to define the ‘good farmer’ must evolve to reflect these emerging complexities. Recognising that farmers may hold overlapping and sometimes contradictory motivations is essential for understanding how they respond to policy changes and make decisions.</w:t>
      </w:r>
    </w:p>
    <w:p w:rsidR="00000000" w:rsidDel="00000000" w:rsidP="00000000" w:rsidRDefault="00000000" w:rsidRPr="00000000" w14:paraId="000003D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chapter presents and analyses data from the non-pilot farmer interviews to depict how another fraction of the agricultural community is responding to the changes in capital. The insights from these two chapters combined inform the theoretical contributions introduced in Chapter Seven, which address the limitations of the existing conceptualisation of the ‘good farmer’ and propose a new conceptualisation of the ‘good farmer’ which can be more useful for analysing and understanding farmer decision-making in the post-Brexit transition. </w:t>
      </w:r>
    </w:p>
    <w:p w:rsidR="00000000" w:rsidDel="00000000" w:rsidP="00000000" w:rsidRDefault="00000000" w:rsidRPr="00000000" w14:paraId="000003D9">
      <w:pPr>
        <w:pStyle w:val="Heading1"/>
        <w:rPr/>
      </w:pPr>
      <w:bookmarkStart w:colFirst="0" w:colLast="0" w:name="_heading=h.ccpgagswmxqt" w:id="95"/>
      <w:bookmarkEnd w:id="95"/>
      <w:r w:rsidDel="00000000" w:rsidR="00000000" w:rsidRPr="00000000">
        <w:br w:type="page"/>
      </w:r>
      <w:r w:rsidDel="00000000" w:rsidR="00000000" w:rsidRPr="00000000">
        <w:rPr>
          <w:rtl w:val="0"/>
        </w:rPr>
        <w:t xml:space="preserve">CHAPTER SIX </w:t>
      </w:r>
    </w:p>
    <w:p w:rsidR="00000000" w:rsidDel="00000000" w:rsidP="00000000" w:rsidRDefault="00000000" w:rsidRPr="00000000" w14:paraId="000003DA">
      <w:pPr>
        <w:pStyle w:val="Heading1"/>
        <w:rPr/>
      </w:pPr>
      <w:bookmarkStart w:colFirst="0" w:colLast="0" w:name="_heading=h.uf4mzgp653ns" w:id="96"/>
      <w:bookmarkEnd w:id="96"/>
      <w:r w:rsidDel="00000000" w:rsidR="00000000" w:rsidRPr="00000000">
        <w:rPr>
          <w:rtl w:val="0"/>
        </w:rPr>
        <w:t xml:space="preserve">NON-PILOT FARMERS AND THE EVOLVING CAPITAL STRUCTURES DURING THE POST-BREXIT TRANSITION  </w:t>
      </w:r>
    </w:p>
    <w:p w:rsidR="00000000" w:rsidDel="00000000" w:rsidP="00000000" w:rsidRDefault="00000000" w:rsidRPr="00000000" w14:paraId="000003DB">
      <w:pPr>
        <w:pStyle w:val="Heading2"/>
        <w:numPr>
          <w:ilvl w:val="0"/>
          <w:numId w:val="11"/>
        </w:numPr>
        <w:ind w:left="720" w:hanging="360"/>
        <w:rPr/>
      </w:pPr>
      <w:bookmarkStart w:colFirst="0" w:colLast="0" w:name="_heading=h.il49z4hmvscf" w:id="97"/>
      <w:bookmarkEnd w:id="97"/>
      <w:r w:rsidDel="00000000" w:rsidR="00000000" w:rsidRPr="00000000">
        <w:rPr>
          <w:rtl w:val="0"/>
        </w:rPr>
        <w:t xml:space="preserve">Introduction</w:t>
      </w:r>
    </w:p>
    <w:p w:rsidR="00000000" w:rsidDel="00000000" w:rsidP="00000000" w:rsidRDefault="00000000" w:rsidRPr="00000000" w14:paraId="000003D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seeks to address the research question of how the different forms of capital shaped the decision-making processes of farmers who decided to not participate in the SFI Pilot. This chapter presents the findings from interviews with eight non-pilot farmers, demonstrating how these farmers engaged with economic, social, and cultural capital. Thematic coding revealed that this heterogeneous group of non-pilot farmers faced a variety of challenges and held differing opinions from each other on issues such as the BPS, financial constraints, technology, connections to agricultural communities, and diversification. </w:t>
      </w:r>
    </w:p>
    <w:p w:rsidR="00000000" w:rsidDel="00000000" w:rsidP="00000000" w:rsidRDefault="00000000" w:rsidRPr="00000000" w14:paraId="000003D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worth noting a methodological constraint: all the non-pilot farmers interviewed for this thesis had access to the internet, which suggests that these farmers were better positioned to overcome technological barriers to learning about the new schemes online compared to those of their peers who struggled with internet access (NFU Survey, 2024</w:t>
      </w:r>
      <w:r w:rsidDel="00000000" w:rsidR="00000000" w:rsidRPr="00000000">
        <w:rPr>
          <w:rFonts w:ascii="Calibri" w:cs="Calibri" w:eastAsia="Calibri" w:hAnsi="Calibri"/>
          <w:sz w:val="24"/>
          <w:szCs w:val="24"/>
          <w:vertAlign w:val="superscript"/>
        </w:rPr>
        <w:footnoteReference w:customMarkFollows="0" w:id="41"/>
      </w:r>
      <w:r w:rsidDel="00000000" w:rsidR="00000000" w:rsidRPr="00000000">
        <w:rPr>
          <w:rFonts w:ascii="Calibri" w:cs="Calibri" w:eastAsia="Calibri" w:hAnsi="Calibri"/>
          <w:sz w:val="24"/>
          <w:szCs w:val="24"/>
          <w:rtl w:val="0"/>
        </w:rPr>
        <w:t xml:space="preserve">). Furthermore, most of these farmers (five out of the eight) had either been part of or were familiar with previous environmental schemes and came from multi-generational farming backgrounds. This group of non-pilot farmers (n=5) all had some contact, whether previously or currently, with Defra but were not reliant on Defra-led schemes as their primary source of financial stability. </w:t>
      </w:r>
    </w:p>
    <w:p w:rsidR="00000000" w:rsidDel="00000000" w:rsidP="00000000" w:rsidRDefault="00000000" w:rsidRPr="00000000" w14:paraId="000003D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findings introduced in this chapter closely parallel those discussed in Chapter Five, particularly in highlighting how the farmers conceptualised their roles in society, as either food producers or custodians of the environment. The empirical data analysed in this chapter continue to demonstrate the varied and diversified forms of social and economic capital that influenced farmers’ decision-making processes.</w:t>
      </w:r>
    </w:p>
    <w:p w:rsidR="00000000" w:rsidDel="00000000" w:rsidP="00000000" w:rsidRDefault="00000000" w:rsidRPr="00000000" w14:paraId="000003D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remainder of the chapter mirrors the format of Chapter Five, providing a thematic analysis of the developments in economic, social, and cultural capital among non-pilot farmers. This consistent structure allows for meaningful comparison across both groups and lays the groundwork for the conceptual work undertaken in the following chapter. The empirical findings explored here contribute to the evolving understanding of how capital structures have shifted and continue to do so in this transition period and are further applied in Chapter Seven to offer an updated conceptualisation of the ‘good farmer’. That chapter extends the theoretical discussion by explaining why this revised conceptualisation is necessary considering the changes currently reshaping the English agricultural landscape.</w:t>
      </w:r>
    </w:p>
    <w:p w:rsidR="00000000" w:rsidDel="00000000" w:rsidP="00000000" w:rsidRDefault="00000000" w:rsidRPr="00000000" w14:paraId="000003E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situating the findings of this chapter alongside those in Chapter Five, the research reinforces the significance of capital structures in mediating farmers’ experiences of transition, while also contributing to wider debates in the literature on agricultural identities, motivations, and adaptations in times of change.</w:t>
      </w:r>
    </w:p>
    <w:p w:rsidR="00000000" w:rsidDel="00000000" w:rsidP="00000000" w:rsidRDefault="00000000" w:rsidRPr="00000000" w14:paraId="000003E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Chapter Seven combines these two chapters’ findings on the development of different forms of capital in the post-Brexit transition to reassess how farmers themselves have come to view changes in what they consider a 'good farmer ' to be. It also considers how, from a non-farming perspective, the criteria of what constitutes a 'good farmer' can be redefined to provide an updated conceptualisation that reflects the changes, constraints, and challenges of the post-Brexit transition.</w:t>
      </w:r>
    </w:p>
    <w:p w:rsidR="00000000" w:rsidDel="00000000" w:rsidP="00000000" w:rsidRDefault="00000000" w:rsidRPr="00000000" w14:paraId="000003E2">
      <w:pPr>
        <w:pStyle w:val="Heading2"/>
        <w:numPr>
          <w:ilvl w:val="0"/>
          <w:numId w:val="11"/>
        </w:numPr>
        <w:ind w:left="720" w:hanging="360"/>
        <w:rPr/>
      </w:pPr>
      <w:bookmarkStart w:colFirst="0" w:colLast="0" w:name="_heading=h.jhmvj23huoa2" w:id="98"/>
      <w:bookmarkEnd w:id="98"/>
      <w:r w:rsidDel="00000000" w:rsidR="00000000" w:rsidRPr="00000000">
        <w:rPr>
          <w:rtl w:val="0"/>
        </w:rPr>
        <w:t xml:space="preserve">Economic Capital </w:t>
      </w:r>
    </w:p>
    <w:p w:rsidR="00000000" w:rsidDel="00000000" w:rsidP="00000000" w:rsidRDefault="00000000" w:rsidRPr="00000000" w14:paraId="000003E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majority of farmers interviewed as part of the non-pilot group (n=5; Interviews 2,3,5,6,10) shared that they possessed the economic capital to wait and carefully consider the policy options available, indicating that they were hesitant to engage with government schemes because they viewed government-led organisations as unreliable. For example, interviews (n=4; Interviews 2,3,6,10) revealed that members of this group of non-pilot farmers had previously participated in schemes but were now waiting to assess payment rates and stability before rejoining, with some (n=2; Interviews 5 and 6) preferring privately funded agri-schemes, which they felt offered more 'security' in terms of funding. This sense of 'security' was also emphasised by (n=2) interviewees, who expressed a lack of trust in the government to ensure timely and consistent payments, as well as doubts about the impartiality of monitoring organisations like the Rural Payments Agency (RPA). </w:t>
      </w:r>
    </w:p>
    <w:p w:rsidR="00000000" w:rsidDel="00000000" w:rsidP="00000000" w:rsidRDefault="00000000" w:rsidRPr="00000000" w14:paraId="000003E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Non-pilot farmers also referenced previous negative experiences with agri-environmental schemes (AES) before the introduction of Environmental Land Management schemes (ELM schemes), and the impact that this had on their ambition to join schemes (Interviews 3,5,6)</w:t>
      </w:r>
      <w:r w:rsidDel="00000000" w:rsidR="00000000" w:rsidRPr="00000000">
        <w:rPr>
          <w:rFonts w:ascii="Calibri" w:cs="Calibri" w:eastAsia="Calibri" w:hAnsi="Calibri"/>
          <w:sz w:val="24"/>
          <w:szCs w:val="24"/>
          <w:vertAlign w:val="superscript"/>
        </w:rPr>
        <w:footnoteReference w:customMarkFollows="0" w:id="42"/>
      </w:r>
      <w:r w:rsidDel="00000000" w:rsidR="00000000" w:rsidRPr="00000000">
        <w:rPr>
          <w:rFonts w:ascii="Calibri" w:cs="Calibri" w:eastAsia="Calibri" w:hAnsi="Calibri"/>
          <w:sz w:val="24"/>
          <w:szCs w:val="24"/>
          <w:rtl w:val="0"/>
        </w:rPr>
        <w:t xml:space="preserve">. One farmer shared their experience of needing to go to court to settle a payment issue of over £100,000 with the RPA and Natural England, which the farmer ultimately ended up winning, but took a long time to settle. Another farmer shared that they were required to pay back money to the RPA after it was ruled that they were shy of mere centimetres of the requirements for their agreement. Another farmer once had to wait over eighteen months to receive payments from the RPA, which then caused them to default on their monthly bills and expenses. These experiences reflect an established history of mismanagement of duties on behalf of the Rural Payments Agency and Defra, which has had a negative impact on farmers' trust towards the government (NAO, 2021). In 2005, late and inaccurate payments were made to farmers due to errors in the government’s changes to CAP. Later, in 2015, there were failures in the government’s CAP delivery programme, which amounted to a 52 per cent decline in the processing rates of farmer payments during the first window (House of Commons, 2016; NAO, 2021).  The strained relationship with scheme payments and negative interactions with the RPA were a significant deterrent for the non-pilot farmers when it came to testing out the new ELM schemes. These farmers did not want their economic capital to be dependent on the RPA, especially if there were any fluctuations or uncertainty surrounding it during a period of transition. For these farmers, the piloting of new schemes presented a risk to their economic capital, as in their opinion the schemes had not yet been sufficiently trialled and tested (Interviews 3,5,6). Further, the perceptions of these new schemes were shaped by their previous negative experiences with the RPA.</w:t>
      </w:r>
    </w:p>
    <w:p w:rsidR="00000000" w:rsidDel="00000000" w:rsidP="00000000" w:rsidRDefault="00000000" w:rsidRPr="00000000" w14:paraId="000003E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these farmers’ decision not to join the new schemes was not due to a lack of support, but rather a sense that there was no immediate need to enrol (n=5; Interviews 2,3,5,6,10). Several interviewees (n=4; Interviews 2,3,5,10) expressed optimism about the future of the agricultural sector, particularly the government’s shift from BPS to ELM schemes. The interview excerpts below reflect this optimism, while also revealing a cautious attitude.</w:t>
      </w:r>
    </w:p>
    <w:p w:rsidR="00000000" w:rsidDel="00000000" w:rsidP="00000000" w:rsidRDefault="00000000" w:rsidRPr="00000000" w14:paraId="000003E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example, interviewee three shared: </w:t>
      </w:r>
      <w:r w:rsidDel="00000000" w:rsidR="00000000" w:rsidRPr="00000000">
        <w:rPr>
          <w:rFonts w:ascii="Calibri" w:cs="Calibri" w:eastAsia="Calibri" w:hAnsi="Calibri"/>
          <w:i w:val="1"/>
          <w:sz w:val="24"/>
          <w:szCs w:val="24"/>
          <w:rtl w:val="0"/>
        </w:rPr>
        <w:t xml:space="preserve">“I remain relentlessly optimistic because I think out of this if I follow them, but it's just my nature. I'm not a typical farmer. I just see so many opportunities in the environmental scene to make big money, you know.</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E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Interviewee two reflected:</w:t>
      </w:r>
      <w:r w:rsidDel="00000000" w:rsidR="00000000" w:rsidRPr="00000000">
        <w:rPr>
          <w:rFonts w:ascii="Calibri" w:cs="Calibri" w:eastAsia="Calibri" w:hAnsi="Calibri"/>
          <w:i w:val="1"/>
          <w:sz w:val="24"/>
          <w:szCs w:val="24"/>
          <w:rtl w:val="0"/>
        </w:rPr>
        <w:t xml:space="preserve"> “I think that the removal of BPS possibly, although this sounds a bit bizarre, the sort of slight mess that we're in with ELM currently should be making people look at their businesses from a point of view of how am I economically sustainable without needing somebody to, you know, give me a buck? That's a good thing. I think we should be farming without needing, you know, support all the time. So yeah, I'm, I'm reasonably optimistic.”</w:t>
      </w:r>
      <w:r w:rsidDel="00000000" w:rsidR="00000000" w:rsidRPr="00000000">
        <w:rPr>
          <w:rtl w:val="0"/>
        </w:rPr>
      </w:r>
    </w:p>
    <w:p w:rsidR="00000000" w:rsidDel="00000000" w:rsidP="00000000" w:rsidRDefault="00000000" w:rsidRPr="00000000" w14:paraId="000003E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statements illustrate cautious optimism, as while these farmers could see potential benefits from the evolving government agricultural schemes, they were also aware of the challenges and uncertainties that come with such significant changes. These interview findings suggest that the economic capital possessed by this group, specifically the lack of reliance on BPS, allowed these farmers to be able to take a step back to consider which scheme would be the best fit for them.</w:t>
      </w:r>
    </w:p>
    <w:p w:rsidR="00000000" w:rsidDel="00000000" w:rsidP="00000000" w:rsidRDefault="00000000" w:rsidRPr="00000000" w14:paraId="000003E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Many of these non-pilot farmers (n=4; Interviews 2,3,5,7), at the time of interviews, were participating in private schemes which conflicted with ELM schemes. For example, any farmer already participating in the earlier Countryside Stewardship scheme would not be able to have the same parcel of land in both schemes at the same time. Farmers were reluctant to run two live agreements through participating in two separate schemes, not least due to the learning curve associated with setting up in a new scheme. Instead, the primary sources of income for these farmers (directly cited from Interviews 2,3,5,7) include privately funded herbal ley or cover cropping projects, organic dairy production, farm shops, and organic crop production.  The excerpt from interview three below highlights how a focus on maintaining profit led the farmer to diversify their business, underscoring the role of diversified income in supporting financial resilience during the transition period.</w:t>
      </w:r>
    </w:p>
    <w:p w:rsidR="00000000" w:rsidDel="00000000" w:rsidP="00000000" w:rsidRDefault="00000000" w:rsidRPr="00000000" w14:paraId="000003EA">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"Our lack of confidence made me do loads of stuff, which actually made loads of money farming. So, it's actually been a really good thing, and the farm is better now. We're doing regenerative agriculture, direct drilling, cover crops, and companion crops now because we don't have to rely on the income from the farm anymore." </w:t>
      </w:r>
      <w:r w:rsidDel="00000000" w:rsidR="00000000" w:rsidRPr="00000000">
        <w:rPr>
          <w:rFonts w:ascii="Calibri" w:cs="Calibri" w:eastAsia="Calibri" w:hAnsi="Calibri"/>
          <w:sz w:val="24"/>
          <w:szCs w:val="24"/>
          <w:rtl w:val="0"/>
        </w:rPr>
        <w:t xml:space="preserve">(Interview 3) </w:t>
      </w:r>
    </w:p>
    <w:p w:rsidR="00000000" w:rsidDel="00000000" w:rsidP="00000000" w:rsidRDefault="00000000" w:rsidRPr="00000000" w14:paraId="000003E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Similarly, interviewee ten (below) went on to share that since their family diversified their farming practices several years ago and transitioned to lower input, more environmentally friendly practices, they had been able to optimise their farm operations and save money by farming in this way. By minimising inputs, such as diesel and pesticides, they had significantly reduced costs. This farmer points out that a ‘traditional farmer’ may not realise the potential economic savings available from changing their practices and joining a scheme, as the methods of implementing these practices are unfamiliar to them. This represents a barrier to both obtaining economic capital and producing cultural capital for the ‘traditional’ farmer. </w:t>
      </w:r>
    </w:p>
    <w:p w:rsidR="00000000" w:rsidDel="00000000" w:rsidP="00000000" w:rsidRDefault="00000000" w:rsidRPr="00000000" w14:paraId="000003EC">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mean, if you’ve been ploughing and if you’re a traditional farmer with intensive contributions. If you said, right, I’m going to take that 10-hectare field, and I’m not going to plough that, I’m not going to intentionally cultivate it, you know, one thing is to try one thing at a time, don’t go full on into different journeys, but just try to monitor what you’re spending on diesel, monitor the yield from the field and try to understand. You know, there’s very little impact on yield, and you immediately save on diesel and emulsify that up across your whole farm. Yeah, it’s a no-brainer.”</w:t>
      </w:r>
      <w:r w:rsidDel="00000000" w:rsidR="00000000" w:rsidRPr="00000000">
        <w:rPr>
          <w:rFonts w:ascii="Calibri" w:cs="Calibri" w:eastAsia="Calibri" w:hAnsi="Calibri"/>
          <w:sz w:val="24"/>
          <w:szCs w:val="24"/>
          <w:rtl w:val="0"/>
        </w:rPr>
        <w:t xml:space="preserve"> (Interviewee 10)</w:t>
      </w:r>
    </w:p>
    <w:p w:rsidR="00000000" w:rsidDel="00000000" w:rsidP="00000000" w:rsidRDefault="00000000" w:rsidRPr="00000000" w14:paraId="000003ED">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quotation also highlights the trial-and-error aspect of establishing regenerative practices efficiently, emphasising that there can be an economic cost associated with calculating how a new farming system can work best for a particular farm. It underscores how economic constraints, such as dedicating the time to learn new practices, can hinder farmers from making changes, especially if there is a lack of knowledge and understanding of how the transition to or implementation of less intensive farming methods works in practice. </w:t>
      </w:r>
    </w:p>
    <w:p w:rsidR="00000000" w:rsidDel="00000000" w:rsidP="00000000" w:rsidRDefault="00000000" w:rsidRPr="00000000" w14:paraId="000003E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some of the non-pilot farmers interviewed (n=3; Interviews 4,7,8) decided not to join the scheme due to a combination of lack of economic stability and scepticism towards government-led schemes. The farmers in this group still primarily earned their income from food production and managed their land in a way that required minimal inputs and tillage. As a result, they could have participated in the pilot with relatively little difficulty had they wished to do so. However, they noted that there would still be additional costs associated with joining the pilot, which they were unable to absorb at the time of the interviews. Further, this group of non-pilot farmers were not diversified and did not have the upfront economic capital to join the scheme. </w:t>
      </w:r>
    </w:p>
    <w:p w:rsidR="00000000" w:rsidDel="00000000" w:rsidP="00000000" w:rsidRDefault="00000000" w:rsidRPr="00000000" w14:paraId="000003E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majority of this group had their income closely tied to BPS payments. When asked about why they decided not to join the SFI Pilot to recuperate the loss in BPS, they cited a lack of resources and confidence (Interviews 4,7,8). The excerpt from interviewee four below is representative of the responses. </w:t>
      </w:r>
    </w:p>
    <w:p w:rsidR="00000000" w:rsidDel="00000000" w:rsidP="00000000" w:rsidRDefault="00000000" w:rsidRPr="00000000" w14:paraId="000003F0">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I'm very wary of pilots because I just haven't got the resources to consecrate (sic) to them. I let my friends around here do pilots and tell them to tell me about them. Yeah. I don't see much advantage in going in early. I don't think they shake the government's thinking very much. </w:t>
      </w:r>
      <w:r w:rsidDel="00000000" w:rsidR="00000000" w:rsidRPr="00000000">
        <w:rPr>
          <w:rFonts w:ascii="Calibri" w:cs="Calibri" w:eastAsia="Calibri" w:hAnsi="Calibri"/>
          <w:sz w:val="24"/>
          <w:szCs w:val="24"/>
          <w:rtl w:val="0"/>
        </w:rPr>
        <w:t xml:space="preserve">(Interviewee 4)</w:t>
      </w:r>
    </w:p>
    <w:p w:rsidR="00000000" w:rsidDel="00000000" w:rsidP="00000000" w:rsidRDefault="00000000" w:rsidRPr="00000000" w14:paraId="000003F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financial barrier to scheme participation was likewise seen in the Farmers Guide, a monthly farming magazine, which highlighted that entering environmental schemes often requires capital which is simply unavailable to those operating under financial strain: "There are major positive environmental and financial benefits for farm businesses from natural capital, which is needed as you can’t farm green in the red; it must pay" (Farmers Guide, 2022). Similarly, Alex Heffron’s article from The Conversation noted that "farmers cannot go green if they are in the red" (Heffron, The Conversation, 2024). These observations align with the empirical findings of this study, where limited economic capital is consistently raised as a key constraint affecting farmers' ability to participate in and benefit from environmental schemes.</w:t>
      </w:r>
    </w:p>
    <w:p w:rsidR="00000000" w:rsidDel="00000000" w:rsidP="00000000" w:rsidRDefault="00000000" w:rsidRPr="00000000" w14:paraId="000003F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findings are also consistent with those of Zanella et al. (2014) and McDermott et al. (2012), who found that lower-income farmers were reluctant to adopt agri-environmental schemes that required changes to their agricultural practices or production processes, especially if those changes were not fully subsidised by AES payments, as they evaluated both the direct cost-benefits and the broader structural impacts of participation.  In many cases, the farmers who participated in this research faced different challenges and inhibitors from the other farmers interviewed, which led them to decide that the costs or uncertainties outweighed the potential benefits of participation.</w:t>
      </w:r>
    </w:p>
    <w:p w:rsidR="00000000" w:rsidDel="00000000" w:rsidP="00000000" w:rsidRDefault="00000000" w:rsidRPr="00000000" w14:paraId="000003F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theme was raised in interview two with a non-pilot farmer and interview twelve, a pilot farmer who works as an advisor predominantly to farmers not in the pilot. In interview two, the farmer discussed how their economic capital had been impacted by the post-Brexit transition and the challenge of responding to it. A recurring theme emerged in these two interviews (2,12) that other farmers’ cultural capital was tied to productivism, which limited how they could gain economic capital during the transition period. This was due to their preconceptions of identity, which, in this sense, were limiting their creative freedom to move beyond the traditional role of a farmer and hindering opportunities to earn money elsewhere or diversify their practices alongside food production. In this case, the farmer did not recognise that trying to produce food on their land may not be the best use of that land or the best way to generate income, but a lack of awareness of the other options which exist and how they may be better suited inhibited these farmers from gaining access to greater economic capital. </w:t>
      </w:r>
    </w:p>
    <w:p w:rsidR="00000000" w:rsidDel="00000000" w:rsidP="00000000" w:rsidRDefault="00000000" w:rsidRPr="00000000" w14:paraId="000003F4">
      <w:pPr>
        <w:spacing w:after="200" w:before="240" w:line="36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Interviewee Two reflected,</w:t>
      </w:r>
      <w:r w:rsidDel="00000000" w:rsidR="00000000" w:rsidRPr="00000000">
        <w:rPr>
          <w:rFonts w:ascii="Calibri" w:cs="Calibri" w:eastAsia="Calibri" w:hAnsi="Calibri"/>
          <w:i w:val="1"/>
          <w:sz w:val="24"/>
          <w:szCs w:val="24"/>
          <w:rtl w:val="0"/>
        </w:rPr>
        <w:t xml:space="preserve"> I think……., there will be some people going out of farming. I think the other way of looking at it, rather than saying I've got to get really intensive, is that actually there might well be an opportunity to get more environmental in some of those businesses that are really struggling, because the reason they may well be struggling is that fundamentally they are farming on land, or in geographies, which are not that productive. And that's not a criticism of them as farmers, it's just that the natural habitat they are farming in is not the most productive. But now we've got ways of monetising some of the environmental aspects; maybe they need to really envisage their business and how they see themselves as farmers." </w:t>
      </w:r>
    </w:p>
    <w:p w:rsidR="00000000" w:rsidDel="00000000" w:rsidP="00000000" w:rsidRDefault="00000000" w:rsidRPr="00000000" w14:paraId="000003F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Likewise, in interview twelve, a pilot farmer, reflecting on her experience advising non-pilot farmers (their full-time career is as an advisor and part-time pilot farmer), noted that older farmers were beginning to retire due to the phasing out of BPS, and some were looking to find new farmers to fill their tenancies because of the significant knowledge gaps between the way they have known how to farm (for food) and the new ELM schemes– both in terms of scheme guidance and being able to navigate enrolling. Interviewee Twelve pointed out that, from their experience, many farmers do not always budget effectively and that most are unaware of how to quantify their costs and values. They also suggested that some farmers are afraid to do this because they fear realising how many costs they have. When asked about how the farmers they work with view BPS, they noted that BPS is often included in their spreadsheets and revenues, with the hope that something will come along to replace it. This interviewee emphasised that the upfront costs required of these farmers to join the schemes are a significant deterrent to joining the schemes. Upfront costs of joining the scheme could be interpreted as investing farm income in minimum tillage machinery which could be used in participating in the pilot, purchasing different seed necessary to establish herbal leys, advice for navigating the application process and filling out forms, or the opportunity cost of time it would take to learn a new skill or practice that is required of the SFI Pilot standard actions. This finding aligns with Mills et al. (2018) and Zanella et al. (2014), who established that the characteristics of a scheme, particularly payment rates, can negatively impact farmers’ willingness to engage, especially when changes to the current system and upfront costs are involved. This suggests that only those farmers with the financial resources are able to join the scheme and produce the cultural capital associated with it, as they can afford the financial risks of participating.</w:t>
      </w:r>
    </w:p>
    <w:p w:rsidR="00000000" w:rsidDel="00000000" w:rsidP="00000000" w:rsidRDefault="00000000" w:rsidRPr="00000000" w14:paraId="000003F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has outlined that the majority of non-pilot farmers interviewed (n=5) had sufficient economic capital to sustain their farm businesses despite the phasing out of BPS, allowing them to wait to join the new schemes. For these farmers, the financial stability stemmed from the diversification of their farm businesses, a trend that mirrors the economic capital findings of pilot interviewees in the preceding chapter. However, for the remaining non-pilot farmers interviewed (n=3), the lack of upfront economic capital required to make significant changes to their farm practices and enrolment in agri-environmental schemes was a significant barrier to scheme entry. These farmers would also need to adjust their production levels to participate in such schemes, further complicating their decision-making. A key theme that emerged was their identity as food producers and the cultural capital this role generates. The following section introduces the interview findings on social capital and presents an understanding of how non-pilot farmers interviewed interacted with their social networks and communities during the transition period and the impact this had on their decision-making. </w:t>
      </w:r>
    </w:p>
    <w:p w:rsidR="00000000" w:rsidDel="00000000" w:rsidP="00000000" w:rsidRDefault="00000000" w:rsidRPr="00000000" w14:paraId="000003F7">
      <w:pPr>
        <w:pStyle w:val="Heading2"/>
        <w:numPr>
          <w:ilvl w:val="0"/>
          <w:numId w:val="11"/>
        </w:numPr>
        <w:ind w:left="720" w:hanging="360"/>
        <w:rPr/>
      </w:pPr>
      <w:bookmarkStart w:colFirst="0" w:colLast="0" w:name="_heading=h.poxl615vnx41" w:id="99"/>
      <w:bookmarkEnd w:id="99"/>
      <w:r w:rsidDel="00000000" w:rsidR="00000000" w:rsidRPr="00000000">
        <w:rPr>
          <w:rtl w:val="0"/>
        </w:rPr>
        <w:t xml:space="preserve">Social Capital </w:t>
      </w:r>
    </w:p>
    <w:p w:rsidR="00000000" w:rsidDel="00000000" w:rsidP="00000000" w:rsidRDefault="00000000" w:rsidRPr="00000000" w14:paraId="000003F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was a significant variance in the social capital possessed by the non-pilot farmers interviewed, which influenced their decision-making processes. This variation in social capital mirrored a similar pattern seen in the pilot farmer group in Chapter Five. Specifically, one group of non-pilot farmers were aligned with environmental organisations and were part of multi-generational families, whose values and beliefs (cultural capital) were closely aligned with these environmental groups, with which they engaged on an ongoing basis. In contrast, other farmers demonstrated social capital that was predominantly limited to their rural communities and local organisations, which restricted their access to new information and broader engagement, thus limiting the diversity of perspectives influencing their decisions.</w:t>
      </w:r>
    </w:p>
    <w:p w:rsidR="00000000" w:rsidDel="00000000" w:rsidP="00000000" w:rsidRDefault="00000000" w:rsidRPr="00000000" w14:paraId="000003F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of pilot farmers who were more environmentally focused (n=5; Interviews 2,3,5,6,10) had connections to local farming organisations and were from multi-generational farming families.  Interviewee three shared that following the introduction of agri-environmental schemes in England in the late 1980s, their family wanted to change the conventional way they farmed and looked to implement more nature-friendly, organic farming. They also shared that they had a ‘very strong environmental interest’ and were the chair of some farming and wildlife advisory groups. Interviewee ten shared a similar background: when he took over the farm, they moved from minimum to no-tillage farming, and his father had been ahead of the regenerative farming curve. These farmers demonstrated that they had strong links to different environmental organisations and arms-length bodies.  Social capital emerged as a key vehicle for this set of environmentally engaged farmers, enabling them to form networks that provided insights, allowing them to engage more deeply with environmental schemes and initiatives.  For example, the excerpt from interview ten below exemplifies how this farmer viewed their social capital as different from other farmers and notes that ‘traditional’ farmers are not engaging with the same social networks. </w:t>
      </w:r>
    </w:p>
    <w:p w:rsidR="00000000" w:rsidDel="00000000" w:rsidP="00000000" w:rsidRDefault="00000000" w:rsidRPr="00000000" w14:paraId="000003FA">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“I've got a friend who works for a catchment-sensitive farming officer. So, you know, we kind of do a lot of work with them. So, you know, I thought we were starting to bring in some more traditional farmers, and maybe we're not trying hard enough…So yeah, it's kind of disappointing to hear that some of these farmers are feeling a bit shut out.” </w:t>
      </w:r>
      <w:r w:rsidDel="00000000" w:rsidR="00000000" w:rsidRPr="00000000">
        <w:rPr>
          <w:rFonts w:ascii="Calibri" w:cs="Calibri" w:eastAsia="Calibri" w:hAnsi="Calibri"/>
          <w:sz w:val="24"/>
          <w:szCs w:val="24"/>
          <w:rtl w:val="0"/>
        </w:rPr>
        <w:t xml:space="preserve">(Interviewee 10)</w:t>
      </w:r>
    </w:p>
    <w:p w:rsidR="00000000" w:rsidDel="00000000" w:rsidP="00000000" w:rsidRDefault="00000000" w:rsidRPr="00000000" w14:paraId="000003F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interviews of this subset of non-pilot farmers (n=5) demonstrate that these environmentally conscious farmers do not see themselves as associating with the ‘typical’ or ‘traditional’ farmer. Instead, since their social capital is derived from environmental organisations, regenerative farming groups, and non- ‘traditional’ networks, they view themselves as independent from the more traditional farmer, whose focus and identity are closely tied to food production. To illustrate, interviewee three explains that their social networks were outside the norm of working with other farmers because they did not subscribe to the traditional farmer stereotypes of living on the farm. This same farmer also shared in their interview that they have been dismissed by other farmers in their area due to their decision to diversify and move away from food production as the primary source of income. This indicates that a division in what farmers value is creating splits in social capital and influencing the peer groups with which farmers choose to associate.</w:t>
      </w:r>
    </w:p>
    <w:p w:rsidR="00000000" w:rsidDel="00000000" w:rsidP="00000000" w:rsidRDefault="00000000" w:rsidRPr="00000000" w14:paraId="000003FC">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don't really socialise with them, with the other farmers, because I didn't come into farming at first. I don't live on the farm. And I really only see the farmers at the old farm event. So don't do as much socialising as some farmers do</w:t>
      </w:r>
      <w:r w:rsidDel="00000000" w:rsidR="00000000" w:rsidRPr="00000000">
        <w:rPr>
          <w:rFonts w:ascii="Calibri" w:cs="Calibri" w:eastAsia="Calibri" w:hAnsi="Calibri"/>
          <w:sz w:val="24"/>
          <w:szCs w:val="24"/>
          <w:rtl w:val="0"/>
        </w:rPr>
        <w:t xml:space="preserve">.” (Interviewee 3) </w:t>
      </w:r>
    </w:p>
    <w:p w:rsidR="00000000" w:rsidDel="00000000" w:rsidP="00000000" w:rsidRDefault="00000000" w:rsidRPr="00000000" w14:paraId="000003F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remaining non-pilot farmers (n=3, Interviews 4,7,8) demonstrated that their social capital differed from the other interviewees, considering that they held different social networks, which significantly hindered their engagement with ELM schemes during the post-Brexit transition. These farmers had less access to advice and resources compared to the other non-pilot farmers interviewed. To illustrate, interviewees seven and eight both shared that they had limited time to review the new policies. Moreover, the constant changes introduced by Defra during the transition process added confusion and frustration to the process. Interviewee six explained that they made an application to the original SFI Pilot after being guided by their peers but had to withdraw the application because they were unsure of the logistics of the scheme, how it would work on their land, and they were not ‘100 per cent sure on the protocols’. In comparison to the pilot farmer findings, there is a clear hesitancy displayed by this farmer and genuine concern regarding whether or not they had the personal knowledge and understanding to carry out a government scheme and produce the necessary outputs to successfully achieve the requirements of the scheme. This farmer also shared that they did not want to be the ‘guinea pig’ or an ‘early adopter’ and would decide to join the scheme when the timing was right, and until then they would trust the guidance of the ‘well-supported, well-organised’ and trusted National Farmers' Union (Interview 7). In these cases, the farmers possessed the practical knowledge of how to farm in the way the scheme intended, but felt less confident in navigating the administrative barriers and did not have access to the necessary social capital from other sources to provide reassurance that they were making the correct decisions. </w:t>
      </w:r>
    </w:p>
    <w:p w:rsidR="00000000" w:rsidDel="00000000" w:rsidP="00000000" w:rsidRDefault="00000000" w:rsidRPr="00000000" w14:paraId="000003F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highlight that, beyond the non-pilot farmers interviewed, there are farmers with even weaker levels of social capital and networks. To illustrate, a pilot farmer (interviewee 12) who was formerly a National Trust advisor and worked with several farmers (n&gt;20) in the North West of England shared that the phasing out of BPS was a real struggle for the majority of farmers in the North West because they are less well connected to the outside world compared to the average person. For example, this farmer shared that they have recently worked with farmers with literacy issues (unable to read written mail delivered to their addresses) and a lack of knowledge of how to use technology (do not have an email address or computer in their home). This issue was exacerbated when Defra introduced a digital-only launch of the SFI Pilot application portal and access to the scheme’s materials. Digital literacy and access rates in rural communities have been well documented (Philip et al., 2017), so the decision for a digital launch of the new policies was arguably misjudged, especially since the new ELM policies were one of the main options available to help farmers financially with the phasing out of BPS. </w:t>
      </w:r>
    </w:p>
    <w:p w:rsidR="00000000" w:rsidDel="00000000" w:rsidP="00000000" w:rsidRDefault="00000000" w:rsidRPr="00000000" w14:paraId="000003F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interviewee explained that these farmers prefer to intensify their existing practices rather than adopt new schemes, as they are more familiar with this approach and can avoid the challenges of a learning curve (also see Lima et al., 2018; Rose, et al. 2018 and Bosworth, et al., 2020 for literature on farmer engagement with technology). Anecdotal evidence demonstrated that some of these farmers were unaware of BPS being phased out and did not even have any knowledge of new schemes being introduced post-Brexit, highlighting that the social groups of this subset of non-pilot farmers were not adapting swiftly enough to provide advice on the rapidly changing policy landscape. The shift from productivist farming to the SFI pilot posed a significant challenge for these farmers. Their limited access to updated advice and economic capital were key barriers to scheme participation. </w:t>
      </w:r>
    </w:p>
    <w:p w:rsidR="00000000" w:rsidDel="00000000" w:rsidP="00000000" w:rsidRDefault="00000000" w:rsidRPr="00000000" w14:paraId="0000040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impact of poor internet access in rural communities has been demonstrated in the past by a House of Lords digital exclusion report (House of Lords Library, 2023) and by the National Farmers Union (NFU, 2024) survey.  The House of Lords report highlighted that despite improvements in internet infrastructure, many rural residents remain digitally excluded due to a lack of digital skills (House of Lords Library, 2023). The report also noted that the UK government has not introduced a new digital inclusion strategy since 2014 (with current ministers considering an update unnecessary) despite criticism from the House of Lords Communications and Digital Committee, which raised concerns about the absence of a coordinated approach and the government's apparent lack of prioritisation of digital exclusion (House of Lords Library, 2023). Similarly, a National Farmers’ Union (NFU, 2024) survey found that although 94 per cent of respondents had some level of 4G (74 per cent) or 5G (20 per cent) coverage, only 51 per cent of the 755 NFU members surveyed felt they had an acceptable mobile signal, and just 24 per cent could make or receive calls across their entire farm. Moreover, only 58 per cent had broadband speeds adequate for their business needs, with 10 per cent still operating with less than 2 Mbps, placing them among the UK’s slowest connections (NFU, 2024). This is particularly problematic given that onboarding for new government agricultural schemes is entirely digital, requiring farmers to download guidance documents, complete online forms, and attend webinars or access online-only support. When coupled with low levels of digital literacy, access to technology continues to pose a substantial barrier to scheme participation for many in the farming community.</w:t>
      </w:r>
    </w:p>
    <w:p w:rsidR="00000000" w:rsidDel="00000000" w:rsidP="00000000" w:rsidRDefault="00000000" w:rsidRPr="00000000" w14:paraId="0000040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influence of social networks in farmers' decisions to join schemes is further complicated by the rise of advice and guidance through online communities, creating a new form of social capital that divides farmers based on their level of digital literacy. Since the publication of Burton et al. (2020), this evolution of digitalisation has also shaped the agriculture industry and the complexities of how to define the ‘good farmer’. Riley and Robertson (2022) found that online farming communities, specifically on Twitter, have created new social spaces where farmers can learn about innovative practices and assess the ‘good farming practices’ of their peers. However, if this type of farmer (who does not have digital literacy skills) is excluded from these digital networks, this is another limitation to the social capital that these farmers experience. Without access to the social capital and advice these online networks provide, the gap between the social networks of these farmers will continue to widen, because online peer groups can serve the role of recognising new forms of cultural capital (Riley and Robertson, 2022). </w:t>
      </w:r>
    </w:p>
    <w:p w:rsidR="00000000" w:rsidDel="00000000" w:rsidP="00000000" w:rsidRDefault="00000000" w:rsidRPr="00000000" w14:paraId="0000040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Interviewee Ten, a non-pilot farmer with strong social capital linked to environmental organisations who was well-versed in accessing the internet and engaging in online communities, illustrated how the presence of an online community has grown to be a valuable tool for some farmers. They explained how learning from online communities has allowed them to avoid making costly mistakes that could have negatively impacted their farm.</w:t>
      </w:r>
    </w:p>
    <w:p w:rsidR="00000000" w:rsidDel="00000000" w:rsidP="00000000" w:rsidRDefault="00000000" w:rsidRPr="00000000" w14:paraId="00000403">
      <w:pPr>
        <w:spacing w:after="200" w:before="24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mean, there are farmers local to me, and there's a farmer that we, you know, we follow quite closely. He's big on Twitter and quite well known in the regenerative farming world, but, you know, they went full-on into it. And he said it was the worst thing they ever did because they made such huge mistakes. But we're now all following him and looking at what he's doing. So, you know, you kind of need that leader, don't you, to make those mistakes?"</w:t>
      </w:r>
      <w:r w:rsidDel="00000000" w:rsidR="00000000" w:rsidRPr="00000000">
        <w:rPr>
          <w:rFonts w:ascii="Calibri" w:cs="Calibri" w:eastAsia="Calibri" w:hAnsi="Calibri"/>
          <w:sz w:val="24"/>
          <w:szCs w:val="24"/>
          <w:rtl w:val="0"/>
        </w:rPr>
        <w:t xml:space="preserve"> (Interviewee 10)</w:t>
      </w:r>
    </w:p>
    <w:p w:rsidR="00000000" w:rsidDel="00000000" w:rsidP="00000000" w:rsidRDefault="00000000" w:rsidRPr="00000000" w14:paraId="0000040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highlights how social capital is evolving, particularly in the post-Brexit world, where policy has experienced a digital-only launch, and online communities have become more prevalent. A key challenge of the post-Brexit transition period is that outdated networks and insufficient social capital may prevent farmers from fully engaging with the opportunities available to them, ultimately limiting their potential to participate in and sign up for new policies. The following section further investigates how cultural capital has evolved for non-pilot farmers in the post-Brexit transition and further contextualises the constraints to producing different forms of cultural capital and symbols of good farming. </w:t>
      </w:r>
    </w:p>
    <w:p w:rsidR="00000000" w:rsidDel="00000000" w:rsidP="00000000" w:rsidRDefault="00000000" w:rsidRPr="00000000" w14:paraId="00000405">
      <w:pPr>
        <w:pStyle w:val="Heading2"/>
        <w:numPr>
          <w:ilvl w:val="0"/>
          <w:numId w:val="11"/>
        </w:numPr>
        <w:ind w:left="720" w:hanging="360"/>
        <w:rPr/>
      </w:pPr>
      <w:bookmarkStart w:colFirst="0" w:colLast="0" w:name="_heading=h.rg7wllrj5y8y" w:id="100"/>
      <w:bookmarkEnd w:id="100"/>
      <w:r w:rsidDel="00000000" w:rsidR="00000000" w:rsidRPr="00000000">
        <w:rPr>
          <w:rtl w:val="0"/>
        </w:rPr>
        <w:t xml:space="preserve">Cultural Capital </w:t>
      </w:r>
    </w:p>
    <w:p w:rsidR="00000000" w:rsidDel="00000000" w:rsidP="00000000" w:rsidRDefault="00000000" w:rsidRPr="00000000" w14:paraId="0000040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Diversification emerged as a predominant coding node for the cultural capital of the majority of non-pilot farmers interviewed (n=5; Interviews 2,3,5,6,10). The diversification of their farming practices translated into cultural capital because the income it provided translated into these farmers taking on several different roles, which distinguished them from the farmers who had relied on ‘traditional’ farming roles and viewed themselves solely as food producers. This distinction was evident in how these diversified farmers referred to and identified themselves, setting themselves apart from the ‘traditional farmer.’ As these farmers were not financially dependent on their success as food producers, the forms of capital which were important to them were wider. </w:t>
      </w:r>
    </w:p>
    <w:p w:rsidR="00000000" w:rsidDel="00000000" w:rsidP="00000000" w:rsidRDefault="00000000" w:rsidRPr="00000000" w14:paraId="0000040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Interviewee three noted that there were two types of farmers within their communities: those who valued growth and evolving practices through the introduction and experimentation of new ideas, and those who were ‘traditional’ and reluctant to branch out. </w:t>
      </w:r>
    </w:p>
    <w:p w:rsidR="00000000" w:rsidDel="00000000" w:rsidP="00000000" w:rsidRDefault="00000000" w:rsidRPr="00000000" w14:paraId="0000040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farmer explained, </w:t>
      </w:r>
      <w:r w:rsidDel="00000000" w:rsidR="00000000" w:rsidRPr="00000000">
        <w:rPr>
          <w:rFonts w:ascii="Calibri" w:cs="Calibri" w:eastAsia="Calibri" w:hAnsi="Calibri"/>
          <w:i w:val="1"/>
          <w:sz w:val="24"/>
          <w:szCs w:val="24"/>
          <w:rtl w:val="0"/>
        </w:rPr>
        <w:t xml:space="preserve">"There are people who travel, and are open to new ideas. People who don't, they stay around where they're born. And they're very traditional and quite scared of new ideas, but they also stay and build the community, whereas the ones who like travelling and have new ideas just wouldn’t be interested in the community. So, you need those two different types of people in society." </w:t>
      </w:r>
      <w:r w:rsidDel="00000000" w:rsidR="00000000" w:rsidRPr="00000000">
        <w:rPr>
          <w:rFonts w:ascii="Calibri" w:cs="Calibri" w:eastAsia="Calibri" w:hAnsi="Calibri"/>
          <w:sz w:val="24"/>
          <w:szCs w:val="24"/>
          <w:rtl w:val="0"/>
        </w:rPr>
        <w:t xml:space="preserve">- Interview 3 </w:t>
      </w:r>
    </w:p>
    <w:p w:rsidR="00000000" w:rsidDel="00000000" w:rsidP="00000000" w:rsidRDefault="00000000" w:rsidRPr="00000000" w14:paraId="00000409">
      <w:pPr>
        <w:spacing w:after="200" w:line="36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This statement highlights the different types of farmers co-existing within farming communities– those open to innovation and those tied to tradition, with the former often experiencing a disconnect from traditional values. Interviewee three further elaborated on how their decisions to diversify their farm practices have not always been well received by more traditional farmers, who view their approach as incompatible with their own values and beliefs as farmers. As demonstrated from the quote below, when discussing their diversification projects with a ‘traditional farmer,’ the interviewee shared that the other farmer’s responses always come from a place of curiosity, but the other farmer did not consider diversification as a plausible option for their own farm business.  </w:t>
      </w:r>
      <w:r w:rsidDel="00000000" w:rsidR="00000000" w:rsidRPr="00000000">
        <w:rPr>
          <w:rtl w:val="0"/>
        </w:rPr>
      </w:r>
    </w:p>
    <w:p w:rsidR="00000000" w:rsidDel="00000000" w:rsidP="00000000" w:rsidRDefault="00000000" w:rsidRPr="00000000" w14:paraId="0000040A">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“Talk about school visits and things, they love the idea. And I’m like, why aren’t you all doing it? And they’re very happy about it. They’re not negative about it, they just don’t see themselves doing it. Yeah, interesting.” </w:t>
      </w:r>
      <w:r w:rsidDel="00000000" w:rsidR="00000000" w:rsidRPr="00000000">
        <w:rPr>
          <w:rFonts w:ascii="Calibri" w:cs="Calibri" w:eastAsia="Calibri" w:hAnsi="Calibri"/>
          <w:sz w:val="24"/>
          <w:szCs w:val="24"/>
          <w:rtl w:val="0"/>
        </w:rPr>
        <w:t xml:space="preserve"> (Interviewee 3)</w:t>
      </w:r>
    </w:p>
    <w:p w:rsidR="00000000" w:rsidDel="00000000" w:rsidP="00000000" w:rsidRDefault="00000000" w:rsidRPr="00000000" w14:paraId="0000040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Interviewee ten also acknowledged that within the non-pilot group, ‘traditional’ farmers value certain practices that differ from the norms of those non-pilot farmers who have focused on diversifying their farm businesses, highlighting an ongoing divide. The non-pilot farmers who differentiated themselves from ‘traditional’ farmers (n=5; Interviews 2,3,5,6,10) also shared that they had previously participated in environmental schemes such as Countryside Stewardship or Environmental Stewardship, which provided them with the knowledge and experience needed to produce cultural capital similar to that of the pilot farmers. For this subset, they possessed the ability to create the cultural capital required for entering ELM schemes; however, a negative side effect of their diversification efforts was that they could not enter land into the SFI pilot if that land was already enrolled in existing schemes. As noted above, some of these farmers had land entered into different privately funded schemes or pre-existing arrangements that conflicted with the SFI. Nevertheless, the cultural capital and symbols of good farming for these farmers were very similar to those of the pilot farmers, as they successfully established herbal leys, wildlife corridors, and produced food with environmental goals in mind.</w:t>
      </w:r>
    </w:p>
    <w:p w:rsidR="00000000" w:rsidDel="00000000" w:rsidP="00000000" w:rsidRDefault="00000000" w:rsidRPr="00000000" w14:paraId="0000040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findings demonstrate a growing movement towards more environmental and biodiversity outcomes being recognised as symbols of good farming, as the successful implementation of these practices requires skill. By showcasing this skill and generating income from it, farmers are increasingly viewing such actions as representative of ‘good farming.’ This aligns with Sutherland's (2013) evaluation of how the growth of organic farming methods reflects an evolution in the symbols of ‘good farming’ since farmers were able to recognise the experience and skill required to successfully farm organically and earn a profit. Similarly, within this group of non-pilot farmers, the Brexit transition has highlighted how economic capital now supports actions linked to regenerative farming methods and agri-environmental scheme participation. The actions shared by non-pilot interviewees included lowering their overall farming costs spent on machinery, pesticides, fertilisers, and fuel, which enabled them to pursue their interests in ‘green’ farming techniques. Although this group is not participating in the ELM schemes, they are independently carrying out environmental actions on their farms, whether through private schemes or self-funded initiatives that align with the ethos of ELM schemes. Regardless of their participation, the broader practice of farming in line with the environmental goals denotes that, regardless of farmer participation in or out of ELM schemes, this type of farming is emerging as a key symbol of ‘good farming’ across the industry. </w:t>
      </w:r>
    </w:p>
    <w:p w:rsidR="00000000" w:rsidDel="00000000" w:rsidP="00000000" w:rsidRDefault="00000000" w:rsidRPr="00000000" w14:paraId="0000040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other hand, the remaining non-pilot farmers (n=3; Interviews 4,7,8) expressed reluctance to participate in the pilot; these farmers were also notably smaller in farm size when compared to the other non-pilot farmers. Two of these farmers (n=2; Interviews 4,7) shared that they were unwilling to enter the scheme because doing so would require them to cut into their productive land, and they were not ready to make such a shift at that time. The reluctance and hesitation of the decision to take land out of production (to enter an SFI scheme) reflects a deeper connection between the farmer and their land, a connection that is clearly demonstrated in the literature on 'good farmers' role as food producers (Wilson, 2001; Burton, 2004). This strong attachment to their land contributed to the hesitation of these farmers to enter agri-environmental schemes, as they were reluctant to give up productive land, especially when it impacted their identity as a food producer and role in the farming society. These farmers also shared that they felt like their roles as food producers had been undervalued by not only the government, but wider society. </w:t>
      </w:r>
    </w:p>
    <w:p w:rsidR="00000000" w:rsidDel="00000000" w:rsidP="00000000" w:rsidRDefault="00000000" w:rsidRPr="00000000" w14:paraId="0000040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non-pilot farmers (n=3) shared that the lack of support for their role as food producers for the domestic market meant that they failed to produce food for their local communities further disconnecting them from the public. Historically, the UK government has incentivised productivist policies, so a shift in a different direction, especially during a time of international conflict (both in Ukraine and the Middle East), has raised concern for some farmers about food security and domestic production (House of Commons, 2022; NFU, 2022). More specifically, non-pilot farmers (n=3) were confused, given on-going conflicts and extreme politics as to why the UK was not exploring self-sufficiency and encouraging this through supporting farmers in food production. Furthermore, recent research has shown that consumers increasingly value and adapt their purchasing habits to buy locally sourced produce, particularly to support small farmers and the local economy (Thompson et al., 2024). Consequently, interviewees expressed concerns that if current policies do not provide sufficient support during the transition period, there was a risk that as farmers struggle to stay financially afloat during the transition period and exit the industry that there would be limited locally grown produce. </w:t>
      </w:r>
    </w:p>
    <w:p w:rsidR="00000000" w:rsidDel="00000000" w:rsidP="00000000" w:rsidRDefault="00000000" w:rsidRPr="00000000" w14:paraId="0000040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subset of non-pilot farmers (n=3; Interviews 4,7,8) did not want to have to choose between food production and the SFI Pilot: they wanted to see how an agri-environmental scheme could work to blend the goals of food security and environmentalism. Similar to the findings introduced in Chapter Five, these farmers expressed concern that the agricultural payment marketplace under ELM was valuing environmental goods at a higher rate than goods generated from food production. In interviews, these farmers expressed concerns that if the market continued in its current direction, it could have significant implications for domestic food production and security in England, particularly if farmers were compelled to prioritise economic capital incentives. Some of the non-pilot farmers (n=2) wanted to see high quality, organic, minimum tillage food production to be recognised by the new-agri schemes and compensated in a way that could encourage a shift to greener food production. </w:t>
      </w:r>
    </w:p>
    <w:p w:rsidR="00000000" w:rsidDel="00000000" w:rsidP="00000000" w:rsidRDefault="00000000" w:rsidRPr="00000000" w14:paraId="0000041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dichotomy of food production versus environmentalism also mirrors the broader discourse within the UK farming sector. In particular, the NFU has been one of the leading voices calling for greater recognition of food security. Since 2023, the NFU has underscored this priority through its </w:t>
      </w:r>
      <w:r w:rsidDel="00000000" w:rsidR="00000000" w:rsidRPr="00000000">
        <w:rPr>
          <w:rFonts w:ascii="Calibri" w:cs="Calibri" w:eastAsia="Calibri" w:hAnsi="Calibri"/>
          <w:i w:val="1"/>
          <w:sz w:val="24"/>
          <w:szCs w:val="24"/>
          <w:rtl w:val="0"/>
        </w:rPr>
        <w:t xml:space="preserve">Farming for Britain’s Future</w:t>
      </w:r>
      <w:r w:rsidDel="00000000" w:rsidR="00000000" w:rsidRPr="00000000">
        <w:rPr>
          <w:rFonts w:ascii="Calibri" w:cs="Calibri" w:eastAsia="Calibri" w:hAnsi="Calibri"/>
          <w:sz w:val="24"/>
          <w:szCs w:val="24"/>
          <w:rtl w:val="0"/>
        </w:rPr>
        <w:t xml:space="preserve"> manifesto, outlining key policy demands to ensure a secure and sustainable food supply. Food security has remained a core principle of the NFU’s mission throughout the post-Brexit agricultural transition, forming the basis of its ongoing </w:t>
      </w:r>
      <w:r w:rsidDel="00000000" w:rsidR="00000000" w:rsidRPr="00000000">
        <w:rPr>
          <w:rFonts w:ascii="Calibri" w:cs="Calibri" w:eastAsia="Calibri" w:hAnsi="Calibri"/>
          <w:i w:val="1"/>
          <w:sz w:val="24"/>
          <w:szCs w:val="24"/>
          <w:rtl w:val="0"/>
        </w:rPr>
        <w:t xml:space="preserve">Back British Farming</w:t>
      </w:r>
      <w:r w:rsidDel="00000000" w:rsidR="00000000" w:rsidRPr="00000000">
        <w:rPr>
          <w:rFonts w:ascii="Calibri" w:cs="Calibri" w:eastAsia="Calibri" w:hAnsi="Calibri"/>
          <w:sz w:val="24"/>
          <w:szCs w:val="24"/>
          <w:rtl w:val="0"/>
        </w:rPr>
        <w:t xml:space="preserve"> campaign. According to the NFU, the campaign has over 500,000 supporters and more than 44,000 NFU members (NFU, 2024).</w:t>
      </w:r>
    </w:p>
    <w:p w:rsidR="00000000" w:rsidDel="00000000" w:rsidP="00000000" w:rsidRDefault="00000000" w:rsidRPr="00000000" w14:paraId="0000041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the connection of the farmer to the role of the food producer emerges again as food being recognised as a symbol of cultural capital, and illustrates a dichotomy in the transition period of farmers who see food production and maintaining food security as a ‘good farming’ symbol versus those who see farming in an environmentally-driven manner as a different symbol of ‘good farming’. </w:t>
      </w:r>
    </w:p>
    <w:p w:rsidR="00000000" w:rsidDel="00000000" w:rsidP="00000000" w:rsidRDefault="00000000" w:rsidRPr="00000000" w14:paraId="0000041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Unlike pilot farmers, who either had strong networks or the skills to navigate the digital shift, some non-pilot farmers (n=3) struggled to keep pace with post-Brexit opportunities due to a lack of knowledge, time, and access to support systems. A lack of skills (both digital and written literacy) coupled with a lack of insight from social networks to provide transparency and guidance on the realities of next steps has positioned these farmers lacking strong social and cultural capital to respond to the changes in the rules of the game in a reactive manner, constricting their decision-making to the limited capital they hold. These findings demonstrate that there is a clear learning curve regarding how these farmers understand if and how their farm can fit into a scheme. These interviews reiterated the dynamic role of a farmer, and the constraints placed on their time; this included splitting time between the physical demands and requirements of farming versus the administrative aspect of documenting their actions in a farm diary or looking up information to learn about schemes and therefore applying for schemes. </w:t>
      </w:r>
    </w:p>
    <w:p w:rsidR="00000000" w:rsidDel="00000000" w:rsidP="00000000" w:rsidRDefault="00000000" w:rsidRPr="00000000" w14:paraId="0000041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similar to the findings introduced in Chapter Five, the topic of carbon offsetting schemes was also raised by non-pilot farmers (n=7; Interviews 2,3,4,5,6,7,10) during the interviews, with many expressing concerns about how these schemes might evolve in the future and what their involvement could mean for the agricultural industry. </w:t>
      </w:r>
    </w:p>
    <w:p w:rsidR="00000000" w:rsidDel="00000000" w:rsidP="00000000" w:rsidRDefault="00000000" w:rsidRPr="00000000" w14:paraId="0000041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significant portion of non-pilot interviewees (n=7; Interviews 2,3,4,5,6,7,10) shared their specific concerns regarding a lack of clarity on how the logistics of selling carbon, measuring carbon, and how the overall carbon market operates. The concerns shared were regarding who was responsible (e.g.  organisations or governmental bodies) for setting an industry standard and certifying the carbon credits for farmers (Interview 2,3,4,5,10). Farmers shared concerns that they could join a private scheme and not know the implications of doing so and whether the government would recognise these schemes favourably (and allow for these schemes to be combined with other AES agreements) or if these private schemes would be incompatible with other opportunities and inflexible (Interviews 4,5,6). The lack of clear guidance cited by the non-pilot farmers in the quotations below demonstrates why they have not joined these types of schemes and are adopting a wait-and-see approach. </w:t>
      </w:r>
    </w:p>
    <w:p w:rsidR="00000000" w:rsidDel="00000000" w:rsidP="00000000" w:rsidRDefault="00000000" w:rsidRPr="00000000" w14:paraId="00000415">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There are some sort of vultures hovering out there looking to pick on these farmers... we’re sitting on commodity pots of money, which we are not really sure how to deal with" </w:t>
      </w:r>
      <w:r w:rsidDel="00000000" w:rsidR="00000000" w:rsidRPr="00000000">
        <w:rPr>
          <w:rFonts w:ascii="Calibri" w:cs="Calibri" w:eastAsia="Calibri" w:hAnsi="Calibri"/>
          <w:sz w:val="24"/>
          <w:szCs w:val="24"/>
          <w:rtl w:val="0"/>
        </w:rPr>
        <w:t xml:space="preserve">(Interview 10)</w:t>
      </w:r>
    </w:p>
    <w:p w:rsidR="00000000" w:rsidDel="00000000" w:rsidP="00000000" w:rsidRDefault="00000000" w:rsidRPr="00000000" w14:paraId="00000416">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"It's to allow large multinational businesses to offset their carbon footprint by using my land... absolutely zero benefit to the climate because they're still churning out loads of carbon" -</w:t>
      </w:r>
      <w:r w:rsidDel="00000000" w:rsidR="00000000" w:rsidRPr="00000000">
        <w:rPr>
          <w:rFonts w:ascii="Calibri" w:cs="Calibri" w:eastAsia="Calibri" w:hAnsi="Calibri"/>
          <w:sz w:val="24"/>
          <w:szCs w:val="24"/>
          <w:rtl w:val="0"/>
        </w:rPr>
        <w:t xml:space="preserve"> Interview 2</w:t>
      </w:r>
    </w:p>
    <w:p w:rsidR="00000000" w:rsidDel="00000000" w:rsidP="00000000" w:rsidRDefault="00000000" w:rsidRPr="00000000" w14:paraId="0000041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Five non-pilot farmers shared their concern over the government's position on carbon schemes, specifically regarding the lack of clarity on how these schemes would evolve in the future and the impact they would have on the agricultural sector (Interviews 2,3,4,5,6). Farmer concern over government direction, is also consistent with a broader lack of confidence in Defra, throughout the farmer opinion tracker surveys, which have consistently demonstrated that the changes to schemes and regulations resulted in the majority of farmers (68 per cent) considering themselves ‘not at all’ confident about the future (Defra, 2022). </w:t>
      </w:r>
    </w:p>
    <w:p w:rsidR="00000000" w:rsidDel="00000000" w:rsidP="00000000" w:rsidRDefault="00000000" w:rsidRPr="00000000" w14:paraId="0000041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when the Agricultural Transition Plan was first introduced, it cited the role of private investment working alongside ELM schemes but never clearly outlined how exactly this role would evolve (Defra, 2020). Interviews with three non-pilot farmers revealed that they were unsure whether the interactions they have had with private companies approaching them for carbon credits were what was to be expected according to the original transition plan, or if things have just ‘gotten out of hand’ (Interviews 2,5,10). These farmers shared that they had taken it upon themselves to research available options, especially since they had been approached by external organisations but had received no clear official information or guidance from the government.</w:t>
      </w:r>
    </w:p>
    <w:p w:rsidR="00000000" w:rsidDel="00000000" w:rsidP="00000000" w:rsidRDefault="00000000" w:rsidRPr="00000000" w14:paraId="0000041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exemplified by the empirical evidence, the concern over these schemes is troublesome for policymakers, as they may dissuade farmers from joining the new ELM schemes or from increasing their environmental ambitions. Participation in these schemes often comes with the restriction that farmers cannot double-enter their land into other agreements, which further complicates matters because joining non-ELM schemes and/or private schemes may therefore limit the cultural capital farmers could have produced through participation in ELM schemes. </w:t>
      </w:r>
    </w:p>
    <w:p w:rsidR="00000000" w:rsidDel="00000000" w:rsidP="00000000" w:rsidRDefault="00000000" w:rsidRPr="00000000" w14:paraId="0000041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has outlined how cultural capital has evolved in the post-Brexit transition from the perspective of non-pilot farmers. The majority of non-pilot farmers interviewed possessed varied forms of cultural capital, developed through their involvement in different diversification projects. This link between the growth of diversification and the multiple roles of farmers highlights the development of different symbols of 'good farming' and cultural capital emerging during the transition period. However, a subset of non-pilot farmers who viewed their role and identity as deeply rooted in food production made decisions to enable them to continue to produce food. As the more environmentally conscious non-pilot farmers create new symbols of 'good farming' practices through regenerative farming methods, and are compensated for doing so, this other subset of farmers remains focused on food production. Their reluctance to expand their practices or repurpose their land may, therefore, limit their ability to produce the cultural capital aligned with the environmental symbols of ‘good farming’ associated with some of their other farming peers. Furthermore, limitations in social capital and networks further constrain this subset of farmers from producing these symbols. This section demonstrates a clear distinction between the different types of cultural capital emerging during the transition period and how various types of farmers value and perceive different methods of 'farming' as 'good.'</w:t>
      </w:r>
    </w:p>
    <w:p w:rsidR="00000000" w:rsidDel="00000000" w:rsidP="00000000" w:rsidRDefault="00000000" w:rsidRPr="00000000" w14:paraId="0000041B">
      <w:pPr>
        <w:pStyle w:val="Heading2"/>
        <w:numPr>
          <w:ilvl w:val="0"/>
          <w:numId w:val="11"/>
        </w:numPr>
        <w:ind w:left="720" w:hanging="360"/>
        <w:rPr/>
      </w:pPr>
      <w:bookmarkStart w:colFirst="0" w:colLast="0" w:name="_heading=h.g9wsdgv7rk1e" w:id="101"/>
      <w:bookmarkEnd w:id="101"/>
      <w:r w:rsidDel="00000000" w:rsidR="00000000" w:rsidRPr="00000000">
        <w:rPr>
          <w:rtl w:val="0"/>
        </w:rPr>
        <w:t xml:space="preserve">Conclusion</w:t>
      </w:r>
    </w:p>
    <w:p w:rsidR="00000000" w:rsidDel="00000000" w:rsidP="00000000" w:rsidRDefault="00000000" w:rsidRPr="00000000" w14:paraId="0000041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addresses how the different forms of capital shape the decision-making processes of non-pilot farmers in the post-Brexit transition. The empirical data introduced in this chapter shows that most non-pilot farmers (n=5) have sufficient economic capital to sustain their businesses despite the phasing out of BPS, largely due to their successful diversification efforts, which mirrors the economic strategies of pilot farmers. However, for the remaining farmers (n=3), a lack of upfront economic capital hindered their ability to make significant changes to their practices or join agri-environmental schemes. These farmers also faced challenges tied to their identity as food producers, complicating their decision-making process. The chapter highlights the role of social capital, pointing out how outdated networks, particularly in the context of digital-only policy launches and the growing importance of online communities, left some farmers uncertain and disillusioned due to a lack of updated information or guidance. The chapter illustrates how cultural capital evolved among non-pilot farmers who engaged in diversification projects. This led to the emergence of various symbols associated with ‘good farming’. However, those who prioritised solely food production resisted expanding or repurposing their land, hindering their ability to generate cultural capital aligned with environmental symbols of good farming. Furthermore, their limited social capital further restricted their engagement with emerging practices like regenerative farming. Overall, this chapter demonstrates how economic, social, and cultural capital influenced and, in some cases, inhibited farmer decision-making to participate in the SFI Pilot during the post-Brexit transition. Likewise, the data presented in this chapter also highlights that the changes in capital during the transitory period also translates into varying perceptions of ‘good farming’ during the transition period.</w:t>
      </w:r>
    </w:p>
    <w:p w:rsidR="00000000" w:rsidDel="00000000" w:rsidP="00000000" w:rsidRDefault="00000000" w:rsidRPr="00000000" w14:paraId="0000041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Revisiting the ‘good farmer’ conceptualisation, it is clear that for a practice to be recognised as 'good,' it must be regarded as such by farmer peers, as this recognition is essential for it to be considered a legitimate symbol of good farming. This chapter has demonstrated that there was a broad spectrum of capital among farmers in the transition period, leading to the emergence of different types or groups of farmers, each with varying judgments on what they deemed ‘good’ farming. The next chapter will build upon the findings introduced here, providing a deeper exploration of how these varying forms and levels of capital translate into an updated conceptualisation of the ‘good farmer’ and account for these differences.</w:t>
      </w:r>
    </w:p>
    <w:p w:rsidR="00000000" w:rsidDel="00000000" w:rsidP="00000000" w:rsidRDefault="00000000" w:rsidRPr="00000000" w14:paraId="0000041E">
      <w:pPr>
        <w:spacing w:after="200" w:before="240" w:line="360" w:lineRule="auto"/>
        <w:rPr>
          <w:u w:val="single"/>
        </w:rPr>
      </w:pPr>
      <w:r w:rsidDel="00000000" w:rsidR="00000000" w:rsidRPr="00000000">
        <w:rPr>
          <w:rFonts w:ascii="Calibri" w:cs="Calibri" w:eastAsia="Calibri" w:hAnsi="Calibri"/>
          <w:sz w:val="24"/>
          <w:szCs w:val="24"/>
          <w:rtl w:val="0"/>
        </w:rPr>
        <w:t xml:space="preserve">The key contribution of this chapter lies in its demonstration that differing interpretations of ‘good farming’ practices currently co-exist within the agricultural sector, cutting across both pilot and non-pilot farmer groups. The findings of this chapter reiterate those of Chapter Five and reveal a clear distinction between farmers who prioritise food production and are rooted in more traditional practices, and those whose values are more closely aligned with environmental organisations. Importantly, this chapter also highlights that even when farmers share similar motivations, such as a commitment to food production, the levels of social and economic capital they possess can vary significantly. These differences in capital, particularly in the context of the post-Brexit transition, directly influenced farmers’ ability to engage with emerging schemes and adapt to changing financial incentives, complicating how we understand farmer decision-making during periods of transition. </w:t>
      </w:r>
      <w:r w:rsidDel="00000000" w:rsidR="00000000" w:rsidRPr="00000000">
        <w:br w:type="page"/>
      </w:r>
      <w:r w:rsidDel="00000000" w:rsidR="00000000" w:rsidRPr="00000000">
        <w:rPr>
          <w:rtl w:val="0"/>
        </w:rPr>
      </w:r>
    </w:p>
    <w:p w:rsidR="00000000" w:rsidDel="00000000" w:rsidP="00000000" w:rsidRDefault="00000000" w:rsidRPr="00000000" w14:paraId="0000041F">
      <w:pPr>
        <w:pStyle w:val="Heading1"/>
        <w:rPr/>
      </w:pPr>
      <w:bookmarkStart w:colFirst="0" w:colLast="0" w:name="_heading=h.xzbknb55qv4t" w:id="102"/>
      <w:bookmarkEnd w:id="102"/>
      <w:r w:rsidDel="00000000" w:rsidR="00000000" w:rsidRPr="00000000">
        <w:rPr>
          <w:rtl w:val="0"/>
        </w:rPr>
        <w:t xml:space="preserve">CHAPTER SEVEN </w:t>
      </w:r>
    </w:p>
    <w:p w:rsidR="00000000" w:rsidDel="00000000" w:rsidP="00000000" w:rsidRDefault="00000000" w:rsidRPr="00000000" w14:paraId="00000420">
      <w:pPr>
        <w:pStyle w:val="Heading1"/>
        <w:rPr/>
      </w:pPr>
      <w:bookmarkStart w:colFirst="0" w:colLast="0" w:name="_heading=h.wk6g6zlrhe26" w:id="103"/>
      <w:bookmarkEnd w:id="103"/>
      <w:r w:rsidDel="00000000" w:rsidR="00000000" w:rsidRPr="00000000">
        <w:rPr>
          <w:rtl w:val="0"/>
        </w:rPr>
        <w:t xml:space="preserve">THE GOOD FARMER SPECTRUM</w:t>
      </w:r>
    </w:p>
    <w:p w:rsidR="00000000" w:rsidDel="00000000" w:rsidP="00000000" w:rsidRDefault="00000000" w:rsidRPr="00000000" w14:paraId="00000421">
      <w:pPr>
        <w:pStyle w:val="Heading2"/>
        <w:numPr>
          <w:ilvl w:val="0"/>
          <w:numId w:val="12"/>
        </w:numPr>
        <w:ind w:left="720" w:hanging="360"/>
        <w:rPr/>
      </w:pPr>
      <w:bookmarkStart w:colFirst="0" w:colLast="0" w:name="_heading=h.3gyy9rqxm5jw" w:id="104"/>
      <w:bookmarkEnd w:id="104"/>
      <w:r w:rsidDel="00000000" w:rsidR="00000000" w:rsidRPr="00000000">
        <w:rPr>
          <w:rtl w:val="0"/>
        </w:rPr>
        <w:t xml:space="preserve">Introduction</w:t>
      </w:r>
    </w:p>
    <w:p w:rsidR="00000000" w:rsidDel="00000000" w:rsidP="00000000" w:rsidRDefault="00000000" w:rsidRPr="00000000" w14:paraId="0000042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post-Brexit transition has brought significant changes to the agricultural sector, effectively altering the 'rules of the game’ and, as a result, impacting the capital held by farmers and their associated behaviours. Chapters Five and Six have demonstrated how the different forms of capital evolved during the transition period. These chapters also illustrated how these changes in capital structures translated into varied responses in farmer decision-making during the transition period. </w:t>
      </w:r>
    </w:p>
    <w:p w:rsidR="00000000" w:rsidDel="00000000" w:rsidP="00000000" w:rsidRDefault="00000000" w:rsidRPr="00000000" w14:paraId="0000042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shifts focus to build on the contributions of the preceding chapters in order to address the research question: How can the ‘good farmer’ framework be reconceptualised to be reflective of the experiences of farmers in the post-Brexit transition? </w:t>
      </w:r>
    </w:p>
    <w:p w:rsidR="00000000" w:rsidDel="00000000" w:rsidP="00000000" w:rsidRDefault="00000000" w:rsidRPr="00000000" w14:paraId="0000042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presents a reconceptualisation of the ‘good farmer’ that can inform future research. To this end, this chapter introduces the Good Farmer Spectrum, which addresses gaps in the existing literature on farmer behaviour and decision-making. By highlighting the nuanced role of farmers who fall outside the traditional conceptualisation of the ‘good farmer’ and introducing a spectrum that includes farmers who may be considered more ‘green’ in their practices, this thesis offers a more comprehensive understanding of the complexities surrounding decision-making in the post-Brexit agricultural policy environment through the expansion of the ‘good farmer’ concept.  </w:t>
      </w:r>
    </w:p>
    <w:p w:rsidR="00000000" w:rsidDel="00000000" w:rsidP="00000000" w:rsidRDefault="00000000" w:rsidRPr="00000000" w14:paraId="0000042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concept, the 'good farmer' has two interpretations: firstly, as an external observation made by the public or as a typology applied by academics, and secondly, as a self-recognition farmers use within their peer groups to define their position within farming society (see Burton, 2004 and Burton et al. 2008). This chapter provides a more explicit bridging of these two definitions, utilising empirical data to demonstrate how farmers' self-perceptions and their roles within farming communities have evolved in response to shifting norms, values, and capital structures. The data gathered for the PhD suggest that the ‘good farmer’ is evolving in line with the emergence of new practices. The previous chapters highlighted how farmers differentiated themselves from one another within the agricultural communities, through how they viewed their role as a farmer and purpose; this chapter, though, introduces how the public or academia can better understand the ‘good farmer’ and how this concept has evolved in the transition period. </w:t>
      </w:r>
    </w:p>
    <w:p w:rsidR="00000000" w:rsidDel="00000000" w:rsidP="00000000" w:rsidRDefault="00000000" w:rsidRPr="00000000" w14:paraId="0000042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chapter therefore makes a timely contribution to the literature by presenting a revised conceptualisation of the ‘good farmer’, updating and modernising the foundations originally developed by Burton (2004) within the context of the post-Brexit transition period. Building on Bourdieu’s theory, which underpins the foundation of the ‘good farmer’, this chapter demonstrates how shifts in economic, social, and cultural capital have influenced farmer decision-making and considerations of ‘good farming’. It reveals how farmers have reassessed their priorities in response to the changing agricultural landscape, and rather than treating the 'good farmer' as a one-dimensional definition, the chapter reconceives it as a flexible spectrum that offers valuable insights into farmer identities, attitudes, and behaviours.</w:t>
      </w:r>
    </w:p>
    <w:p w:rsidR="00000000" w:rsidDel="00000000" w:rsidP="00000000" w:rsidRDefault="00000000" w:rsidRPr="00000000" w14:paraId="0000042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spectrum was formed based on the empirical evidence gathered from farmer interviews, where prominent codes emerging from the data, such as involvement in agri-environmental schemes, attitudes towards sustainable farming, and concern about climate change were used to map farmers along the spectrum. Farmers were placed on the spectrum according to their cultural, social, and economic capital, with higher amounts indicating a stronger alignment with the ‘green farmer’ archetype. This approach allows for the identification of distinct farmer types within the broader group. By mapping farmers in this way, the thesis offers a new framework for understanding farmer behaviour and decision-making, contributing to the literature by providing a more nuanced and dynamic view of farming identities in a period of significant transition.  </w:t>
      </w:r>
    </w:p>
    <w:p w:rsidR="00000000" w:rsidDel="00000000" w:rsidP="00000000" w:rsidRDefault="00000000" w:rsidRPr="00000000" w14:paraId="00000428">
      <w:pPr>
        <w:pStyle w:val="Heading2"/>
        <w:numPr>
          <w:ilvl w:val="0"/>
          <w:numId w:val="11"/>
        </w:numPr>
        <w:ind w:left="720" w:hanging="360"/>
        <w:rPr/>
      </w:pPr>
      <w:bookmarkStart w:colFirst="0" w:colLast="0" w:name="_heading=h.pkjt27utrsxd" w:id="105"/>
      <w:bookmarkEnd w:id="105"/>
      <w:r w:rsidDel="00000000" w:rsidR="00000000" w:rsidRPr="00000000">
        <w:rPr>
          <w:rtl w:val="0"/>
        </w:rPr>
        <w:t xml:space="preserve">Introducing the ‘Green Farmer’ </w:t>
      </w:r>
    </w:p>
    <w:p w:rsidR="00000000" w:rsidDel="00000000" w:rsidP="00000000" w:rsidRDefault="00000000" w:rsidRPr="00000000" w14:paraId="0000042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outlined in Chapters Five and Six, a subset of both pilot and non-pilot interviews demonstrated behaviours and intrinsic goals rooted in environmentalism and farmers who distinguished themselves from the ‘typical’ or ‘traditional’ farmer focused on food production. These findings suggest the presence of a completely new type of farmer. This section argues that the changes in economic, social, and cultural capital due to Brexit necessitate a re-evaluation of the concept of the ‘good farmer.’ The purpose of this re-evaluation is twofold: first, to determine whether this concept has evolved in response to changing farming practices, particularly regarding what farmers view as ‘good’ symbols of farming and who is considered ‘good’ by their peers; and second, from an academic perspective, to assess whether existing research frameworks need adjustment to account for these evolving definitions of the ‘good farmer.’</w:t>
      </w:r>
    </w:p>
    <w:p w:rsidR="00000000" w:rsidDel="00000000" w:rsidP="00000000" w:rsidRDefault="00000000" w:rsidRPr="00000000" w14:paraId="0000042A">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the ‘traditional’ farmer, rooted in agrarianism, engaged in farming communities, and focused on productivism – as reflected in the original definition and consistent with Burton (2004) – still exists, this research has highlighted that the Brexit transition has contributed to and further enhanced industry transformation. Thus, the transition does not merely see the emergence of new farming symbols, like those identified by Sutherland (2012) in her study of organic farming, but rather, marks the birth of an entirely new type of ‘good’ farmer, with different social, economic, and cultural capital.</w:t>
      </w:r>
    </w:p>
    <w:p w:rsidR="00000000" w:rsidDel="00000000" w:rsidP="00000000" w:rsidRDefault="00000000" w:rsidRPr="00000000" w14:paraId="0000042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highlighted by Burton et al. (2020), the agricultural transformations brought about by Brexit are reshaping the industry, influencing both the practical and cultural aspects of farming. These changes have had a profound effect on the cultural capital farmers produce, particularly in how symbols of ‘good farming’ are recognised and valued in a post-Brexit policy landscape.</w:t>
      </w:r>
    </w:p>
    <w:p w:rsidR="00000000" w:rsidDel="00000000" w:rsidP="00000000" w:rsidRDefault="00000000" w:rsidRPr="00000000" w14:paraId="0000042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(1986) notes that economic capital underpins the formation and foundations of cultural and social capital, which is why it is important to reassess the concept of the 'good farmer' in light of these changes– since this type of change in economic capital extends to have an impact on the cultural and social capital of farmers. Further, the Brexit changes introduced new ELM schemes, offering economic incentives to produce public goods and environmental benefits. Similarly, the lump sum BPS payment, which farmers previously received and could use as discretionary funds to support a range of different farm business directions and goals, has been phased out, demonstrating a shift in the financial and economic incentives in the agricultural sector in England. As a result, the new economic incentives introduced under the ELM schemes following the Brexit transition are better positioned to support and promote the emergence of 'green' symbols of ‘good farming’ in England.</w:t>
      </w:r>
    </w:p>
    <w:p w:rsidR="00000000" w:rsidDel="00000000" w:rsidP="00000000" w:rsidRDefault="00000000" w:rsidRPr="00000000" w14:paraId="0000042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comparing the historical findings with the empirical evidence presented in this thesis, it becomes evident that there are two types of ‘good farmers’ that have likely existed throughout the evolution of agri-environmental schemes in the UK. However, the significant changes in capital structures brought about by the post-Brexit agricultural transition have accentuated the differences between these two types of ‘good farmers.’ This shift in capital has made it easier to distinguish the different types of ‘good farmers’, as each group navigates the changing landscape with its own form of social capital and is working to produce its own symbols of cultural capital, reflecting differing values, motivations, and approaches to farming.</w:t>
      </w:r>
    </w:p>
    <w:p w:rsidR="00000000" w:rsidDel="00000000" w:rsidP="00000000" w:rsidRDefault="00000000" w:rsidRPr="00000000" w14:paraId="0000042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introduces the concept of the ‘green farmer’. During the data analysis of this thesis, once there was an initial recognition that the pilot farmers were a heterogeneous group with differing attitudes and approaches to the post-Brexit transition period, further iterations of thematic coding were applied to pilot interviews (Chapter Five) to better understand how exactly the participants differed in their responses. That thematic coding led to the development of a complementary ‘good farmer’ category: the ‘green farmer.’ Chapter Six also included farmers who were dedicated to the environment, with attitudes that differed from the traditional definition of the 'good farmer'. Upon comparing the coding and themes that emerged from Chapters Five and Six, it became clear that there were differences in the levels of capital held by each respective group, and therefore in how they were recognised in the post-Brexit transition. The remainder of this section focuses on the pilot farmers, as they serve as a clear example of how the 'good' and 'green' farmers co-exist during the post-Brexit agricultural transition. </w:t>
      </w:r>
    </w:p>
    <w:p w:rsidR="00000000" w:rsidDel="00000000" w:rsidP="00000000" w:rsidRDefault="00000000" w:rsidRPr="00000000" w14:paraId="0000042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‘green farmer’ is a ‘good farmer’ but deviates from the traditional definition of the ‘good farmer’.  The ‘good farmer’, as defined in Chapter Three, stems in part from the ‘good farming’ principles farmers observed in other members of the farming community; these traditionally included farmers gaining prestige through producing mutually recognised symbols such as high yields, quality of livestock, and tidy fields, which are seen as markers of the farmer’s skill and cultural capital (Gray, 1998; Silvasti, 2003; Burton, 2004; Setten, 2004; Burton et al., 2008; Haggerty et al., 2009; Sutherland, 2013). Thus, the ‘good farmer’ is the previously conceptualised version rooted in agrarianism and food production and developed by Burton (2004) and Burton et al. (2008). </w:t>
      </w:r>
    </w:p>
    <w:p w:rsidR="00000000" w:rsidDel="00000000" w:rsidP="00000000" w:rsidRDefault="00000000" w:rsidRPr="00000000" w14:paraId="0000043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contrast, the ‘green farmer’ is a new way of conceptualising a different type of ‘good farmer’. This type of farmer focuses on environmental measures such as biodiversity restoration and carbon capture. The term ‘green farmer’ was selected because the thematic coding identified the key differences between the farmers who aligned with the traditional, productivist-rooted ‘good farmer’ definition and those who did not. The farmers who did not embody the traditional definition of the ‘good farmer’ as outlined by Burton (2004) and Burton et al. (2008), but who held a strong environmental perspective, are referred to as ‘green farmers’. Wheeler et al. (2018), Cusworth and Dodsworth (2021), Naylor et al. (2016), and Sutherland and Darnhofer (2012) found that symbols of good farming are no longer necessarily confined to indicators of production and that the good farmer identity has evolved (in response to environmentalism). Wheeler et al. (2018) go on to highlight that they “are not suggesting that environmental concern is universal within farmers’ interpretations of the ‘good farmer’, but it is significant that the principle of good farming being compatible with environmental concern can be applied to multiple farming situations” (p. 681). The introduction of the ‘green farmer’, thus, addresses this gap by providing a theoretical conceptualisation which furthers these authors’ findings (Sutherland and Darnhofer 2012; Naylor et al. 2016; Wheeler et al. 2018; Cusworth and Dodsworth 2021). It acknowledges not only that this type of ‘good farmer’ exists but also how it interacts with traditional notion of the ‘good farmer’.</w:t>
      </w:r>
    </w:p>
    <w:p w:rsidR="00000000" w:rsidDel="00000000" w:rsidP="00000000" w:rsidRDefault="00000000" w:rsidRPr="00000000" w14:paraId="0000043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key difference between the ‘good farmer’ and the ‘green farmer’ lay in the ‘green farmer’s’ departure from the traditional farming model. The ‘green farmer’ consciously distanced themselves from conventional farming. These farmers made business decisions on their farms that may be disapproved of by more traditional farmers and even the majority of their peers. Their shift in behaviour represents a wider movement away from the productivist model of farming, a core principle of ‘traditional’ farming values, which prioritises food production and profit. However, the departure away from productivism does not imply that ‘green farmers’ are less ‘good’ than their traditional counterparts. Rather, they exemplify a modern version of the ‘good farmer,’ focused on prioritising farm practices centred in sustainability and environmental stewardship. ‘Traditional’ farmers, referred to the ‘green farmer’ in interviews as a ‘hobby farmer’ (Interview 1,13), ‘small farm’ (Interview 11,13), ‘hippy farmer’ (Interview 1), or ‘regenerative farmer’ (Interview 11,13). Whilst these terms were not necessarily pejorative, they highlighted a distinct separation between the two groups in how they are perceived within the farming community. This distinction suggests an ‘us versus them’ mentality, with traditional farmers viewing the ‘green farmer’ as pursuing a different kind of farming life, which may prioritise personal interests and motivations (e.g. climate change, local food production</w:t>
      </w:r>
      <w:r w:rsidDel="00000000" w:rsidR="00000000" w:rsidRPr="00000000">
        <w:rPr>
          <w:rFonts w:ascii="Calibri" w:cs="Calibri" w:eastAsia="Calibri" w:hAnsi="Calibri"/>
          <w:sz w:val="24"/>
          <w:szCs w:val="24"/>
          <w:vertAlign w:val="superscript"/>
        </w:rPr>
        <w:footnoteReference w:customMarkFollows="0" w:id="43"/>
      </w:r>
      <w:r w:rsidDel="00000000" w:rsidR="00000000" w:rsidRPr="00000000">
        <w:rPr>
          <w:rFonts w:ascii="Calibri" w:cs="Calibri" w:eastAsia="Calibri" w:hAnsi="Calibri"/>
          <w:sz w:val="24"/>
          <w:szCs w:val="24"/>
          <w:rtl w:val="0"/>
        </w:rPr>
        <w:t xml:space="preserve">) over the historic culture of agrarianism. Miller-Klugesherz and Sanderson (2023) discovered similar findings during their evaluation of the transition to regenerative agriculture in the U.S., which they argued involved significant identity reconstruction, where farmers who embraced regenerative practices positioned themselves in opposition to the industrial productivist model, framing their shift as a moral choice and being seen in ‘opposition’ of their peers. </w:t>
      </w:r>
    </w:p>
    <w:p w:rsidR="00000000" w:rsidDel="00000000" w:rsidP="00000000" w:rsidRDefault="00000000" w:rsidRPr="00000000" w14:paraId="0000043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underscores the importance of examining farmer decision-making in response to major disruptions or changes. Sutherland et al. (2012) observed that, when confronted with change, some farmers become locked into established farming trajectories or resist considering alternative approaches due to deeply embedded beliefs about the viability of new opportunities and the potential loss of social standing should those approaches fail. In such contexts, some farmers choose to adopt new farming trajectories that are positively received within the social networks and communities in which they are embedded. In contrast, others avoid such changes (e.g. farming in a ‘green’ way), viewing them as lacking legitimacy or recognition among their peers.</w:t>
      </w:r>
    </w:p>
    <w:p w:rsidR="00000000" w:rsidDel="00000000" w:rsidP="00000000" w:rsidRDefault="00000000" w:rsidRPr="00000000" w14:paraId="0000043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differences between the ‘good’ and ‘green’ farmers lie in their attitudes towards Defra, motivations for joining agri-environmental schemes, participation in non-farmer-led organisations (e.g. working with arms-length bodies), connection to traditional farming communities, and concern towards climate change. All of these themes are connected and overlap with one another. Diagram 7.1 below demonstrates the difference between the ‘green farmer’ and the ‘good farmer’. This diagram was informed by the empirical data collected and the thematic analysis which was conducted following the coding of farmer interviews. </w:t>
      </w:r>
    </w:p>
    <w:p w:rsidR="00000000" w:rsidDel="00000000" w:rsidP="00000000" w:rsidRDefault="00000000" w:rsidRPr="00000000" w14:paraId="00000434">
      <w:pPr>
        <w:keepNext w:val="1"/>
        <w:spacing w:after="200" w:line="360" w:lineRule="auto"/>
        <w:rPr/>
      </w:pPr>
      <w:r w:rsidDel="00000000" w:rsidR="00000000" w:rsidRPr="00000000">
        <w:rPr>
          <w:rFonts w:ascii="Calibri" w:cs="Calibri" w:eastAsia="Calibri" w:hAnsi="Calibri"/>
          <w:sz w:val="24"/>
          <w:szCs w:val="24"/>
        </w:rPr>
        <w:drawing>
          <wp:inline distB="114300" distT="114300" distL="114300" distR="114300">
            <wp:extent cx="5943600" cy="3340100"/>
            <wp:effectExtent b="0" l="0" r="0" t="0"/>
            <wp:docPr id="1297365384"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yumy54bn0fnw" w:id="106"/>
      <w:bookmarkEnd w:id="106"/>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13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7.1: Comparison of the ‘Good Farmer’ and the ‘Green Farmer’</w:t>
      </w:r>
    </w:p>
    <w:p w:rsidR="00000000" w:rsidDel="00000000" w:rsidP="00000000" w:rsidRDefault="00000000" w:rsidRPr="00000000" w14:paraId="0000043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theme </w:t>
      </w:r>
      <w:r w:rsidDel="00000000" w:rsidR="00000000" w:rsidRPr="00000000">
        <w:rPr>
          <w:rFonts w:ascii="Calibri" w:cs="Calibri" w:eastAsia="Calibri" w:hAnsi="Calibri"/>
          <w:i w:val="1"/>
          <w:sz w:val="24"/>
          <w:szCs w:val="24"/>
          <w:rtl w:val="0"/>
        </w:rPr>
        <w:t xml:space="preserve">attitudes towards Defra </w:t>
      </w:r>
      <w:r w:rsidDel="00000000" w:rsidR="00000000" w:rsidRPr="00000000">
        <w:rPr>
          <w:rFonts w:ascii="Calibri" w:cs="Calibri" w:eastAsia="Calibri" w:hAnsi="Calibri"/>
          <w:sz w:val="24"/>
          <w:szCs w:val="24"/>
          <w:rtl w:val="0"/>
        </w:rPr>
        <w:t xml:space="preserve">were generated from the coding node of Defra, which was then broken down into (+) or (-), for example, Defra (+) codes included positive experiences and impressions pilot farmers held from their pilot experience, whereas Defra (-) was the opposite. For the one type of pilot farmer, the codes related to Defra all were categorised under the Defra (+) coding node (n=3; Interviews 9,14,15). When evaluated together, these codes painted the picture of farmers who viewed Defra as an organisation making progress in the right direction, and the main criticisms were that Defra needed to be more ambitious with its environmental policies and work with different arms-length bodies. Codes for this category included positive reactions to policy moving from a BPS structure to agri-environmental scheme payments and lowering carbon emissions. The farmers who praised Defra during the transition period also held very different views towards rewilding efforts and regenerative farming more broadly. </w:t>
      </w:r>
    </w:p>
    <w:p w:rsidR="00000000" w:rsidDel="00000000" w:rsidP="00000000" w:rsidRDefault="00000000" w:rsidRPr="00000000" w14:paraId="0000043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contrast, the coding from more ‘traditional’ pilot farmers held negative views of Defra due to the concern that the new environmental schemes jeopardised food security and did not address the issue of being able to re-wild a farm while still achieving conventional farming practices. An example of this from interviews is one pilot farmer (Interviewee 13) who shared that they are fine entering land into the pilot but had concerns that Defra was being shortsighted and not realising that the schemes jeopardise taking land out of production with attendant consequences for food security. This scenario caused the pilot farmer to have general negative commentary on Defra’s policy in the transition period. The concern of the ‘green farmer’ is quite the opposite, that Defra is on the right track with rewilding and regenerative farming practices. The interview excerpt below demonstrates how starkly different this pilot farmer’s outlook was in comparison to the traditional ‘good farmer’. </w:t>
      </w:r>
    </w:p>
    <w:p w:rsidR="00000000" w:rsidDel="00000000" w:rsidP="00000000" w:rsidRDefault="00000000" w:rsidRPr="00000000" w14:paraId="00000438">
      <w:pPr>
        <w:spacing w:after="200" w:line="36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I've got a long-term vision of kind of wilding, the whole farm, and not really doing much farm production anymore. So, which is quite controversial, because a lot of farmers would feel like their job is to produce food. And that's what their purpose is. Whereas I don't feel totally wedded to that as my task and role and place in the world. </w:t>
      </w:r>
    </w:p>
    <w:p w:rsidR="00000000" w:rsidDel="00000000" w:rsidP="00000000" w:rsidRDefault="00000000" w:rsidRPr="00000000" w14:paraId="00000439">
      <w:pPr>
        <w:spacing w:after="200" w:line="360" w:lineRule="auto"/>
        <w:ind w:left="72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 see that, you know, I'm a custodian of some land and some buildings. And you know, we can. That's the starting point, I don't feel like I have to be a food producer. So, in the meantime, I'd say about a third of the farm is just conservation. A third is the kind of grasslands and meadows that we still cut silage on. And a third is cropping areas. So, the cropping areas, and the grassland production is managed under regenerative practices at the moment, but we're looking to maybe put all those areas in spring 2025 into just a kind of Wilder carbon scheme. </w:t>
      </w:r>
      <w:r w:rsidDel="00000000" w:rsidR="00000000" w:rsidRPr="00000000">
        <w:rPr>
          <w:rFonts w:ascii="Calibri" w:cs="Calibri" w:eastAsia="Calibri" w:hAnsi="Calibri"/>
          <w:sz w:val="24"/>
          <w:szCs w:val="24"/>
          <w:rtl w:val="0"/>
        </w:rPr>
        <w:t xml:space="preserve">(Interview 9)</w:t>
      </w:r>
    </w:p>
    <w:p w:rsidR="00000000" w:rsidDel="00000000" w:rsidP="00000000" w:rsidRDefault="00000000" w:rsidRPr="00000000" w14:paraId="0000043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interview embodies the proactive and committed approach of the more environmentally focused pilot farmer who views environmental stewardship as central to their farming mission. Unlike the ‘traditional' farmer who focuses on productivist farming practices, the more environmentally active farmer works to restore wildlife and conserve ecosystems. They emphasise the need for radical action to address climate change and habitat loss, going beyond conventional schemes. Interviewee nine curated their own nature-friendly approach, which spanned from enhancing carbon and water retention to creating wildlife habitats to reconnecting people with nature.</w:t>
      </w:r>
    </w:p>
    <w:p w:rsidR="00000000" w:rsidDel="00000000" w:rsidP="00000000" w:rsidRDefault="00000000" w:rsidRPr="00000000" w14:paraId="0000043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excerpt above also demonstrates how the movement towards conservation schemes, learning how to sequester carbon, as well as to reduce emissions are all different types of farming outputs that have the potential to be viewed as different forms of cultural capital. The creation of the ‘green farmer’ allows for this type of more environmentally minded farmer to be acknowledged and new forms of cultural capital to emerge. Thus, the ‘good farmer’ and ‘green farmer’ represent two different types of ‘good farmers’ who are undertaking ‘good farming practices’ but are achieving their own forms of cultural capital, which are respected and receive social validation by their own set of farmer peers. The ‘good farmer’ has not necessarily evolved into the ‘green farmer.’ Instead, both types of 'good farmers' coexist and should be viewed as distinct archetypes, each producing their own form of cultural capital. The changes brought about by the transition period challenge the traditional symbols of 'good farming' that existed prior to Brexit, highlighting the need to recognise these different good farmers as two distinct groups.  </w:t>
      </w:r>
    </w:p>
    <w:p w:rsidR="00000000" w:rsidDel="00000000" w:rsidP="00000000" w:rsidRDefault="00000000" w:rsidRPr="00000000" w14:paraId="0000043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Thematic coding outlined the difference in motivations of ‘good’ and ‘green’ farmers for joining the scheme. These included maintaining a profitable nature-friendly farm versus having a farm which maximised environmental outputs. Further, the ‘good farmer’ farms in a way that blends their traditional farming practices with those that are environmentally friendly whereas the ‘green farmer’s’ primary motivation is restoration of wildlife and environmentalism and if farming practices get in the way of that then they can be removed. As noted in Chapters Five and Six, these green farmers were prepared to remove barriers to implementing more sustainable farming practices, were deciding to sell off parts of their land, rent their farm buildings, and open up part of the land to public access or educational programmes; the farmers would then take the income generated from these operations and reinvest it into the environmental opportunities for their farms. The motivation to reinvest income into these different environmental opportunities marks these farmers as ‘green’ in nature. The generation of this off-farm outcome from additional revenue sources to apply different environmental changes also validates the findings from Ruto and Garrod (2009) and Peerlings and Polman (2009) who found farmers with higher levels of income derived from non-farming practices were more likely to be willing to join an AES  because they did not see joining a scheme as the risk to their overall income.</w:t>
      </w:r>
    </w:p>
    <w:p w:rsidR="00000000" w:rsidDel="00000000" w:rsidP="00000000" w:rsidRDefault="00000000" w:rsidRPr="00000000" w14:paraId="0000043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‘green farmers’ also sees themselves as distinct from other traditional farmers, in two key ways. First, the ‘green farmers’ did not see their roles as being primarily linked to productivist outcomes or as being a ‘food producer’ (Interviews 9,14). Second, they expressed frustration with the government's environmental efforts, critiquing the existing schemes as ‘broad and shallow’ and not ambitious enough, and failing to address pressing issues like climate change and habitat loss (Interviews 9,14,15). The ‘green farmers’ recognised that their approach to environmentalism was distinct from their peers whose core beliefs are rooted in their roles as a ‘food producer’.</w:t>
      </w:r>
    </w:p>
    <w:p w:rsidR="00000000" w:rsidDel="00000000" w:rsidP="00000000" w:rsidRDefault="00000000" w:rsidRPr="00000000" w14:paraId="0000043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differentiation from the ‘traditional’ farmer was likewise reflected in what types of social networks these farmers decided to surround themselves with. As outlined in Chapter Five, the more environmentally minded farmers found their social capital rooted in working with different environmental organisations and arms-length bodies; in comparison to the ‘traditional’ farmer who found their support and guidance within their farming communities and the NFU. The concept of the ‘good farmer’ is deeply rooted in the idea that farmers find their place in farming society based on how other farmers perceive them and the value of their farming outputs. This concept places a strong emphasis towards peer approval and judgment, with the farmer’s identity and standing in society often shaped by the opinions of others in their social circle. Social capital is also deeply linked to the connections that farmers have before joining any schemes, as highlighted by Mathijs (2003), who notes that networks, such as access to advisors, participation in professional workshops, and membership in relevant organisations, can positively influence a farmer's ability to engage with policy [in this case the SFI Pilot]. These pre-existing networks can provide the knowledge, resources, and support needed for farmers to help navigate the complexities of schemes. The differences in social capital between the pilot farmers suggests that there may be two different kinds of farmers who belong to different social groups, with distinct forms of social capital that shape their farming identities and practices. As a result, the symbols of cultural capital generated by these groups also differ and what is valued within one group may not be valued within the other. Existing research has found that cultural capital, and symbols of ‘good farming’ can vary for different farm systems, but due to the similar historical and economic barriers the farming industry as a whole faces, the capital generated, though different, warrants being recognised especially if it is related to the economic viability of the farm (Burton et al. 2008; Sutherland 2013; Cusworth, 2020).</w:t>
      </w:r>
    </w:p>
    <w:p w:rsidR="00000000" w:rsidDel="00000000" w:rsidP="00000000" w:rsidRDefault="00000000" w:rsidRPr="00000000" w14:paraId="0000043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alluded to above, attitudes towards rewilding and environmental schemes reveal distinct differences between the ‘good farmer’ and the ‘green farmer.’ For the ‘green farmer,’ rewilding and conservation are central to decision-making on their land, driving their choices towards sustainability. In contrast, the ‘good farmer’ blends environmental actions, such as joining the SFI pilot, with their existing traditional farming practices. To revisit the empirical evidence introduced in Chapter Five, the environmentally minded farmers, or ‘green farmers’ in the SFI pilot, did not prioritise whether they were seen as ‘proper’ farmers by their more traditional peers, nor did they measure their success based on what they believed the larger farming community would value. Instead, their focus was on innovation, with a keen interest in diversifying income streams and staying informed about new environmental schemes and programs available for participation. The variation in the types of cultural capital these two types of ‘good farmers’ produce warrants a differentiation and development of the original ‘good farmer’ definition, which in this case is the establishment of the ‘green farmer’. </w:t>
      </w:r>
    </w:p>
    <w:p w:rsidR="00000000" w:rsidDel="00000000" w:rsidP="00000000" w:rsidRDefault="00000000" w:rsidRPr="00000000" w14:paraId="0000044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evolution in both social and cultural capital reflects a broader shift in the role of farmers in a post-Brexit society. While traditional ‘good farmers’ are known for tidy hedges and high-yield agricultural production (see Burton, 2004 and Burton et al. 2008), the ‘green farmers’ engage in rewilding efforts, producing outputs that align with larger industry goals like reaching net-zero emissions and biodiversity restoration. By adapting to these trends and producing cultural capital (e.g. carbon sequestration) that is valued by the social groups they are a part of (e.g. Environmental Farmers Group), and positively influencing the economic capital (e.g. making a profit through joining funded schemes) these farmers are challenging the concept of what it means to be a ‘good farmer,’ positioning themselves as a new archetype: the ‘green farmer.’</w:t>
      </w:r>
    </w:p>
    <w:p w:rsidR="00000000" w:rsidDel="00000000" w:rsidP="00000000" w:rsidRDefault="00000000" w:rsidRPr="00000000" w14:paraId="0000044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establishment of the ‘good farmer’ and ‘green farmer’ archetypes is also largely consistent with the findings from Morris and Potter (1995), introduced in Chapter Three, which examined farmer involvement in agri-environmental policy, specifically the adoption of the Environmental Sensitive Areas scheme in England. This research was conducted within the first ten years of the introduction of agri-environmental schemes in England, a period marked by a transition and introduction of AES in agricultural policy. The research focused on farmers in the South Downs area of England, comparing those who adopted the policy to those who did not</w:t>
      </w:r>
      <w:r w:rsidDel="00000000" w:rsidR="00000000" w:rsidRPr="00000000">
        <w:rPr>
          <w:rFonts w:ascii="Calibri" w:cs="Calibri" w:eastAsia="Calibri" w:hAnsi="Calibri"/>
          <w:sz w:val="24"/>
          <w:szCs w:val="24"/>
          <w:vertAlign w:val="superscript"/>
        </w:rPr>
        <w:footnoteReference w:customMarkFollows="0" w:id="44"/>
      </w:r>
      <w:r w:rsidDel="00000000" w:rsidR="00000000" w:rsidRPr="00000000">
        <w:rPr>
          <w:rFonts w:ascii="Calibri" w:cs="Calibri" w:eastAsia="Calibri" w:hAnsi="Calibri"/>
          <w:sz w:val="24"/>
          <w:szCs w:val="24"/>
          <w:rtl w:val="0"/>
        </w:rPr>
        <w:t xml:space="preserve">. In some respects, the traditional ‘good farmer’ mirrors the characteristics of the passive adopters in Morris and Potter’s (1995) study, while the ‘green farmer’ aligns with the active adopters, particularly in terms of how the scheme (in the case of this thesis, the SFI Pilot) influenced their attitudes toward conservation and their motivations for joining. To illustrate, as discussed  in Chapter Five, the traditional ‘good farmer’ pilot interviewees decided to join the scheme so they could be financially compensated for the environmental outcomes they were already producing on their farms, these farmers did not have to make significant changes to enter the scheme and their attitudes towards conservation were positive, but not widely ambitious in comparison to the ‘green farmer’. This is reflective of the passive adopter who, as defined by Morris and Potter (1995, p. 58), were ‘new conservationists’ attracted to the financial offering of the scheme and joining with “minimal cost and convenience.” Thus, the traditional conceptualisation of the ‘good farmer’ in the pilot, largely reflects the characteristics outlined as a passive adopter by Morris and Potter (1995). In contrast, interviews with pilot ‘green farmers’ demonstrated they are largely more ambitious in their role as a conservationist and their motivations for entering the scheme were largely due to their social capital and cultural capital being deeply rooted in the goals of environmentalism, which is similar to the active adopters in Morris and Potter’s (1995) model. Morris and Potter (1995, p.58) define the active adopters as those who are “most committed participants”, “conservationist farms”, and “environmental innovators and potential demonstrators of best practice.” </w:t>
      </w:r>
    </w:p>
    <w:p w:rsidR="00000000" w:rsidDel="00000000" w:rsidP="00000000" w:rsidRDefault="00000000" w:rsidRPr="00000000" w14:paraId="00000442">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findings of this thesis align with those of Morris and Potter (1995) in identifying a spectrum of farmer behaviours and characteristics, with two distinct ends representing differing approaches. However, this thesis departs from Morris and Potter’s model by incorporating a broader range of variables, including economic, social and cultural factors, that influence farmer decision-making. It recognises that decisions are guided by more than just a farmer’s individual characteristics or their environmental orientation. The introduction of the concept of the ‘green farmer’ offers a deeper insight beyond Morris and Potter’s (1995) notion of ‘active adopters’, providing greater context regarding the social dynamics and groups these farmers engage with, the farming symbols they value, and the economic conditions that make such decisions possible. Importantly, these contributions are made thirty years after Morris and Potter’s work and therefore reflect the realities of the contemporary world, including advances in technology, the impacts of climate change and the pressures of globalisation. These developments have reshaped the capital dynamics within the farming sector, which in turn influence evolving understandings of what constitutes a ‘good farmer’ in the modern world.</w:t>
      </w:r>
    </w:p>
    <w:p w:rsidR="00000000" w:rsidDel="00000000" w:rsidP="00000000" w:rsidRDefault="00000000" w:rsidRPr="00000000" w14:paraId="0000044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summarise, the data from this thesis suggest the presence of two distinct types of ‘good farmers’ in the SFI Pilot. One type is rooted in the traditional definition by Burton (2004) of the ‘good farmer,’ aligning with agrarian values; these farmers prioritise food production and maintain a strong attachment to that role. These farmers attempted to reconcile their productivist mindset with an evolving policy environment, which had placed a greater emphasis on biodiversity restoration and reaching net-zero. This group remained attached to established ways of farming but had started to adapt to the changing structure of subsidies and policies, such as the shift from the BPS system to the new ELM system. In contrast, the other type of ‘good farmer,’ referred to in this chapter as the ‘green farmer,’ already held social capital drawn from engagement with environmental organisations and climate change advocacy groups. The symbols of good farming for the ‘green farmers’ are rooted in conservation, carbon sequestration, and biodiversity restoration. This distinction introduces the ‘green farmer’ as a new iteration of the ‘good farmer,’ whose social and cultural capital differs significantly from that of the traditional ‘good farmer.’ The introduction of the ‘green farmer’ also reflects the changing landscape of agricultural practices and the need for a broader definition of what it means to be a ‘good farmer’. The emergence of the ‘green farmer’ provides a more nuanced understanding of the evolving role of farmers, recognising a set of farmers who are driving the environmental agenda in agriculture, while also challenging the relevance of the traditional ‘good farmer’ archetype in light of the transition period.</w:t>
      </w:r>
    </w:p>
    <w:p w:rsidR="00000000" w:rsidDel="00000000" w:rsidP="00000000" w:rsidRDefault="00000000" w:rsidRPr="00000000" w14:paraId="0000044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limitations to this categorisation of the ‘good farmers’ in fully capturing the complexity of farmer experiences during the post-Brexit transition. As Interviewee thirteen noted, “The guys doing the pilot are not the average farmer,” a statement that emphasises the existence of farmers who fall short of these two archetypes, whose experiences are equally important to understand. </w:t>
      </w:r>
    </w:p>
    <w:p w:rsidR="00000000" w:rsidDel="00000000" w:rsidP="00000000" w:rsidRDefault="00000000" w:rsidRPr="00000000" w14:paraId="0000044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section examines where the 'average farmer' fits within the framework of the ‘good farmer’ and ‘green farmer’. By expanding and developing the conceptualisation of the ‘good farmer’ in the context of the post-Brexit agricultural transition, we can gain deeper insights into the motivations, challenges, and decision-making processes that guide farmers in this period of change. This allows us to more effectively understand the diverse ways in which farmers are responding to the evolving policy environment and contribute to a more comprehensive picture of farmer decision-making in post-Brexit England.</w:t>
      </w:r>
    </w:p>
    <w:p w:rsidR="00000000" w:rsidDel="00000000" w:rsidP="00000000" w:rsidRDefault="00000000" w:rsidRPr="00000000" w14:paraId="00000446">
      <w:pPr>
        <w:pStyle w:val="Heading2"/>
        <w:numPr>
          <w:ilvl w:val="0"/>
          <w:numId w:val="11"/>
        </w:numPr>
        <w:ind w:left="720" w:hanging="360"/>
        <w:rPr/>
      </w:pPr>
      <w:bookmarkStart w:colFirst="0" w:colLast="0" w:name="_heading=h.prnusmkwwx5h" w:id="107"/>
      <w:bookmarkEnd w:id="107"/>
      <w:r w:rsidDel="00000000" w:rsidR="00000000" w:rsidRPr="00000000">
        <w:rPr>
          <w:rtl w:val="0"/>
        </w:rPr>
        <w:t xml:space="preserve">The Good Enough and Green Enough Farmer </w:t>
      </w:r>
    </w:p>
    <w:p w:rsidR="00000000" w:rsidDel="00000000" w:rsidP="00000000" w:rsidRDefault="00000000" w:rsidRPr="00000000" w14:paraId="0000044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farmer archetypes were identified following several iterations of coding from non-pilot interviewees (Chapter Six), revealing a separate category of farmers who fell outside the ‘good farmer’ or ‘green farmer’ coding frameworks. The terminology developed in this section and discussed in the remainder of this chapter refers to these sets of farmers as ‘good enough’ and ‘green enough’.  This terminology was derived from the ‘good farmer’ literature and refers to the notion that even though these farmers are not able to be fully categorised as ‘good’ or ‘green’, they are doing ‘enough’ to be recognised for their efforts of trying to work towards and attain whichever ‘good farmer’ status (Burton, 2004 and Burton at al. 2008).</w:t>
      </w:r>
    </w:p>
    <w:p w:rsidR="00000000" w:rsidDel="00000000" w:rsidP="00000000" w:rsidRDefault="00000000" w:rsidRPr="00000000" w14:paraId="0000044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Thematic coding indicated that the heterogeneous group of non-pilot farmers faced distinct challenges and held different views on BPS, financial constraints, technology, connections to agricultural communities, and diversification. The interviews demonstrated that the differing capital of this group positioned them outside of those farmers participating in the SFI Pilot. Upon closer examination, it became evident that within this group, their behaviours fell into two distinct categories. Some farmers sought recognition as a 'good farmer,' and were categorised as the 'traditional' farmer type in Chapter Six (Interviews 4,7,8), while others sought to be recognised as 'green farmers' and were classified as the environmentally focused farmer type in Chapter Six (Interviews 2,3,5,6,10). Though these farmers were identified from the non-pilot group, that does not mean that there could not be ‘good enough’ or ‘green enough’ farmers in the pilot group; it was just in the case of this thesis that only the non-pilot farmer exhibited the relevant behaviours to be categorised as such. Further, my data suggests that ‘green farmers’ and ‘good farmers’ tend to participate in agri-environmental schemes or the SFI pilot. There is some ambiguity in how this may apply to the farming sector at large due to the limitations of the sample size. The following chapter discusses how future research could expand on these findings by refining the criteria for categorising farmers as ‘good enough’, ‘green’, or ‘green enough’, beyond the context of the SFI Pilot sample.</w:t>
      </w:r>
    </w:p>
    <w:p w:rsidR="00000000" w:rsidDel="00000000" w:rsidP="00000000" w:rsidRDefault="00000000" w:rsidRPr="00000000" w14:paraId="0000044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briefly revisit Bourdieu's social theory (1986; 1990), Bourdieu's key argument was that various forms of capital are interrelated and can be converted into each other, but they are also unevenly distributed across different social groups. This leads to inequalities in power, opportunities, and social mobility (1986; 1990). Bourdieu also emphasised that differing levels of capital established social hierarchies and an individual' s position in society over time. Bourdieu's social theory was meant to unveil different layers of society. Acknowledging Bourdieu’s model, it becomes clear that there is more than just a binary of ‘good’ and ‘green’ farmers in agricultural society. There are various groups, each with their own types and amounts of capital, which also deserve recognition. This leads to the recognition of the ‘good enough’ and ‘green enough’ farmers. Their levels of capital, which form their </w:t>
      </w:r>
      <w:r w:rsidDel="00000000" w:rsidR="00000000" w:rsidRPr="00000000">
        <w:rPr>
          <w:rFonts w:ascii="Calibri" w:cs="Calibri" w:eastAsia="Calibri" w:hAnsi="Calibri"/>
          <w:i w:val="1"/>
          <w:sz w:val="24"/>
          <w:szCs w:val="24"/>
          <w:rtl w:val="0"/>
        </w:rPr>
        <w:t xml:space="preserve">habitus</w:t>
      </w:r>
      <w:r w:rsidDel="00000000" w:rsidR="00000000" w:rsidRPr="00000000">
        <w:rPr>
          <w:rFonts w:ascii="Calibri" w:cs="Calibri" w:eastAsia="Calibri" w:hAnsi="Calibri"/>
          <w:sz w:val="24"/>
          <w:szCs w:val="24"/>
          <w:rtl w:val="0"/>
        </w:rPr>
        <w:t xml:space="preserve">, are not equal to those of the other farmers interviewed. </w:t>
      </w:r>
    </w:p>
    <w:p w:rsidR="00000000" w:rsidDel="00000000" w:rsidP="00000000" w:rsidRDefault="00000000" w:rsidRPr="00000000" w14:paraId="0000044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‘enough’ farmers are not intended to replace the traditional ‘good farmer’ concept, but rather to provide an additional framework for understanding the behaviour of farmers who, from an academic perspective, sit on the cusp but are unable to be fully categorised as, ‘good farmers.’ These archetypes take account of the context in which these farmers operate and acknowledge these farmers’ presence within a transition period where their voices are not as amplified as some of their peers because these farmers were not participating in the SFI Pilot</w:t>
      </w:r>
      <w:r w:rsidDel="00000000" w:rsidR="00000000" w:rsidRPr="00000000">
        <w:rPr>
          <w:rFonts w:ascii="Calibri" w:cs="Calibri" w:eastAsia="Calibri" w:hAnsi="Calibri"/>
          <w:sz w:val="24"/>
          <w:szCs w:val="24"/>
          <w:vertAlign w:val="superscript"/>
        </w:rPr>
        <w:footnoteReference w:customMarkFollows="0" w:id="45"/>
      </w:r>
      <w:r w:rsidDel="00000000" w:rsidR="00000000" w:rsidRPr="00000000">
        <w:rPr>
          <w:rFonts w:ascii="Calibri" w:cs="Calibri" w:eastAsia="Calibri" w:hAnsi="Calibri"/>
          <w:sz w:val="24"/>
          <w:szCs w:val="24"/>
          <w:rtl w:val="0"/>
        </w:rPr>
        <w:t xml:space="preserve">. This section highlights that, although these non-SFI pilot farmers are not participating in the new agri-environmental schemes, they should not be overlooked simply because they do not conform to the established ‘good’ or ‘green farmer’ archetypes. These farmers fall outside traditional categories but offer valuable empirical insights that reinforce the conceptual model introduced in the previous section, helping to bridge the divide between the ‘good’ and ‘green’ farmer identities. Conceptually, these farmer types may be regarded as precursors to these archetypes, lacking the same level of capital or development as their ‘good’ and ‘green’ counterparts. Nevertheless, they play a crucial role in deepening our understanding of the wider agricultural landscape and provide important perspectives on the challenges and opportunities farmers face during the post-Brexit transition. If visualised as two spectrums, one would begin with the ‘good enough farmer’ evolving to the ‘good farmer'; then the other would be the ‘green enough farmer’ to the ‘green farmer’; as the spectrum moves in one direction so does the amount of capital each farmer holds. </w:t>
      </w:r>
    </w:p>
    <w:p w:rsidR="00000000" w:rsidDel="00000000" w:rsidP="00000000" w:rsidRDefault="00000000" w:rsidRPr="00000000" w14:paraId="0000044B">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previously mentioned, these sections of the spectrum were developed following iterations of coding. Firstly, common nodes in the thematic coding identified that there was a subset of non-pilot farmers who, despite wanting to be ‘good farmers’, lacked the same amount of cultural and social capital to be recognised as such. Further, interviews with non-pilot farmers who were categorised (based on the coding criteria) as ‘good enough’ farmers suggested that these farmers aspired to be ‘good farmers’ but lacked the tools, confidence, and knowledge to develop the cultural capital necessary to fully be recognised as a ‘good farmer’. Similar to the ‘good farmer’ these farmers’ values and identity were rooted in their role as food producers, and they were better aligned with Burton’s (2004) original conceptualisation of the ‘good farmer’ centred in productivism and agrarianism.</w:t>
      </w:r>
    </w:p>
    <w:p w:rsidR="00000000" w:rsidDel="00000000" w:rsidP="00000000" w:rsidRDefault="00000000" w:rsidRPr="00000000" w14:paraId="0000044C">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Figure 7.2 below demonstrates the key differences between the ‘good enough’ and ‘good farmer’ archetypes. This diagram was informed by the empirical data introduced and organised based on the findings from the thematic analysis completed. For example, one of the codes generated during the thematic analysis of the farmer interviews was the connection to farming groups. As demonstrated below, the Venn diagram summarises the thematic coding findings for the relationship between ‘good enough farmers’ and their connection to farmer groups as well as the connection the ‘good farmer’ has to these groups to provide a comparison of these archetypes.  This overview of how these archetypes interact and overlap is especially useful for the final section of this chapter which conceptualises the ‘good farmer’ spectrum because it establishes criteria which allow for the placement of farmers on the spectrum. </w:t>
      </w:r>
    </w:p>
    <w:p w:rsidR="00000000" w:rsidDel="00000000" w:rsidP="00000000" w:rsidRDefault="00000000" w:rsidRPr="00000000" w14:paraId="0000044D">
      <w:pPr>
        <w:keepNext w:val="1"/>
        <w:spacing w:after="200" w:line="360" w:lineRule="auto"/>
        <w:rPr/>
      </w:pPr>
      <w:r w:rsidDel="00000000" w:rsidR="00000000" w:rsidRPr="00000000">
        <w:rPr>
          <w:rFonts w:ascii="Calibri" w:cs="Calibri" w:eastAsia="Calibri" w:hAnsi="Calibri"/>
          <w:sz w:val="24"/>
          <w:szCs w:val="24"/>
        </w:rPr>
        <w:drawing>
          <wp:inline distB="114300" distT="114300" distL="114300" distR="114300">
            <wp:extent cx="5943600" cy="4178300"/>
            <wp:effectExtent b="0" l="0" r="0" t="0"/>
            <wp:docPr id="1297365385" name="image3.jpg"/>
            <a:graphic>
              <a:graphicData uri="http://schemas.openxmlformats.org/drawingml/2006/picture">
                <pic:pic>
                  <pic:nvPicPr>
                    <pic:cNvPr id="0" name="image3.jpg"/>
                    <pic:cNvPicPr preferRelativeResize="0"/>
                  </pic:nvPicPr>
                  <pic:blipFill>
                    <a:blip r:embed="rId26"/>
                    <a:srcRect b="0" l="9935" r="9935"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x4u79rc9wfow" w:id="108"/>
      <w:bookmarkEnd w:id="108"/>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14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7.2 Venn Diagram Comparison of the Good Enough versus the Good Farmer</w:t>
      </w:r>
    </w:p>
    <w:p w:rsidR="00000000" w:rsidDel="00000000" w:rsidP="00000000" w:rsidRDefault="00000000" w:rsidRPr="00000000" w14:paraId="0000044F">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Venn diagram above highlights how differences in social capital played a crucial role in differentiating the ‘good’ from ‘good enough’ farmers, particularly in terms of their involvement in environmental schemes and connection to local communities. Additionally, social capital emerged as a key theme in the interviews with 'good enough' farmers. Confidence and reassurance from peers, as well as from the government, were recurring factors. In particular, negative past experiences with government programmes and lack of reassurance or advice hindered these farmers' willingness to engage with new schemes (Interviews 5,6,10). The direct link between the provision of advice and agri-environmental scheme participation has been demonstrated in other studies evaluating farmer behaviour (Hejnowicz, et al., 2016): the empirical findings of this thesis demonstrate the same for the ‘good enough’ farmer.  The jump that the ‘good enough farmer’ is required to make from a productivist-centred form of farming to the SFI pilot is a big one and with no free advice services provided by Defra during the transition period, coupled with the financial implications of a phasing out of direct payments, it is understandable that ‘good enough farmer’ did not have the same capital or confidence as the ‘good farmer’ to join the scheme from the start. ‘Good enough' farmers also lacked a clear understanding of technology, access to reliable information, or adequate guidance which hindered their ability to transition into ‘good farmers’ during the post-Brexit transition and to engage with new ELM policies. While these farmers may possess the technical competence and cultural capital to meet peer expectations, navigating the shift from familiar practices to more progressive, environmentally sustainable approaches was challenging.</w:t>
      </w:r>
    </w:p>
    <w:p w:rsidR="00000000" w:rsidDel="00000000" w:rsidP="00000000" w:rsidRDefault="00000000" w:rsidRPr="00000000" w14:paraId="00000450">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also a clear difference in economic capital due to differences in how the ‘good’ versus ‘good enough’ farmer approached diversification. Diversification, which is linked to the financial breathing room, allows a farmer to enter new schemes and generate the cultural capital (as demonstrated in Chapter Five) to be recognised as a ‘good farmer’. While the ‘good enough’ farmers aspire to the same sense of financial stability as the ‘good farmers’ they face different challenges in adapting to the changing rules of the game and utilising networks of social capital.  It is essential to recognise that the ‘good enough’ farmers operated within the constraints of their specific environments, which, for each case, limited their access to social and economic capital. The starting points of these farmers may differ from that of their peers who are seen as ‘good farmers,’ but this should not diminish their contributions or their ability to be viewed as doing 'good enough' farming, especially in light of the different barriers they face.</w:t>
      </w:r>
    </w:p>
    <w:p w:rsidR="00000000" w:rsidDel="00000000" w:rsidP="00000000" w:rsidRDefault="00000000" w:rsidRPr="00000000" w14:paraId="00000451">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comparison to ‘good enough’ farmers, interview coding revealed a different group of farmers whose social and cultural capital are so strongly developed that navigating the new rules of the game was not necessarily an issue because their farm businesses were diversified and their habitus was extremely well situated to make decisions during periods of change. These farmers can be categorised as ‘green enough’ farmers (n=5; Interviews 2,3,5,6,10). The ‘green enough’ farmers are farmers who can be categorised as a type of ‘good farmer’, specifically a ‘green farmer’, yet they have limitations in capital which inhibits them from being directly placed alongside with ‘green farmers’. </w:t>
      </w:r>
    </w:p>
    <w:p w:rsidR="00000000" w:rsidDel="00000000" w:rsidP="00000000" w:rsidRDefault="00000000" w:rsidRPr="00000000" w14:paraId="0000045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‘green enough’ farmers sit in between the ‘good farmer’ and ‘green farmer’ because their actions are considered progressive and outside the ‘norm’ of their ‘field’ when compared to ‘good farmers’, but they are not as radical in their business decisions and dedication to the environment when compared to the peer group of the ‘green farmer’. </w:t>
      </w:r>
    </w:p>
    <w:p w:rsidR="00000000" w:rsidDel="00000000" w:rsidP="00000000" w:rsidRDefault="00000000" w:rsidRPr="00000000" w14:paraId="00000453">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diagram below (Figure 7.3) offers a comparison between the 'green enough' and 'green farmer' archetypes. The same as Figure 7.2, this diagram was developed by analysing the coding from interviews with both 'green enough' and 'green farmers.' This diagram summarises the comparison between the two farmer archetypes. While both the 'green enough' and 'green farmer' archetypes may possess similar levels of economic and social capital, the 'green farmer' stands out for their greater ambition and active engagement with new environmental developments and policies. This engagement contributes to the generation of additional cultural capital.</w:t>
      </w:r>
    </w:p>
    <w:p w:rsidR="00000000" w:rsidDel="00000000" w:rsidP="00000000" w:rsidRDefault="00000000" w:rsidRPr="00000000" w14:paraId="00000454">
      <w:pPr>
        <w:spacing w:after="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5">
      <w:pPr>
        <w:keepNext w:val="1"/>
        <w:spacing w:after="200" w:line="360" w:lineRule="auto"/>
        <w:rPr/>
      </w:pPr>
      <w:r w:rsidDel="00000000" w:rsidR="00000000" w:rsidRPr="00000000">
        <w:rPr>
          <w:rFonts w:ascii="Calibri" w:cs="Calibri" w:eastAsia="Calibri" w:hAnsi="Calibri"/>
          <w:b w:val="1"/>
          <w:sz w:val="24"/>
          <w:szCs w:val="24"/>
        </w:rPr>
        <w:drawing>
          <wp:inline distB="114300" distT="114300" distL="114300" distR="114300">
            <wp:extent cx="5943600" cy="4305465"/>
            <wp:effectExtent b="0" l="0" r="0" t="0"/>
            <wp:docPr id="1297365386" name="image18.jpg"/>
            <a:graphic>
              <a:graphicData uri="http://schemas.openxmlformats.org/drawingml/2006/picture">
                <pic:pic>
                  <pic:nvPicPr>
                    <pic:cNvPr id="0" name="image18.jpg"/>
                    <pic:cNvPicPr preferRelativeResize="0"/>
                  </pic:nvPicPr>
                  <pic:blipFill>
                    <a:blip r:embed="rId27"/>
                    <a:srcRect b="1792" l="11297" r="11297" t="-1792"/>
                    <a:stretch>
                      <a:fillRect/>
                    </a:stretch>
                  </pic:blipFill>
                  <pic:spPr>
                    <a:xfrm>
                      <a:off x="0" y="0"/>
                      <a:ext cx="5943600" cy="4305465"/>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000000"/>
          <w:sz w:val="24"/>
          <w:szCs w:val="24"/>
          <w:u w:val="none"/>
          <w:vertAlign w:val="baseline"/>
        </w:rPr>
      </w:pPr>
      <w:bookmarkStart w:colFirst="0" w:colLast="0" w:name="_heading=h.mti2181ziv5z" w:id="109"/>
      <w:bookmarkEnd w:id="109"/>
      <w:r w:rsidDel="00000000" w:rsidR="00000000" w:rsidRPr="00000000">
        <w:rPr>
          <w:rFonts w:ascii="Calibri" w:cs="Calibri" w:eastAsia="Calibri" w:hAnsi="Calibri"/>
          <w:b w:val="1"/>
          <w:i w:val="1"/>
          <w:smallCaps w:val="0"/>
          <w:strike w:val="0"/>
          <w:color w:val="ffffff"/>
          <w:sz w:val="24"/>
          <w:szCs w:val="24"/>
          <w:u w:val="none"/>
          <w:vertAlign w:val="baseline"/>
          <w:rtl w:val="0"/>
        </w:rPr>
        <w:t xml:space="preserve">15 </w:t>
      </w:r>
      <w:r w:rsidDel="00000000" w:rsidR="00000000" w:rsidRPr="00000000">
        <w:rPr>
          <w:rFonts w:ascii="Calibri" w:cs="Calibri" w:eastAsia="Calibri" w:hAnsi="Calibri"/>
          <w:b w:val="1"/>
          <w:i w:val="1"/>
          <w:smallCaps w:val="0"/>
          <w:strike w:val="0"/>
          <w:color w:val="000000"/>
          <w:sz w:val="24"/>
          <w:szCs w:val="24"/>
          <w:u w:val="none"/>
          <w:vertAlign w:val="baseline"/>
          <w:rtl w:val="0"/>
        </w:rPr>
        <w:t xml:space="preserve">Figure 7.3  Venn Diagram Comparison of the Green Enough versus the Green Farmer</w:t>
      </w:r>
    </w:p>
    <w:p w:rsidR="00000000" w:rsidDel="00000000" w:rsidP="00000000" w:rsidRDefault="00000000" w:rsidRPr="00000000" w14:paraId="0000045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demonstrated above, these farmers are generally more involved and environmentally ambitious than the typical ‘good farmer,’ and, like the ‘green farmers,’ they leverage their relationships with multiple environmental organisations to gain the knowledge and resources necessary to participate in new programs. Unlike the ‘green farmer’ where the established norm is participation in agri-environmental schemes, the ‘green enough’ farmer tends to be reluctant to join schemes due to uncertainty surrounding government-led initiatives. In this sense, the 'green enough' farmer shares similarities with the traditional 'good farmer', particularly in their underlying apprehension toward working with government and arms-length bodies. While the 'green farmer' typically views these organisations as essential allies for advancing environmental goals, the 'green enough' farmer is more sceptical of their role. Interviewee five encapsulated this intricate dynamic, explaining that, although they do not trust Natural England or government agencies, they still wanted to contribute to the environmental farming community. As a result, the ‘green enough’ farmers formed their own environmental farmer cluster group to 'take the power away from government' (Interview 5), showcasing their desire to work towards their own environmental goals without having to rely on the social capital of government support. </w:t>
      </w:r>
    </w:p>
    <w:p w:rsidR="00000000" w:rsidDel="00000000" w:rsidP="00000000" w:rsidRDefault="00000000" w:rsidRPr="00000000" w14:paraId="00000458">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there are clear similarities between the ‘green enough’ farmer and both the ‘good’ and ‘green’ farmers, this farmer does not fully fit into either of these archetypes, highlighting the complexity and diversity of farmer identities in the context of the post-Brexit transition, and ‘green transitions’ more generally. Three interviewees (n=3; Interviews 2,5,10) referred to themselves as ‘unconventional’, were not well-connected in traditional farming groups or organisations (e.g. in interviews they cited that they are not around the ‘typical farmer’; do not associate with them in public; are a part of more ‘niche’ farming groups), and tended to conduct their own independent research for their farming decisions. Interviews five, six, and ten also identified themselves as outside the ‘traditional farmer’, and coding placed closer to the ‘green farmer’. This distinction of the ‘green enough farmer’ from the traditional farmer is similar to the ‘green farmer’ in that these farmers interact with different social networks and therefore have different social capital to the ‘good farmer’; the differentiation between fully being recognised as a ‘green farmer’ lies in the fact that these farmers are in the same social networks but are not as involved or engaged in the work these networks are doing. This variation in social capital also accounts for the reason why these farmers may not be inspired to make similar decisions, for example produce the same symbols of good farming, as their traditional ‘good farmer’ peers.</w:t>
      </w:r>
    </w:p>
    <w:p w:rsidR="00000000" w:rsidDel="00000000" w:rsidP="00000000" w:rsidRDefault="00000000" w:rsidRPr="00000000" w14:paraId="00000459">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conclusion, recognising the concept of ‘good enough’ and ‘green enough’ farmers is crucial because, despite not fitting neatly into the ideal of a ‘good’ or ‘green’ farmer, they still contribute to the cultural capital of farming communities and influence the evolution of ‘good farming’ symbols. Rather than being dismissed for not aligning with the expectations of their other ‘good farmer’ peers, these farmers offer valuable insights into the challenges faced by those navigating the evolving post-Brexit policy environment. The development of these archetypes allows for a better understanding of the agricultural industry and the complexities related to defining farmer behaviour. </w:t>
      </w:r>
    </w:p>
    <w:p w:rsidR="00000000" w:rsidDel="00000000" w:rsidP="00000000" w:rsidRDefault="00000000" w:rsidRPr="00000000" w14:paraId="0000045A">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section introduces the ‘good farmer’ spectrum which includes all of the different iterations of the ‘good farmer’ as introduced in this chapter thus far and explains how it can be used as a tool to categorise farmers during the post-Brexit transition, thereby offering more insight into the capital structures shaping farmer decision-making. </w:t>
      </w:r>
    </w:p>
    <w:p w:rsidR="00000000" w:rsidDel="00000000" w:rsidP="00000000" w:rsidRDefault="00000000" w:rsidRPr="00000000" w14:paraId="0000045B">
      <w:pPr>
        <w:pStyle w:val="Heading2"/>
        <w:numPr>
          <w:ilvl w:val="0"/>
          <w:numId w:val="11"/>
        </w:numPr>
        <w:ind w:left="720" w:hanging="360"/>
        <w:rPr/>
      </w:pPr>
      <w:bookmarkStart w:colFirst="0" w:colLast="0" w:name="_heading=h.lqb218dfbfr6" w:id="110"/>
      <w:bookmarkEnd w:id="110"/>
      <w:r w:rsidDel="00000000" w:rsidR="00000000" w:rsidRPr="00000000">
        <w:rPr>
          <w:rtl w:val="0"/>
        </w:rPr>
        <w:t xml:space="preserve">The Good Farmer Spectrum </w:t>
      </w:r>
    </w:p>
    <w:p w:rsidR="00000000" w:rsidDel="00000000" w:rsidP="00000000" w:rsidRDefault="00000000" w:rsidRPr="00000000" w14:paraId="0000045C">
      <w:pPr>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earlier sections of this chapter introduced that there were two ends of a spectrum in how farmers responded to the transition period. The empirical evidence demonstrated two types of ‘good farmers’, each possessing their own ethos and culture, necessitating that they be viewed as different habituses and classes of ‘good farmer’. The traditional conceptualisation of the ‘good farmer', that much of the existing literature focuses on (see Burton 2004, Burton et al. 2008, Sutherland, 2012), values productivism and is deeply rooted in agrarianism. In contrast, the creation of the ‘green farmer’ presents an alternative that is less culturally tied to their land, shifting their role to focus on environmental restoration and addressing climate change. These farmer archetypes were identified from farmer interviews in the post-Brexit transition.</w:t>
      </w:r>
    </w:p>
    <w:p w:rsidR="00000000" w:rsidDel="00000000" w:rsidP="00000000" w:rsidRDefault="00000000" w:rsidRPr="00000000" w14:paraId="0000045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spectrum illustrated below in Figure 7.5 captures the range of farmer types, from the traditional ‘good farmer’ to the more environmentally focused ‘green farmer,’ with farmers placed along this spectrum according to their cultural, social, and economic capital. The ‘good enough’ farmer, positioned at one end of these two extremes, shares a peer group with the ‘good farmers’ and aims to achieve the same cultural capital; similarly, the ‘green farmer’ at the other end of the spectrum corresponds with the ‘green enough’ farmer peer group. While these different farmer types exist within the same broader group, they can also be compared to the ‘green’ and ‘green enough’ farmers, allowing for an understanding of how individual farmers evolve within the larger environmental shift in the agricultural sector.  It is important to note that the farmers are not in a fixed position– their decisions, attitudes, and actions can shift them from one spot on the spectrum to another.  As a farmer’s cultural capital becomes more ingrained in environmental outputs, the further to the right (green farmer) side the farmer is placed. The spectrum can be mapped using criteria such as involvement in agri-environmental schemes, attitudes towards sustainable farming, and the proportion of land dedicated to production versus environmental schemes, with higher scores indicating a stronger alignment with the ‘green farmer’ archetype. </w:t>
      </w:r>
    </w:p>
    <w:p w:rsidR="00000000" w:rsidDel="00000000" w:rsidP="00000000" w:rsidRDefault="00000000" w:rsidRPr="00000000" w14:paraId="0000045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criteria which were established to map farmers to this spectrum were based on the following: (1) involvement in previous agri-environmental schemes; (2) positive attitudes towards farming in an environmentally friendly manner; (3) concern towards the impact of climate change; (4) feels responsible for making a difference in the agricultural sector to address climate issues; (5) has close ties with environmental organisations and other arms-length bodies; (6) lower proportion of their farm used for production versus joining environmental schemes. These markers were established by taking the main commonalities in coding nodes from ‘green farmers’ and then ranking farmers on a point-based system to see how they compared to the ‘green farmer’ criteria. The criteria also only include coding nodes, which were related to the discussion guide, to ensure consistency in treatment of farmers’ data when applying them to the ‘good farmer’ archetype</w:t>
      </w:r>
      <w:r w:rsidDel="00000000" w:rsidR="00000000" w:rsidRPr="00000000">
        <w:rPr>
          <w:rFonts w:ascii="Calibri" w:cs="Calibri" w:eastAsia="Calibri" w:hAnsi="Calibri"/>
          <w:sz w:val="24"/>
          <w:szCs w:val="24"/>
          <w:vertAlign w:val="superscript"/>
        </w:rPr>
        <w:footnoteReference w:customMarkFollows="0" w:id="46"/>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5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illustrate, if a farmer only had previous involvement in an agri-environmental scheme and did not match the criteria of the other evidence, they would be scored a one and therefore sit at the start of the spectrum under ‘good enough farmer’. Thus, the higher the score each interviewee had, the further towards the ‘green farmer’ they would be placed. Interviewee excerpts and descriptive data were included as a way to better contextualise the placement of farmers in the spectrum and provide insight into how their attitudes, beliefs, and capital compare. </w:t>
      </w:r>
    </w:p>
    <w:p w:rsidR="00000000" w:rsidDel="00000000" w:rsidP="00000000" w:rsidRDefault="00000000" w:rsidRPr="00000000" w14:paraId="00000460">
      <w:pPr>
        <w:spacing w:after="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1">
      <w:pPr>
        <w:spacing w:after="20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spectrum – moving from ‘good enough’ to ‘good farmer’ and from ‘green enough’ to ‘green farmer’ – contributes a more nuanced understanding of farmer identity in a rapidly changing agricultural transition. A metaphor for this can be found in any group with a shared culture: there will always be a spectrum within which the beliefs and actions of individuals can be plotted. To illustrate, within a group, some individuals will always have less or more capital, when compared to their peers. Whilst this dynamism was established by Bourdieu (1986), it has not been fully acknowledged in this way in the existing conceptualisation of the good farmer. By viewing the ‘good enough’ and ‘good farmer’ concepts as points along a spectrum, this framework allows the conceptualisation of the ‘good farmer’ to evolve and change in response to shifts in capital. The same applies to the ‘green enough’ and ‘green farmer,’ in that, there is a respective ‘green enough farmer’ counterpart within the same ‘field’ as the ‘green farmer’, who can work towards attaining the same capital to be recognised as the most prestigious type of ‘green farmer.’ The ‘green enough’ and ‘green farmer’ are representative of a larger environmental movement and embody the farmers who are still completing ‘good’ farming practices, but practices which are a departure from traditional farming practices and are valued by different social capital networks entirely. These farmers also operate within their own spectrum, with the ‘green farmer’ embodying greater levels of social and cultural capital in comparison to the ‘green enough’ farmer.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-221190</wp:posOffset>
            </wp:positionH>
            <wp:positionV relativeFrom="paragraph">
              <wp:posOffset>114300</wp:posOffset>
            </wp:positionV>
            <wp:extent cx="6525352" cy="3661833"/>
            <wp:effectExtent b="0" l="0" r="0" t="0"/>
            <wp:wrapTopAndBottom distB="114300" distT="114300"/>
            <wp:docPr id="1297365371"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6525352" cy="3661833"/>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-220979</wp:posOffset>
                </wp:positionH>
                <wp:positionV relativeFrom="paragraph">
                  <wp:posOffset>3826510</wp:posOffset>
                </wp:positionV>
                <wp:extent cx="635" cy="12700"/>
                <wp:effectExtent b="0" l="0" r="0" t="0"/>
                <wp:wrapTopAndBottom distB="0" distT="0"/>
                <wp:docPr id="1297365367" name=""/>
                <a:graphic>
                  <a:graphicData uri="http://schemas.microsoft.com/office/word/2010/wordprocessingShape">
                    <wps:wsp>
                      <wps:cNvSpPr/>
                      <wps:cNvPr id="19" name="Shape 19"/>
                      <wps:spPr>
                        <a:xfrm>
                          <a:off x="2083370" y="3779683"/>
                          <a:ext cx="652526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1"/>
                                <w:i w:val="1"/>
                                <w:smallCaps w:val="0"/>
                                <w:strike w:val="0"/>
                                <w:color w:val="ffffff"/>
                                <w:sz w:val="24"/>
                                <w:vertAlign w:val="baseline"/>
                              </w:rPr>
                              <w:t xml:space="preserve"> SEQ Figure \* ARABIC 16</w:t>
                            </w:r>
                            <w:r w:rsidDel="00000000" w:rsidR="00000000" w:rsidRPr="00000000">
                              <w:rPr>
                                <w:rFonts w:ascii="Calibri" w:cs="Calibri" w:eastAsia="Calibri" w:hAnsi="Calibri"/>
                                <w:b w:val="1"/>
                                <w:i w:val="1"/>
                                <w:smallCaps w:val="0"/>
                                <w:strike w:val="0"/>
                                <w:color w:val="000000"/>
                                <w:sz w:val="24"/>
                                <w:vertAlign w:val="baseline"/>
                              </w:rPr>
                              <w:t xml:space="preserve"> Figure 7.4:  The Good Farmer Spectrum</w:t>
                            </w:r>
                          </w:p>
                          <w:p w:rsidR="00000000" w:rsidDel="00000000" w:rsidP="00000000" w:rsidRDefault="00000000" w:rsidRPr="00000000">
                            <w:pPr>
                              <w:spacing w:after="200" w:before="200" w:line="36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     Source: Author’s own work informed from the empirical evidence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-220979</wp:posOffset>
                </wp:positionH>
                <wp:positionV relativeFrom="paragraph">
                  <wp:posOffset>3826510</wp:posOffset>
                </wp:positionV>
                <wp:extent cx="635" cy="12700"/>
                <wp:effectExtent b="0" l="0" r="0" t="0"/>
                <wp:wrapTopAndBottom distB="0" distT="0"/>
                <wp:docPr id="1297365367"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462">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Combining these different farmer archetypes establishes a spectrum that allows us to evaluate farmers with different habituses and associations within distinct peer groups. Further, by evaluating the ‘good enough’ and ‘good’ farmers within their shared peer group, and the same for ‘green enough’ and ‘green farmers’, we can better understand the differences of capital within these distinct habitus and types of ‘good farmer’. Likewise, by combining these farmer archetypes into a spectrum, we can use the farmer spectrum as a tool to understand how changes in capital can shift a farmer to move along the spectrum with the amount of social capital and economic capital they attain. </w:t>
      </w:r>
    </w:p>
    <w:p w:rsidR="00000000" w:rsidDel="00000000" w:rsidP="00000000" w:rsidRDefault="00000000" w:rsidRPr="00000000" w14:paraId="00000463">
      <w:pPr>
        <w:spacing w:after="200" w:line="360" w:lineRule="auto"/>
        <w:rPr>
          <w:rFonts w:ascii="Calibri" w:cs="Calibri" w:eastAsia="Calibri" w:hAnsi="Calibri"/>
        </w:rPr>
      </w:pPr>
      <w:r w:rsidDel="00000000" w:rsidR="00000000" w:rsidRPr="00000000">
        <w:rPr>
          <w:rFonts w:ascii="Calibri" w:cs="Calibri" w:eastAsia="Calibri" w:hAnsi="Calibri"/>
          <w:sz w:val="24"/>
          <w:szCs w:val="24"/>
          <w:rtl w:val="0"/>
        </w:rPr>
        <w:t xml:space="preserve">The Good Farmer Spectrum offers a framework for interpreting farmer behaviour in the context of green transitions, helping to explain why some farmers are more motivated to participate than others. The varying levels of capital held by farmers significantly shape their decision-making, and this model allows for further study into how such changes can prompt movement along the spectrum. For instance, if there is an increase in financial support, it could be expected that more farmers will shift from ‘good enough’ towards becoming ‘good’ or ‘green enough’ farmers, as they are driven by economic incentives. Conversely, if funding for agri-environmental schemes is reduced, those already engaged may become less ambitious in their green transition efforts due to a lack of economic capital to support necessary changes. The spectrum thus enables a more nuanced mapping of farmer behaviour, recognising that it is not fixed but dynamic, with multiple potential responses depending on context and available capital.</w:t>
      </w:r>
      <w:r w:rsidDel="00000000" w:rsidR="00000000" w:rsidRPr="00000000">
        <w:rPr>
          <w:rtl w:val="0"/>
        </w:rPr>
      </w:r>
    </w:p>
    <w:p w:rsidR="00000000" w:rsidDel="00000000" w:rsidP="00000000" w:rsidRDefault="00000000" w:rsidRPr="00000000" w14:paraId="00000464">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spectrum also challenges the binary thinking of ‘good’ versus ‘bad’ farmers and allows for a more inclusive approach to understanding the complexities of farmer behaviour in the face of policy changes. Farmers who did not fit within the established concept of the ‘good farmer’ were questioned if they were to be considered ‘bad farmers’. However, the introduction of the Good Farmer Spectrum challenges this binary view by recognising a range of possibilities beyond simply ‘good’ or ‘bad’. This spectrum allows for more nuanced and context-specific interpretations of farmer identities, acknowledging that alternative forms of capital and differing circumstances shape how farmers are positioned. It offers a novel contribution by introducing multiple archetypes of the 'good farmer,' reflecting the diversity of farmer roles and identities. These archetypes– ranging from traditional 'good farmers' to more environmentally focused 'green farmers’-- are shaped by varying levels of economic, social, and cultural capital, offering new insights into the complexities of farmer decision-making and outlining the inhibitions of farmer involvement in environmental schemes and policies. Rather than a default negative judgement, the spectrum opens space for diverse understandings of farming practices and identities, reflecting the complexity of the agricultural landscape today.</w:t>
      </w:r>
    </w:p>
    <w:p w:rsidR="00000000" w:rsidDel="00000000" w:rsidP="00000000" w:rsidRDefault="00000000" w:rsidRPr="00000000" w14:paraId="00000465">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spectrum highlights the different constraints placed on a farmer’s ability to produce symbols of ‘good farming’, namely weaknesses in social and economic capital. It highlights that just because farmers may lack capital in these areas does not necessitate that they are ‘bad farmers’, but rather good farmers who have limitations from excelling similarly to some of their peers. It does not however follow from this observation that there are no ‘bad’ farmers but rather that there are a range of factors shaping the ability of farmers to attain good farmer status. </w:t>
      </w:r>
    </w:p>
    <w:p w:rsidR="00000000" w:rsidDel="00000000" w:rsidP="00000000" w:rsidRDefault="00000000" w:rsidRPr="00000000" w14:paraId="00000466">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Hence, the alternative to a ‘good farmer’ is not a singular group of ‘bad farmers’ and there is not a ‘good farmer’ and ‘bad farmer’ dichotomous relationship. Burton and Paragahawewa (2011) argue that for a farmer to be considered a ‘bad farmer,’ it usually necessitates non-compliance with norms in the field. The post-Brexit transition period has demonstrated that the norms of the field are constantly changing so the room for non-compliance is growing, limiting the utility of clearly defined guidelines for a ‘bad farmer’ as a consistent measure for a transition period. Interviews with pilot farmers (n=3; Interviews 1,12,13) demonstrated a condescending tone when referring to drastic intensification, not properly taking care of fields or slurry storage, and overstocking animals, suggesting that these are symbols that farmers consider as ‘bad farming’, but due to the stresses of the transition period and the empathy farmers shared towards their peers there appeared to be some level of understanding as to why some of their peers were engaging in such practices. </w:t>
      </w:r>
    </w:p>
    <w:p w:rsidR="00000000" w:rsidDel="00000000" w:rsidP="00000000" w:rsidRDefault="00000000" w:rsidRPr="00000000" w14:paraId="00000467">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Finding a precise way to define these farmers proves difficult though because it is challenging to discern whether a farmer is conducting a ‘bad’ farming practice due to their lack of regard and concern for the environment or the land, or rather if that practice is being completed out of necessity since they were not financially prepared for the transition period and were acting out of desperation to keep their operations afloat. As the post-Brexit transition comes to an end in 2027 and ELM policies become standard in the industry, the definition of 'bad farming' will need to be reassessed. This reassessment will help determine whether any implications in industry-wide changes in economic and cultural capital have led to a clearer understanding of bad farming practices, which can then be used to identify a 'bad farmer'.</w:t>
      </w:r>
    </w:p>
    <w:p w:rsidR="00000000" w:rsidDel="00000000" w:rsidP="00000000" w:rsidRDefault="00000000" w:rsidRPr="00000000" w14:paraId="00000468">
      <w:pPr>
        <w:pStyle w:val="Heading2"/>
        <w:numPr>
          <w:ilvl w:val="0"/>
          <w:numId w:val="11"/>
        </w:numPr>
        <w:ind w:left="720" w:hanging="360"/>
        <w:rPr/>
      </w:pPr>
      <w:bookmarkStart w:colFirst="0" w:colLast="0" w:name="_heading=h.l88j2dtgto2p" w:id="111"/>
      <w:bookmarkEnd w:id="111"/>
      <w:r w:rsidDel="00000000" w:rsidR="00000000" w:rsidRPr="00000000">
        <w:rPr>
          <w:rtl w:val="0"/>
        </w:rPr>
        <w:t xml:space="preserve">Conclusion </w:t>
      </w:r>
    </w:p>
    <w:p w:rsidR="00000000" w:rsidDel="00000000" w:rsidP="00000000" w:rsidRDefault="00000000" w:rsidRPr="00000000" w14:paraId="00000469">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chapter addresses the research question of: how can the ‘good farmer’ framework be reconceptualised to reflect the experiences of farmers during the post-Brexit transition? It also fulfils the research objective of this thesis by demonstrating how the concept of the ‘good farmer’ has evolved, and will continue to evolve, in response to the shifting capital structures brought about by the post-Brexit transition. The introduction of the Good Farmer Spectrum offers an updated conceptualisation of the ‘good farmer’ by accounting for the changing dynamics of economic, social and cultural capital.</w:t>
      </w:r>
    </w:p>
    <w:p w:rsidR="00000000" w:rsidDel="00000000" w:rsidP="00000000" w:rsidRDefault="00000000" w:rsidRPr="00000000" w14:paraId="0000046A">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spectrum identifies two distinct archetypes: the traditional ‘good farmer,’ whose values and social networks are deeply rooted in productivism and agrarianism, and the ‘green farmer,’ whose ethos and cultural roots are tied to environmentalism and biodiversity restoration. These archetypes not only represent differing attitudes towards farming but also signify broader shifts in the role of the farmer in society, with the ‘green farmer’ moving away from traditional ties to the land and embracing a more environmentally focused identity. </w:t>
      </w:r>
    </w:p>
    <w:p w:rsidR="00000000" w:rsidDel="00000000" w:rsidP="00000000" w:rsidRDefault="00000000" w:rsidRPr="00000000" w14:paraId="0000046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‘good farmer’ spectrum proves valuable in understanding the dynamics of how different types of farmers navigate the post-Brexit transition period. It helps explain why certain farmers, such as the ‘good enough’ farmer, struggle to engage with environmental schemes due to limited access to social networks, outdated information, and insufficient support, all of which inhibit their transition to new practices. Meanwhile, farmers with stronger social capital and more exposure to environmental networks are more likely to move towards the ‘green farmer’ end of the spectrum, demonstrating a higher capacity to adopt new policies and environmental practices.</w:t>
      </w:r>
    </w:p>
    <w:p w:rsidR="00000000" w:rsidDel="00000000" w:rsidP="00000000" w:rsidRDefault="00000000" w:rsidRPr="00000000" w14:paraId="0000046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spectrum introduced in this chapter provides a deeper understanding of how different types of farmers engage with the changes and challenges brought about by the post-Brexit transition. By modernising Burton’s conceptualisation of the ‘good farmer’, this spectrum offers an alternative framework that better reflects farmers who have moved beyond the traditional boundaries of the original ‘good farmer’ definition (Burton, 2004). Acknowledging the dynamic nature of the transition period and the diverse composition of farmers today, it presents a more up-to-date understanding of farmer motivations, taking into account responses to emerging movements and trends such as the ‘green transition’. In doing so, it creates space to include these farmers in the ongoing reconceptualisation of what it means to be a ‘good farmer’.</w:t>
      </w:r>
    </w:p>
    <w:p w:rsidR="00000000" w:rsidDel="00000000" w:rsidP="00000000" w:rsidRDefault="00000000" w:rsidRPr="00000000" w14:paraId="0000046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Thus, the findings of this chapter highlight that the 'good farmer' is not a static concept but one that adapts and evolves with broader societal, economic, and environmental changes. As farmers navigate the post-Brexit transition, the capital they possess, whether economic, social, or cultural, plays a crucial role in how they engage with emerging policies and agricultural schemes. </w:t>
      </w:r>
    </w:p>
    <w:p w:rsidR="00000000" w:rsidDel="00000000" w:rsidP="00000000" w:rsidRDefault="00000000" w:rsidRPr="00000000" w14:paraId="0000046E">
      <w:pPr>
        <w:spacing w:after="200" w:before="24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F">
      <w:pPr>
        <w:spacing w:after="200" w:before="24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pStyle w:val="Title"/>
        <w:rPr>
          <w:u w:val="single"/>
        </w:rPr>
      </w:pPr>
      <w:bookmarkStart w:colFirst="0" w:colLast="0" w:name="_heading=h.mcvh0j6111mk" w:id="112"/>
      <w:bookmarkEnd w:id="112"/>
      <w:r w:rsidDel="00000000" w:rsidR="00000000" w:rsidRPr="00000000">
        <w:br w:type="page"/>
      </w:r>
      <w:r w:rsidDel="00000000" w:rsidR="00000000" w:rsidRPr="00000000">
        <w:rPr>
          <w:rtl w:val="0"/>
        </w:rPr>
      </w:r>
    </w:p>
    <w:p w:rsidR="00000000" w:rsidDel="00000000" w:rsidP="00000000" w:rsidRDefault="00000000" w:rsidRPr="00000000" w14:paraId="00000471">
      <w:pPr>
        <w:pStyle w:val="Heading1"/>
        <w:rPr/>
      </w:pPr>
      <w:bookmarkStart w:colFirst="0" w:colLast="0" w:name="_heading=h.7iageiaiq6of" w:id="113"/>
      <w:bookmarkEnd w:id="113"/>
      <w:r w:rsidDel="00000000" w:rsidR="00000000" w:rsidRPr="00000000">
        <w:rPr>
          <w:rtl w:val="0"/>
        </w:rPr>
        <w:t xml:space="preserve">CHAPTER EIGHT </w:t>
      </w:r>
    </w:p>
    <w:p w:rsidR="00000000" w:rsidDel="00000000" w:rsidP="00000000" w:rsidRDefault="00000000" w:rsidRPr="00000000" w14:paraId="00000472">
      <w:pPr>
        <w:pStyle w:val="Heading1"/>
        <w:rPr/>
      </w:pPr>
      <w:bookmarkStart w:colFirst="0" w:colLast="0" w:name="_heading=h.kot2bz72two6" w:id="114"/>
      <w:bookmarkEnd w:id="114"/>
      <w:r w:rsidDel="00000000" w:rsidR="00000000" w:rsidRPr="00000000">
        <w:rPr>
          <w:rtl w:val="0"/>
        </w:rPr>
        <w:t xml:space="preserve">CONCLUSION</w:t>
      </w:r>
    </w:p>
    <w:p w:rsidR="00000000" w:rsidDel="00000000" w:rsidP="00000000" w:rsidRDefault="00000000" w:rsidRPr="00000000" w14:paraId="00000473">
      <w:pPr>
        <w:pStyle w:val="Heading2"/>
        <w:numPr>
          <w:ilvl w:val="0"/>
          <w:numId w:val="13"/>
        </w:numPr>
        <w:ind w:left="720" w:hanging="360"/>
        <w:rPr/>
      </w:pPr>
      <w:bookmarkStart w:colFirst="0" w:colLast="0" w:name="_heading=h.6ktk7g5nh3rk" w:id="115"/>
      <w:bookmarkEnd w:id="115"/>
      <w:r w:rsidDel="00000000" w:rsidR="00000000" w:rsidRPr="00000000">
        <w:rPr>
          <w:rtl w:val="0"/>
        </w:rPr>
        <w:t xml:space="preserve">Introduction</w:t>
      </w:r>
    </w:p>
    <w:p w:rsidR="00000000" w:rsidDel="00000000" w:rsidP="00000000" w:rsidRDefault="00000000" w:rsidRPr="00000000" w14:paraId="00000474">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has argued that the existing conceptualisation of the ‘good farmer’, often used to understand farmer behaviour, is outdated and requires reconceptualisation to reflect the complexities of farmer decision-making during periods of transition. In response, this thesis has introduced an alternative counterpart to the ‘good farmer’ - the ‘green farmer’ - and used both concepts to develop a more flexible and inclusive model: the Good Farmer Spectrum. This spectrum provides a framework through which to understand the varied and shifting identities of farmers, particularly in the context of ‘green transitions.’ The spectrum was developed in response to the research objective of understanding how the ‘good farmer’ concept has evolved and should continue to evolve in light of changing structures of economic, social and cultural capital following Brexit. </w:t>
      </w:r>
    </w:p>
    <w:p w:rsidR="00000000" w:rsidDel="00000000" w:rsidP="00000000" w:rsidRDefault="00000000" w:rsidRPr="00000000" w14:paraId="00000475">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principal aim of this thesis was to analyse farmer behaviour during a period of green transition and to identify the key variables that influence whether farmers decide to engage with such transitions. The post-Brexit agricultural shift in England was selected as a case study, with a specific focus on farmer participation in the newly introduced agri-environmental schemes, notably the Sustainable Farming Incentive Pilot. </w:t>
      </w:r>
    </w:p>
    <w:p w:rsidR="00000000" w:rsidDel="00000000" w:rsidP="00000000" w:rsidRDefault="00000000" w:rsidRPr="00000000" w14:paraId="00000476">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thesis addressed the following research questions: </w:t>
      </w:r>
    </w:p>
    <w:p w:rsidR="00000000" w:rsidDel="00000000" w:rsidP="00000000" w:rsidRDefault="00000000" w:rsidRPr="00000000" w14:paraId="00000477">
      <w:pPr>
        <w:numPr>
          <w:ilvl w:val="0"/>
          <w:numId w:val="18"/>
        </w:numPr>
        <w:spacing w:before="24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different forms of capital shape the decision-making processes of farmers who decided to participate in the SFI Pilot?</w:t>
      </w:r>
    </w:p>
    <w:p w:rsidR="00000000" w:rsidDel="00000000" w:rsidP="00000000" w:rsidRDefault="00000000" w:rsidRPr="00000000" w14:paraId="00000478">
      <w:pPr>
        <w:numPr>
          <w:ilvl w:val="0"/>
          <w:numId w:val="18"/>
        </w:numPr>
        <w:spacing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different forms of capital shape the decision-making processes of farmers who decided not to participate in the SFI Pilot?</w:t>
      </w:r>
    </w:p>
    <w:p w:rsidR="00000000" w:rsidDel="00000000" w:rsidP="00000000" w:rsidRDefault="00000000" w:rsidRPr="00000000" w14:paraId="00000479">
      <w:pPr>
        <w:numPr>
          <w:ilvl w:val="0"/>
          <w:numId w:val="18"/>
        </w:numPr>
        <w:spacing w:after="200"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the ‘good farmer’ framework be reconceptualised to be reflective of the experiences of farmers in the post-Brexit transition? </w:t>
      </w:r>
    </w:p>
    <w:p w:rsidR="00000000" w:rsidDel="00000000" w:rsidP="00000000" w:rsidRDefault="00000000" w:rsidRPr="00000000" w14:paraId="0000047A">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empirical analysis of two distinct groups of farmers: those who chose to participate in the SFI Pilot and those who did not, offered valuable insights into the motivations and constraints shaping farmer behaviour during this transitional period and provided the basis of this thesis’s contributions.</w:t>
      </w:r>
    </w:p>
    <w:p w:rsidR="00000000" w:rsidDel="00000000" w:rsidP="00000000" w:rsidRDefault="00000000" w:rsidRPr="00000000" w14:paraId="0000047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the ‘triggering change’ cycle was used at the start of the research to explore the dynamics of farmer decision-making during periods of change. This framework also led to the recognition of the ‘good farmer’ as a useful lens through which to analyse the data collected. The thesis applied the ‘good farmer’ concept as a tool to investigate farmer decision-making and to conceptualise the motivations behind their decisions. The data collected from interviews were then organised into the empirical chapters to illustrate the theoretical development of the ‘good farmer’ concept. </w:t>
      </w:r>
    </w:p>
    <w:p w:rsidR="00000000" w:rsidDel="00000000" w:rsidP="00000000" w:rsidRDefault="00000000" w:rsidRPr="00000000" w14:paraId="0000047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Chapters Five and Six presented the empirical data, focusing on the evolution of the forms of capital–economic, social and cultural–experienced by both pilot and non-pilot farmers during the transition period, and how these different forms of capital shaped the decision-making processes of each group. The empirical evidence presented demonstrated that across farmers in the post-Brexit transition, the financial changes of the transition period had a varied impact and were largely dependent on how well-diversified the economic capital of farmers was.  Diversification emerged as a key component of economic capital, as farmers with diversified income streams were less reliant on EU funding to maintain a financially viable farm business. This financial flexibility enabled them to engage more readily with new agri-environmental schemes. The empirical findings also demonstrated that the social capital of farmers varied, with farmers participating in social networks, from the National Farmers’ Unions to environmental networks. Farmers’ different forms of social capital influenced their support for decisions, impacting the types of cultural capital they valued and shaping how they chose to invest their economic capital. Lastly, the data presented in these chapters highlighted how cultural capital was divided among farmers during the transition period, with some placing greater value on traditional, productivist symbols, while others prioritised forms of cultural capital more closely aligned with environmental stewardship and biodiversity.</w:t>
      </w:r>
    </w:p>
    <w:p w:rsidR="00000000" w:rsidDel="00000000" w:rsidP="00000000" w:rsidRDefault="00000000" w:rsidRPr="00000000" w14:paraId="0000047D">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Chapter Seven applied these findings by examining how the concept of the ‘good farmer’ could evolve to be representative of the changing structures of capital in the post-Brexit context. It considered how the ‘good farmer’ framework could be re-conceptualised to better reflect the lived realities and identities of the farmers interviewed during this transitional period and introduced the ‘green’, ‘good enough’ and ‘green enough’ farmer types to modernise and complement the ‘good farmer’ concept. Finally, the chapter conceptualised how these different types of the ‘good farmer’ could be mapped onto a spectrum, which offered broader applicability as a tool for analysing the barriers and challenges farmers faced when making decisions.</w:t>
      </w:r>
    </w:p>
    <w:p w:rsidR="00000000" w:rsidDel="00000000" w:rsidP="00000000" w:rsidRDefault="00000000" w:rsidRPr="00000000" w14:paraId="0000047E">
      <w:pPr>
        <w:spacing w:after="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offers a deeper understanding of how the 'good farmer' concept has evolved within the context of post-Brexit policy transition. By examining how farmers made decisions in response to changing policies, this research contributes to both theoretical and practical knowledge about farmer behaviour in response to new agri-environmental schemes. By expanding on the conceptual framework of the ‘good farmer’, through the introduction of the Good Farmer Spectrum, the thesis provides a more nuanced understanding of how there are several different archetypes of the ‘good farmer’, each with their distinct forms of capital. These archetypes can be used in future research to better understand farmer behaviour and the two differing farmer habitus which have emerged in response to a larger movement of environmentalism.</w:t>
      </w:r>
    </w:p>
    <w:p w:rsidR="00000000" w:rsidDel="00000000" w:rsidP="00000000" w:rsidRDefault="00000000" w:rsidRPr="00000000" w14:paraId="0000047F">
      <w:pPr>
        <w:pStyle w:val="Heading2"/>
        <w:numPr>
          <w:ilvl w:val="0"/>
          <w:numId w:val="11"/>
        </w:numPr>
        <w:ind w:left="720" w:hanging="360"/>
        <w:rPr/>
      </w:pPr>
      <w:bookmarkStart w:colFirst="0" w:colLast="0" w:name="_heading=h.f3qilzrulbel" w:id="116"/>
      <w:bookmarkEnd w:id="116"/>
      <w:r w:rsidDel="00000000" w:rsidR="00000000" w:rsidRPr="00000000">
        <w:rPr>
          <w:rtl w:val="0"/>
        </w:rPr>
        <w:t xml:space="preserve">Summary of Contributions to the Literature</w:t>
      </w:r>
    </w:p>
    <w:p w:rsidR="00000000" w:rsidDel="00000000" w:rsidP="00000000" w:rsidRDefault="00000000" w:rsidRPr="00000000" w14:paraId="00000480">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makes an original empirical contribution by introducing data from interviews conducted with both pilot and non-pilot farmers during the post-Brexit agricultural transition. These interviews offer novel insights into how farmers responded to the uncertainty of a changing policy environment and how they engaged with emerging agri-environmental schemes introduced in England. These empirical data also shed light on the various challenges and obstacles farmers identified in relation to making decisions during the post-Brexit transition.</w:t>
      </w:r>
    </w:p>
    <w:p w:rsidR="00000000" w:rsidDel="00000000" w:rsidP="00000000" w:rsidRDefault="00000000" w:rsidRPr="00000000" w14:paraId="00000481">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terms of academic contribution, this thesis advances the literature by evaluating how different forms of capital – social, cultural, and economic – interact and influence farmer identity. While previous studies have examined these forms of capital in isolation, this research revisits each dimension through a Bourdieusian lens and explicitly links them back to the ‘good farmer’ framework. </w:t>
      </w:r>
    </w:p>
    <w:p w:rsidR="00000000" w:rsidDel="00000000" w:rsidP="00000000" w:rsidRDefault="00000000" w:rsidRPr="00000000" w14:paraId="00000482">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Wheeler et al. (2018), Cusworth and Dodsworth (2021), Naylor et al. (2016), and Sutherland and Darnhofer (2012) have all examined the evolution of cultural capital and the shifting symbols of ‘good farming’ away from traditional production-based indicators, but they have not situated this work within a broader analysis of all three forms of capital. There is also existing literature that considers the economic motivations for joining agri-environmental schemes, such as Coyne et al. (2020) and Wilson and Hart (2000), yet these studies do not frame their findings through the ‘good farmer’ concept or Bourdieu’s theory of capital. Likewise, research by Sutherland et al. (2013) and Burton et al. (2008) has touched on the role of social capital, particularly in terms of farmer advice networks and peer validation. However, no single study to date has revisited all three forms of capital within a cohesive theoretical framework, applied them to a specific case study, and then used that analysis to offer an updated understanding of farmer decision-making in the context of the ‘good farmer’. This thesis addresses that gap.</w:t>
      </w:r>
    </w:p>
    <w:p w:rsidR="00000000" w:rsidDel="00000000" w:rsidP="00000000" w:rsidRDefault="00000000" w:rsidRPr="00000000" w14:paraId="00000483">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further contribution lies in the identification and conceptualisation of the ‘green farmer’. This term is used to describe farmers who, while not aligning with the traditional production-oriented definition of the ‘good farmer’ as outlined by Burton (2004) and Burton et al. (2008), nevertheless hold strong environmental values and practices. Building on work by Wheeler et al. (2018), Cusworth and Dodsworth (2021), Naylor et al. (2016), and Sutherland and Darnhofer (2012), which demonstrated that symbols of ‘good farming’ have evolved beyond food production, this thesis introduces the ‘green farmer’ as a critical figure in understanding the modern agricultural landscape. In doing so, it responds to a clear gap in the literature, which has not previously offered a conceptual framework for how the ‘good farmer’ might evolve to accommodate such environmental priorities for some farmers.</w:t>
      </w:r>
    </w:p>
    <w:p w:rsidR="00000000" w:rsidDel="00000000" w:rsidP="00000000" w:rsidRDefault="00000000" w:rsidRPr="00000000" w14:paraId="00000484">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illustrates the need for continued efforts to bridge the divide between the ‘good farmer’ and ‘green farmer.’ While these identities may appear in tension, this thesis argues that there is room for both to coexist and thrive, provided adequate and targeted support is provided. Further, it is crucial to recognise the importance of supporting both types of farmers, as each can play a vital role in shaping a sustainable and secure future for UK agriculture.</w:t>
      </w:r>
    </w:p>
    <w:p w:rsidR="00000000" w:rsidDel="00000000" w:rsidP="00000000" w:rsidRDefault="00000000" w:rsidRPr="00000000" w14:paraId="00000485">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traditional ‘good farmers’, with their deep-rooted knowledge of land, livestock, and food production methods passed down through generations, remain an essential pillar of national food security. In a world facing growing geopolitical instability, extreme politics on the rise, trade uncertainties, and the escalating impacts of climate change, national food security is an important topic to acknowledge, so retaining these farmers in the system is imperative. Without investment in sustaining this part of the sector, there is a real risk of losing invaluable expertise specific to the farming of England’s agricultural landscape. This loss could not only affect current food production but would also require significant future investment in education and training to re-teach these food production methods and skills, particularly if these types of farmers exit the industry and cease to pass down their multi-generational knowledge. </w:t>
      </w:r>
    </w:p>
    <w:p w:rsidR="00000000" w:rsidDel="00000000" w:rsidP="00000000" w:rsidRDefault="00000000" w:rsidRPr="00000000" w14:paraId="00000486">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Furthermore, the environmental implications of relying on food imports, when such goods could be grown domestically, add weight to the argument for preserving the role of the traditional ‘good farmer’. To illustrate, the carbon footprint of transportation and logistics involved in importing produce, which can be grown domestically, fails to acknowledge the negative impact of the carbon emissions associated with offshoring food production and importing non-seasonal produce from miles away (see Matthews, 2022).  </w:t>
      </w:r>
    </w:p>
    <w:p w:rsidR="00000000" w:rsidDel="00000000" w:rsidP="00000000" w:rsidRDefault="00000000" w:rsidRPr="00000000" w14:paraId="00000487">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Conversely, the ‘green farmers’ represent the forward-looking, innovation-driven side of the spectrum. Their commitment to biodiversity, adoption of emerging technologies, and engagement with environmental schemes position them as key players in the fight against climate change. The empirical chapters of this thesis demonstrated that these farmers are often more vocal, open to risk, and eager to experiment, which are qualities that are critical in a time of biodiversity decline and extreme weather events. Their efforts are vital in developing the adaptive strategies required for farming in an increasingly unpredictable climate.</w:t>
      </w:r>
    </w:p>
    <w:p w:rsidR="00000000" w:rsidDel="00000000" w:rsidP="00000000" w:rsidRDefault="00000000" w:rsidRPr="00000000" w14:paraId="00000488">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Striking a balance between these two types of farmers is essential. It is not a matter of choosing one over the other, but of creating a supportive policy environment that enables both to coexist and contribute meaningfully. If the agricultural sector is to meet the ambitious targets set for net-zero emissions and biodiversity restoration, policymakers must invest in providing the necessary support and education to farmers, particularly those with less social capital, so that they too can transition towards more sustainable practices. Without this, the gap between these two groups may continue to widen, preventing the collective progress needed to tackle climate change in the farming sector. If government investment does not reflect this duality, it risks travelling too far in one direction and having irreversible consequences on the sector. </w:t>
      </w:r>
    </w:p>
    <w:p w:rsidR="00000000" w:rsidDel="00000000" w:rsidP="00000000" w:rsidRDefault="00000000" w:rsidRPr="00000000" w14:paraId="00000489">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also contributes a novel framework - ‘the Good Farmer Spectrum’ - thereby providing a conceptual and methodological contribution. Conceptually, the spectrum moves beyond binary classifications of farmers as either a ‘good farmer’ or one that does not conform to that definition and instead provides a more up-to-date framework for understanding the diversity of farmer identities. It accounts for the multi-dimensional nature of farmer behaviour and motivations, especially during periods of transition. </w:t>
      </w:r>
    </w:p>
    <w:p w:rsidR="00000000" w:rsidDel="00000000" w:rsidP="00000000" w:rsidRDefault="00000000" w:rsidRPr="00000000" w14:paraId="0000048A">
      <w:pPr>
        <w:spacing w:after="24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Methodologically, the spectrum has practical value for future research. It can guide the design of interview schedules, policy assessments, and survey tools by providing a framework for identifying where farmers might position themselves along the spectrum of good farming practices. From an academic perspective, the new spectrum allows interview questions to be refined earlier in the process, provides a greater understanding of the farmer’s identity and allows for more targeted questions to take place during the research process. To illustrate, a combination of screening questions could be created to categorise farmers into the good farmer spectrum, which therefore could more quickly generate interview questions directly tailored to that type of farmer’s experiences and capital. This is particularly useful given the time constraints farmers face when participating in academic research. This process could help maximise the insights gained within a limited interview timeframe. </w:t>
      </w:r>
    </w:p>
    <w:p w:rsidR="00000000" w:rsidDel="00000000" w:rsidP="00000000" w:rsidRDefault="00000000" w:rsidRPr="00000000" w14:paraId="0000048B">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spectrum also provides valuable insights for policymakers, demonstrating that farmers do not all possess the same levels of social and cultural capital, and therefore require different forms of engagement and support. For example, policies that seek to engage farmers in greener behaviour need to be less focused on providing in-depth explanations on the scheme, as these farmers are already integrated into environmental networks that are already sharing this information. In contrast, the ‘good enough’ farmer requires more targeted support and guidance, particularly in terms of policy education and advice, to overcome barriers related to their weaker social networks and limited access to information. When the government looks to introduce new policies, it therefore needs to be aware that ‘farmers’ are not a one-size-fits-all group, but rather, they need to be engaged with and approached in different ways. To illustrate, the ‘good enough’ may be intimidated to join a new scheme due to the upfront costs it requires to change farming practices and a lack of confidence in interpreting the guidance. The government can therefore directly engage with this group, informing them of different grant options available or potential avenues of avoiding high costs of entrance to ensure scheme uptake and that these farmers remain in the industry. Further, financial incentives such as grants to support the upfront costs of transitioning to greener farming methods can play a significant role in encouraging adoption for farmers who do not sit on the ‘green’ end of the spectrum and are expected to have higher upfront costs. </w:t>
      </w:r>
    </w:p>
    <w:p w:rsidR="00000000" w:rsidDel="00000000" w:rsidP="00000000" w:rsidRDefault="00000000" w:rsidRPr="00000000" w14:paraId="0000048C">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broadly, the government can view the 'good farmer' spectrum as a market segmentation tool, allowing for more targeted promotion of schemes to different types of farmers. Doing so will ensure that all farmers, regardless of where they sit on the spectrum, can play an active role in shaping a resilient, sustainable agricultural future, while preventing the marginalisation or loss of expertise from either end of the spectrum. It also provides the government with an understanding of the composition of the ‘market’ and the different types of farmers it comprises, which is crucial for developing strategies to engage with them more effectively and ensuring the success and uptake of schemes. This is especially relevant, as on March 11, 2025, the Labour Government announced that SFI 2024 would be closed and that the scheme would be replaced with a new offer in early summer of 2025, following the Spending Review (Zeichner, 2025). Thus, this a timely opportunity to reassess and redesign support structures, embracing inclusive approaches that foster more effective methods of working and communicating across these different farmer types.</w:t>
      </w:r>
    </w:p>
    <w:p w:rsidR="00000000" w:rsidDel="00000000" w:rsidP="00000000" w:rsidRDefault="00000000" w:rsidRPr="00000000" w14:paraId="0000048D">
      <w:pPr>
        <w:pStyle w:val="Heading2"/>
        <w:numPr>
          <w:ilvl w:val="0"/>
          <w:numId w:val="11"/>
        </w:numPr>
        <w:ind w:left="720" w:hanging="360"/>
        <w:rPr/>
      </w:pPr>
      <w:bookmarkStart w:colFirst="0" w:colLast="0" w:name="_heading=h.ve9f68p7rba0" w:id="117"/>
      <w:bookmarkEnd w:id="117"/>
      <w:r w:rsidDel="00000000" w:rsidR="00000000" w:rsidRPr="00000000">
        <w:rPr>
          <w:rtl w:val="0"/>
        </w:rPr>
        <w:t xml:space="preserve">Recommendations for Future Research </w:t>
      </w:r>
    </w:p>
    <w:p w:rsidR="00000000" w:rsidDel="00000000" w:rsidP="00000000" w:rsidRDefault="00000000" w:rsidRPr="00000000" w14:paraId="0000048E">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Future research should look to expand the findings of this thesis and see how they may apply to other global contexts undergoing a policy transition towards more environmentally friendly agricultural practices. It would be useful to test the Good Farmer Spectrum on a wider range of cases in the UK as new schemes of the devolved administrations continue to be introduced and developed. Likewise, it can be applied and tested to the EU as new strategic plans for the CAP 2023-2027 period are implemented to address the goals of the European Green Deal. Broadening the scope of this research to apply beyond the national context of England can help further develop this spectrum as an influential tool for classifying and studying farmer behaviour. </w:t>
      </w:r>
    </w:p>
    <w:p w:rsidR="00000000" w:rsidDel="00000000" w:rsidP="00000000" w:rsidRDefault="00000000" w:rsidRPr="00000000" w14:paraId="0000048F">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central themes to emerge from this research was the role of environmental values in shaping farmers' decision-making, particularly in how they adopt environmentally sustainable practices while maintaining long-term financial viability. In the case of this thesis, all interviewed farmers who could be categorised as ‘green’ participated in an agri-environmental scheme, whether publicly or privately funded. Future research could explore whether participation in these schemes is a necessary component of being identified as a ‘green farmer’, or if there are farmers who farm in an environmentally responsible way, meet the broader criteria of the ‘green farmer’, yet choose not to participate or be compensated by these schemes. For example, can a ‘green farmer’ be considered ‘green’ if they are not supporting environmental schemes, programmes, and actions from government or leading environmental organisations? </w:t>
      </w:r>
    </w:p>
    <w:p w:rsidR="00000000" w:rsidDel="00000000" w:rsidP="00000000" w:rsidRDefault="00000000" w:rsidRPr="00000000" w14:paraId="00000490">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Future research could also focus on the case of climate change and how farmers' understanding of sustainability and climate change specifically impacts the development and application of the Good Farmer Spectrum. For example, further studies could focus on how other dimensions of environmentalism relate to the ‘good farmer’ spectrum. More specifically, it can look at how the ‘green farmer’ and ‘good farmer’ archetypes will evolve in response to climate change and global warming. To illustrate, if climate change continues to worsen, what impact does this have on the ‘good farmer’ and what they consider to be a symbol of ‘good farming’-- will this impact how ‘good farmers' respond to agri-environmental schemes or other green policies? </w:t>
      </w:r>
    </w:p>
    <w:p w:rsidR="00000000" w:rsidDel="00000000" w:rsidP="00000000" w:rsidRDefault="00000000" w:rsidRPr="00000000" w14:paraId="00000491">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case of how this type of question can be further explored is the summer of 2022, when extreme drought and a heat wave caused temperatures in the UK to rise by more than five degrees above average (Met Office, 2022). This event served as a cautionary reminder of the potential environmental changes that farmers may face in the future, highlighting the need for a better understanding of how these changes are perceived by farmers and whether they attribute such challenges to climate change or demonstrate concern towards these events. Asking farmers about their perceptions of climate change and its impact on their operations would be useful to identify at what point and what triggers may encourage ‘good farmers’ to adopt more ‘green farmer’ symbols of good farming practices. This is especially true for cases where the impact of climate change is not as visible due to relatively stable environments (e.g. is there a difference in farmer behaviour in parts of England that are more susceptible to drought compared to other parts with a cooler climate). </w:t>
      </w:r>
    </w:p>
    <w:p w:rsidR="00000000" w:rsidDel="00000000" w:rsidP="00000000" w:rsidRDefault="00000000" w:rsidRPr="00000000" w14:paraId="00000492">
      <w:pPr>
        <w:pStyle w:val="Heading2"/>
        <w:numPr>
          <w:ilvl w:val="0"/>
          <w:numId w:val="11"/>
        </w:numPr>
        <w:ind w:left="720" w:hanging="360"/>
        <w:rPr/>
      </w:pPr>
      <w:bookmarkStart w:colFirst="0" w:colLast="0" w:name="_heading=h.yo3euhr5bhkn" w:id="118"/>
      <w:bookmarkEnd w:id="118"/>
      <w:r w:rsidDel="00000000" w:rsidR="00000000" w:rsidRPr="00000000">
        <w:rPr>
          <w:rtl w:val="0"/>
        </w:rPr>
        <w:t xml:space="preserve">Conclusion </w:t>
      </w:r>
    </w:p>
    <w:p w:rsidR="00000000" w:rsidDel="00000000" w:rsidP="00000000" w:rsidRDefault="00000000" w:rsidRPr="00000000" w14:paraId="00000493">
      <w:pPr>
        <w:spacing w:after="200" w:before="24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thesis has addressed a notable gap in the existing literature through an updated conceptualisation of the ‘good farmer’, one that better reflects the modern realities and pressures shaping today’s agricultural sector. As the industry in England has responded to ongoing changes such as Brexit, the rise of environmental concerns, and the increasing influence of technology, traditional definitions of the ‘good farmer’ are no longer sufficient. This thesis demonstrates that cultural and social capital are now acquired in fundamentally different ways compared to when the concept was first introduced over sixteen years ago (by Burton, 2004). Farmers today are increasingly gaining social capital and decision-making guidance through online communities, digital resources, and virtual networks, rather than solely through traditional, place-based relationships. Similarly, information about climate change and sustainable practices are macro-trends that private corporations and the government are participating in and turning to the agricultural sector to work with. </w:t>
      </w:r>
    </w:p>
    <w:p w:rsidR="00000000" w:rsidDel="00000000" w:rsidP="00000000" w:rsidRDefault="00000000" w:rsidRPr="00000000" w14:paraId="00000494">
      <w:pPr>
        <w:spacing w:after="200" w:before="240" w:line="360" w:lineRule="auto"/>
        <w:rPr/>
      </w:pPr>
      <w:r w:rsidDel="00000000" w:rsidR="00000000" w:rsidRPr="00000000">
        <w:rPr>
          <w:rFonts w:ascii="Calibri" w:cs="Calibri" w:eastAsia="Calibri" w:hAnsi="Calibri"/>
          <w:sz w:val="24"/>
          <w:szCs w:val="24"/>
          <w:rtl w:val="0"/>
        </w:rPr>
        <w:t xml:space="preserve">The introduction of the novel Good Farmer Spectrum, therefore, furthers the academic understanding of farmer decision-making during periods of transition and accounts for the difference in farmer goals and intentions. It serves as a tool to better understand how to engage with farmers at either end of the spectrum and support them throughout the end of the transition period. The findings of this thesis also highlight that, by focusing on a lack of support–both financially and socially–to farmers and improving the understanding of the transition, there is hope that farmers will be better equipped to embrace these changes and contribute more effectively to the environment, and the fight against climate change more broadly.</w:t>
      </w:r>
      <w:r w:rsidDel="00000000" w:rsidR="00000000" w:rsidRPr="00000000">
        <w:rPr>
          <w:rtl w:val="0"/>
        </w:rPr>
      </w:r>
    </w:p>
    <w:p w:rsidR="00000000" w:rsidDel="00000000" w:rsidP="00000000" w:rsidRDefault="00000000" w:rsidRPr="00000000" w14:paraId="00000495">
      <w:pPr>
        <w:spacing w:after="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6">
      <w:pPr>
        <w:spacing w:after="200" w:line="36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7">
      <w:pPr>
        <w:pStyle w:val="Heading1"/>
        <w:rPr/>
      </w:pPr>
      <w:bookmarkStart w:colFirst="0" w:colLast="0" w:name="_heading=h.vzi3uyijau05" w:id="119"/>
      <w:bookmarkEnd w:id="119"/>
      <w:r w:rsidDel="00000000" w:rsidR="00000000" w:rsidRPr="00000000">
        <w:rPr>
          <w:rtl w:val="0"/>
        </w:rPr>
        <w:t xml:space="preserve">BIBLIOGRAPHY</w:t>
      </w:r>
    </w:p>
    <w:p w:rsidR="00000000" w:rsidDel="00000000" w:rsidP="00000000" w:rsidRDefault="00000000" w:rsidRPr="00000000" w14:paraId="0000049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Aberdeen, T. (2013). Yin, R. K. (2009). Case study research: Design and methods (4th Ed.). Thousand Oaks, CA: Sage. The Canadian Journal of Action Research, 14(1). https://doi.org/10.33524/cjar.v14i1.73</w:t>
      </w:r>
    </w:p>
    <w:p w:rsidR="00000000" w:rsidDel="00000000" w:rsidP="00000000" w:rsidRDefault="00000000" w:rsidRPr="00000000" w14:paraId="0000049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Agriculture Act 1986 (c. 49). London: HMSO. Retrieved from:</w:t>
      </w:r>
      <w:hyperlink r:id="rId29">
        <w:r w:rsidDel="00000000" w:rsidR="00000000" w:rsidRPr="00000000">
          <w:rPr>
            <w:rFonts w:ascii="Calibri" w:cs="Calibri" w:eastAsia="Calibri" w:hAnsi="Calibri"/>
            <w:color w:val="1155cc"/>
            <w:sz w:val="24"/>
            <w:szCs w:val="24"/>
            <w:u w:val="single"/>
            <w:rtl w:val="0"/>
          </w:rPr>
          <w:t xml:space="preserve">https://www.legislation.gov.uk/ukpga/1986/49/contents</w:t>
        </w:r>
      </w:hyperlink>
      <w:r w:rsidDel="00000000" w:rsidR="00000000" w:rsidRPr="00000000">
        <w:rPr>
          <w:rtl w:val="0"/>
        </w:rPr>
      </w:r>
    </w:p>
    <w:p w:rsidR="00000000" w:rsidDel="00000000" w:rsidP="00000000" w:rsidRDefault="00000000" w:rsidRPr="00000000" w14:paraId="0000049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Agriculture Act 2020, c. 21. Retrieved from https://www.legislation.gov.uk/ukpga/2020/21/contents/enacted</w:t>
      </w:r>
    </w:p>
    <w:p w:rsidR="00000000" w:rsidDel="00000000" w:rsidP="00000000" w:rsidRDefault="00000000" w:rsidRPr="00000000" w14:paraId="0000049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Agriculture in the United Kingdom 2020 Produced by: Department for Environment, Food and Rural Affairs Department of Agriculture, Environment and Rural Affairs (Northern Ireland) Welsh Government, Knowledge and Analytical Services the Scottish Government, Rural and Environment Science and Analytical Services. (2021).</w:t>
      </w:r>
    </w:p>
    <w:p w:rsidR="00000000" w:rsidDel="00000000" w:rsidP="00000000" w:rsidRDefault="00000000" w:rsidRPr="00000000" w14:paraId="0000049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Alan Beattie. (2018). Brexit and agriculture: British farmers to plough new course. Financial Times.</w:t>
      </w:r>
    </w:p>
    <w:p w:rsidR="00000000" w:rsidDel="00000000" w:rsidP="00000000" w:rsidRDefault="00000000" w:rsidRPr="00000000" w14:paraId="000004A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Average farm business income in Wales 2018-19 and change since 2017-18 (at current prices). (n.d.).</w:t>
      </w:r>
    </w:p>
    <w:p w:rsidR="00000000" w:rsidDel="00000000" w:rsidP="00000000" w:rsidRDefault="00000000" w:rsidRPr="00000000" w14:paraId="000004A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Bateman, I. J., &amp; Balmford, B. (2018). Public funding for public goods: A post-Brexit perspective on principles for agricultural policy. Land Use Policy, 79, 293–300. https://doi.org/10.1016/j.landusepol.2018.08.022</w:t>
      </w:r>
    </w:p>
    <w:p w:rsidR="00000000" w:rsidDel="00000000" w:rsidP="00000000" w:rsidRDefault="00000000" w:rsidRPr="00000000" w14:paraId="000004A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Benbasat, I., Goldstein, D. K., &amp; Mead, M. (1987). The case research strategy in studies of information systems. </w:t>
      </w:r>
      <w:r w:rsidDel="00000000" w:rsidR="00000000" w:rsidRPr="00000000">
        <w:rPr>
          <w:rFonts w:ascii="Calibri" w:cs="Calibri" w:eastAsia="Calibri" w:hAnsi="Calibri"/>
          <w:i w:val="1"/>
          <w:sz w:val="24"/>
          <w:szCs w:val="24"/>
          <w:rtl w:val="0"/>
        </w:rPr>
        <w:t xml:space="preserve">MIS Quarterly, 11</w:t>
      </w:r>
      <w:r w:rsidDel="00000000" w:rsidR="00000000" w:rsidRPr="00000000">
        <w:rPr>
          <w:rFonts w:ascii="Calibri" w:cs="Calibri" w:eastAsia="Calibri" w:hAnsi="Calibri"/>
          <w:sz w:val="24"/>
          <w:szCs w:val="24"/>
          <w:rtl w:val="0"/>
        </w:rPr>
        <w:t xml:space="preserve">(3), 369–386. </w:t>
      </w:r>
      <w:hyperlink r:id="rId30">
        <w:r w:rsidDel="00000000" w:rsidR="00000000" w:rsidRPr="00000000">
          <w:rPr>
            <w:rFonts w:ascii="Calibri" w:cs="Calibri" w:eastAsia="Calibri" w:hAnsi="Calibri"/>
            <w:color w:val="0000ff"/>
            <w:sz w:val="24"/>
            <w:szCs w:val="24"/>
            <w:u w:val="single"/>
            <w:rtl w:val="0"/>
          </w:rPr>
          <w:t xml:space="preserve">https://doi.org/10.2307/249204</w:t>
        </w:r>
      </w:hyperlink>
      <w:r w:rsidDel="00000000" w:rsidR="00000000" w:rsidRPr="00000000">
        <w:rPr>
          <w:rtl w:val="0"/>
        </w:rPr>
      </w:r>
    </w:p>
    <w:p w:rsidR="00000000" w:rsidDel="00000000" w:rsidP="00000000" w:rsidRDefault="00000000" w:rsidRPr="00000000" w14:paraId="000004A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Bett, C., Ouma, J. O., &amp; De Groote, H. (2010). Perspectives of gatekeepers in the Kenyan food industry towards genetically modified food. Food Policy, 35(4), 332–340. https://doi.org/10.1016/j.foodpol.2010.01.003</w:t>
      </w:r>
    </w:p>
    <w:p w:rsidR="00000000" w:rsidDel="00000000" w:rsidP="00000000" w:rsidRDefault="00000000" w:rsidRPr="00000000" w14:paraId="000004A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Bosworth, G., Price, L., Collison, M., &amp; Fox, C. (2020). Unequal futures of rural mobility: Challenges for a “Smart Countryside.” Local Economy, 35(6). https://doi.org/10.1177/0269094220968231</w:t>
      </w:r>
    </w:p>
    <w:p w:rsidR="00000000" w:rsidDel="00000000" w:rsidP="00000000" w:rsidRDefault="00000000" w:rsidRPr="00000000" w14:paraId="000004A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P. (1986). Pierre Bourdieu 1986 - The forms of capital. Handbook of Theory and Research for the Sociology of Education.</w:t>
      </w:r>
    </w:p>
    <w:p w:rsidR="00000000" w:rsidDel="00000000" w:rsidP="00000000" w:rsidRDefault="00000000" w:rsidRPr="00000000" w14:paraId="000004A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P. (1997). The forms of capital. In A. H. Halsey (Ed.), Education: Culture, Economy and Society (pp. 241–258). Oxford University Press.</w:t>
      </w:r>
    </w:p>
    <w:p w:rsidR="00000000" w:rsidDel="00000000" w:rsidP="00000000" w:rsidRDefault="00000000" w:rsidRPr="00000000" w14:paraId="000004A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P. (2002). The forms of capital. In J. G. Richardson (Ed.), Handbook for Theory and Research for the Sociology of Education (pp. 241–258). Greenwood.</w:t>
      </w:r>
    </w:p>
    <w:p w:rsidR="00000000" w:rsidDel="00000000" w:rsidP="00000000" w:rsidRDefault="00000000" w:rsidRPr="00000000" w14:paraId="000004B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Bradley, D., &amp; Hill, B. (n.d.). Agribusiness Consulting | Informa in association with Promar International QUANTITATIVE MODELLING FOR POST-BREXIT SCENARIOS. Retrieved November 1, 2021, from www.ceasc.com</w:t>
      </w:r>
    </w:p>
    <w:p w:rsidR="00000000" w:rsidDel="00000000" w:rsidP="00000000" w:rsidRDefault="00000000" w:rsidRPr="00000000" w14:paraId="000004B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Brady, M., Hristov, J., Höjgård, S., Jansson, T., Johansson, H., Larsson, C., Nordin, I., &amp; Rabinowicz, E. (n.d.). Impacts of Direct Payments Lessons for CAP post-2020 from a quantitative analysis.</w:t>
      </w:r>
    </w:p>
    <w:p w:rsidR="00000000" w:rsidDel="00000000" w:rsidP="00000000" w:rsidRDefault="00000000" w:rsidRPr="00000000" w14:paraId="000004B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Bryman, A. (2016). Social Research Methods.</w:t>
      </w:r>
    </w:p>
    <w:p w:rsidR="00000000" w:rsidDel="00000000" w:rsidP="00000000" w:rsidRDefault="00000000" w:rsidRPr="00000000" w14:paraId="000004B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Burgess, P. J., Graves, A. R., Goodall, G. R., &amp; Brierley, E. D. R. (2000). Bedfordshire Farm Woodland Project: Final project for European Commission (ARINCO No. 95.UK.06.002). Cranfield University.</w:t>
      </w:r>
    </w:p>
    <w:p w:rsidR="00000000" w:rsidDel="00000000" w:rsidP="00000000" w:rsidRDefault="00000000" w:rsidRPr="00000000" w14:paraId="000004B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Burns, L. (2020). Challenges to Habitus: Scruffy Hedges and Weeds in the Irish Countryside. Sociologia Ruralis. https://doi.org/10.1111/soru.12307</w:t>
      </w:r>
    </w:p>
    <w:p w:rsidR="00000000" w:rsidDel="00000000" w:rsidP="00000000" w:rsidRDefault="00000000" w:rsidRPr="00000000" w14:paraId="000004B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(2004). Seeing through the “good farmer’s” eyes: Towards developing an understanding of the social symbolic value of “productivist” behaviour. Sociologia Ruralis, 44(2). https://doi.org/10.1111/j.1467-9523.2004.00270.x</w:t>
      </w:r>
    </w:p>
    <w:p w:rsidR="00000000" w:rsidDel="00000000" w:rsidP="00000000" w:rsidRDefault="00000000" w:rsidRPr="00000000" w14:paraId="000004B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(2014). The influence of farmer demographic characteristics on environmental behaviour: A review. Journal of Environmental Management, 135(Supplement C), 19-26. </w:t>
      </w:r>
      <w:hyperlink r:id="rId31">
        <w:r w:rsidDel="00000000" w:rsidR="00000000" w:rsidRPr="00000000">
          <w:rPr>
            <w:rFonts w:ascii="Calibri" w:cs="Calibri" w:eastAsia="Calibri" w:hAnsi="Calibri"/>
            <w:color w:val="1155cc"/>
            <w:sz w:val="24"/>
            <w:szCs w:val="24"/>
            <w:u w:val="single"/>
            <w:rtl w:val="0"/>
          </w:rPr>
          <w:t xml:space="preserve">https://doi.org/10.1016/j.jenvman.2013.12.005</w:t>
        </w:r>
      </w:hyperlink>
      <w:r w:rsidDel="00000000" w:rsidR="00000000" w:rsidRPr="00000000">
        <w:rPr>
          <w:rtl w:val="0"/>
        </w:rPr>
      </w:r>
    </w:p>
    <w:p w:rsidR="00000000" w:rsidDel="00000000" w:rsidP="00000000" w:rsidRDefault="00000000" w:rsidRPr="00000000" w14:paraId="000004B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Forney, J., Stock, P., &amp; Sutherland, L. A. (2020). The good farmer: Culture and identity in food and agriculture. In The Good Farmer: Culture and Identity in Food and Agriculture. https://doi.org/10.4324/9781315190655</w:t>
      </w:r>
    </w:p>
    <w:p w:rsidR="00000000" w:rsidDel="00000000" w:rsidP="00000000" w:rsidRDefault="00000000" w:rsidRPr="00000000" w14:paraId="000004C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Kuczera, C., &amp; Schwarz, G. (2008). Exploring farmers’ cultural resistance to voluntary agri-environmental schemes. Sociologia Ruralis, 48(1). https://doi.org/10.1111/j.1467-9523.2008.00452.x</w:t>
      </w:r>
    </w:p>
    <w:p w:rsidR="00000000" w:rsidDel="00000000" w:rsidP="00000000" w:rsidRDefault="00000000" w:rsidRPr="00000000" w14:paraId="000004C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&amp; Paragahawewa, U. H. (2011). Creating culturally sustainable agri-environmental schemes. Journal of Rural Studies, 27, 95–104. https://doi.org/10.1016/j.jrurstud.2010.11.001</w:t>
      </w:r>
    </w:p>
    <w:p w:rsidR="00000000" w:rsidDel="00000000" w:rsidP="00000000" w:rsidRDefault="00000000" w:rsidRPr="00000000" w14:paraId="000004C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Burton, R. J. F., &amp; Wilson, G. A. (2006). Injecting social psychology theory into conceptualisations of agricultural agency: Towards a post-productivist farmer self-identity? Journal of Rural Studies, 22, 95–115. https://doi.org/10.1016/j.jrurstud.2005.07.004</w:t>
      </w:r>
    </w:p>
    <w:p w:rsidR="00000000" w:rsidDel="00000000" w:rsidP="00000000" w:rsidRDefault="00000000" w:rsidRPr="00000000" w14:paraId="000004C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 Reform – an explanation of the main elements. (2013, June 23). Https://Ec.Europa.Eu/Commission/Presscorner/Detail/En/Memo_13_621.</w:t>
      </w:r>
    </w:p>
    <w:p w:rsidR="00000000" w:rsidDel="00000000" w:rsidP="00000000" w:rsidRDefault="00000000" w:rsidRPr="00000000" w14:paraId="000004C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Capitanio, F., Coppola, A., &amp; Pascucci, S. (2011). Farmers' willingness to participate in agri-environmental schemes: A case study in Italy. Agricultural Systems, 104(5), 404–410. https://doi.org/10.1016/j.agsy.2011.02.003</w:t>
      </w:r>
    </w:p>
    <w:p w:rsidR="00000000" w:rsidDel="00000000" w:rsidP="00000000" w:rsidRDefault="00000000" w:rsidRPr="00000000" w14:paraId="000004C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Chapter 3: Proposals for Inclusion in the New Agriculture Bill. (n.d.). Https://Www.Gov.Scot/Publications/Delivering-Vision-Scottish-Agriculture-Proposals-New-Agriculture-Bill/Pages/4/.</w:t>
      </w:r>
    </w:p>
    <w:p w:rsidR="00000000" w:rsidDel="00000000" w:rsidP="00000000" w:rsidRDefault="00000000" w:rsidRPr="00000000" w14:paraId="000004C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Charmaz, K. (2014). Constructing Grounded Theory - Kathy Charmaz - Google Books. In Google Scholar.</w:t>
      </w:r>
    </w:p>
    <w:p w:rsidR="00000000" w:rsidDel="00000000" w:rsidP="00000000" w:rsidRDefault="00000000" w:rsidRPr="00000000" w14:paraId="000004C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Clements, J., Lobley, M., Osborne, J., &amp; Wills, J. (2021). How can academic research on UK agri-environment schemes pivot to meet the addition of climate mitigation aims? Land Use Policy, 106, 105441. https://doi.org/10.1016/J.LANDUSEPOL.2021.105441</w:t>
      </w:r>
    </w:p>
    <w:p w:rsidR="00000000" w:rsidDel="00000000" w:rsidP="00000000" w:rsidRDefault="00000000" w:rsidRPr="00000000" w14:paraId="000004D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Coe, S., &amp; Uberoi, E. (2023). Farm funding: Implementing new approaches.</w:t>
      </w:r>
    </w:p>
    <w:p w:rsidR="00000000" w:rsidDel="00000000" w:rsidP="00000000" w:rsidRDefault="00000000" w:rsidRPr="00000000" w14:paraId="000004D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 Agricultural Policy. (2015). In CIVITAS. http://www.civitas.org.uk/eufacts/EUevents.php</w:t>
      </w:r>
    </w:p>
    <w:p w:rsidR="00000000" w:rsidDel="00000000" w:rsidP="00000000" w:rsidRDefault="00000000" w:rsidRPr="00000000" w14:paraId="000004D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Corbin, J. M., &amp; Strauss, A. L. (1990). Basics of qualitative research: Techniques and procedures for developing grounded theory (2nd ed.). Sage Publications.</w:t>
      </w:r>
    </w:p>
    <w:p w:rsidR="00000000" w:rsidDel="00000000" w:rsidP="00000000" w:rsidRDefault="00000000" w:rsidRPr="00000000" w14:paraId="000004D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Corbin, J. M., &amp; Strauss, A. L. (2008). Basics of qualitative research: Techniques and procedures for developing grounded theory (3rd ed.). Sage Publications.</w:t>
      </w:r>
    </w:p>
    <w:p w:rsidR="00000000" w:rsidDel="00000000" w:rsidP="00000000" w:rsidRDefault="00000000" w:rsidRPr="00000000" w14:paraId="000004D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Corbin, J., &amp; Strauss, A. (2012). Basics of Qualitative Research (3rd ed.): Techniques and Procedures for Developing Grounded Theory. In Basics of Qualitative Research (3rd ed.): Techniques and Procedures for Developing Grounded Theory. SAGE Publications, Inc. https://doi.org/10.4135/9781452230153</w:t>
      </w:r>
    </w:p>
    <w:p w:rsidR="00000000" w:rsidDel="00000000" w:rsidP="00000000" w:rsidRDefault="00000000" w:rsidRPr="00000000" w14:paraId="000004D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Council Regulation (EEC) No. 797/85 of 12 March 1985 on improving the efficiency of agricultural structures. </w:t>
      </w:r>
      <w:r w:rsidDel="00000000" w:rsidR="00000000" w:rsidRPr="00000000">
        <w:rPr>
          <w:rFonts w:ascii="Calibri" w:cs="Calibri" w:eastAsia="Calibri" w:hAnsi="Calibri"/>
          <w:i w:val="1"/>
          <w:sz w:val="24"/>
          <w:szCs w:val="24"/>
          <w:rtl w:val="0"/>
        </w:rPr>
        <w:t xml:space="preserve">Official Journal of the European Communities</w:t>
      </w:r>
      <w:r w:rsidDel="00000000" w:rsidR="00000000" w:rsidRPr="00000000">
        <w:rPr>
          <w:rFonts w:ascii="Calibri" w:cs="Calibri" w:eastAsia="Calibri" w:hAnsi="Calibri"/>
          <w:sz w:val="24"/>
          <w:szCs w:val="24"/>
          <w:rtl w:val="0"/>
        </w:rPr>
        <w:t xml:space="preserve">, L 93, 30.3.1985, pp. 1–18.</w:t>
      </w:r>
    </w:p>
    <w:p w:rsidR="00000000" w:rsidDel="00000000" w:rsidP="00000000" w:rsidRDefault="00000000" w:rsidRPr="00000000" w14:paraId="000004D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Coyne, L., Kendall, H., Hansda, R., Reed, M. S., &amp; Williams, D. J. L. (2021). Identifying economic and societal drivers of engagement in agri-environmental schemes for English dairy producers. Land Use Policy, 101. https://doi.org/10.1016/j.landusepol.2020.105174</w:t>
      </w:r>
    </w:p>
    <w:p w:rsidR="00000000" w:rsidDel="00000000" w:rsidP="00000000" w:rsidRDefault="00000000" w:rsidRPr="00000000" w14:paraId="000004D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Cunha, A., &amp; Swinbank, A. (2011). An inside view of the CAP reform process: Explaining the MacSharry, Agenda 2000, and Fischler reforms. Oxford University Press. https://doi.org/10.1093/acprof:oso/9780199591572.001.0001</w:t>
      </w:r>
    </w:p>
    <w:p w:rsidR="00000000" w:rsidDel="00000000" w:rsidP="00000000" w:rsidRDefault="00000000" w:rsidRPr="00000000" w14:paraId="000004E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Cusworth, G. (2020). Falling short of being the ‘good farmer’: Losses of social and cultural capital incurred through environmental mismanagement, and the long-term impacts agri-environment scheme participation. Journal of Rural Studies, 75, 164–173. https://doi.org/10.1016/j.jrurstud.2020.01.021</w:t>
      </w:r>
    </w:p>
    <w:p w:rsidR="00000000" w:rsidDel="00000000" w:rsidP="00000000" w:rsidRDefault="00000000" w:rsidRPr="00000000" w14:paraId="000004E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Cusworth, G., &amp; Dodsworth, J. (2021). Using the ‘good farmer’ concept to explore agricultural attitudes to the provision of public goods. A case study of participants in an English agri-environment scheme. Agriculture and Human Values, 38(4). https://doi.org/10.1007/s10460-021-10215-z</w:t>
      </w:r>
    </w:p>
    <w:p w:rsidR="00000000" w:rsidDel="00000000" w:rsidP="00000000" w:rsidRDefault="00000000" w:rsidRPr="00000000" w14:paraId="000004E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Boon, A., Sandström, C., &amp; Rose, D. C. (2022). Governing agricultural innovation: A comprehensive framework to underpin sustainable transitions. Journal of Rural Studies, 89, 407–422. https://doi.org/10.1016/j.jrurstud.2021.07.019</w:t>
      </w:r>
    </w:p>
    <w:p w:rsidR="00000000" w:rsidDel="00000000" w:rsidP="00000000" w:rsidRDefault="00000000" w:rsidRPr="00000000" w14:paraId="000004E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 Snoo, G.R. et al. (2013) ‘Toward effective nature conservation on farmland: making farmers matter’, Conservation letters, 6(1), pp. 66–72. Available at: https://doi.org/10.1111/j.1755-263X.2012.00296.x.</w:t>
      </w:r>
    </w:p>
    <w:p w:rsidR="00000000" w:rsidDel="00000000" w:rsidP="00000000" w:rsidRDefault="00000000" w:rsidRPr="00000000" w14:paraId="000004E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(2014). Cap Reform Countdown: Introducing Countryside Stewardship November 2014. https://assets.publishing.service.gov.uk/government/uploads/system/uploads/attachment_data/file/389717/cap-reform-countryside-stewardship.pdf</w:t>
      </w:r>
    </w:p>
    <w:p w:rsidR="00000000" w:rsidDel="00000000" w:rsidP="00000000" w:rsidRDefault="00000000" w:rsidRPr="00000000" w14:paraId="000004E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(2018). Moving away from Direct Payments: Agriculture Bill - analysis of the impacts of removing Direct Payments. https://www.gov.uk/government/organisations/department-for-environment-food-rural-affairs/about/research</w:t>
      </w:r>
    </w:p>
    <w:p w:rsidR="00000000" w:rsidDel="00000000" w:rsidP="00000000" w:rsidRDefault="00000000" w:rsidRPr="00000000" w14:paraId="000004E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(2020). The Agricultural Transition Period 2021 to 2024 Adviser Pack: Information and resources about the upcoming changes to English agricultural policy. www.gov.uk/defra</w:t>
      </w:r>
    </w:p>
    <w:p w:rsidR="00000000" w:rsidDel="00000000" w:rsidP="00000000" w:rsidRDefault="00000000" w:rsidRPr="00000000" w14:paraId="000004E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(2022). Agriculture in the UK Evidence Pack. https://assets.publishing.service.gov.uk/media/6331b071e90e0711d5d595df/AUK_Evidence_Pack_2021_Sept22.pdf</w:t>
      </w:r>
    </w:p>
    <w:p w:rsidR="00000000" w:rsidDel="00000000" w:rsidP="00000000" w:rsidRDefault="00000000" w:rsidRPr="00000000" w14:paraId="000004F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(2021a). Hedgerows standard of the Sustainable Farming Incentive pilot. Farming Blog.</w:t>
      </w:r>
    </w:p>
    <w:p w:rsidR="00000000" w:rsidDel="00000000" w:rsidP="00000000" w:rsidRDefault="00000000" w:rsidRPr="00000000" w14:paraId="000004F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(2021b). Sustainable Farming Incentive Pilot: agreement terms and conditions.</w:t>
      </w:r>
    </w:p>
    <w:p w:rsidR="00000000" w:rsidDel="00000000" w:rsidP="00000000" w:rsidRDefault="00000000" w:rsidRPr="00000000" w14:paraId="000004F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(2021c). Total income from farming in the United Kingdom: First estimate for 2020.</w:t>
      </w:r>
    </w:p>
    <w:p w:rsidR="00000000" w:rsidDel="00000000" w:rsidP="00000000" w:rsidRDefault="00000000" w:rsidRPr="00000000" w14:paraId="000004F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(2023). Environmental land management schemes: details of actions and payments. Https://Defrafarming.Blog.Gov.Uk/2023/01/26/Environmental-Land-Management-Schemes-Details-of-Actions-and-Payments/.</w:t>
      </w:r>
    </w:p>
    <w:p w:rsidR="00000000" w:rsidDel="00000000" w:rsidP="00000000" w:rsidRDefault="00000000" w:rsidRPr="00000000" w14:paraId="000004F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(2024a). Delinked payments: replacing the Basic Payment Scheme. Https://Www.Gov.Uk/Guidance/Delinked-Payments-Replacing-the-Basic-Payment-Scheme.</w:t>
      </w:r>
    </w:p>
    <w:p w:rsidR="00000000" w:rsidDel="00000000" w:rsidP="00000000" w:rsidRDefault="00000000" w:rsidRPr="00000000" w14:paraId="000004F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(2024b). Farmer Opinion Tracker for England: April 2024. Https://Www.Gov.Uk/Government/Statistics/Farmer-Opinion-Tracker-for-England-April-2024/Farmer-Opinion-Tracker-for-England-April-2024.</w:t>
      </w:r>
    </w:p>
    <w:p w:rsidR="00000000" w:rsidDel="00000000" w:rsidP="00000000" w:rsidRDefault="00000000" w:rsidRPr="00000000" w14:paraId="000004F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(2024c, March 25). Why we’re putting area limits on some SFI actions. Https://Defrafarming.Blog.Gov.Uk/2024/03/25/Why-Were-Putting-Area-Limits-on-Some-Sfi-Actions/.</w:t>
      </w:r>
    </w:p>
    <w:p w:rsidR="00000000" w:rsidDel="00000000" w:rsidP="00000000" w:rsidRDefault="00000000" w:rsidRPr="00000000" w14:paraId="000004F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(2024d, October 31). Official Statistics: Agricultural facts: Summary. Https://Www.Gov.Uk/Government/Statistics/Agricultural-Facts-England-Regional-Profiles/Agricultural-Facts-Summary.</w:t>
      </w:r>
    </w:p>
    <w:p w:rsidR="00000000" w:rsidDel="00000000" w:rsidP="00000000" w:rsidRDefault="00000000" w:rsidRPr="00000000" w14:paraId="0000050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(2025, February 5). Farmer Opinion Tracker for England: April 2023. Https://Www.Gov.Uk/Government/Statistics/Farmer-Opinion-Tracker-for-England-April-2023/Farmer-Opinion-Tracker-for-England-April-2023.</w:t>
      </w:r>
    </w:p>
    <w:p w:rsidR="00000000" w:rsidDel="00000000" w:rsidP="00000000" w:rsidRDefault="00000000" w:rsidRPr="00000000" w14:paraId="0000050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Natural England, &amp; The European Agricultural Fund for Rural Development. (2017). Countryside Stewardship: Mid Tier Options, Supplements and Capital Items. www.gov.uk/countrysidestewardship</w:t>
      </w:r>
    </w:p>
    <w:p w:rsidR="00000000" w:rsidDel="00000000" w:rsidP="00000000" w:rsidRDefault="00000000" w:rsidRPr="00000000" w14:paraId="0000050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 UK - Science Search. (n.d.). Retrieved March 15, 2022, from http://sciencesearch.defra.gov.uk/Default.aspx?Menu=Menu&amp;Module=More&amp;Location=None&amp;Completed=0&amp;ProjectID=14518</w:t>
      </w:r>
    </w:p>
    <w:p w:rsidR="00000000" w:rsidDel="00000000" w:rsidP="00000000" w:rsidRDefault="00000000" w:rsidRPr="00000000" w14:paraId="0000050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Defrancesco, E., Gatto, P., Runge, F., &amp; Trestini, S. (2008). Factors affecting farmers ‘participation in agri-environmental measures: A northern Italian perspective. Journal of Agricultural Economics, 59, 114–131. https://doi.org/10.1111/j.1477-9552.2007.00134.x</w:t>
      </w:r>
    </w:p>
    <w:p w:rsidR="00000000" w:rsidDel="00000000" w:rsidP="00000000" w:rsidRDefault="00000000" w:rsidRPr="00000000" w14:paraId="0000050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for Environment, F. and R. A. (2009). Protecting our water, soil and air: a code of good agricultural practice for farmers, growers and land managers. The Stationery Office.</w:t>
      </w:r>
    </w:p>
    <w:p w:rsidR="00000000" w:rsidDel="00000000" w:rsidP="00000000" w:rsidRDefault="00000000" w:rsidRPr="00000000" w14:paraId="0000050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for Environment, F. and R. A., Department of Agriculture, E. and R. A. (Northern I., Welsh Assembly, T. D. for R. A. and H., &amp; The Scottish Government, R. &amp; E. S. &amp; A. S. (2016). Agriculture in the United Kingdom. https://assets.publishing.service.gov.uk/media/5a8234d4e5274a2e8ab580db/AUK-2016-08jan18.pdf</w:t>
      </w:r>
    </w:p>
    <w:p w:rsidR="00000000" w:rsidDel="00000000" w:rsidP="00000000" w:rsidRDefault="00000000" w:rsidRPr="00000000" w14:paraId="0000050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Dobbs, T. L., &amp; Pretty, J. (2008). Case study of agri-environmental payments: The United Kingdom. Ecological Economics. https://doi.org/10.1016/j.ecolecon.2007.07.030</w:t>
      </w:r>
    </w:p>
    <w:p w:rsidR="00000000" w:rsidDel="00000000" w:rsidP="00000000" w:rsidRDefault="00000000" w:rsidRPr="00000000" w14:paraId="0000050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Downing, E., &amp; Coe, S. (2018). Brexit: Future UK Agriculture Policy.</w:t>
      </w:r>
    </w:p>
    <w:p w:rsidR="00000000" w:rsidDel="00000000" w:rsidP="00000000" w:rsidRDefault="00000000" w:rsidRPr="00000000" w14:paraId="0000051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Droz, Y. (2022). Rob J. F. Burton, Jérémie Forney, Paul Stock et Lee-Ann Sutherland, The good Farmer. Culture and identity in food and agriculture. Etudes Rurales, 209(1). https://doi.org/10.4000/etudesrurales.29455</w:t>
      </w:r>
    </w:p>
    <w:p w:rsidR="00000000" w:rsidDel="00000000" w:rsidP="00000000" w:rsidRDefault="00000000" w:rsidRPr="00000000" w14:paraId="0000051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Eisenhardt, K. M. (1989). Building Theories from Case Study Research. The Academy of Management Review, 14, 532. https://doi.org/10.2307/258557</w:t>
      </w:r>
    </w:p>
    <w:p w:rsidR="00000000" w:rsidDel="00000000" w:rsidP="00000000" w:rsidRDefault="00000000" w:rsidRPr="00000000" w14:paraId="0000051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Eisenhardt, K. M., &amp; Graebner, M. E. (2007). Theory building from cases: Opportunities and challenges. Academy of Management Journal, 50(1), 25–32. https://doi.org/10.5465/amj.2007.24160888</w:t>
      </w:r>
    </w:p>
    <w:p w:rsidR="00000000" w:rsidDel="00000000" w:rsidP="00000000" w:rsidRDefault="00000000" w:rsidRPr="00000000" w14:paraId="0000051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Parliament. (n.d.). The common agricultural policy – instruments and reforms | Fact Sheets on the European Union | European Parliament. Https://Www.Europarl.Europa.Eu/Factsheets/En/Sheet/107/the-Common-Agricultural-Policy-Instruments-and-Reforms.</w:t>
      </w:r>
    </w:p>
    <w:p w:rsidR="00000000" w:rsidDel="00000000" w:rsidP="00000000" w:rsidRDefault="00000000" w:rsidRPr="00000000" w14:paraId="0000051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Parliament. (2023, October). The common agricultural policy – instruments and reforms | Fact Sheets on the European Union | European Parliament. Https://Www.Europarl.Europa.Eu/Factsheets/En/Sheet/107/the-Common-Agricultural-Policy-Instruments-and-Reforms.</w:t>
      </w:r>
    </w:p>
    <w:p w:rsidR="00000000" w:rsidDel="00000000" w:rsidP="00000000" w:rsidRDefault="00000000" w:rsidRPr="00000000" w14:paraId="0000051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Fàbregues, S., &amp; Paré, M.-H. (2007). Charmaz, Kathy C. (2006). Constructing Grounded Theory: A Practical Guide Through Qualitative Analysis. Papers. Revista de Sociologia, 86. https://doi.org/10.5565/rev/papers/v86n0.825</w:t>
      </w:r>
    </w:p>
    <w:p w:rsidR="00000000" w:rsidDel="00000000" w:rsidP="00000000" w:rsidRDefault="00000000" w:rsidRPr="00000000" w14:paraId="0000051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“Family farms are a significant part of Welsh society and culture - they need to be protected.” Farming Connect’s Iaith y Pridd/Language of the Land report published | Business Wales. (n.d.). Retrieved November 1, 2021, from https://businesswales.gov.wales/farmingconnect/news-and-events/news/family-farms-are-significant-part-welsh-society-and-culture-they-need-be-protected-farming-connects</w:t>
      </w:r>
    </w:p>
    <w:p w:rsidR="00000000" w:rsidDel="00000000" w:rsidP="00000000" w:rsidRDefault="00000000" w:rsidRPr="00000000" w14:paraId="0000051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FAO. (2021). Emissions due to agriculture. Global, regional and country trends 2000–2018. FAOStat Analytical Brief 18, 7(1).</w:t>
      </w:r>
    </w:p>
    <w:p w:rsidR="00000000" w:rsidDel="00000000" w:rsidP="00000000" w:rsidRDefault="00000000" w:rsidRPr="00000000" w14:paraId="0000052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Farmers are guardians of Welsh culture - ProQuest. (n.d.). Retrieved November 1, 2021, from https://www.proquest.com/docview/1943034957?accountid=13828</w:t>
      </w:r>
    </w:p>
    <w:p w:rsidR="00000000" w:rsidDel="00000000" w:rsidP="00000000" w:rsidRDefault="00000000" w:rsidRPr="00000000" w14:paraId="0000052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Fennell, R. (1997). Scope and Orientation of the CAP in the l 960s. In The Common Agricultural Policy: Continuity and Change (pp. 23–50). Oxford University Press Oxford. https://doi.org/10.1093/oso/9780198288572.003.0002</w:t>
      </w:r>
    </w:p>
    <w:p w:rsidR="00000000" w:rsidDel="00000000" w:rsidP="00000000" w:rsidRDefault="00000000" w:rsidRPr="00000000" w14:paraId="0000052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Fenwick, N., Swales, D., &amp; Davies, J. (n.d.). Examination of witnesses.</w:t>
      </w:r>
    </w:p>
    <w:p w:rsidR="00000000" w:rsidDel="00000000" w:rsidP="00000000" w:rsidRDefault="00000000" w:rsidRPr="00000000" w14:paraId="0000052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Finger, R., &amp; Lehmann, B. (2012). The role of farmers' risk preferences in the adoption of new technologies. Agricultural Economics, 43(5), 507–520. https://doi.org/10.1111/j.1574-0862.2012.00594.x</w:t>
      </w:r>
    </w:p>
    <w:p w:rsidR="00000000" w:rsidDel="00000000" w:rsidP="00000000" w:rsidRDefault="00000000" w:rsidRPr="00000000" w14:paraId="0000052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Finlay, L. (2002). Negotiating the swamp: The opportunity and challenge of reflexivity in research practice. Qualitative Research, 2(2), 209–230. https://doi.org/10.1177/146879410200200205</w:t>
      </w:r>
    </w:p>
    <w:p w:rsidR="00000000" w:rsidDel="00000000" w:rsidP="00000000" w:rsidRDefault="00000000" w:rsidRPr="00000000" w14:paraId="0000052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Gabel, V. M., Home, R., Stolze, M., Birrer, S., Steinemann, B., &amp; Köpke, U. (2018). The influence of on-farm advice on beliefs and motivations for Swiss lowland farmers to implement ecological compensation areas on their farms. Journal of Agricultural Education and Extension, 24(3). https://doi.org/10.1080/1389224X.2018.1428205</w:t>
      </w:r>
    </w:p>
    <w:p w:rsidR="00000000" w:rsidDel="00000000" w:rsidP="00000000" w:rsidRDefault="00000000" w:rsidRPr="00000000" w14:paraId="0000052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Garrod, G., Ruto, E., Willis, K., &amp; Powe, N. (2012). Heterogeneity of preferences for the benefits of Environmental Stewardship: A latent-class approach. Ecological Economics, 76. https://doi.org/10.1016/j.ecolecon.2012.02.011</w:t>
      </w:r>
    </w:p>
    <w:p w:rsidR="00000000" w:rsidDel="00000000" w:rsidP="00000000" w:rsidRDefault="00000000" w:rsidRPr="00000000" w14:paraId="0000052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George, A., &amp; Bennett, A. (2005). Case Studies and Theory Development. Case Studies and Theory Development in the Social Sciences, 36(3).</w:t>
      </w:r>
    </w:p>
    <w:p w:rsidR="00000000" w:rsidDel="00000000" w:rsidP="00000000" w:rsidRDefault="00000000" w:rsidRPr="00000000" w14:paraId="0000053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Giuliani, A., &amp; Baron, H. (2023). The CAP (Common Agricultural Policy): A Short History of Crises and Major Transformations of European Agriculture. Forum for Social Economics. https://doi.org/10.1080/07360932.2023.2259618</w:t>
      </w:r>
    </w:p>
    <w:p w:rsidR="00000000" w:rsidDel="00000000" w:rsidP="00000000" w:rsidRDefault="00000000" w:rsidRPr="00000000" w14:paraId="0000053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Glaser, B. G., &amp; Strauss, A. L. (1999). Discovery of grounded theory: Strategies for qualitative research. In Discovery of Grounded Theory: Strategies for Qualitative Research. Taylor and Francis. https://doi.org/10.4324/9780203793206</w:t>
      </w:r>
    </w:p>
    <w:p w:rsidR="00000000" w:rsidDel="00000000" w:rsidP="00000000" w:rsidRDefault="00000000" w:rsidRPr="00000000" w14:paraId="0000053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Gómez, M., Vergés, J., Fernàndez, M., Torne, M., Ayala, C., Wheeler, W., &amp; Karpuz, R. (2004). Networks of agri-environmental policy implementation: a case study of England’s Countryside Stewardship Scheme. Land Use Policy, 21(2), 177–191. https://doi.org/10.1016/J.LANDUSEPOL.2003.01.002</w:t>
      </w:r>
    </w:p>
    <w:p w:rsidR="00000000" w:rsidDel="00000000" w:rsidP="00000000" w:rsidRDefault="00000000" w:rsidRPr="00000000" w14:paraId="0000053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Gov.UK, H. (2025, January 27). Business Income Manual: BIM55051 - Farming in tax law: definition of farming. Https://Www.Gov.Uk/Hmrc-Internal-Manuals/Business-Income-Manual/Bim55051.</w:t>
      </w:r>
    </w:p>
    <w:p w:rsidR="00000000" w:rsidDel="00000000" w:rsidP="00000000" w:rsidRDefault="00000000" w:rsidRPr="00000000" w14:paraId="0000053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Grant, W. (2016). The Challenges Facing UK Farmers from Brexit. EuroChoices, 15(2). https://doi.org/10.1111/1746-692X.12127</w:t>
      </w:r>
    </w:p>
    <w:p w:rsidR="00000000" w:rsidDel="00000000" w:rsidP="00000000" w:rsidRDefault="00000000" w:rsidRPr="00000000" w14:paraId="0000053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Gray, J. (1998). </w:t>
      </w:r>
      <w:r w:rsidDel="00000000" w:rsidR="00000000" w:rsidRPr="00000000">
        <w:rPr>
          <w:rFonts w:ascii="Calibri" w:cs="Calibri" w:eastAsia="Calibri" w:hAnsi="Calibri"/>
          <w:i w:val="1"/>
          <w:sz w:val="24"/>
          <w:szCs w:val="24"/>
          <w:rtl w:val="0"/>
        </w:rPr>
        <w:t xml:space="preserve">Family farms in the Scottish Borders: A practical definition by hill sheep farmers.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Journal of Rural Studies, 14</w:t>
      </w:r>
      <w:r w:rsidDel="00000000" w:rsidR="00000000" w:rsidRPr="00000000">
        <w:rPr>
          <w:rFonts w:ascii="Calibri" w:cs="Calibri" w:eastAsia="Calibri" w:hAnsi="Calibri"/>
          <w:sz w:val="24"/>
          <w:szCs w:val="24"/>
          <w:rtl w:val="0"/>
        </w:rPr>
        <w:t xml:space="preserve">(3), 341–356. https://doi.org/10.1016/S0743-0167(97)00039-9</w:t>
      </w:r>
    </w:p>
    <w:p w:rsidR="00000000" w:rsidDel="00000000" w:rsidP="00000000" w:rsidRDefault="00000000" w:rsidRPr="00000000" w14:paraId="0000053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Grolleau, G., Mzoughi, N., Napoléone, C., &amp; Pellegrin, C. (2020). Does activating legacy concerns make farmers more likely to support conservation programmes? </w:t>
      </w:r>
      <w:r w:rsidDel="00000000" w:rsidR="00000000" w:rsidRPr="00000000">
        <w:rPr>
          <w:rFonts w:ascii="Calibri" w:cs="Calibri" w:eastAsia="Calibri" w:hAnsi="Calibri"/>
          <w:i w:val="1"/>
          <w:sz w:val="24"/>
          <w:szCs w:val="24"/>
          <w:rtl w:val="0"/>
        </w:rPr>
        <w:t xml:space="preserve">Journal of Environmental Economics and Policy</w:t>
      </w:r>
      <w:r w:rsidDel="00000000" w:rsidR="00000000" w:rsidRPr="00000000">
        <w:rPr>
          <w:rFonts w:ascii="Calibri" w:cs="Calibri" w:eastAsia="Calibri" w:hAnsi="Calibri"/>
          <w:sz w:val="24"/>
          <w:szCs w:val="24"/>
          <w:rtl w:val="0"/>
        </w:rPr>
        <w:t xml:space="preserve">. https://doi.org/10.1080/21606544.2020.1807410</w:t>
      </w:r>
    </w:p>
    <w:p w:rsidR="00000000" w:rsidDel="00000000" w:rsidP="00000000" w:rsidRDefault="00000000" w:rsidRPr="00000000" w14:paraId="0000053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Guide, F. (2022, December 16). 'You can’t farm green if your finances are in the red,’ farmers are told - Farmers Guide. Https://Www.Farmersguide.Co.Uk/Rural/You-Cant-Farm-Green-If-Your-Finances-Are-in-the-Red-Farmers-Are-Told/.</w:t>
      </w:r>
    </w:p>
    <w:p w:rsidR="00000000" w:rsidDel="00000000" w:rsidP="00000000" w:rsidRDefault="00000000" w:rsidRPr="00000000" w14:paraId="0000054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Haggerty, G., Hilsenroth, M. J., &amp; Vala-Stewart, R. (2009). Attachment and interpersonal distress: Examining the relationship between attachment styles and interpersonal problems in a clinical population. Clinical Psychology &amp; Psychotherapy, 16(1), 1–9. </w:t>
      </w:r>
      <w:hyperlink r:id="rId32">
        <w:r w:rsidDel="00000000" w:rsidR="00000000" w:rsidRPr="00000000">
          <w:rPr>
            <w:rFonts w:ascii="Calibri" w:cs="Calibri" w:eastAsia="Calibri" w:hAnsi="Calibri"/>
            <w:color w:val="0000ff"/>
            <w:sz w:val="24"/>
            <w:szCs w:val="24"/>
            <w:u w:val="single"/>
            <w:rtl w:val="0"/>
          </w:rPr>
          <w:t xml:space="preserve">https://doi.org/10.1002/cpp.596</w:t>
        </w:r>
      </w:hyperlink>
      <w:r w:rsidDel="00000000" w:rsidR="00000000" w:rsidRPr="00000000">
        <w:rPr>
          <w:rtl w:val="0"/>
        </w:rPr>
      </w:r>
    </w:p>
    <w:p w:rsidR="00000000" w:rsidDel="00000000" w:rsidP="00000000" w:rsidRDefault="00000000" w:rsidRPr="00000000" w14:paraId="0000054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House of Lords Communications and Digital Committee. (2023). Digital exclusion in the UK: Communications and Digital Committee report. House of Lords Library. https://lordslibrary.parliament.uk/digital-exclusion-in-the-uk-communications-and-digital-committee-report/</w:t>
      </w:r>
    </w:p>
    <w:p w:rsidR="00000000" w:rsidDel="00000000" w:rsidP="00000000" w:rsidRDefault="00000000" w:rsidRPr="00000000" w14:paraId="0000054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Heffron, A. (2024, November 19). Farm inheritance tax: farmers cannot go green if they are in the red. Https://Theconversation.Com/Farm-Inheritance-Tax-Farmers-Cannot-Go-Green-If-They-Are-in-the-Red-243527.</w:t>
      </w:r>
    </w:p>
    <w:p w:rsidR="00000000" w:rsidDel="00000000" w:rsidP="00000000" w:rsidRDefault="00000000" w:rsidRPr="00000000" w14:paraId="0000054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Hejnowicz, A. P., Rudd, M. A., &amp; White, P. C. L. (2016). A survey exploring private farm advisor perspectives of agri-environment schemes: The case of England’s Environmental Stewardship programme. Land Use Policy. https://doi.org/10.1016/j.landusepol.2016.04.005</w:t>
      </w:r>
    </w:p>
    <w:p w:rsidR="00000000" w:rsidDel="00000000" w:rsidP="00000000" w:rsidRDefault="00000000" w:rsidRPr="00000000" w14:paraId="0000054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Helm, D. (2017). Agriculture after Brexit. Oxford Review of Economic Policy, 33. https://doi.org/10.1093/oxrep/grx010</w:t>
      </w:r>
    </w:p>
    <w:p w:rsidR="00000000" w:rsidDel="00000000" w:rsidP="00000000" w:rsidRDefault="00000000" w:rsidRPr="00000000" w14:paraId="0000054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Hill, B. (2021). UK after Brexit – a Massive Field Experiment for CAP Reform? EuroChoices, 20(1), 62–66. https://doi.org/10.1111/1746-692X.12275</w:t>
      </w:r>
    </w:p>
    <w:p w:rsidR="00000000" w:rsidDel="00000000" w:rsidP="00000000" w:rsidRDefault="00000000" w:rsidRPr="00000000" w14:paraId="0000054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Hodge, I., &amp; Reader, M. (2010). The introduction of Entry Level Stewardship in England: Extension or dilution in agri-environment policy? Land Use Policy. https://doi.org/10.1016/j.landusepol.2009.03.005</w:t>
      </w:r>
    </w:p>
    <w:p w:rsidR="00000000" w:rsidDel="00000000" w:rsidP="00000000" w:rsidRDefault="00000000" w:rsidRPr="00000000" w14:paraId="0000054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Hollweck, T. (2015).  Robert K. Yin. (2014). Case Study Research Design and Methods (5th ed.). . Canadian Journal of Program Evaluation, 30(1). https://doi.org/10.3138/cjpe.30.1.108</w:t>
      </w:r>
    </w:p>
    <w:p w:rsidR="00000000" w:rsidDel="00000000" w:rsidP="00000000" w:rsidRDefault="00000000" w:rsidRPr="00000000" w14:paraId="0000055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House of Lords European Union Committee, H. (2017). Brexit: agriculture. http://www.parliament.uk/hleu.</w:t>
      </w:r>
    </w:p>
    <w:p w:rsidR="00000000" w:rsidDel="00000000" w:rsidP="00000000" w:rsidRDefault="00000000" w:rsidRPr="00000000" w14:paraId="0000055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a General Election actually work? Parliamentary system. (2015). http://www.civitas.org.uk/eufacts/EUevents.php</w:t>
      </w:r>
    </w:p>
    <w:p w:rsidR="00000000" w:rsidDel="00000000" w:rsidP="00000000" w:rsidRDefault="00000000" w:rsidRPr="00000000" w14:paraId="0000055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Hubbard, C., Davis, J., Feng, S., Harvey, D., Liddon, A., Moxey, A., Ojo, M., Patton, M., Philippidis, G., Scott, C., Shrestha, S., &amp; Wallace, M. (2018). Brexit: How Will UK Agriculture Fare? EuroChoices, 17, 19–26. https://doi.org/10.1111/1746-692X.12199</w:t>
      </w:r>
    </w:p>
    <w:p w:rsidR="00000000" w:rsidDel="00000000" w:rsidP="00000000" w:rsidRDefault="00000000" w:rsidRPr="00000000" w14:paraId="0000055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Jung, H. (2019). The Evolution of Social Constructivism in Political Science: Past to Present: Https://Doi.Org/10.1177/2158244019832703, 9(1). https://doi.org/10.1177/2158244019832703</w:t>
      </w:r>
    </w:p>
    <w:p w:rsidR="00000000" w:rsidDel="00000000" w:rsidP="00000000" w:rsidRDefault="00000000" w:rsidRPr="00000000" w14:paraId="0000055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Kabii, T., &amp; Howritz, R. (2006). Farmers' willingness to participate in environmental programs: A case study in Japan. Environmental Management, 38(5), 804–818. https://doi.org/10.1007/s00267-005-0203-3</w:t>
      </w:r>
    </w:p>
    <w:p w:rsidR="00000000" w:rsidDel="00000000" w:rsidP="00000000" w:rsidRDefault="00000000" w:rsidRPr="00000000" w14:paraId="0000055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Kam, H., &amp; Potter, C. (2024). Who should deliver agri-environmental public goods in the UK? New land managers and their future role as public good providers. Land Use Policy, 139. https://doi.org/10.1016/j.landusepol.2024.107072</w:t>
      </w:r>
    </w:p>
    <w:p w:rsidR="00000000" w:rsidDel="00000000" w:rsidP="00000000" w:rsidRDefault="00000000" w:rsidRPr="00000000" w14:paraId="0000055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Ketonen, I. (2019). The lens of Brexit: Examining cultural divisions among Northern Ireland farmers. Economic Anthropology, 6(1). https://doi.org/10.1002/sea2.12131</w:t>
      </w:r>
    </w:p>
    <w:p w:rsidR="00000000" w:rsidDel="00000000" w:rsidP="00000000" w:rsidRDefault="00000000" w:rsidRPr="00000000" w14:paraId="0000055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Kleijn, D., &amp; Sutherland, W. J. (2003). How effective are European agri-environment schemes in conserving and promoting biodiversity? In Journal of Applied Ecology (Vol. 40, Issue 6). https://doi.org/10.1111/j.1365-2664.2003.00868.x</w:t>
      </w:r>
    </w:p>
    <w:p w:rsidR="00000000" w:rsidDel="00000000" w:rsidP="00000000" w:rsidRDefault="00000000" w:rsidRPr="00000000" w14:paraId="0000056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Knott, A., &amp; James, W. (2005). Common Agricultural Policy (AG.3). Civitas – Institute for the Study of Civil Society. https://civitas.org.uk/content/files/AG.3.CAP_.pdf</w:t>
      </w:r>
    </w:p>
    <w:p w:rsidR="00000000" w:rsidDel="00000000" w:rsidP="00000000" w:rsidRDefault="00000000" w:rsidRPr="00000000" w14:paraId="0000056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Knowler, D., &amp; Bradshaw, B. (2007). Farmers’ adoption of conservation agriculture: A review and synthesis of recent research. Food Policy, 32, 25–48. https://doi.org/10.1016/j.foodpol.2006.01.003</w:t>
      </w:r>
    </w:p>
    <w:p w:rsidR="00000000" w:rsidDel="00000000" w:rsidP="00000000" w:rsidRDefault="00000000" w:rsidRPr="00000000" w14:paraId="0000056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Kristensen, L., Madsen, S. S., &amp; Madsen, H. (2004). The farmer as a landscape manager: Management roles and change patterns in a Danish region. Land Use Policy, 21(4), 335–348. https://doi.org/10.1016/j.landusepol.2003.10.002</w:t>
      </w:r>
    </w:p>
    <w:p w:rsidR="00000000" w:rsidDel="00000000" w:rsidP="00000000" w:rsidRDefault="00000000" w:rsidRPr="00000000" w14:paraId="0000056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Labour in the agriculture industry, UK - Office for National Statistics. (n.d.). Retrieved November 1, 2021, from https://www.ons.gov.uk/peoplepopulationandcommunity/populationandmigration/internationalmigration/articles/labourintheagricultureindustry/2018-02-06</w:t>
      </w:r>
    </w:p>
    <w:p w:rsidR="00000000" w:rsidDel="00000000" w:rsidP="00000000" w:rsidRDefault="00000000" w:rsidRPr="00000000" w14:paraId="0000056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Lähdesmäki, M., &amp; Vesala, K. M. (2022). How can organic farmers be good farmers? A study of categorisation in organic farmers’ talk. Sociologia Ruralis, 62(3). https://doi.org/10.1111/soru.12382</w:t>
      </w:r>
    </w:p>
    <w:p w:rsidR="00000000" w:rsidDel="00000000" w:rsidP="00000000" w:rsidRDefault="00000000" w:rsidRPr="00000000" w14:paraId="0000056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Landscape Recovery scheme – what you need to know. (n.d.). Https://Www.Nfuonline.Com/Updates-and-Information/Everything-You-Need-to-Know-about-the-Landscape-Recovery-Scheme/.</w:t>
      </w:r>
    </w:p>
    <w:p w:rsidR="00000000" w:rsidDel="00000000" w:rsidP="00000000" w:rsidRDefault="00000000" w:rsidRPr="00000000" w14:paraId="0000056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Lapple, D., &amp; Donnellan, T. (2008). Farmer attitudes towards converting to organic farming. Teagasc Organic Proaduction Research Conference Proceedings, 114–121. http://orgprints.org/18624/</w:t>
      </w:r>
    </w:p>
    <w:p w:rsidR="00000000" w:rsidDel="00000000" w:rsidP="00000000" w:rsidRDefault="00000000" w:rsidRPr="00000000" w14:paraId="0000056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Lex, E. (2001). Agenda 2000: for a stronger and wider Union. Https://Eur-Lex.Europa.Eu/Legal-Content/EN/ALL/?Uri=legissum:L60001.</w:t>
      </w:r>
    </w:p>
    <w:p w:rsidR="00000000" w:rsidDel="00000000" w:rsidP="00000000" w:rsidRDefault="00000000" w:rsidRPr="00000000" w14:paraId="0000057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Lima, E., Hopkins, T., Gurney, E., Shortall, O., Lovatt, F., Davies, P., Williamson, G., &amp; Kaler, J. (2018). Drivers for precision livestock technology adoption: A study of factors associated with adoption of electronic identification technology by commercial sheep farmers in England and Wales. PLoS ONE, 13(1). https://doi.org/10.1371/journal.pone.0190489</w:t>
      </w:r>
    </w:p>
    <w:p w:rsidR="00000000" w:rsidDel="00000000" w:rsidP="00000000" w:rsidRDefault="00000000" w:rsidRPr="00000000" w14:paraId="0000057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Lipper, L., Thornton, P., Campbell, B. M., Baedeker, T., Braimoh, A., Bwalya, M., Caron, P., Cattaneo, A., Garrity, D., Henry, K., Hottle, R., Jackson, L., Jarvis, A., Kossam, F., Mann, W., McCarthy, N., Meybeck, A., Neufeldt, H., Remington, T., … Torquebiau, E. F. (2014). Climate-smart agriculture for food security. In Nature Climate Change (Vol. 4, pp. 1068–1072). Nature Publishing Group. https://doi.org/10.1038/nclimate2437</w:t>
      </w:r>
    </w:p>
    <w:p w:rsidR="00000000" w:rsidDel="00000000" w:rsidP="00000000" w:rsidRDefault="00000000" w:rsidRPr="00000000" w14:paraId="000005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Lobley, M., &amp; Potter, C. (1998). Environmental stewardship in UK agriculture: A comparison of the environmentally sensitive area programme and the countryside stewardship scheme in South East England. In Geoforum. https://doi.org/10.1016/S0016-7185(98)00019-0</w:t>
      </w:r>
    </w:p>
    <w:p w:rsidR="00000000" w:rsidDel="00000000" w:rsidP="00000000" w:rsidRDefault="00000000" w:rsidRPr="00000000" w14:paraId="0000057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Lobley, M., Reed, M., Butler, A., Courtney, P., &amp; Warren, M. (2005). The impact of organic farming on the rural economy in England: Final report to DEFRA. Centre for Rural Policy Research. https://eprints.glos.ac.uk/2634/</w:t>
      </w:r>
    </w:p>
    <w:p w:rsidR="00000000" w:rsidDel="00000000" w:rsidP="00000000" w:rsidRDefault="00000000" w:rsidRPr="00000000" w14:paraId="000005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B., Mccann, P., Springford, J., &amp; Thissen, M. (2017). Regional Studies The mismatch between local voting and the local economic consequences of Brexit. https://doi.org/10.1080/00343404.2017.1287350</w:t>
      </w:r>
    </w:p>
    <w:p w:rsidR="00000000" w:rsidDel="00000000" w:rsidP="00000000" w:rsidRDefault="00000000" w:rsidRPr="00000000" w14:paraId="0000057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B., McCann, P., Springford, J., &amp; Thissen, M. (2017). The mismatch between local voting and the local economic consequences of Brexit. Https://Doi.Org/10.1080/00343404.2017.1287350, 51(5), 786–799. https://doi.org/10.1080/00343404.2017.1287350</w:t>
      </w:r>
    </w:p>
    <w:p w:rsidR="00000000" w:rsidDel="00000000" w:rsidP="00000000" w:rsidRDefault="00000000" w:rsidRPr="00000000" w14:paraId="0000057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Mathijs, E. (2003). Social capital and farmers’ willingness to adopt countryside stewardship schemes. Outlook on Agriculture, 32, 13–16. https://doi.org/10.5367/000000003101294217</w:t>
      </w:r>
    </w:p>
    <w:p w:rsidR="00000000" w:rsidDel="00000000" w:rsidP="00000000" w:rsidRDefault="00000000" w:rsidRPr="00000000" w14:paraId="0000057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Matthews, A. (2022). Trade policy approaches to avoid carbon leakage in the agri-food sector. The Left in the European Parliament.</w:t>
      </w:r>
    </w:p>
    <w:p w:rsidR="00000000" w:rsidDel="00000000" w:rsidP="00000000" w:rsidRDefault="00000000" w:rsidRPr="00000000" w14:paraId="0000058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D., Arancibia, S., &amp; Manning, L. (2021). Understanding UK farmers’ Brexit voting decision: A behavioural approach. Journal of Rural Studies, 81. https://doi.org/10.1016/j.jrurstud.2020.10.042</w:t>
      </w:r>
    </w:p>
    <w:p w:rsidR="00000000" w:rsidDel="00000000" w:rsidP="00000000" w:rsidRDefault="00000000" w:rsidRPr="00000000" w14:paraId="0000058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McAvinia, C. (2016). Enter the VLE. Online Learning and Its Users, 11–34. https://doi.org/10.1016/B978-0-08-100626-9.00001-0</w:t>
      </w:r>
    </w:p>
    <w:p w:rsidR="00000000" w:rsidDel="00000000" w:rsidP="00000000" w:rsidRDefault="00000000" w:rsidRPr="00000000" w14:paraId="0000058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Michael Gove. (2017, July 21). The Unfrozen Moment - Delivering A Green Brexit.</w:t>
      </w:r>
    </w:p>
    <w:p w:rsidR="00000000" w:rsidDel="00000000" w:rsidP="00000000" w:rsidRDefault="00000000" w:rsidRPr="00000000" w14:paraId="0000058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Miller-Klugesherz, J. A., &amp; Sanderson, M. R. (2023). Good for the soil, but good for the farmer? Addiction and recovery in transitions to regenerative agriculture. Journal of Rural Studies. https://doi.org/10.1016/j.jrurstud.2023.103123</w:t>
      </w:r>
    </w:p>
    <w:p w:rsidR="00000000" w:rsidDel="00000000" w:rsidP="00000000" w:rsidRDefault="00000000" w:rsidRPr="00000000" w14:paraId="0000058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Mills, J., Chiswell, H., Gaskell, P., Courtney, P., Brockett, B., Cusworth, G., &amp; Lobley, M. (2021). Developing farm-level social indicators for agri-environment schemes: A focus on the agents of change. Sustainability (Switzerland), 13(14), 7820. https://doi.org/10.3390/SU13147820/S1</w:t>
      </w:r>
    </w:p>
    <w:p w:rsidR="00000000" w:rsidDel="00000000" w:rsidP="00000000" w:rsidRDefault="00000000" w:rsidRPr="00000000" w14:paraId="0000058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Mills, J., Gaskell, P., Ingram, J., &amp; Chaplin, S. (2018). Understanding farmers’ motivations for providing unsubsidised environmental benefits. Land Use Policy, 76, 697–707. https://doi.org/10.1016/j.landusepol.2018.02.053</w:t>
      </w:r>
    </w:p>
    <w:p w:rsidR="00000000" w:rsidDel="00000000" w:rsidP="00000000" w:rsidRDefault="00000000" w:rsidRPr="00000000" w14:paraId="0000058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Minister Muir provides clarity on the Farm Support and Development Programme. (n.d.). Https://Www.Daera-Ni.Gov.Uk/News/Minister-Muir-Provides-Clarity-Farm-Support-and-Development-Programme.</w:t>
      </w:r>
    </w:p>
    <w:p w:rsidR="00000000" w:rsidDel="00000000" w:rsidP="00000000" w:rsidRDefault="00000000" w:rsidRPr="00000000" w14:paraId="0000058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Montgomery, D. R., Biklé, A., Archuleta, R., Brown, P., &amp; Jordan, J. (2022). Soil health and nutrient density: Preliminary comparison of regenerative and conventional farming. PeerJ, 10, e12848. https://doi.org/10.7717/peerj.12848</w:t>
      </w:r>
    </w:p>
    <w:p w:rsidR="00000000" w:rsidDel="00000000" w:rsidP="00000000" w:rsidRDefault="00000000" w:rsidRPr="00000000" w14:paraId="0000059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Morris, C., &amp; Potter, C. (1995). Recruiting the new conservationists: Farmers’ adoption of agri-environmental schemes in the U.K. Journal of Rural Studies, 11, 51–63. https://doi.org/10.1016/0743-0167(94)00037-A</w:t>
      </w:r>
    </w:p>
    <w:p w:rsidR="00000000" w:rsidDel="00000000" w:rsidP="00000000" w:rsidRDefault="00000000" w:rsidRPr="00000000" w14:paraId="0000059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Morris, J., Mills, J., &amp; Crawford, I. M. (2000). Promoting farmer uptake of agri-environment schemes: The Countryside Stewardship Arable Options Scheme. Land Use Policy, 17, 241–254. https://doi.org/10.1016/S0264-8377(00)00021-1</w:t>
      </w:r>
    </w:p>
    <w:p w:rsidR="00000000" w:rsidDel="00000000" w:rsidP="00000000" w:rsidRDefault="00000000" w:rsidRPr="00000000" w14:paraId="0000059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National Audit Office. (2019). Early review of the new farming programme (HC 2221, 2017–2019).https://www.nao.org.uk/wp-content/uploads/2019/06/Early-review-of-the-new-farming-programme.pdf</w:t>
      </w:r>
    </w:p>
    <w:p w:rsidR="00000000" w:rsidDel="00000000" w:rsidP="00000000" w:rsidRDefault="00000000" w:rsidRPr="00000000" w14:paraId="0000059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National Audit Office. (2021). The Environmental Land Management scheme (HC 664, 2021–22).https://www.nao.org.uk/reports/the-environmental-land-management-scheme/</w:t>
      </w:r>
    </w:p>
    <w:p w:rsidR="00000000" w:rsidDel="00000000" w:rsidP="00000000" w:rsidRDefault="00000000" w:rsidRPr="00000000" w14:paraId="0000059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NAO, C. and A. G. (2015). Department for Environment, Food &amp; Rural Affairs: Early review of the Common Agricultural Policy Delivery Programme.</w:t>
      </w:r>
    </w:p>
    <w:p w:rsidR="00000000" w:rsidDel="00000000" w:rsidP="00000000" w:rsidRDefault="00000000" w:rsidRPr="00000000" w14:paraId="0000059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Natural England. (2008). Entry Level Stewardship Handbook. www.naturalengland.org.uk</w:t>
      </w:r>
    </w:p>
    <w:p w:rsidR="00000000" w:rsidDel="00000000" w:rsidP="00000000" w:rsidRDefault="00000000" w:rsidRPr="00000000" w14:paraId="0000059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Naylor, E.L. (1987) ‘EEC milk quotas’, </w:t>
      </w:r>
      <w:r w:rsidDel="00000000" w:rsidR="00000000" w:rsidRPr="00000000">
        <w:rPr>
          <w:rFonts w:ascii="Calibri" w:cs="Calibri" w:eastAsia="Calibri" w:hAnsi="Calibri"/>
          <w:i w:val="1"/>
          <w:sz w:val="24"/>
          <w:szCs w:val="24"/>
          <w:rtl w:val="0"/>
        </w:rPr>
        <w:t xml:space="preserve">Agricultural Administration and Extension</w:t>
      </w:r>
      <w:r w:rsidDel="00000000" w:rsidR="00000000" w:rsidRPr="00000000">
        <w:rPr>
          <w:rFonts w:ascii="Calibri" w:cs="Calibri" w:eastAsia="Calibri" w:hAnsi="Calibri"/>
          <w:sz w:val="24"/>
          <w:szCs w:val="24"/>
          <w:rtl w:val="0"/>
        </w:rPr>
        <w:t xml:space="preserve">, 24(3), pp. 177–185.</w:t>
      </w:r>
      <w:hyperlink r:id="rId33">
        <w:r w:rsidDel="00000000" w:rsidR="00000000" w:rsidRPr="00000000">
          <w:rPr>
            <w:rFonts w:ascii="Calibri" w:cs="Calibri" w:eastAsia="Calibri" w:hAnsi="Calibri"/>
            <w:color w:val="1155cc"/>
            <w:sz w:val="24"/>
            <w:szCs w:val="24"/>
            <w:u w:val="single"/>
            <w:rtl w:val="0"/>
          </w:rPr>
          <w:t xml:space="preserve">https://doi.org/10.1016/0269-7475(87)90102-4</w:t>
        </w:r>
      </w:hyperlink>
      <w:r w:rsidDel="00000000" w:rsidR="00000000" w:rsidRPr="00000000">
        <w:rPr>
          <w:rtl w:val="0"/>
        </w:rPr>
      </w:r>
    </w:p>
    <w:p w:rsidR="00000000" w:rsidDel="00000000" w:rsidP="00000000" w:rsidRDefault="00000000" w:rsidRPr="00000000" w14:paraId="0000059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Newson, N. (n.d.). Climate change: Supporting farmers and growers. Https://Lordslibrary.Parliament.Uk/Climate-Change-Supporting-Farmers-and-Growers/.</w:t>
      </w:r>
    </w:p>
    <w:p w:rsidR="00000000" w:rsidDel="00000000" w:rsidP="00000000" w:rsidRDefault="00000000" w:rsidRPr="00000000" w14:paraId="000005A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Newson, N., &amp; Burton, L. (2025). Climate change: Supporting farmers and growers. Https://Lordslibrary.Parliament.Uk/Climate-Change-Supporting-Farmers-and-Growers/.</w:t>
      </w:r>
    </w:p>
    <w:p w:rsidR="00000000" w:rsidDel="00000000" w:rsidP="00000000" w:rsidRDefault="00000000" w:rsidRPr="00000000" w14:paraId="000005A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NFU. (2024). NFU digital access survey results reveal impact on farm businesses – NFUonline. https://www.nfuonline.com/updates-and-information/nfu-digital-access-survey/</w:t>
      </w:r>
    </w:p>
    <w:p w:rsidR="00000000" w:rsidDel="00000000" w:rsidP="00000000" w:rsidRDefault="00000000" w:rsidRPr="00000000" w14:paraId="000005A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NFU digital access survey results reveal impact on farm businesses. (n.d.). Https://Www.Nfuonline.Com/Updates-and-Information/Nfu-Digital-Access-Survey/.</w:t>
      </w:r>
    </w:p>
    <w:p w:rsidR="00000000" w:rsidDel="00000000" w:rsidP="00000000" w:rsidRDefault="00000000" w:rsidRPr="00000000" w14:paraId="000005A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NFU’s Food Security campaign. (2025). Https://Www.Nfuonline.Com/Updates-and-Information/Campaigning-for-a-Secure-Supply-of-British-Food/.</w:t>
      </w:r>
    </w:p>
    <w:p w:rsidR="00000000" w:rsidDel="00000000" w:rsidP="00000000" w:rsidRDefault="00000000" w:rsidRPr="00000000" w14:paraId="000005A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OECD. (2023, October 30). Agricultural Policy Monitoring and Evaluation 2023. Https://Www.Oecd.Org/En/Publications/Agricultural-Policy-Monitoring-and-Evaluation-2023_b14de474-En.Html.</w:t>
      </w:r>
    </w:p>
    <w:p w:rsidR="00000000" w:rsidDel="00000000" w:rsidP="00000000" w:rsidRDefault="00000000" w:rsidRPr="00000000" w14:paraId="000005A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M. (2022). Record breaking 2022 indicative of future UK climate. Https://Www.Metoffice.Gov.Uk/about-Us/News-and-Media/Media-Centre/Weather-and-Climate-News/2023/Record-Breaking-2022-Indicative-of-Future-Uk-Climate.</w:t>
      </w:r>
    </w:p>
    <w:p w:rsidR="00000000" w:rsidDel="00000000" w:rsidP="00000000" w:rsidRDefault="00000000" w:rsidRPr="00000000" w14:paraId="000005A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Ojo, O. M., Hubbard, C., Wallace, M., Moxey, A., Patton, M., Harvey, D., Shrestha, S., Feng, S., Scott, C., Philippidis, G., Davis, J., &amp; Liddon, A. (2021). Brexit: Potential impacts on the economic welfare of UK farm households. Https://Eprints.Ncl.Ac.Uk, 1–13. https://doi.org/10.1080/00343404.2020.1778164</w:t>
      </w:r>
    </w:p>
    <w:p w:rsidR="00000000" w:rsidDel="00000000" w:rsidP="00000000" w:rsidRDefault="00000000" w:rsidRPr="00000000" w14:paraId="000005A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Ovenden, G. N., Swash, A. R. H., &amp; Shire, D. S. (1998). Agri-environment schemes and their contribution to the conservation of biodiversity in england. Journal of Applied Ecology, 35, 955–960. https://doi.org/10.1111/j.1365-2664.1998.tb00014.x</w:t>
      </w:r>
    </w:p>
    <w:p w:rsidR="00000000" w:rsidDel="00000000" w:rsidP="00000000" w:rsidRDefault="00000000" w:rsidRPr="00000000" w14:paraId="000005B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 I D. (n.d.). Retrieved November 1, 2021, from www.gov.wales/farmingconnectwww.llyw.cymru/cyswlltffermio</w:t>
      </w:r>
    </w:p>
    <w:p w:rsidR="00000000" w:rsidDel="00000000" w:rsidP="00000000" w:rsidRDefault="00000000" w:rsidRPr="00000000" w14:paraId="000005B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Patton, M. Q. (1980). Qualitative evaluation methods. Sage Publications.</w:t>
      </w:r>
    </w:p>
    <w:p w:rsidR="00000000" w:rsidDel="00000000" w:rsidP="00000000" w:rsidRDefault="00000000" w:rsidRPr="00000000" w14:paraId="000005B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Patton, M. Q. (2002). Qualitative research &amp; evaluation methods (3rd ed.). Sage Publications.</w:t>
      </w:r>
    </w:p>
    <w:p w:rsidR="00000000" w:rsidDel="00000000" w:rsidP="00000000" w:rsidRDefault="00000000" w:rsidRPr="00000000" w14:paraId="000005B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Pannell, D. J., Marshall, G. R., Barr, N., Curtis, A., Vanclay, F., &amp; Wilkinson, R. (2006). Understanding and promoting adoption of conservation practices by rural landholders. In Australian Journal of Experimental Agriculture (Vol. 46, pp. 1407–1424). CSIRO. https://doi.org/10.1071/EA05037</w:t>
      </w:r>
    </w:p>
    <w:p w:rsidR="00000000" w:rsidDel="00000000" w:rsidP="00000000" w:rsidRDefault="00000000" w:rsidRPr="00000000" w14:paraId="000005B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Pe’er, G., Dicks, L. v., Visconti, P., Arlettaz, R., Báldi, A., Benton, T. G., Collins, S., Dieterich, M., Gregory, R. D., Hartig, F., Henle, K., Hobson, P. R., Kleijn, D., Neumann, R. K., Robijns, T., Schmidt, J., Shwartz, A., Sutherland, W. J., Turbé, A., … Scott, A. v. (2014). EU agricultural reform fails on biodiversity. In Science (Vol. 344, pp. 1090–1092). American Association for the Advancement of Science. https://doi.org/10.1126/science.1253425</w:t>
      </w:r>
    </w:p>
    <w:p w:rsidR="00000000" w:rsidDel="00000000" w:rsidP="00000000" w:rsidRDefault="00000000" w:rsidRPr="00000000" w14:paraId="000005B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Petetin, D. L. (2018, June 21). Post-Brexit agricultural support and the WTO: Using both the amber and green boxes? - Brexit &amp; Environment. https://www.Brexitenvironment.Co.Uk/2018/06/21/Post-Brexit-Agricultural-Support-Wto-Using-Amber-Green-Boxes/.</w:t>
      </w:r>
    </w:p>
    <w:p w:rsidR="00000000" w:rsidDel="00000000" w:rsidP="00000000" w:rsidRDefault="00000000" w:rsidRPr="00000000" w14:paraId="000005B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Peerlings, J. H. M., &amp; Polman, N. B. P. (2009). Designing agri-environmental policies: A review of the literature. Environmental Economics and Policy Studies, 11(3), 189–214. https://doi.org/10.1007/s10018-008-0040-2</w:t>
      </w:r>
    </w:p>
    <w:p w:rsidR="00000000" w:rsidDel="00000000" w:rsidP="00000000" w:rsidRDefault="00000000" w:rsidRPr="00000000" w14:paraId="000005B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Population estimates for the UK, England and Wales, Scotland and Northern Ireland - Office for National Statistics. (n.d.). Retrieved November 1, 2021, from https://www.ons.gov.uk/peoplepopulationandcommunity/populationandmigration/populationestimates/bulletins/annualmidyearpopulationestimates/mid2016</w:t>
      </w:r>
    </w:p>
    <w:p w:rsidR="00000000" w:rsidDel="00000000" w:rsidP="00000000" w:rsidRDefault="00000000" w:rsidRPr="00000000" w14:paraId="000005C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Recognising the importance of agriculture to the Welsh language. (n.d.). Retrieved November 1, 2021, from https://www.fuw.org.uk/en/news/y-tir-newspaper/14196-recognising-the-importance-of-agriculture-to-the-welsh-language</w:t>
      </w:r>
    </w:p>
    <w:p w:rsidR="00000000" w:rsidDel="00000000" w:rsidP="00000000" w:rsidRDefault="00000000" w:rsidRPr="00000000" w14:paraId="000005C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Ridder, H.-G. (2012). Yin, Robert K .: Case Study Research . Design and Methods. Zeitschrift Für Personalforschung, 26(1</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C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Riley, M. (2006). Understanding farmers' motivations for providing unsubsidised environmental benefits. Land Use Policy, 23(4), 453–463. https://doi.org/10.1016/j.landusepol.2005.05.002</w:t>
      </w:r>
    </w:p>
    <w:p w:rsidR="00000000" w:rsidDel="00000000" w:rsidP="00000000" w:rsidRDefault="00000000" w:rsidRPr="00000000" w14:paraId="000005C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Riley, M. (2016). How does longer term participation in agri-environment schemes [re]shape farmers’ environmental dispositions and identities? Land Use Policy, 52, 62–75. https://doi.org/10.1016/J.LANDUSEPOL.2015.12.010</w:t>
      </w:r>
    </w:p>
    <w:p w:rsidR="00000000" w:rsidDel="00000000" w:rsidP="00000000" w:rsidRDefault="00000000" w:rsidRPr="00000000" w14:paraId="000005C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Riley, M., &amp; Robertson, B. (2022). The virtual good farmer: Farmers’ use of social media and the (re)presentation of “good farming.” Sociologia Ruralis, 62, 437–458. https://doi.org/10.1111/soru.12390</w:t>
      </w:r>
    </w:p>
    <w:p w:rsidR="00000000" w:rsidDel="00000000" w:rsidP="00000000" w:rsidRDefault="00000000" w:rsidRPr="00000000" w14:paraId="000005C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Rock Review: working together for a thriving agricultural tenanted sector. (2022). Https://Www.Gov.Uk/Government/Publications/the-Rock-Review-Working-Together-for-a-Thriving-Agricultural-Tenanted-Sector.</w:t>
      </w:r>
    </w:p>
    <w:p w:rsidR="00000000" w:rsidDel="00000000" w:rsidP="00000000" w:rsidRDefault="00000000" w:rsidRPr="00000000" w14:paraId="000005C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Roederer-Rynning, C., &amp; Matthews, A. (2019). What Common Agricultural Policy after Brexit? Politics and Governance, 7(3), 40–50. https://doi.org/10.17645/pag.v7i3.2117</w:t>
      </w:r>
    </w:p>
    <w:p w:rsidR="00000000" w:rsidDel="00000000" w:rsidP="00000000" w:rsidRDefault="00000000" w:rsidRPr="00000000" w14:paraId="000005C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Rose, D. C., Morris, C., Lobley, M., Winter, M., Sutherland, W. J., &amp; Dicks, L. v. (2018). Exploring the spatialities of technological and user re-scripting: The case of decision support tools in UK agriculture. Geoforum, 89. https://doi.org/10.1016/j.geoforum.2017.12.006</w:t>
      </w:r>
    </w:p>
    <w:p w:rsidR="00000000" w:rsidDel="00000000" w:rsidP="00000000" w:rsidRDefault="00000000" w:rsidRPr="00000000" w14:paraId="000005D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Business School (2018) </w:t>
      </w:r>
      <w:r w:rsidDel="00000000" w:rsidR="00000000" w:rsidRPr="00000000">
        <w:rPr>
          <w:rFonts w:ascii="Calibri" w:cs="Calibri" w:eastAsia="Calibri" w:hAnsi="Calibri"/>
          <w:i w:val="1"/>
          <w:sz w:val="24"/>
          <w:szCs w:val="24"/>
          <w:rtl w:val="0"/>
        </w:rPr>
        <w:t xml:space="preserve">The value of the sheep industry: North East, South West and North West regions</w:t>
      </w:r>
      <w:r w:rsidDel="00000000" w:rsidR="00000000" w:rsidRPr="00000000">
        <w:rPr>
          <w:rFonts w:ascii="Calibri" w:cs="Calibri" w:eastAsia="Calibri" w:hAnsi="Calibri"/>
          <w:sz w:val="24"/>
          <w:szCs w:val="24"/>
          <w:rtl w:val="0"/>
        </w:rPr>
        <w:t xml:space="preserve">. Report by the Rural Business School at Duchy College on behalf of the National Farmers’ Union.</w:t>
      </w:r>
    </w:p>
    <w:p w:rsidR="00000000" w:rsidDel="00000000" w:rsidP="00000000" w:rsidRDefault="00000000" w:rsidRPr="00000000" w14:paraId="000005D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Service. (2005). Environmental Stewardship Higher Level Stewardship Handbook Terms and conditions and how to apply. www.defra.gov.uk</w:t>
      </w:r>
    </w:p>
    <w:p w:rsidR="00000000" w:rsidDel="00000000" w:rsidP="00000000" w:rsidRDefault="00000000" w:rsidRPr="00000000" w14:paraId="000005D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Ruto, E., &amp; Garrod, G. (2009). Investigating farmers’ preferences for the design of agri-environment schemes: A choice experiment approach. Journal of Environmental Planning and Management, 52(5). https://doi.org/10.1080/09640560902958172</w:t>
      </w:r>
    </w:p>
    <w:p w:rsidR="00000000" w:rsidDel="00000000" w:rsidP="00000000" w:rsidRDefault="00000000" w:rsidRPr="00000000" w14:paraId="000005D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Ruane, J. M. (1954). Research in social science: A handbook for research workers. Harper &amp; Row.</w:t>
      </w:r>
    </w:p>
    <w:p w:rsidR="00000000" w:rsidDel="00000000" w:rsidP="00000000" w:rsidRDefault="00000000" w:rsidRPr="00000000" w14:paraId="000005D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Schaub, S., Ghazoul, J., Huber, R., Zhang, W., Sander, A., Rees, C., Banerjee, S., &amp; Finger, R. (2023). The role of behavioural factors and opportunity costs in farmers’ participation in voluntary agri-environmental schemes: A systematic review. Journal of Agricultural Economics, 74, 617–660. https://doi.org/10.1111/1477-9552.12538</w:t>
      </w:r>
    </w:p>
    <w:p w:rsidR="00000000" w:rsidDel="00000000" w:rsidP="00000000" w:rsidRDefault="00000000" w:rsidRPr="00000000" w14:paraId="000005D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Seidel, K. (2020a). Britain, the common agricultural policy and the challenges of membership in the European Community: a political balancing act. Contemporary British History, 34(2), 179–203. https://doi.org/10.1080/13619462.2019.1650739</w:t>
      </w:r>
    </w:p>
    <w:p w:rsidR="00000000" w:rsidDel="00000000" w:rsidP="00000000" w:rsidRDefault="00000000" w:rsidRPr="00000000" w14:paraId="000005D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Senedd Research (2019) ‘What are the World Trade Organisation rules around agriculture?’, </w:t>
      </w:r>
      <w:r w:rsidDel="00000000" w:rsidR="00000000" w:rsidRPr="00000000">
        <w:rPr>
          <w:rFonts w:ascii="Calibri" w:cs="Calibri" w:eastAsia="Calibri" w:hAnsi="Calibri"/>
          <w:i w:val="1"/>
          <w:sz w:val="24"/>
          <w:szCs w:val="24"/>
          <w:rtl w:val="0"/>
        </w:rPr>
        <w:t xml:space="preserve">Senedd Research</w:t>
      </w:r>
      <w:r w:rsidDel="00000000" w:rsidR="00000000" w:rsidRPr="00000000">
        <w:rPr>
          <w:rFonts w:ascii="Calibri" w:cs="Calibri" w:eastAsia="Calibri" w:hAnsi="Calibri"/>
          <w:sz w:val="24"/>
          <w:szCs w:val="24"/>
          <w:rtl w:val="0"/>
        </w:rPr>
        <w:t xml:space="preserve">, 7 January. Retrieved from:</w:t>
      </w:r>
      <w:r w:rsidDel="00000000" w:rsidR="00000000" w:rsidRPr="00000000">
        <w:rPr>
          <w:rFonts w:ascii="Calibri" w:cs="Calibri" w:eastAsia="Calibri" w:hAnsi="Calibri"/>
          <w:sz w:val="24"/>
          <w:szCs w:val="24"/>
          <w:rtl w:val="0"/>
        </w:rPr>
        <w:t xml:space="preserve">https://Research.Senedd.Wales/Research-Articles/What-Are-the-World-Trade-Organisation-Rules-around-Agriculture/.</w:t>
      </w:r>
      <w:r w:rsidDel="00000000" w:rsidR="00000000" w:rsidRPr="00000000">
        <w:rPr>
          <w:rtl w:val="0"/>
        </w:rPr>
      </w:r>
    </w:p>
    <w:p w:rsidR="00000000" w:rsidDel="00000000" w:rsidP="00000000" w:rsidRDefault="00000000" w:rsidRPr="00000000" w14:paraId="000005D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Setten, G. (2004). The politics of rural development: A case study from Norway. Journal of Rural Studies, 20(3), 305–317. https://doi.org/10.1016/j.jrurstud.2004.02.003</w:t>
      </w:r>
    </w:p>
    <w:p w:rsidR="00000000" w:rsidDel="00000000" w:rsidP="00000000" w:rsidRDefault="00000000" w:rsidRPr="00000000" w14:paraId="000005E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Siebert, R., Toogood, M., &amp; McDonald, D. (2010). Farmers' attitudes and evaluation of outcomes to on-farm environmental management. Environmental Management, 45(3), 497–507. </w:t>
      </w:r>
      <w:hyperlink r:id="rId34">
        <w:r w:rsidDel="00000000" w:rsidR="00000000" w:rsidRPr="00000000">
          <w:rPr>
            <w:rFonts w:ascii="Calibri" w:cs="Calibri" w:eastAsia="Calibri" w:hAnsi="Calibri"/>
            <w:color w:val="1155cc"/>
            <w:sz w:val="24"/>
            <w:szCs w:val="24"/>
            <w:u w:val="single"/>
            <w:rtl w:val="0"/>
          </w:rPr>
          <w:t xml:space="preserve">https://doi.org/10.1007/s00267-009-9395-0</w:t>
        </w:r>
      </w:hyperlink>
      <w:r w:rsidDel="00000000" w:rsidR="00000000" w:rsidRPr="00000000">
        <w:rPr>
          <w:rtl w:val="0"/>
        </w:rPr>
      </w:r>
    </w:p>
    <w:p w:rsidR="00000000" w:rsidDel="00000000" w:rsidP="00000000" w:rsidRDefault="00000000" w:rsidRPr="00000000" w14:paraId="000005E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Silvasti, T. (2003). The role of agriculture in rural development: A case study from Finland. Sociologia Ruralis, 43(3), 273–290. https://doi.org/10.1111/1467-9523.00237</w:t>
      </w:r>
    </w:p>
    <w:p w:rsidR="00000000" w:rsidDel="00000000" w:rsidP="00000000" w:rsidRDefault="00000000" w:rsidRPr="00000000" w14:paraId="000005E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Simpson, K., Armsworth, P. R., Dallimer, M., Nthambi, M., de Vries, F. P., &amp; Hanley, N. (2023). Improving the ecological and economic performance of agri-environment schemes: Payment by modelled results versus payment for actions. Land Use Policy, 130. https://doi.org/10.1016/j.landusepol.2023.106688</w:t>
      </w:r>
    </w:p>
    <w:p w:rsidR="00000000" w:rsidDel="00000000" w:rsidP="00000000" w:rsidRDefault="00000000" w:rsidRPr="00000000" w14:paraId="000005E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Snyder, F. (2012). CAP. Oxford University Press. https://doi.org/10.1093/oxfordhb/9780199546282.013.0034</w:t>
      </w:r>
    </w:p>
    <w:p w:rsidR="00000000" w:rsidDel="00000000" w:rsidP="00000000" w:rsidRDefault="00000000" w:rsidRPr="00000000" w14:paraId="000005E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Statistics, F. (2020). Farming Statistics-final crop areas, yields, livestock populations and agricultural workforce at 1 June 2020 United Kingdom.</w:t>
      </w:r>
    </w:p>
    <w:p w:rsidR="00000000" w:rsidDel="00000000" w:rsidP="00000000" w:rsidRDefault="00000000" w:rsidRPr="00000000" w14:paraId="000005E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Stebbins, R. A. (2006). Book Review: Constructing grounded theory: a practical guide through qualitative analysis. Health: An Interdisciplinary Journal for the Social Study of Health, Illness and Medicine, 10(3). https://doi.org/10.1177/1363459306067319</w:t>
      </w:r>
    </w:p>
    <w:p w:rsidR="00000000" w:rsidDel="00000000" w:rsidP="00000000" w:rsidRDefault="00000000" w:rsidRPr="00000000" w14:paraId="000005E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P. v., &amp; Forney, J. (2014). Farmer autonomy and the farming self. Journal of Rural Studies, 36, 160–171. https://doi.org/10.1016/J.JRURSTUD.2014.07.004</w:t>
      </w:r>
    </w:p>
    <w:p w:rsidR="00000000" w:rsidDel="00000000" w:rsidP="00000000" w:rsidRDefault="00000000" w:rsidRPr="00000000" w14:paraId="000005E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Farming Scheme: proposed scheme outline (2024) [HTML] | GOV.WALES. (n.d.). https://www.Gov.Wales/Sustainable-Farming-Scheme-Proposed-Scheme-Outline-2024-Html.</w:t>
      </w:r>
    </w:p>
    <w:p w:rsidR="00000000" w:rsidDel="00000000" w:rsidP="00000000" w:rsidRDefault="00000000" w:rsidRPr="00000000" w14:paraId="000005F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L. A. (2013). Can organic farmers be “good farmers”? Adding the “taste of necessity” to the conventionalization debate. Agriculture and Human Values, 30(3). https://doi.org/10.1007/s10460-013-9424-z</w:t>
      </w:r>
    </w:p>
    <w:p w:rsidR="00000000" w:rsidDel="00000000" w:rsidP="00000000" w:rsidRDefault="00000000" w:rsidRPr="00000000" w14:paraId="000005F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L. A., &amp; Burton, R. J. F. (2011). Good farmers, good neighbours? The role of cultural capital in social capital development in a Scottish farming community. Sociologia Ruralis, 51(3). https://doi.org/10.1111/j.1467-9523.2011.00536.x</w:t>
      </w:r>
    </w:p>
    <w:p w:rsidR="00000000" w:rsidDel="00000000" w:rsidP="00000000" w:rsidRDefault="00000000" w:rsidRPr="00000000" w14:paraId="000005F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L. A., Burton, R. J. F., Ingram, J., Blackstock, K., Slee, B., &amp; Gotts, N. (2012). Triggering change: Towards a conceptualisation of major change processes in farm decision-making. Journal of Environmental Management, 104, 142–151. https://doi.org/10.1016/j.jenvman.2012.03.013</w:t>
      </w:r>
    </w:p>
    <w:p w:rsidR="00000000" w:rsidDel="00000000" w:rsidP="00000000" w:rsidRDefault="00000000" w:rsidRPr="00000000" w14:paraId="000005F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L. A., &amp; Darnhofer, I. (2012). Of organic farmers and “good farmers”: Changing habitus in rural England. Journal of Rural Studies. https://doi.org/10.1016/j.jrurstud.2012.03.003</w:t>
      </w:r>
    </w:p>
    <w:p w:rsidR="00000000" w:rsidDel="00000000" w:rsidP="00000000" w:rsidRDefault="00000000" w:rsidRPr="00000000" w14:paraId="000005F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Sutherland, L. A., Gabriel, D., Hathaway-Jenkins, L., Pascual, U., Schmutz, U., Rigby, D., Godwin, R., Sait, S. M., Sakrabani, R., Kunin, W. E., Benton, T. G., &amp; Stagl, S. (2012). The “Neighbourhood Effect”: A multidisciplinary assessment of the case for farmer co-ordination in agri-environmental programmes. Land Use Policy, 29(3). https://doi.org/10.1016/j.landusepol.2011.09.003</w:t>
      </w:r>
    </w:p>
    <w:p w:rsidR="00000000" w:rsidDel="00000000" w:rsidP="00000000" w:rsidRDefault="00000000" w:rsidRPr="00000000" w14:paraId="000005F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Thomas, E., Riley, M., &amp; Spees, J. (2020). Knowledge flows: Farmers’ social relations and knowledge sharing practices in ‘Catchment Sensitive Farming.’ Land Use Policy, 90, 104254. https://doi.org/10.1016/J.LANDUSEPOL.2019.104254</w:t>
      </w:r>
    </w:p>
    <w:p w:rsidR="00000000" w:rsidDel="00000000" w:rsidP="00000000" w:rsidRDefault="00000000" w:rsidRPr="00000000" w14:paraId="000005F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Thompson, K. R., Wie, S., &amp; Wong, M. A. (2024a). Metropolitan Consumers: Preferences for Local Food in the Supermarket. J Hum Nutr Food Sci, 12(1), 1185.</w:t>
      </w:r>
    </w:p>
    <w:p w:rsidR="00000000" w:rsidDel="00000000" w:rsidP="00000000" w:rsidRDefault="00000000" w:rsidRPr="00000000" w14:paraId="000005F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Thompson, K. R., Wie, S., &amp; Wong, M. A. (2024b). Metropolitan Consumers: Preferences for Local Food in the Supermarket. J Hum Nutr Food Sci, 12(1), 1185.</w:t>
      </w:r>
    </w:p>
    <w:p w:rsidR="00000000" w:rsidDel="00000000" w:rsidP="00000000" w:rsidRDefault="00000000" w:rsidRPr="00000000" w14:paraId="0000060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Tsouvalis, J., Burns, C., Fajardo-Escoffié, J., Rose, D. C., Hartley, S., &amp; Little, R. (2025). Co-Design in Practice: Bringing STS to Post-Brexit Agricultural Policy. Science Technology and Human Values. https://doi.org/10.1177/01622439241311973</w:t>
      </w:r>
    </w:p>
    <w:p w:rsidR="00000000" w:rsidDel="00000000" w:rsidP="00000000" w:rsidRDefault="00000000" w:rsidRPr="00000000" w14:paraId="0000060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Tsouvalis-Gerber, J., &amp; Little, R. (2019). Co-design, co-production and participatory policy making – Insights from the social sciences. The University of Sheffield. https://doi.org/10.15131/shef.data.11569620.v3</w:t>
      </w:r>
    </w:p>
    <w:p w:rsidR="00000000" w:rsidDel="00000000" w:rsidP="00000000" w:rsidRDefault="00000000" w:rsidRPr="00000000" w14:paraId="0000060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 Government. (2014, March 23). Farm Classification in the United Kingdom . Retrieved from: </w:t>
      </w:r>
      <w:hyperlink r:id="rId35">
        <w:r w:rsidDel="00000000" w:rsidR="00000000" w:rsidRPr="00000000">
          <w:rPr>
            <w:rFonts w:ascii="Calibri" w:cs="Calibri" w:eastAsia="Calibri" w:hAnsi="Calibri"/>
            <w:color w:val="1155cc"/>
            <w:sz w:val="24"/>
            <w:szCs w:val="24"/>
            <w:u w:val="single"/>
            <w:rtl w:val="0"/>
          </w:rPr>
          <w:t xml:space="preserve">Https://Assets.Publishing.Service.Gov.Uk/Media/641073c8e90e076cd09acda9/Fbs-Uk-Farmclassification-2014-14mar23.Pdf</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Vanslembrouck, I., Van Huylenbroeck, G., &amp; Verbeke, W. (2002). Determinants of farmers' participation in agri-environmental measures in Flanders. Journal of Agricultural Economics, 53(3), 489–511. </w:t>
      </w:r>
      <w:hyperlink r:id="rId36">
        <w:r w:rsidDel="00000000" w:rsidR="00000000" w:rsidRPr="00000000">
          <w:rPr>
            <w:rFonts w:ascii="Calibri" w:cs="Calibri" w:eastAsia="Calibri" w:hAnsi="Calibri"/>
            <w:color w:val="1155cc"/>
            <w:sz w:val="24"/>
            <w:szCs w:val="24"/>
            <w:u w:val="single"/>
            <w:rtl w:val="0"/>
          </w:rPr>
          <w:t xml:space="preserve">https://doi.org/10.1111/j.1477-9552.2002.tb00070.x</w:t>
        </w:r>
      </w:hyperlink>
      <w:r w:rsidDel="00000000" w:rsidR="00000000" w:rsidRPr="00000000">
        <w:rPr>
          <w:rtl w:val="0"/>
        </w:rPr>
      </w:r>
    </w:p>
    <w:p w:rsidR="00000000" w:rsidDel="00000000" w:rsidP="00000000" w:rsidRDefault="00000000" w:rsidRPr="00000000" w14:paraId="00000609">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0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Warren, C. R., Burton, R., Buchanan, O., &amp; Birnie, R. v. (2016). Limited adoption of short rotation coppice: The role of farmers’ socio-cultural identity in influencing practice. Journal of Rural Studies, 45. https://doi.org/10.1016/j.jrurstud.2016.03.017</w:t>
      </w:r>
    </w:p>
    <w:p w:rsidR="00000000" w:rsidDel="00000000" w:rsidP="00000000" w:rsidRDefault="00000000" w:rsidRPr="00000000" w14:paraId="0000060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Weber, M. (2013) ‘Between “isses” and “oughts”: IR constructivism, Critical Theory, and the challenge of political philosophy’, </w:t>
      </w:r>
      <w:r w:rsidDel="00000000" w:rsidR="00000000" w:rsidRPr="00000000">
        <w:rPr>
          <w:rFonts w:ascii="Calibri" w:cs="Calibri" w:eastAsia="Calibri" w:hAnsi="Calibri"/>
          <w:i w:val="1"/>
          <w:sz w:val="24"/>
          <w:szCs w:val="24"/>
          <w:rtl w:val="0"/>
        </w:rPr>
        <w:t xml:space="preserve">European Journal of International Relations</w:t>
      </w:r>
      <w:r w:rsidDel="00000000" w:rsidR="00000000" w:rsidRPr="00000000">
        <w:rPr>
          <w:rFonts w:ascii="Calibri" w:cs="Calibri" w:eastAsia="Calibri" w:hAnsi="Calibri"/>
          <w:sz w:val="24"/>
          <w:szCs w:val="24"/>
          <w:rtl w:val="0"/>
        </w:rPr>
        <w:t xml:space="preserve">, 20(2), pp. 516–543. doi:10.1177/1354066112466573.</w:t>
      </w:r>
    </w:p>
    <w:p w:rsidR="00000000" w:rsidDel="00000000" w:rsidP="00000000" w:rsidRDefault="00000000" w:rsidRPr="00000000" w14:paraId="0000060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Welsh farmers need to be heard over post-Brexit ag policy - ProQuest. (n.d.). Retrieved November 1, 2021, from https://www.proquest.com/docview/2153575311/fulltextPDF/99D4656465F14A13PQ/1?accountid=13828</w:t>
      </w:r>
    </w:p>
    <w:p w:rsidR="00000000" w:rsidDel="00000000" w:rsidP="00000000" w:rsidRDefault="00000000" w:rsidRPr="00000000" w14:paraId="0000060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Welsh Farming Facts and Figures. (n.d.). Retrieved November 1, 2021, from https://research.senedd.wales/research-articles/welsh-farming-facts-and-figures/</w:t>
      </w:r>
    </w:p>
    <w:p w:rsidR="00000000" w:rsidDel="00000000" w:rsidP="00000000" w:rsidRDefault="00000000" w:rsidRPr="00000000" w14:paraId="0000061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Welsh Government. (2020). Farming Facts and Figures, Wales 2020. www.gov.wales/statistics</w:t>
      </w:r>
    </w:p>
    <w:p w:rsidR="00000000" w:rsidDel="00000000" w:rsidP="00000000" w:rsidRDefault="00000000" w:rsidRPr="00000000" w14:paraId="0000061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Common Agricultural Policy after Brexit? | Article | Politics and Governance. (n.d.). Retrieved March 16, 2022, from https://www.cogitatiopress.com/politicsandgovernance/article/view/2117/2117</w:t>
      </w:r>
    </w:p>
    <w:p w:rsidR="00000000" w:rsidDel="00000000" w:rsidP="00000000" w:rsidRDefault="00000000" w:rsidRPr="00000000" w14:paraId="0000061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Wheeler, R., Lobley, M., Winter, M., &amp; Morris, C. (2018). “The good guys are doing it anyway”: The accommodation of environmental concern among English and Welsh farmers. Environment and Planning E: Nature and Space, 1, 664–687. https://doi.org/10.1177/2514848618817487</w:t>
      </w:r>
    </w:p>
    <w:p w:rsidR="00000000" w:rsidDel="00000000" w:rsidP="00000000" w:rsidRDefault="00000000" w:rsidRPr="00000000" w14:paraId="0000061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Whitfield, S., &amp; Marshall, A. (2017). Defining and delivering ‘sustainable’ agriculture in the UK after Brexit: interdisciplinary lessons from experiences of agricultural reform. International Journal of Agricultural Sustainability, 15(5), 501–513. https://doi.org/10.1080/14735903.2017.1337837</w:t>
      </w:r>
    </w:p>
    <w:p w:rsidR="00000000" w:rsidDel="00000000" w:rsidP="00000000" w:rsidRDefault="00000000" w:rsidRPr="00000000" w14:paraId="0000061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Williams, D., T. Lloyd, and C. Watkins, (1994) Farmers not Foresters: Constraints on the Planting of New Farm Woodland. Working Paper 27 (University of Nottingham, Nottingham )</w:t>
      </w:r>
    </w:p>
    <w:p w:rsidR="00000000" w:rsidDel="00000000" w:rsidP="00000000" w:rsidRDefault="00000000" w:rsidRPr="00000000" w14:paraId="0000061B">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C">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Wilson, G. A. (1996). Farmer environmental attitudes and ESA participation. Geoforum, 27, 115–131. https://doi.org/10.1016/0016-7185(96)00010-3</w:t>
      </w:r>
    </w:p>
    <w:p w:rsidR="00000000" w:rsidDel="00000000" w:rsidP="00000000" w:rsidRDefault="00000000" w:rsidRPr="00000000" w14:paraId="0000061D">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E">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Wilson, G. A. (1997). Factors influencing farmers' participation in agri-environmental schemes: A review. Journal of Environmental Management, 51(3), 235–251. https://doi.org/10.1006/jema.1997.0100</w:t>
      </w:r>
    </w:p>
    <w:p w:rsidR="00000000" w:rsidDel="00000000" w:rsidP="00000000" w:rsidRDefault="00000000" w:rsidRPr="00000000" w14:paraId="0000061F">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0">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Wilson, G. A., &amp; Hart, K. (2000). Financial imperative or conservation concern? EU farmers’ motivations for participation in voluntary agri-environmental schemes. Environment and Planning A, 32(12). https://doi.org/10.1068/a3311</w:t>
      </w:r>
    </w:p>
    <w:p w:rsidR="00000000" w:rsidDel="00000000" w:rsidP="00000000" w:rsidRDefault="00000000" w:rsidRPr="00000000" w14:paraId="00000621">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2">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Written Statement: Agriculture (Wales) White Paper – Summary of Responses and Welsh Government Policy Response (21 September 2021) | GOV.WALES. (n.d.). Retrieved November 2, 2021, from https://gov.wales/written-statement-agriculture-wales-white-paper-summary-responses-and-welsh-government-policy</w:t>
      </w:r>
    </w:p>
    <w:p w:rsidR="00000000" w:rsidDel="00000000" w:rsidP="00000000" w:rsidRDefault="00000000" w:rsidRPr="00000000" w14:paraId="00000623">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4">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Wynne-Jones, S. (2013). Ecosystem Service Delivery in Wales: Evaluating Farmers’ Engagement and Willingness to Participate. Http://Dx.Doi.Org/10.1080/1523908X.2013.788443, 15(4), 493–511. https://doi.org/10.1080/1523908X.2013.788443</w:t>
      </w:r>
    </w:p>
    <w:p w:rsidR="00000000" w:rsidDel="00000000" w:rsidP="00000000" w:rsidRDefault="00000000" w:rsidRPr="00000000" w14:paraId="00000625">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6">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Yin, R. K. (2003). Case Study Research . Design and Methods. In SAGE Publications (Vol. 26, Issue 1). </w:t>
      </w:r>
      <w:hyperlink r:id="rId37">
        <w:r w:rsidDel="00000000" w:rsidR="00000000" w:rsidRPr="00000000">
          <w:rPr>
            <w:rFonts w:ascii="Calibri" w:cs="Calibri" w:eastAsia="Calibri" w:hAnsi="Calibri"/>
            <w:color w:val="1155cc"/>
            <w:sz w:val="24"/>
            <w:szCs w:val="24"/>
            <w:u w:val="single"/>
            <w:rtl w:val="0"/>
          </w:rPr>
          <w:t xml:space="preserve">https://doi.org/10.1097/FCH.0b013e31822dda9e</w:t>
        </w:r>
      </w:hyperlink>
      <w:r w:rsidDel="00000000" w:rsidR="00000000" w:rsidRPr="00000000">
        <w:rPr>
          <w:rtl w:val="0"/>
        </w:rPr>
      </w:r>
    </w:p>
    <w:p w:rsidR="00000000" w:rsidDel="00000000" w:rsidP="00000000" w:rsidRDefault="00000000" w:rsidRPr="00000000" w14:paraId="00000627">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8">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Yiridoe, E. K., Bonti-Ankomah, S., &amp; Martin, R. C. (2010). Factors influencing farmers' willingness to participate in agri-environmental programs: A review. Environmental Management, 45(4), 865–877. </w:t>
      </w:r>
      <w:hyperlink r:id="rId38">
        <w:r w:rsidDel="00000000" w:rsidR="00000000" w:rsidRPr="00000000">
          <w:rPr>
            <w:rFonts w:ascii="Calibri" w:cs="Calibri" w:eastAsia="Calibri" w:hAnsi="Calibri"/>
            <w:color w:val="1155cc"/>
            <w:sz w:val="24"/>
            <w:szCs w:val="24"/>
            <w:u w:val="single"/>
            <w:rtl w:val="0"/>
          </w:rPr>
          <w:t xml:space="preserve">https://doi.org/10.1007/s00267-010-9482-2</w:t>
        </w:r>
      </w:hyperlink>
      <w:r w:rsidDel="00000000" w:rsidR="00000000" w:rsidRPr="00000000">
        <w:rPr>
          <w:rtl w:val="0"/>
        </w:rPr>
      </w:r>
    </w:p>
    <w:p w:rsidR="00000000" w:rsidDel="00000000" w:rsidP="00000000" w:rsidRDefault="00000000" w:rsidRPr="00000000" w14:paraId="00000629">
      <w:pPr>
        <w:spacing w:line="240" w:lineRule="auto"/>
        <w:ind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A">
      <w:pPr>
        <w:spacing w:line="240" w:lineRule="auto"/>
        <w:ind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Zahl-Thanem, A., Burton, R.J.F. &amp; Vik, J., 2021. Should we use email for farm surveys? A comparative study of email and postal survey response rate and non-response bias. </w:t>
      </w:r>
      <w:r w:rsidDel="00000000" w:rsidR="00000000" w:rsidRPr="00000000">
        <w:rPr>
          <w:rFonts w:ascii="Calibri" w:cs="Calibri" w:eastAsia="Calibri" w:hAnsi="Calibri"/>
          <w:i w:val="1"/>
          <w:sz w:val="24"/>
          <w:szCs w:val="24"/>
          <w:rtl w:val="0"/>
        </w:rPr>
        <w:t xml:space="preserve">Journal of Rural Studies</w:t>
      </w:r>
      <w:r w:rsidDel="00000000" w:rsidR="00000000" w:rsidRPr="00000000">
        <w:rPr>
          <w:rFonts w:ascii="Calibri" w:cs="Calibri" w:eastAsia="Calibri" w:hAnsi="Calibri"/>
          <w:sz w:val="24"/>
          <w:szCs w:val="24"/>
          <w:rtl w:val="0"/>
        </w:rPr>
        <w:t xml:space="preserve">, 87, pp.352–360. https://doi.org/10.1016/j.jrurstud.2021.08.007</w:t>
      </w:r>
    </w:p>
    <w:p w:rsidR="00000000" w:rsidDel="00000000" w:rsidP="00000000" w:rsidRDefault="00000000" w:rsidRPr="00000000" w14:paraId="0000062B">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2C">
      <w:pPr>
        <w:pStyle w:val="Heading1"/>
        <w:rPr/>
      </w:pPr>
      <w:bookmarkStart w:colFirst="0" w:colLast="0" w:name="_heading=h.qonr8u6o1a3f" w:id="120"/>
      <w:bookmarkEnd w:id="120"/>
      <w:r w:rsidDel="00000000" w:rsidR="00000000" w:rsidRPr="00000000">
        <w:rPr>
          <w:rtl w:val="0"/>
        </w:rPr>
        <w:t xml:space="preserve">APPENDIX </w:t>
      </w:r>
    </w:p>
    <w:p w:rsidR="00000000" w:rsidDel="00000000" w:rsidP="00000000" w:rsidRDefault="00000000" w:rsidRPr="00000000" w14:paraId="0000062D">
      <w:pPr>
        <w:pStyle w:val="Heading2"/>
        <w:rPr/>
      </w:pPr>
      <w:bookmarkStart w:colFirst="0" w:colLast="0" w:name="_heading=h.4rcnkjnka1sh" w:id="121"/>
      <w:bookmarkEnd w:id="121"/>
      <w:r w:rsidDel="00000000" w:rsidR="00000000" w:rsidRPr="00000000">
        <w:rPr>
          <w:rtl w:val="0"/>
        </w:rPr>
        <w:t xml:space="preserve">APPENDIX 1</w:t>
      </w:r>
    </w:p>
    <w:p w:rsidR="00000000" w:rsidDel="00000000" w:rsidP="00000000" w:rsidRDefault="00000000" w:rsidRPr="00000000" w14:paraId="0000062E">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table below demonstrates the different AES introduced under Pillar 2 of CAP in each of the UK administrations during the 2014 to 2020 period of CAP membership. </w:t>
      </w:r>
    </w:p>
    <w:p w:rsidR="00000000" w:rsidDel="00000000" w:rsidP="00000000" w:rsidRDefault="00000000" w:rsidRPr="00000000" w14:paraId="0000062F">
      <w:pPr>
        <w:spacing w:after="200" w:before="200" w:line="360" w:lineRule="auto"/>
        <w:rPr>
          <w:rFonts w:ascii="Calibri" w:cs="Calibri" w:eastAsia="Calibri" w:hAnsi="Calibri"/>
          <w:b w:val="1"/>
          <w:sz w:val="24"/>
          <w:szCs w:val="24"/>
        </w:rPr>
      </w:pPr>
      <w:r w:rsidDel="00000000" w:rsidR="00000000" w:rsidRPr="00000000">
        <w:rPr>
          <w:rtl w:val="0"/>
        </w:rPr>
      </w:r>
    </w:p>
    <w:tbl>
      <w:tblPr>
        <w:tblStyle w:val="Table14"/>
        <w:tblW w:w="11010.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580"/>
        <w:gridCol w:w="2730"/>
        <w:gridCol w:w="3240"/>
        <w:tblGridChange w:id="0">
          <w:tblGrid>
            <w:gridCol w:w="2460"/>
            <w:gridCol w:w="2580"/>
            <w:gridCol w:w="2730"/>
            <w:gridCol w:w="324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630">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England</w:t>
            </w:r>
          </w:p>
        </w:tc>
        <w:tc>
          <w:tcPr>
            <w:shd w:fill="b6d7a8" w:val="clear"/>
            <w:tcMar>
              <w:top w:w="100.0" w:type="dxa"/>
              <w:left w:w="100.0" w:type="dxa"/>
              <w:bottom w:w="100.0" w:type="dxa"/>
              <w:right w:w="100.0" w:type="dxa"/>
            </w:tcMar>
          </w:tcPr>
          <w:p w:rsidR="00000000" w:rsidDel="00000000" w:rsidP="00000000" w:rsidRDefault="00000000" w:rsidRPr="00000000" w14:paraId="00000631">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Northern Ireland </w:t>
            </w:r>
          </w:p>
        </w:tc>
        <w:tc>
          <w:tcPr>
            <w:shd w:fill="b6d7a8" w:val="clear"/>
            <w:tcMar>
              <w:top w:w="100.0" w:type="dxa"/>
              <w:left w:w="100.0" w:type="dxa"/>
              <w:bottom w:w="100.0" w:type="dxa"/>
              <w:right w:w="100.0" w:type="dxa"/>
            </w:tcMar>
          </w:tcPr>
          <w:p w:rsidR="00000000" w:rsidDel="00000000" w:rsidP="00000000" w:rsidRDefault="00000000" w:rsidRPr="00000000" w14:paraId="00000632">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Scotland </w:t>
            </w:r>
          </w:p>
        </w:tc>
        <w:tc>
          <w:tcPr>
            <w:shd w:fill="b6d7a8" w:val="clear"/>
            <w:tcMar>
              <w:top w:w="100.0" w:type="dxa"/>
              <w:left w:w="100.0" w:type="dxa"/>
              <w:bottom w:w="100.0" w:type="dxa"/>
              <w:right w:w="100.0" w:type="dxa"/>
            </w:tcMar>
          </w:tcPr>
          <w:p w:rsidR="00000000" w:rsidDel="00000000" w:rsidP="00000000" w:rsidRDefault="00000000" w:rsidRPr="00000000" w14:paraId="00000633">
            <w:pPr>
              <w:widowControl w:val="0"/>
              <w:spacing w:after="200" w:before="200"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Wales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3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Countryside Stewardship Scheme</w:t>
            </w:r>
          </w:p>
          <w:p w:rsidR="00000000" w:rsidDel="00000000" w:rsidP="00000000" w:rsidRDefault="00000000" w:rsidRPr="00000000" w14:paraId="00000635">
            <w:pPr>
              <w:widowControl w:val="0"/>
              <w:spacing w:after="200" w:before="200" w:line="360" w:lineRule="auto"/>
              <w:rPr>
                <w:rFonts w:ascii="Calibri" w:cs="Calibri" w:eastAsia="Calibri" w:hAnsi="Calibri"/>
                <w:sz w:val="24"/>
                <w:szCs w:val="24"/>
              </w:rPr>
            </w:pPr>
            <w:hyperlink r:id="rId39">
              <w:r w:rsidDel="00000000" w:rsidR="00000000" w:rsidRPr="00000000">
                <w:rPr>
                  <w:rFonts w:ascii="Calibri" w:cs="Calibri" w:eastAsia="Calibri" w:hAnsi="Calibri"/>
                  <w:color w:val="1155cc"/>
                  <w:sz w:val="24"/>
                  <w:szCs w:val="24"/>
                  <w:u w:val="single"/>
                  <w:rtl w:val="0"/>
                </w:rPr>
                <w:t xml:space="preserve">https://assets.publishing.service.gov.uk/media/5a8155f4e5274a2e87dbd11c/CAPLF005v10_WEB.pdf</w:t>
              </w:r>
            </w:hyperlink>
            <w:r w:rsidDel="00000000" w:rsidR="00000000" w:rsidRPr="00000000">
              <w:rPr>
                <w:rFonts w:ascii="Calibri" w:cs="Calibri" w:eastAsia="Calibri" w:hAnsi="Calibri"/>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3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Agri-Environment</w:t>
            </w:r>
          </w:p>
          <w:p w:rsidR="00000000" w:rsidDel="00000000" w:rsidP="00000000" w:rsidRDefault="00000000" w:rsidRPr="00000000" w14:paraId="0000063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Environmental Farming Scheme (EFS) will offer participants a 5-year agreement to deliver a range of environmental measures and will have three levels:</w:t>
            </w:r>
          </w:p>
          <w:p w:rsidR="00000000" w:rsidDel="00000000" w:rsidP="00000000" w:rsidRDefault="00000000" w:rsidRPr="00000000" w14:paraId="00000638">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higher level, primarily for environmentally designated sites and other priority habitats</w:t>
            </w:r>
          </w:p>
          <w:p w:rsidR="00000000" w:rsidDel="00000000" w:rsidP="00000000" w:rsidRDefault="00000000" w:rsidRPr="00000000" w14:paraId="0000063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wider level to deliver benefits across the countryside, outside of environmentally designated areas</w:t>
            </w:r>
          </w:p>
          <w:p w:rsidR="00000000" w:rsidDel="00000000" w:rsidP="00000000" w:rsidRDefault="00000000" w:rsidRPr="00000000" w14:paraId="0000063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group level to support co-operative action by farmers in specific areas such as a river catchment</w:t>
            </w:r>
          </w:p>
          <w:p w:rsidR="00000000" w:rsidDel="00000000" w:rsidP="00000000" w:rsidRDefault="00000000" w:rsidRPr="00000000" w14:paraId="0000063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tranche for EFS closed for applications on 31 March 2017.</w:t>
            </w:r>
          </w:p>
          <w:p w:rsidR="00000000" w:rsidDel="00000000" w:rsidP="00000000" w:rsidRDefault="00000000" w:rsidRPr="00000000" w14:paraId="0000063D">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EFS Scheme information</w:t>
            </w:r>
          </w:p>
          <w:p w:rsidR="00000000" w:rsidDel="00000000" w:rsidP="00000000" w:rsidRDefault="00000000" w:rsidRPr="00000000" w14:paraId="0000063F">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Agri-Food Co-operation Scheme (AFCS)</w:t>
            </w:r>
          </w:p>
          <w:p w:rsidR="00000000" w:rsidDel="00000000" w:rsidP="00000000" w:rsidRDefault="00000000" w:rsidRPr="00000000" w14:paraId="0000064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Agri-Food Co-operation Scheme (AFCS) is a new scheme which will be funded through the 2014-2020 Rural Development Programme. The aim of the scheme is to reduce fragmentation and improve competitiveness and sustainability within the agri-food sector.</w:t>
            </w:r>
          </w:p>
          <w:p w:rsidR="00000000" w:rsidDel="00000000" w:rsidP="00000000" w:rsidRDefault="00000000" w:rsidRPr="00000000" w14:paraId="00000641">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AFCS information</w:t>
            </w:r>
          </w:p>
          <w:p w:rsidR="00000000" w:rsidDel="00000000" w:rsidP="00000000" w:rsidRDefault="00000000" w:rsidRPr="00000000" w14:paraId="00000643">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Development Groups</w:t>
            </w:r>
          </w:p>
          <w:p w:rsidR="00000000" w:rsidDel="00000000" w:rsidP="00000000" w:rsidRDefault="00000000" w:rsidRPr="00000000" w14:paraId="0000064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Knowledge transfer through Business Development Groups (BDG) is a new scheme which will be funded through the 2014-2020 Rural Development Programme. The scheme will use a group approach to improve the technical efficiency of farm businesses and will also offer participants the opportunity to gain a level 3 qualification.</w:t>
            </w:r>
          </w:p>
          <w:p w:rsidR="00000000" w:rsidDel="00000000" w:rsidP="00000000" w:rsidRDefault="00000000" w:rsidRPr="00000000" w14:paraId="00000645">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BDG Scheme Information</w:t>
            </w:r>
          </w:p>
          <w:p w:rsidR="00000000" w:rsidDel="00000000" w:rsidP="00000000" w:rsidRDefault="00000000" w:rsidRPr="00000000" w14:paraId="0000064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Forestry Grant Schemes</w:t>
            </w:r>
          </w:p>
          <w:p w:rsidR="00000000" w:rsidDel="00000000" w:rsidP="00000000" w:rsidRDefault="00000000" w:rsidRPr="00000000" w14:paraId="0000064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Almost all woodlands in Northern Ireland are planted with some form of grant assistance. The Forest Service encourages the creation of new woodlands and the management of existing woodlands by providing grant aid towards the cost of the work.</w:t>
            </w:r>
          </w:p>
          <w:p w:rsidR="00000000" w:rsidDel="00000000" w:rsidP="00000000" w:rsidRDefault="00000000" w:rsidRPr="00000000" w14:paraId="00000649">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Forestry Grants Scheme information</w:t>
            </w:r>
          </w:p>
          <w:p w:rsidR="00000000" w:rsidDel="00000000" w:rsidP="00000000" w:rsidRDefault="00000000" w:rsidRPr="00000000" w14:paraId="0000064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Business Improvement Scheme</w:t>
            </w:r>
          </w:p>
          <w:p w:rsidR="00000000" w:rsidDel="00000000" w:rsidP="00000000" w:rsidRDefault="00000000" w:rsidRPr="00000000" w14:paraId="0000064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proposed Farm Business Improvement Scheme (FBIS) will be an important part of the RDP and subject to the necessary business case approvals, will include a portfolio of measures to support sustainable growth in the agriculture sector.</w:t>
            </w:r>
          </w:p>
          <w:p w:rsidR="00000000" w:rsidDel="00000000" w:rsidP="00000000" w:rsidRDefault="00000000" w:rsidRPr="00000000" w14:paraId="0000064D">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proposed that the FBIS includes a capital investment scheme that provides capital support. This scheme is called the Business Investment Scheme (BIS).</w:t>
            </w:r>
          </w:p>
          <w:p w:rsidR="00000000" w:rsidDel="00000000" w:rsidP="00000000" w:rsidRDefault="00000000" w:rsidRPr="00000000" w14:paraId="0000064F">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FBIS Scheme Information</w:t>
            </w:r>
          </w:p>
          <w:p w:rsidR="00000000" w:rsidDel="00000000" w:rsidP="00000000" w:rsidRDefault="00000000" w:rsidRPr="00000000" w14:paraId="00000651">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Agri-food Processing Investment Scheme</w:t>
            </w:r>
          </w:p>
          <w:p w:rsidR="00000000" w:rsidDel="00000000" w:rsidP="00000000" w:rsidRDefault="00000000" w:rsidRPr="00000000" w14:paraId="0000065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Northern Ireland Rural Development Programme 2014-20 includes provision for an Agri-food Processing Investment Scheme (AfPIS). This replaces the EU Processing &amp; Marketing Grant Scheme (PMG) previously operated by DARD. Subject to the necessary approvals, AfPIS will seek to improve the economic performance and competitiveness of the agri-food sector through financial assistance for capital investment in equipment and buildings.</w:t>
            </w:r>
          </w:p>
          <w:p w:rsidR="00000000" w:rsidDel="00000000" w:rsidP="00000000" w:rsidRDefault="00000000" w:rsidRPr="00000000" w14:paraId="00000653">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AfPIS Scheme information</w:t>
            </w:r>
          </w:p>
          <w:p w:rsidR="00000000" w:rsidDel="00000000" w:rsidP="00000000" w:rsidRDefault="00000000" w:rsidRPr="00000000" w14:paraId="00000655">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Family Key Skills (FFKS)</w:t>
            </w:r>
          </w:p>
          <w:p w:rsidR="00000000" w:rsidDel="00000000" w:rsidP="00000000" w:rsidRDefault="00000000" w:rsidRPr="00000000" w14:paraId="0000065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Family Key Skills aims to help farm families adapt to the changing needs of the industry by increasing the levels of knowledge and skills needed to assist with their business decision-making. It does this through short, topic-based courses and workshops.</w:t>
            </w:r>
          </w:p>
          <w:p w:rsidR="00000000" w:rsidDel="00000000" w:rsidP="00000000" w:rsidRDefault="00000000" w:rsidRPr="00000000" w14:paraId="00000657">
            <w:pPr>
              <w:widowControl w:val="0"/>
              <w:spacing w:after="200" w:before="20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Family Key Skills (FFKS) is a knowledge transfer initiative within the Farm Business Improvement Scheme, funded under the Rural Development programme 2014-2020. The College of Agriculture, Food and Rural Enterprise (CAFRE) is responsible for the management and delivery of FFKS.</w:t>
            </w:r>
          </w:p>
          <w:p w:rsidR="00000000" w:rsidDel="00000000" w:rsidP="00000000" w:rsidRDefault="00000000" w:rsidRPr="00000000" w14:paraId="0000065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FFKS Scheme Information</w:t>
            </w:r>
          </w:p>
          <w:p w:rsidR="00000000" w:rsidDel="00000000" w:rsidP="00000000" w:rsidRDefault="00000000" w:rsidRPr="00000000" w14:paraId="0000065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w:t>
            </w:r>
          </w:p>
          <w:p w:rsidR="00000000" w:rsidDel="00000000" w:rsidP="00000000" w:rsidRDefault="00000000" w:rsidRPr="00000000" w14:paraId="0000065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£70m of funding will be distributed in rural areas through the leader approach. Funding is available for Rural Business Investment, Rural basic Services, Village Renewal, Broadband initiatives and co-operation.</w:t>
            </w:r>
          </w:p>
          <w:p w:rsidR="00000000" w:rsidDel="00000000" w:rsidP="00000000" w:rsidRDefault="00000000" w:rsidRPr="00000000" w14:paraId="0000065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 Scheme information</w:t>
            </w:r>
          </w:p>
          <w:p w:rsidR="00000000" w:rsidDel="00000000" w:rsidP="00000000" w:rsidRDefault="00000000" w:rsidRPr="00000000" w14:paraId="0000065D">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Tourism</w:t>
            </w:r>
          </w:p>
          <w:p w:rsidR="00000000" w:rsidDel="00000000" w:rsidP="00000000" w:rsidRDefault="00000000" w:rsidRPr="00000000" w14:paraId="0000065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Scheme will invest in natural and built heritage projects that can act as a key driver for encouraging rural tourism and particularly out of state visitors whilst preserving the natural assets of the rural community.</w:t>
            </w:r>
          </w:p>
          <w:p w:rsidR="00000000" w:rsidDel="00000000" w:rsidP="00000000" w:rsidRDefault="00000000" w:rsidRPr="00000000" w14:paraId="0000065F">
            <w:pPr>
              <w:widowControl w:val="0"/>
              <w:spacing w:after="200" w:before="200" w:line="360" w:lineRule="auto"/>
              <w:rPr>
                <w:rFonts w:ascii="Calibri" w:cs="Calibri" w:eastAsia="Calibri" w:hAnsi="Calibri"/>
                <w:sz w:val="24"/>
                <w:szCs w:val="24"/>
              </w:rPr>
            </w:pPr>
            <w:hyperlink r:id="rId40">
              <w:r w:rsidDel="00000000" w:rsidR="00000000" w:rsidRPr="00000000">
                <w:rPr>
                  <w:rFonts w:ascii="Calibri" w:cs="Calibri" w:eastAsia="Calibri" w:hAnsi="Calibri"/>
                  <w:color w:val="1155cc"/>
                  <w:sz w:val="24"/>
                  <w:szCs w:val="24"/>
                  <w:u w:val="single"/>
                  <w:rtl w:val="0"/>
                </w:rPr>
                <w:t xml:space="preserve">https://www.daera-ni.gov.uk/articles/2014-2020-rural-development-programme</w:t>
              </w:r>
            </w:hyperlink>
            <w:r w:rsidDel="00000000" w:rsidR="00000000" w:rsidRPr="00000000">
              <w:rPr>
                <w:rFonts w:ascii="Calibri" w:cs="Calibri" w:eastAsia="Calibri" w:hAnsi="Calibri"/>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6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 Favoured Area Support Scheme (LFASS) - providing essential support to farming businesses in remote and constrained rural areas.</w:t>
            </w:r>
          </w:p>
          <w:p w:rsidR="00000000" w:rsidDel="00000000" w:rsidP="00000000" w:rsidRDefault="00000000" w:rsidRPr="00000000" w14:paraId="00000661">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Forestry Grant Scheme - a range of grants for woodland creation, agroforestry, tree health, woodland improvement, processing and marketing and sustainable management of forests.</w:t>
            </w:r>
          </w:p>
          <w:p w:rsidR="00000000" w:rsidDel="00000000" w:rsidP="00000000" w:rsidRDefault="00000000" w:rsidRPr="00000000" w14:paraId="0000066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Agri-Environment Climate Scheme (including support for organics and footpaths) - targeted support for land managers to undertake management and capital work for environmental purposes.</w:t>
            </w:r>
          </w:p>
          <w:p w:rsidR="00000000" w:rsidDel="00000000" w:rsidP="00000000" w:rsidRDefault="00000000" w:rsidRPr="00000000" w14:paraId="00000663">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Beef Efficiency Scheme - to deliver economic and environmental improvements in the beef sector.</w:t>
            </w:r>
          </w:p>
          <w:p w:rsidR="00000000" w:rsidDel="00000000" w:rsidP="00000000" w:rsidRDefault="00000000" w:rsidRPr="00000000" w14:paraId="0000066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New Entrants - start-up grants for new entrant young farmers of up to 40 years old (as set by Europe) and capital funding for new entrants, regardless of age, to improve their business.</w:t>
            </w:r>
          </w:p>
          <w:p w:rsidR="00000000" w:rsidDel="00000000" w:rsidP="00000000" w:rsidRDefault="00000000" w:rsidRPr="00000000" w14:paraId="00000665">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Crofting Agricultural Grant Scheme - grants to improve crofts which will help to sustain crofting business.</w:t>
            </w:r>
          </w:p>
          <w:p w:rsidR="00000000" w:rsidDel="00000000" w:rsidP="00000000" w:rsidRDefault="00000000" w:rsidRPr="00000000" w14:paraId="0000066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Small Farms Grant Scheme - targeted support for small farms that face similar issues as crofters regarding sustainability.</w:t>
            </w:r>
          </w:p>
          <w:p w:rsidR="00000000" w:rsidDel="00000000" w:rsidP="00000000" w:rsidRDefault="00000000" w:rsidRPr="00000000" w14:paraId="0000066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Food Processing, Marketing and Co-operation - support for SMEs in the food and drink sector with start-up grants for new enterprises, and business development grants.</w:t>
            </w:r>
          </w:p>
          <w:p w:rsidR="00000000" w:rsidDel="00000000" w:rsidP="00000000" w:rsidRDefault="00000000" w:rsidRPr="00000000" w14:paraId="0000066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LEADER - LEADER will provide opportunities for individuals, businesses and communities to come together and support rural development and provide long lasting benefits to the local area. This will include support for non-agricultural small businesses including farm diversification.</w:t>
            </w:r>
          </w:p>
          <w:p w:rsidR="00000000" w:rsidDel="00000000" w:rsidP="00000000" w:rsidRDefault="00000000" w:rsidRPr="00000000" w14:paraId="0000066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Knowledge Transfer and Innovation Fund (KTIF) - sharing innovative ways of improving working practices along with continuing support for Monitor Farms.</w:t>
            </w:r>
          </w:p>
          <w:p w:rsidR="00000000" w:rsidDel="00000000" w:rsidP="00000000" w:rsidRDefault="00000000" w:rsidRPr="00000000" w14:paraId="0000066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Advisory Service - the Farm Advisory Service will provide advice and assistance to farmers, crofters and other land managers</w:t>
            </w:r>
          </w:p>
          <w:p w:rsidR="00000000" w:rsidDel="00000000" w:rsidP="00000000" w:rsidRDefault="00000000" w:rsidRPr="00000000" w14:paraId="0000066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Development: Broadband - support for broadband provision in rural areas.</w:t>
            </w:r>
          </w:p>
          <w:p w:rsidR="00000000" w:rsidDel="00000000" w:rsidP="00000000" w:rsidRDefault="00000000" w:rsidRPr="00000000" w14:paraId="0000066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Scottish Rural Network - supporting and promoting rural development through the sharing of ideas and best practice.</w:t>
            </w:r>
          </w:p>
          <w:p w:rsidR="00000000" w:rsidDel="00000000" w:rsidP="00000000" w:rsidRDefault="00000000" w:rsidRPr="00000000" w14:paraId="0000066D">
            <w:pPr>
              <w:widowControl w:val="0"/>
              <w:spacing w:after="200" w:before="200" w:line="360" w:lineRule="auto"/>
              <w:rPr>
                <w:rFonts w:ascii="Calibri" w:cs="Calibri" w:eastAsia="Calibri" w:hAnsi="Calibri"/>
                <w:sz w:val="24"/>
                <w:szCs w:val="24"/>
              </w:rPr>
            </w:pPr>
            <w:hyperlink r:id="rId41">
              <w:r w:rsidDel="00000000" w:rsidR="00000000" w:rsidRPr="00000000">
                <w:rPr>
                  <w:rFonts w:ascii="Calibri" w:cs="Calibri" w:eastAsia="Calibri" w:hAnsi="Calibri"/>
                  <w:color w:val="1155cc"/>
                  <w:sz w:val="24"/>
                  <w:szCs w:val="24"/>
                  <w:u w:val="single"/>
                  <w:rtl w:val="0"/>
                </w:rPr>
                <w:t xml:space="preserve">https://www.gov.scot/policies/agriculture-payments/scottish-rural-development-programme-srdp/#:~:text=2%20of%203-,Scottish%20Rural%20Development%20Programme%20(SRDP),help%20achieve%20sustainable%20economic%20growth</w:t>
              </w:r>
            </w:hyperlink>
            <w:r w:rsidDel="00000000" w:rsidR="00000000" w:rsidRPr="00000000">
              <w:rPr>
                <w:rFonts w:ascii="Calibri" w:cs="Calibri" w:eastAsia="Calibri" w:hAnsi="Calibri"/>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6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Co-operation and Supply Chain Development Scheme: Financial support for small businesses to work together to increase resilience</w:t>
            </w:r>
          </w:p>
          <w:p w:rsidR="00000000" w:rsidDel="00000000" w:rsidP="00000000" w:rsidRDefault="00000000" w:rsidRPr="00000000" w14:paraId="0000066F">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Co-operative Forest Planning Scheme: Financial support to encourage planning of larger woodland creation projects</w:t>
            </w:r>
          </w:p>
          <w:p w:rsidR="00000000" w:rsidDel="00000000" w:rsidP="00000000" w:rsidRDefault="00000000" w:rsidRPr="00000000" w14:paraId="0000067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Dairy Support Scheme: Financial support for Welsh dairy farmers</w:t>
            </w:r>
          </w:p>
          <w:p w:rsidR="00000000" w:rsidDel="00000000" w:rsidP="00000000" w:rsidRDefault="00000000" w:rsidRPr="00000000" w14:paraId="00000671">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Enabling Natural Resources and Well-being Scheme: Financial support for projects to improve residential areas</w:t>
            </w:r>
          </w:p>
          <w:p w:rsidR="00000000" w:rsidDel="00000000" w:rsidP="00000000" w:rsidRDefault="00000000" w:rsidRPr="00000000" w14:paraId="0000067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Innovation Partnership (EIP) Wales: Financial support for projects which encourage cooperation between research and practice</w:t>
            </w:r>
          </w:p>
          <w:p w:rsidR="00000000" w:rsidDel="00000000" w:rsidP="00000000" w:rsidRDefault="00000000" w:rsidRPr="00000000" w14:paraId="00000673">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Farm Business Grant: A financial contribution towards capital investment in equipment and machinery on farms</w:t>
            </w:r>
          </w:p>
          <w:p w:rsidR="00000000" w:rsidDel="00000000" w:rsidP="00000000" w:rsidRDefault="00000000" w:rsidRPr="00000000" w14:paraId="0000067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Food Business Investment Scheme: Financial support for capital investments in food processing equipment  </w:t>
            </w:r>
          </w:p>
          <w:p w:rsidR="00000000" w:rsidDel="00000000" w:rsidP="00000000" w:rsidRDefault="00000000" w:rsidRPr="00000000" w14:paraId="00000675">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Forestry Industry Recovery Scheme (FIRS): Financial support for capital investments contributing to a green recovery</w:t>
            </w:r>
          </w:p>
          <w:p w:rsidR="00000000" w:rsidDel="00000000" w:rsidP="00000000" w:rsidRDefault="00000000" w:rsidRPr="00000000" w14:paraId="0000067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Advanced: Financial support for part farm environmental land management</w:t>
            </w:r>
          </w:p>
          <w:p w:rsidR="00000000" w:rsidDel="00000000" w:rsidP="00000000" w:rsidRDefault="00000000" w:rsidRPr="00000000" w14:paraId="0000067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Commons: Financial support for members of grazing associations</w:t>
            </w:r>
          </w:p>
          <w:p w:rsidR="00000000" w:rsidDel="00000000" w:rsidP="00000000" w:rsidRDefault="00000000" w:rsidRPr="00000000" w14:paraId="0000067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Entry: Financial support for whole farm land management</w:t>
            </w:r>
          </w:p>
          <w:p w:rsidR="00000000" w:rsidDel="00000000" w:rsidP="00000000" w:rsidRDefault="00000000" w:rsidRPr="00000000" w14:paraId="0000067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Organic: Financial support for organic farmers and producers</w:t>
            </w:r>
          </w:p>
          <w:p w:rsidR="00000000" w:rsidDel="00000000" w:rsidP="00000000" w:rsidRDefault="00000000" w:rsidRPr="00000000" w14:paraId="0000067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Small Grants: A financial contribution towards capital investments on individual parcels of land</w:t>
            </w:r>
          </w:p>
          <w:p w:rsidR="00000000" w:rsidDel="00000000" w:rsidP="00000000" w:rsidRDefault="00000000" w:rsidRPr="00000000" w14:paraId="0000067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Woodland Creation: Financial support for capital investments to create new woodland</w:t>
            </w:r>
          </w:p>
          <w:p w:rsidR="00000000" w:rsidDel="00000000" w:rsidP="00000000" w:rsidRDefault="00000000" w:rsidRPr="00000000" w14:paraId="0000067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Woodland Management: Financial support for capital works to manage existing woodland</w:t>
            </w:r>
          </w:p>
          <w:p w:rsidR="00000000" w:rsidDel="00000000" w:rsidP="00000000" w:rsidRDefault="00000000" w:rsidRPr="00000000" w14:paraId="0000067D">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Glastir Woodland Restoration: Financial support for capital works such as restocking and fencing</w:t>
            </w:r>
          </w:p>
          <w:p w:rsidR="00000000" w:rsidDel="00000000" w:rsidP="00000000" w:rsidRDefault="00000000" w:rsidRPr="00000000" w14:paraId="0000067E">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 Funding for specific and focused initiatives under the Local Development Strategy</w:t>
            </w:r>
          </w:p>
          <w:p w:rsidR="00000000" w:rsidDel="00000000" w:rsidP="00000000" w:rsidRDefault="00000000" w:rsidRPr="00000000" w14:paraId="0000067F">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Business Investment Scheme - Food: Financial support for small food and drink processors and manufacturers</w:t>
            </w:r>
          </w:p>
          <w:p w:rsidR="00000000" w:rsidDel="00000000" w:rsidP="00000000" w:rsidRDefault="00000000" w:rsidRPr="00000000" w14:paraId="00000680">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Business Investment Scheme - Non-Agriculture</w:t>
            </w:r>
          </w:p>
          <w:p w:rsidR="00000000" w:rsidDel="00000000" w:rsidP="00000000" w:rsidRDefault="00000000" w:rsidRPr="00000000" w14:paraId="00000681">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for small businesses diversifying into non-farming activities</w:t>
            </w:r>
          </w:p>
          <w:p w:rsidR="00000000" w:rsidDel="00000000" w:rsidP="00000000" w:rsidRDefault="00000000" w:rsidRPr="00000000" w14:paraId="00000682">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Community Development Fund</w:t>
            </w:r>
          </w:p>
          <w:p w:rsidR="00000000" w:rsidDel="00000000" w:rsidP="00000000" w:rsidRDefault="00000000" w:rsidRPr="00000000" w14:paraId="00000683">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for LEADER local action groups and other community organisations</w:t>
            </w:r>
          </w:p>
          <w:p w:rsidR="00000000" w:rsidDel="00000000" w:rsidP="00000000" w:rsidRDefault="00000000" w:rsidRPr="00000000" w14:paraId="00000684">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Management Scheme</w:t>
            </w:r>
          </w:p>
          <w:p w:rsidR="00000000" w:rsidDel="00000000" w:rsidP="00000000" w:rsidRDefault="00000000" w:rsidRPr="00000000" w14:paraId="00000685">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for collaborative landscape-scale natural resources projects</w:t>
            </w:r>
          </w:p>
          <w:p w:rsidR="00000000" w:rsidDel="00000000" w:rsidP="00000000" w:rsidRDefault="00000000" w:rsidRPr="00000000" w14:paraId="00000686">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Management Scheme - Supporting Natura 2000 Restoration</w:t>
            </w:r>
          </w:p>
          <w:p w:rsidR="00000000" w:rsidDel="00000000" w:rsidP="00000000" w:rsidRDefault="00000000" w:rsidRPr="00000000" w14:paraId="00000687">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for capital projects to maintain and improve Natura 2000 sites</w:t>
            </w:r>
          </w:p>
          <w:p w:rsidR="00000000" w:rsidDel="00000000" w:rsidP="00000000" w:rsidRDefault="00000000" w:rsidRPr="00000000" w14:paraId="00000688">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Production Grant</w:t>
            </w:r>
          </w:p>
          <w:p w:rsidR="00000000" w:rsidDel="00000000" w:rsidP="00000000" w:rsidRDefault="00000000" w:rsidRPr="00000000" w14:paraId="00000689">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to improve the economic and environmental performance of their holdings</w:t>
            </w:r>
          </w:p>
          <w:p w:rsidR="00000000" w:rsidDel="00000000" w:rsidP="00000000" w:rsidRDefault="00000000" w:rsidRPr="00000000" w14:paraId="0000068A">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Timber Business Investment Scheme</w:t>
            </w:r>
          </w:p>
          <w:p w:rsidR="00000000" w:rsidDel="00000000" w:rsidP="00000000" w:rsidRDefault="00000000" w:rsidRPr="00000000" w14:paraId="0000068B">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for forest owners to enhance forestry potential</w:t>
            </w:r>
          </w:p>
          <w:p w:rsidR="00000000" w:rsidDel="00000000" w:rsidP="00000000" w:rsidRDefault="00000000" w:rsidRPr="00000000" w14:paraId="0000068C">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Wood Kiln Investment Scheme</w:t>
            </w:r>
          </w:p>
          <w:p w:rsidR="00000000" w:rsidDel="00000000" w:rsidP="00000000" w:rsidRDefault="00000000" w:rsidRPr="00000000" w14:paraId="0000068D">
            <w:pPr>
              <w:widowControl w:val="0"/>
              <w:spacing w:after="200" w:before="20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support to improve capacity to produce ISPM15 compliant wood packaging material</w:t>
            </w:r>
          </w:p>
          <w:p w:rsidR="00000000" w:rsidDel="00000000" w:rsidP="00000000" w:rsidRDefault="00000000" w:rsidRPr="00000000" w14:paraId="0000068E">
            <w:pPr>
              <w:widowControl w:val="0"/>
              <w:spacing w:after="200" w:before="200" w:line="360" w:lineRule="auto"/>
              <w:rPr>
                <w:rFonts w:ascii="Calibri" w:cs="Calibri" w:eastAsia="Calibri" w:hAnsi="Calibri"/>
                <w:sz w:val="24"/>
                <w:szCs w:val="24"/>
              </w:rPr>
            </w:pPr>
            <w:hyperlink r:id="rId42">
              <w:r w:rsidDel="00000000" w:rsidR="00000000" w:rsidRPr="00000000">
                <w:rPr>
                  <w:rFonts w:ascii="Calibri" w:cs="Calibri" w:eastAsia="Calibri" w:hAnsi="Calibri"/>
                  <w:color w:val="1155cc"/>
                  <w:sz w:val="24"/>
                  <w:szCs w:val="24"/>
                  <w:u w:val="single"/>
                  <w:rtl w:val="0"/>
                </w:rPr>
                <w:t xml:space="preserve">https://www.gov.wales/closed-2014-2020-rural-development-plan-schemes</w:t>
              </w:r>
            </w:hyperlink>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68F">
      <w:pPr>
        <w:pStyle w:val="Heading2"/>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690">
      <w:pPr>
        <w:pStyle w:val="Heading2"/>
        <w:rPr/>
      </w:pPr>
      <w:bookmarkStart w:colFirst="0" w:colLast="0" w:name="_heading=h.8uxftbidk3fk" w:id="122"/>
      <w:bookmarkEnd w:id="122"/>
      <w:r w:rsidDel="00000000" w:rsidR="00000000" w:rsidRPr="00000000">
        <w:rPr>
          <w:rtl w:val="0"/>
        </w:rPr>
        <w:t xml:space="preserve">APPENDIX 2 </w:t>
      </w:r>
    </w:p>
    <w:p w:rsidR="00000000" w:rsidDel="00000000" w:rsidP="00000000" w:rsidRDefault="00000000" w:rsidRPr="00000000" w14:paraId="000006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Overview of SFI Pilot Standards </w:t>
      </w:r>
    </w:p>
    <w:p w:rsidR="00000000" w:rsidDel="00000000" w:rsidP="00000000" w:rsidRDefault="00000000" w:rsidRPr="00000000" w14:paraId="00000692">
      <w:pPr>
        <w:shd w:fill="ffffff" w:val="clear"/>
        <w:spacing w:after="380" w:line="36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4508500"/>
            <wp:effectExtent b="0" l="0" r="0" t="0"/>
            <wp:docPr descr="A chart with text on it&#10;&#10;AI-generated content may be incorrect." id="1297365387" name="image19.png"/>
            <a:graphic>
              <a:graphicData uri="http://schemas.openxmlformats.org/drawingml/2006/picture">
                <pic:pic>
                  <pic:nvPicPr>
                    <pic:cNvPr descr="A chart with text on it&#10;&#10;AI-generated content may be incorrect." id="0" name="image19.png"/>
                    <pic:cNvPicPr preferRelativeResize="0"/>
                  </pic:nvPicPr>
                  <pic:blipFill>
                    <a:blip r:embed="rId43"/>
                    <a:srcRect b="0" l="0" r="0" t="0"/>
                    <a:stretch>
                      <a:fillRect/>
                    </a:stretch>
                  </pic:blipFill>
                  <pic:spPr>
                    <a:xfrm rot="5400000">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shd w:fill="ffffff" w:val="clear"/>
        <w:spacing w:after="38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(Source: Defra, 2022)</w:t>
      </w:r>
    </w:p>
    <w:p w:rsidR="00000000" w:rsidDel="00000000" w:rsidP="00000000" w:rsidRDefault="00000000" w:rsidRPr="00000000" w14:paraId="00000694">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95">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6">
      <w:pPr>
        <w:keepLines w:val="1"/>
        <w:shd w:fill="ffffff" w:val="clear"/>
        <w:spacing w:after="20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97">
      <w:pPr>
        <w:pStyle w:val="Heading2"/>
        <w:ind w:left="720" w:hanging="360"/>
        <w:rPr/>
      </w:pPr>
      <w:bookmarkStart w:colFirst="0" w:colLast="0" w:name="_heading=h.h3mt5oqnl8su" w:id="123"/>
      <w:bookmarkEnd w:id="123"/>
      <w:r w:rsidDel="00000000" w:rsidR="00000000" w:rsidRPr="00000000">
        <w:rPr>
          <w:rtl w:val="0"/>
        </w:rPr>
        <w:t xml:space="preserve">APPENDIX 3 </w:t>
      </w:r>
    </w:p>
    <w:p w:rsidR="00000000" w:rsidDel="00000000" w:rsidP="00000000" w:rsidRDefault="00000000" w:rsidRPr="00000000" w14:paraId="00000698">
      <w:pPr>
        <w:keepLines w:val="1"/>
        <w:shd w:fill="ffffff" w:val="clear"/>
        <w:spacing w:after="2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Comparison of Policy Wording from CS to SFI Pilot </w:t>
      </w:r>
    </w:p>
    <w:tbl>
      <w:tblPr>
        <w:tblStyle w:val="Table15"/>
        <w:tblW w:w="9821.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1"/>
        <w:tblGridChange w:id="0">
          <w:tblGrid>
            <w:gridCol w:w="9821"/>
          </w:tblGrid>
        </w:tblGridChange>
      </w:tblGrid>
      <w:tr>
        <w:trPr>
          <w:cantSplit w:val="0"/>
          <w:trHeight w:val="462"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699">
            <w:pPr>
              <w:keepLines w:val="1"/>
              <w:widowControl w:val="0"/>
              <w:spacing w:after="20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Countryside Stewardship (Mid-Tier, 2017)</w:t>
            </w:r>
          </w:p>
        </w:tc>
      </w:tr>
      <w:tr>
        <w:trPr>
          <w:cantSplit w:val="0"/>
          <w:trHeight w:val="105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A">
            <w:pPr>
              <w:keepLines w:val="1"/>
              <w:widowControl w:val="0"/>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34190" cy="6071773"/>
                  <wp:effectExtent b="0" l="0" r="0" t="0"/>
                  <wp:docPr descr="A list of information on a white background&#10;&#10;AI-generated content may be incorrect." id="1297365388" name="image16.png"/>
                  <a:graphic>
                    <a:graphicData uri="http://schemas.openxmlformats.org/drawingml/2006/picture">
                      <pic:pic>
                        <pic:nvPicPr>
                          <pic:cNvPr descr="A list of information on a white background&#10;&#10;AI-generated content may be incorrect." id="0" name="image16.png"/>
                          <pic:cNvPicPr preferRelativeResize="0"/>
                        </pic:nvPicPr>
                        <pic:blipFill>
                          <a:blip r:embed="rId44"/>
                          <a:srcRect b="0" l="0" r="0" t="0"/>
                          <a:stretch>
                            <a:fillRect/>
                          </a:stretch>
                        </pic:blipFill>
                        <pic:spPr>
                          <a:xfrm>
                            <a:off x="0" y="0"/>
                            <a:ext cx="4534190" cy="6071773"/>
                          </a:xfrm>
                          <a:prstGeom prst="rect"/>
                          <a:ln/>
                        </pic:spPr>
                      </pic:pic>
                    </a:graphicData>
                  </a:graphic>
                </wp:inline>
              </w:drawing>
            </w:r>
            <w:r w:rsidDel="00000000" w:rsidR="00000000" w:rsidRPr="00000000">
              <w:rPr>
                <w:rtl w:val="0"/>
              </w:rPr>
            </w:r>
          </w:p>
          <w:p w:rsidR="00000000" w:rsidDel="00000000" w:rsidP="00000000" w:rsidRDefault="00000000" w:rsidRPr="00000000" w14:paraId="0000069B">
            <w:pPr>
              <w:keepLines w:val="1"/>
              <w:widowControl w:val="0"/>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95615" cy="6597112"/>
                  <wp:effectExtent b="0" l="0" r="0" t="0"/>
                  <wp:docPr descr="A white text on a white background&#10;&#10;AI-generated content may be incorrect." id="1297365389" name="image17.png"/>
                  <a:graphic>
                    <a:graphicData uri="http://schemas.openxmlformats.org/drawingml/2006/picture">
                      <pic:pic>
                        <pic:nvPicPr>
                          <pic:cNvPr descr="A white text on a white background&#10;&#10;AI-generated content may be incorrect." id="0" name="image17.png"/>
                          <pic:cNvPicPr preferRelativeResize="0"/>
                        </pic:nvPicPr>
                        <pic:blipFill>
                          <a:blip r:embed="rId45"/>
                          <a:srcRect b="0" l="0" r="0" t="0"/>
                          <a:stretch>
                            <a:fillRect/>
                          </a:stretch>
                        </pic:blipFill>
                        <pic:spPr>
                          <a:xfrm>
                            <a:off x="0" y="0"/>
                            <a:ext cx="4595615" cy="659711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9C">
      <w:pPr>
        <w:keepLines w:val="1"/>
        <w:shd w:fill="ffffff" w:val="clear"/>
        <w:spacing w:after="200" w:line="240" w:lineRule="auto"/>
        <w:rPr>
          <w:rFonts w:ascii="Calibri" w:cs="Calibri" w:eastAsia="Calibri" w:hAnsi="Calibri"/>
          <w:b w:val="1"/>
          <w:sz w:val="24"/>
          <w:szCs w:val="24"/>
        </w:rPr>
      </w:pPr>
      <w:r w:rsidDel="00000000" w:rsidR="00000000" w:rsidRPr="00000000">
        <w:rPr>
          <w:rtl w:val="0"/>
        </w:rPr>
      </w:r>
    </w:p>
    <w:tbl>
      <w:tblPr>
        <w:tblStyle w:val="Table16"/>
        <w:tblW w:w="10398.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8"/>
        <w:tblGridChange w:id="0">
          <w:tblGrid>
            <w:gridCol w:w="10398"/>
          </w:tblGrid>
        </w:tblGridChange>
      </w:tblGrid>
      <w:tr>
        <w:trPr>
          <w:cantSplit w:val="0"/>
          <w:trHeight w:val="424"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69D">
            <w:pPr>
              <w:keepLines w:val="1"/>
              <w:widowControl w:val="0"/>
              <w:spacing w:after="20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SFI Pilot (Intermediate Hedgerows, 2021)</w:t>
            </w:r>
          </w:p>
        </w:tc>
      </w:tr>
      <w:tr>
        <w:trPr>
          <w:cantSplit w:val="0"/>
          <w:trHeight w:val="1023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E">
            <w:pPr>
              <w:rPr/>
            </w:pPr>
            <w:bookmarkStart w:colFirst="0" w:colLast="0" w:name="_heading=h.9pq7unyxbv95" w:id="124"/>
            <w:bookmarkEnd w:id="12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234020</wp:posOffset>
                  </wp:positionH>
                  <wp:positionV relativeFrom="paragraph">
                    <wp:posOffset>202580</wp:posOffset>
                  </wp:positionV>
                  <wp:extent cx="4461897" cy="6140742"/>
                  <wp:effectExtent b="0" l="0" r="0" t="0"/>
                  <wp:wrapNone/>
                  <wp:docPr descr="A screenshot of a computer screen&#10;&#10;AI-generated content may be incorrect." id="1297365369" name="image22.png"/>
                  <a:graphic>
                    <a:graphicData uri="http://schemas.openxmlformats.org/drawingml/2006/picture">
                      <pic:pic>
                        <pic:nvPicPr>
                          <pic:cNvPr descr="A screenshot of a computer screen&#10;&#10;AI-generated content may be incorrect." id="0" name="image22.png"/>
                          <pic:cNvPicPr preferRelativeResize="0"/>
                        </pic:nvPicPr>
                        <pic:blipFill>
                          <a:blip r:embed="rId46"/>
                          <a:srcRect b="0" l="0" r="0" t="0"/>
                          <a:stretch>
                            <a:fillRect/>
                          </a:stretch>
                        </pic:blipFill>
                        <pic:spPr>
                          <a:xfrm>
                            <a:off x="0" y="0"/>
                            <a:ext cx="4461897" cy="6140742"/>
                          </a:xfrm>
                          <a:prstGeom prst="rect"/>
                          <a:ln/>
                        </pic:spPr>
                      </pic:pic>
                    </a:graphicData>
                  </a:graphic>
                </wp:anchor>
              </w:drawing>
            </w:r>
          </w:p>
        </w:tc>
      </w:tr>
    </w:tbl>
    <w:p w:rsidR="00000000" w:rsidDel="00000000" w:rsidP="00000000" w:rsidRDefault="00000000" w:rsidRPr="00000000" w14:paraId="0000069F">
      <w:pPr>
        <w:shd w:fill="ffffff" w:val="clear"/>
        <w:spacing w:after="240" w:befor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The policy screenshots included in these tables were taken from the Countryside Stewardship: Mid Tier Options, Supplements and Capital Items Handbook (Natural England, 2016) and the SFI Pilot Guidance (Defra, 2021).</w:t>
      </w:r>
    </w:p>
    <w:p w:rsidR="00000000" w:rsidDel="00000000" w:rsidP="00000000" w:rsidRDefault="00000000" w:rsidRPr="00000000" w14:paraId="000006A0">
      <w:pPr>
        <w:spacing w:after="160" w:line="259" w:lineRule="auto"/>
        <w:jc w:val="cente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A1">
      <w:pPr>
        <w:pStyle w:val="Heading2"/>
        <w:rPr/>
      </w:pPr>
      <w:bookmarkStart w:colFirst="0" w:colLast="0" w:name="_heading=h.u5dact6m0rsf" w:id="125"/>
      <w:bookmarkEnd w:id="125"/>
      <w:r w:rsidDel="00000000" w:rsidR="00000000" w:rsidRPr="00000000">
        <w:rPr>
          <w:rtl w:val="0"/>
        </w:rPr>
        <w:t xml:space="preserve">APPENDIX 4</w:t>
      </w:r>
    </w:p>
    <w:p w:rsidR="00000000" w:rsidDel="00000000" w:rsidP="00000000" w:rsidRDefault="00000000" w:rsidRPr="00000000" w14:paraId="000006A2">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Project Information Sheet</w:t>
      </w:r>
    </w:p>
    <w:p w:rsidR="00000000" w:rsidDel="00000000" w:rsidP="00000000" w:rsidRDefault="00000000" w:rsidRPr="00000000" w14:paraId="000006A3">
      <w:pPr>
        <w:spacing w:after="160" w:line="259"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6A4">
      <w:pPr>
        <w:spacing w:after="160" w:line="259"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Understanding Farmers' Post-Brexit Policy Concerns </w:t>
      </w:r>
    </w:p>
    <w:p w:rsidR="00000000" w:rsidDel="00000000" w:rsidP="00000000" w:rsidRDefault="00000000" w:rsidRPr="00000000" w14:paraId="000006A5">
      <w:pPr>
        <w:spacing w:after="160" w:line="259"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You are invited to participate in a research study that aims to understand how farmers navigate post-Brexit policy changes. </w:t>
      </w:r>
    </w:p>
    <w:p w:rsidR="00000000" w:rsidDel="00000000" w:rsidP="00000000" w:rsidRDefault="00000000" w:rsidRPr="00000000" w14:paraId="000006A6">
      <w:pPr>
        <w:spacing w:after="160" w:line="259"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Before deciding whether or not to take part, it is important that you understand why the research is being conducted and what it will involve. Please read the following information and feel free to ask any questions should you require further information or clarification. </w:t>
      </w:r>
    </w:p>
    <w:p w:rsidR="00000000" w:rsidDel="00000000" w:rsidP="00000000" w:rsidRDefault="00000000" w:rsidRPr="00000000" w14:paraId="000006A7">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w:t>
      </w:r>
    </w:p>
    <w:p w:rsidR="00000000" w:rsidDel="00000000" w:rsidP="00000000" w:rsidRDefault="00000000" w:rsidRPr="00000000" w14:paraId="000006A8">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the purpose of the research?</w:t>
      </w:r>
    </w:p>
    <w:p w:rsidR="00000000" w:rsidDel="00000000" w:rsidP="00000000" w:rsidRDefault="00000000" w:rsidRPr="00000000" w14:paraId="000006A9">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the research is to better understand how farmers are navigating through post-Brexit policy changes. Following the UK’s exit from the European Union, the UK has the responsibility to develop new agricultural policies intended to replace the Common Agricultural Policy (CAP). In this new period of agricultural policy, farmers are expected to engage with the new policies, pilot programmes, and agri-environmental schemes being developed. This research aims to understand how farmers engage with new policies during this period of change, how farmers are learning about new policies, what farmers think about the new policies being developed, and the challenges farmers may face in understanding and participating in new policy programmes. As a side note, it is not expected that interviewees have a certain level of knowledge of the new post-Brexit policies or even understand the policies entirely; the aim of the research is to understand the genuine sentiment of farmers during this period of policy change. </w:t>
      </w:r>
    </w:p>
    <w:p w:rsidR="00000000" w:rsidDel="00000000" w:rsidP="00000000" w:rsidRDefault="00000000" w:rsidRPr="00000000" w14:paraId="000006AA">
      <w:pPr>
        <w:spacing w:after="160" w:before="20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Why have I been chosen to take part?</w:t>
      </w:r>
    </w:p>
    <w:p w:rsidR="00000000" w:rsidDel="00000000" w:rsidP="00000000" w:rsidRDefault="00000000" w:rsidRPr="00000000" w14:paraId="000006AB">
      <w:pPr>
        <w:rPr>
          <w:rFonts w:ascii="Calibri" w:cs="Calibri" w:eastAsia="Calibri" w:hAnsi="Calibri"/>
          <w:b w:val="1"/>
        </w:rPr>
      </w:pPr>
      <w:bookmarkStart w:colFirst="0" w:colLast="0" w:name="_heading=h.uvuos8is0nwv" w:id="126"/>
      <w:bookmarkEnd w:id="126"/>
      <w:r w:rsidDel="00000000" w:rsidR="00000000" w:rsidRPr="00000000">
        <w:rPr>
          <w:rFonts w:ascii="Calibri" w:cs="Calibri" w:eastAsia="Calibri" w:hAnsi="Calibri"/>
          <w:rtl w:val="0"/>
        </w:rPr>
        <w:t xml:space="preserve">Due to your experience as a farmer. Your participation and valuable insight will inform the research findings of this PhD. I believe that your knowledge, experience, and expertise equip you with a valuable viewpoint that can add valuable insights to this PhD. </w:t>
      </w:r>
      <w:r w:rsidDel="00000000" w:rsidR="00000000" w:rsidRPr="00000000">
        <w:rPr>
          <w:rtl w:val="0"/>
        </w:rPr>
      </w:r>
    </w:p>
    <w:p w:rsidR="00000000" w:rsidDel="00000000" w:rsidP="00000000" w:rsidRDefault="00000000" w:rsidRPr="00000000" w14:paraId="000006AC">
      <w:pPr>
        <w:spacing w:after="200" w:before="28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I have to take part?</w:t>
      </w:r>
    </w:p>
    <w:p w:rsidR="00000000" w:rsidDel="00000000" w:rsidP="00000000" w:rsidRDefault="00000000" w:rsidRPr="00000000" w14:paraId="000006AD">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have complete autonomy over the decision of whether or not to take part in this research. </w:t>
      </w:r>
    </w:p>
    <w:p w:rsidR="00000000" w:rsidDel="00000000" w:rsidP="00000000" w:rsidRDefault="00000000" w:rsidRPr="00000000" w14:paraId="000006AE">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Should you decide to participate, you will be asked to keep this information and sign and return a consent form by the day the interview is scheduled. </w:t>
      </w:r>
    </w:p>
    <w:p w:rsidR="00000000" w:rsidDel="00000000" w:rsidP="00000000" w:rsidRDefault="00000000" w:rsidRPr="00000000" w14:paraId="000006AF">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do not decide to participate, you are free to withdraw at any time. Should you withdraw, none of the material collected will be used.</w:t>
      </w:r>
    </w:p>
    <w:p w:rsidR="00000000" w:rsidDel="00000000" w:rsidP="00000000" w:rsidRDefault="00000000" w:rsidRPr="00000000" w14:paraId="000006B0">
      <w:pPr>
        <w:spacing w:after="160" w:before="20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will the involvement entail? </w:t>
      </w:r>
    </w:p>
    <w:p w:rsidR="00000000" w:rsidDel="00000000" w:rsidP="00000000" w:rsidRDefault="00000000" w:rsidRPr="00000000" w14:paraId="000006B1">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questions asked during the interview will be related to your thoughts, insights and experiences working in your industry. The interview will last no longer than an hour. All data provided will be stored securely, and all information disclosed will be recorded confidentially. Please let me know if the finished project should be of interest to you and if you would like a copy. After the interview, no further information will be required from you or necessary on my behalf, but please feel free to contact me with any further correspondence should you have any questions or concerns.</w:t>
      </w:r>
      <w:r w:rsidDel="00000000" w:rsidR="00000000" w:rsidRPr="00000000">
        <w:rPr>
          <w:rtl w:val="0"/>
        </w:rPr>
      </w:r>
    </w:p>
    <w:p w:rsidR="00000000" w:rsidDel="00000000" w:rsidP="00000000" w:rsidRDefault="00000000" w:rsidRPr="00000000" w14:paraId="000006B2">
      <w:pPr>
        <w:spacing w:after="160" w:before="20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will happen if I take part? What do I have to do?</w:t>
      </w:r>
    </w:p>
    <w:p w:rsidR="00000000" w:rsidDel="00000000" w:rsidP="00000000" w:rsidRDefault="00000000" w:rsidRPr="00000000" w14:paraId="000006B3">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accept the invitation to participate in this study, you will be interviewed by me. The interview shall take place in a location to be decided between the interviewer and interviewee. The interview can alternatively be conducted via Zoom or Google Meet. The interviewer and interviewee will decide on a date and time together. </w:t>
      </w:r>
    </w:p>
    <w:p w:rsidR="00000000" w:rsidDel="00000000" w:rsidP="00000000" w:rsidRDefault="00000000" w:rsidRPr="00000000" w14:paraId="000006B4">
      <w:pPr>
        <w:spacing w:after="200" w:before="200" w:line="259"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Will I be recorded, and how will the recorded media be used?</w:t>
      </w:r>
    </w:p>
    <w:p w:rsidR="00000000" w:rsidDel="00000000" w:rsidP="00000000" w:rsidRDefault="00000000" w:rsidRPr="00000000" w14:paraId="000006B5">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 will be recorded (audio only) for the purposes of transcription by the doctoral researcher. The original audio files will be anonymised when saved, and no one besides the doctoral researcher will have access to the files.</w:t>
      </w:r>
    </w:p>
    <w:p w:rsidR="00000000" w:rsidDel="00000000" w:rsidP="00000000" w:rsidRDefault="00000000" w:rsidRPr="00000000" w14:paraId="000006B6">
      <w:pPr>
        <w:spacing w:after="200" w:before="200" w:line="259"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Will my participation be kept confidential?</w:t>
      </w:r>
    </w:p>
    <w:p w:rsidR="00000000" w:rsidDel="00000000" w:rsidP="00000000" w:rsidRDefault="00000000" w:rsidRPr="00000000" w14:paraId="000006B7">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of the information provided and data collected throughout the interview will be saved anonymously and in encrypted files. The only people with access to your data will be the doctoral researcher and their two supervisors, Dr Charlotte Burns and Dr Ruth Little. No one aside from these three individuals will have access to your data. Furthermore, you will have autonomy over how you would like to see your words being attributed in any of the written outputs. You will be given the option to be referred to as an anonymous descriptive ‘alias’.</w:t>
      </w:r>
    </w:p>
    <w:p w:rsidR="00000000" w:rsidDel="00000000" w:rsidP="00000000" w:rsidRDefault="00000000" w:rsidRPr="00000000" w14:paraId="000006B8">
      <w:pPr>
        <w:spacing w:after="200" w:before="200" w:line="259"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What is the legal basis for processing my personal data?</w:t>
      </w:r>
      <w:r w:rsidDel="00000000" w:rsidR="00000000" w:rsidRPr="00000000">
        <w:rPr>
          <w:rtl w:val="0"/>
        </w:rPr>
      </w:r>
    </w:p>
    <w:p w:rsidR="00000000" w:rsidDel="00000000" w:rsidP="00000000" w:rsidRDefault="00000000" w:rsidRPr="00000000" w14:paraId="000006B9">
      <w:pPr>
        <w:spacing w:after="200" w:before="20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According to data protection legislation, we are required to inform you that the legal basis we are applying to process your personal data is that ‘processing is necessary for the performance of a task carried out in the public interest’ (Article 6(1)(e)). Further information can be found in the University of Sheffield’s Privacy Notice. </w:t>
      </w:r>
    </w:p>
    <w:p w:rsidR="00000000" w:rsidDel="00000000" w:rsidP="00000000" w:rsidRDefault="00000000" w:rsidRPr="00000000" w14:paraId="000006BA">
      <w:pPr>
        <w:spacing w:after="200" w:before="200" w:line="259" w:lineRule="auto"/>
        <w:jc w:val="both"/>
        <w:rPr>
          <w:rFonts w:ascii="Calibri" w:cs="Calibri" w:eastAsia="Calibri" w:hAnsi="Calibri"/>
          <w:sz w:val="24"/>
          <w:szCs w:val="24"/>
        </w:rPr>
      </w:pPr>
      <w:hyperlink r:id="rId47">
        <w:r w:rsidDel="00000000" w:rsidR="00000000" w:rsidRPr="00000000">
          <w:rPr>
            <w:rFonts w:ascii="Calibri" w:cs="Calibri" w:eastAsia="Calibri" w:hAnsi="Calibri"/>
            <w:color w:val="1155cc"/>
            <w:sz w:val="24"/>
            <w:szCs w:val="24"/>
            <w:u w:val="single"/>
            <w:rtl w:val="0"/>
          </w:rPr>
          <w:t xml:space="preserve">https://www.sheffield.ac.uk/govern/data-protection/privacy/general</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BB">
      <w:pPr>
        <w:spacing w:after="200" w:before="200" w:line="259"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Who is the Data Controller?</w:t>
      </w:r>
      <w:r w:rsidDel="00000000" w:rsidR="00000000" w:rsidRPr="00000000">
        <w:rPr>
          <w:rtl w:val="0"/>
        </w:rPr>
      </w:r>
    </w:p>
    <w:p w:rsidR="00000000" w:rsidDel="00000000" w:rsidP="00000000" w:rsidRDefault="00000000" w:rsidRPr="00000000" w14:paraId="000006BC">
      <w:pPr>
        <w:spacing w:after="200" w:before="20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Sheffield will act as the Data Controller for this study. This means that the University is responsible for looking after your information and using it properly. </w:t>
      </w:r>
    </w:p>
    <w:p w:rsidR="00000000" w:rsidDel="00000000" w:rsidP="00000000" w:rsidRDefault="00000000" w:rsidRPr="00000000" w14:paraId="000006BD">
      <w:pPr>
        <w:spacing w:after="200" w:before="200" w:line="259"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will happen to the data collected, and the results of the research project?</w:t>
      </w:r>
    </w:p>
    <w:p w:rsidR="00000000" w:rsidDel="00000000" w:rsidP="00000000" w:rsidRDefault="00000000" w:rsidRPr="00000000" w14:paraId="000006BE">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Original audio files and transcripts will be stored in a password-encrypted folder. Data that includes personal identifiers (e.g., first name, surname) will be destroyed within three years of the project's conclusion. The doctoral researcher will solely be responsible for transcribing the interviews and listening to the recordings. The project’s results will be submitted before the end of 2024 to the University of Sheffield for the degree of PhD in Politics. There is also the possibility that the results from this research may be used in additional research outputs, such as peer-reviewed journal articles or future research work. </w:t>
      </w:r>
    </w:p>
    <w:p w:rsidR="00000000" w:rsidDel="00000000" w:rsidP="00000000" w:rsidRDefault="00000000" w:rsidRPr="00000000" w14:paraId="000006BF">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research will be given ethical approval by the University of Sheffield's Politics and International relations department. </w:t>
      </w:r>
    </w:p>
    <w:p w:rsidR="00000000" w:rsidDel="00000000" w:rsidP="00000000" w:rsidRDefault="00000000" w:rsidRPr="00000000" w14:paraId="000006C0">
      <w:pPr>
        <w:spacing w:after="160"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C1">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Contact for further information</w:t>
      </w:r>
    </w:p>
    <w:p w:rsidR="00000000" w:rsidDel="00000000" w:rsidP="00000000" w:rsidRDefault="00000000" w:rsidRPr="00000000" w14:paraId="000006C2">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information about this project, or if you would like to file a complaint, then please consult the contact details below. </w:t>
      </w:r>
    </w:p>
    <w:p w:rsidR="00000000" w:rsidDel="00000000" w:rsidP="00000000" w:rsidRDefault="00000000" w:rsidRPr="00000000" w14:paraId="000006C4">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Should you wish to contact me, my name is Rachel Lasko. My email address is </w:t>
      </w:r>
      <w:hyperlink r:id="rId48">
        <w:r w:rsidDel="00000000" w:rsidR="00000000" w:rsidRPr="00000000">
          <w:rPr>
            <w:rFonts w:ascii="Calibri" w:cs="Calibri" w:eastAsia="Calibri" w:hAnsi="Calibri"/>
            <w:color w:val="1155cc"/>
            <w:sz w:val="24"/>
            <w:szCs w:val="24"/>
            <w:u w:val="single"/>
            <w:rtl w:val="0"/>
          </w:rPr>
          <w:t xml:space="preserve">rlasko1@sheffield.ac.uk</w:t>
        </w:r>
      </w:hyperlink>
      <w:r w:rsidDel="00000000" w:rsidR="00000000" w:rsidRPr="00000000">
        <w:rPr>
          <w:rFonts w:ascii="Calibri" w:cs="Calibri" w:eastAsia="Calibri" w:hAnsi="Calibri"/>
          <w:sz w:val="24"/>
          <w:szCs w:val="24"/>
          <w:rtl w:val="0"/>
        </w:rPr>
        <w:t xml:space="preserve"> and my phone number is (+44) 07515346325. </w:t>
      </w:r>
    </w:p>
    <w:p w:rsidR="00000000" w:rsidDel="00000000" w:rsidP="00000000" w:rsidRDefault="00000000" w:rsidRPr="00000000" w14:paraId="000006C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secondary contact available is Charlie Burns, who is the research supervisor and can be contacted at </w:t>
      </w:r>
      <w:hyperlink r:id="rId49">
        <w:r w:rsidDel="00000000" w:rsidR="00000000" w:rsidRPr="00000000">
          <w:rPr>
            <w:rFonts w:ascii="Calibri" w:cs="Calibri" w:eastAsia="Calibri" w:hAnsi="Calibri"/>
            <w:color w:val="1155cc"/>
            <w:sz w:val="24"/>
            <w:szCs w:val="24"/>
            <w:u w:val="single"/>
            <w:rtl w:val="0"/>
          </w:rPr>
          <w:t xml:space="preserve">charlotte.burns@sheffield.ac.uk</w:t>
        </w:r>
      </w:hyperlink>
      <w:r w:rsidDel="00000000" w:rsidR="00000000" w:rsidRPr="00000000">
        <w:rPr>
          <w:rFonts w:ascii="Calibri" w:cs="Calibri" w:eastAsia="Calibri" w:hAnsi="Calibri"/>
          <w:sz w:val="24"/>
          <w:szCs w:val="24"/>
          <w:rtl w:val="0"/>
        </w:rPr>
        <w:t xml:space="preserve"> or (+44) 0114 222 1703.</w:t>
      </w:r>
    </w:p>
    <w:p w:rsidR="00000000" w:rsidDel="00000000" w:rsidP="00000000" w:rsidRDefault="00000000" w:rsidRPr="00000000" w14:paraId="000006C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for taking the time to read this information. I hope that you are willing to participate in my research. </w:t>
      </w:r>
    </w:p>
    <w:p w:rsidR="00000000" w:rsidDel="00000000" w:rsidP="00000000" w:rsidRDefault="00000000" w:rsidRPr="00000000" w14:paraId="000006C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spacing w:after="16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9">
      <w:pPr>
        <w:pStyle w:val="Heading2"/>
        <w:rPr/>
      </w:pPr>
      <w:bookmarkStart w:colFirst="0" w:colLast="0" w:name="_heading=h.sz8ah4n66p2o" w:id="127"/>
      <w:bookmarkEnd w:id="127"/>
      <w:r w:rsidDel="00000000" w:rsidR="00000000" w:rsidRPr="00000000">
        <w:rPr>
          <w:rtl w:val="0"/>
        </w:rPr>
        <w:t xml:space="preserve">APPENDIX 5 </w:t>
      </w:r>
    </w:p>
    <w:p w:rsidR="00000000" w:rsidDel="00000000" w:rsidP="00000000" w:rsidRDefault="00000000" w:rsidRPr="00000000" w14:paraId="000006CA">
      <w:pPr>
        <w:spacing w:after="160" w:line="259"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Interviewee Consent Form</w:t>
      </w:r>
    </w:p>
    <w:p w:rsidR="00000000" w:rsidDel="00000000" w:rsidP="00000000" w:rsidRDefault="00000000" w:rsidRPr="00000000" w14:paraId="000006CB">
      <w:pPr>
        <w:spacing w:after="160" w:line="259"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Pr>
        <w:drawing>
          <wp:inline distB="0" distT="0" distL="0" distR="0">
            <wp:extent cx="5069275" cy="7161304"/>
            <wp:effectExtent b="0" l="0" r="0" t="0"/>
            <wp:docPr id="129736536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069275" cy="716130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CC">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Predefined Themes Consulted Prior to Interviews </w:t>
      </w:r>
    </w:p>
    <w:p w:rsidR="00000000" w:rsidDel="00000000" w:rsidP="00000000" w:rsidRDefault="00000000" w:rsidRPr="00000000" w14:paraId="000006CD">
      <w:pPr>
        <w:spacing w:after="160" w:line="259"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CE">
      <w:pPr>
        <w:widowControl w:val="0"/>
        <w:numPr>
          <w:ilvl w:val="0"/>
          <w:numId w:val="17"/>
        </w:numPr>
        <w:spacing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Administrative Burden</w:t>
      </w:r>
    </w:p>
    <w:p w:rsidR="00000000" w:rsidDel="00000000" w:rsidP="00000000" w:rsidRDefault="00000000" w:rsidRPr="00000000" w14:paraId="000006CF">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Advice</w:t>
      </w:r>
    </w:p>
    <w:p w:rsidR="00000000" w:rsidDel="00000000" w:rsidP="00000000" w:rsidRDefault="00000000" w:rsidRPr="00000000" w14:paraId="000006D0">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Attitudes/Trust towards Government</w:t>
      </w:r>
    </w:p>
    <w:p w:rsidR="00000000" w:rsidDel="00000000" w:rsidP="00000000" w:rsidRDefault="00000000" w:rsidRPr="00000000" w14:paraId="000006D1">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Biodiversity Restoration</w:t>
      </w:r>
    </w:p>
    <w:p w:rsidR="00000000" w:rsidDel="00000000" w:rsidP="00000000" w:rsidRDefault="00000000" w:rsidRPr="00000000" w14:paraId="000006D2">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Brexit</w:t>
      </w:r>
    </w:p>
    <w:p w:rsidR="00000000" w:rsidDel="00000000" w:rsidP="00000000" w:rsidRDefault="00000000" w:rsidRPr="00000000" w14:paraId="000006D3">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Conservation</w:t>
      </w:r>
    </w:p>
    <w:p w:rsidR="00000000" w:rsidDel="00000000" w:rsidP="00000000" w:rsidRDefault="00000000" w:rsidRPr="00000000" w14:paraId="000006D4">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Cultural Resistance</w:t>
      </w:r>
    </w:p>
    <w:p w:rsidR="00000000" w:rsidDel="00000000" w:rsidP="00000000" w:rsidRDefault="00000000" w:rsidRPr="00000000" w14:paraId="000006D5">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Exclusion</w:t>
      </w:r>
    </w:p>
    <w:p w:rsidR="00000000" w:rsidDel="00000000" w:rsidP="00000000" w:rsidRDefault="00000000" w:rsidRPr="00000000" w14:paraId="000006D6">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Education Level</w:t>
      </w:r>
    </w:p>
    <w:p w:rsidR="00000000" w:rsidDel="00000000" w:rsidP="00000000" w:rsidRDefault="00000000" w:rsidRPr="00000000" w14:paraId="000006D7">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 funding</w:t>
      </w:r>
    </w:p>
    <w:p w:rsidR="00000000" w:rsidDel="00000000" w:rsidP="00000000" w:rsidRDefault="00000000" w:rsidRPr="00000000" w14:paraId="000006D8">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Environmentalism</w:t>
      </w:r>
    </w:p>
    <w:p w:rsidR="00000000" w:rsidDel="00000000" w:rsidP="00000000" w:rsidRDefault="00000000" w:rsidRPr="00000000" w14:paraId="000006D9">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Constraints</w:t>
      </w:r>
    </w:p>
    <w:p w:rsidR="00000000" w:rsidDel="00000000" w:rsidP="00000000" w:rsidRDefault="00000000" w:rsidRPr="00000000" w14:paraId="000006DA">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Motivation</w:t>
      </w:r>
    </w:p>
    <w:p w:rsidR="00000000" w:rsidDel="00000000" w:rsidP="00000000" w:rsidRDefault="00000000" w:rsidRPr="00000000" w14:paraId="000006DB">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 Farmer</w:t>
      </w:r>
    </w:p>
    <w:p w:rsidR="00000000" w:rsidDel="00000000" w:rsidP="00000000" w:rsidRDefault="00000000" w:rsidRPr="00000000" w14:paraId="000006DC">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Peer Influence</w:t>
      </w:r>
    </w:p>
    <w:p w:rsidR="00000000" w:rsidDel="00000000" w:rsidP="00000000" w:rsidRDefault="00000000" w:rsidRPr="00000000" w14:paraId="000006DD">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Regionality</w:t>
      </w:r>
    </w:p>
    <w:p w:rsidR="00000000" w:rsidDel="00000000" w:rsidP="00000000" w:rsidRDefault="00000000" w:rsidRPr="00000000" w14:paraId="000006DE">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Risk Perception</w:t>
      </w:r>
    </w:p>
    <w:p w:rsidR="00000000" w:rsidDel="00000000" w:rsidP="00000000" w:rsidRDefault="00000000" w:rsidRPr="00000000" w14:paraId="000006DF">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Rural Communities</w:t>
      </w:r>
    </w:p>
    <w:p w:rsidR="00000000" w:rsidDel="00000000" w:rsidP="00000000" w:rsidRDefault="00000000" w:rsidRPr="00000000" w14:paraId="000006E0">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Scheme Design</w:t>
      </w:r>
    </w:p>
    <w:p w:rsidR="00000000" w:rsidDel="00000000" w:rsidP="00000000" w:rsidRDefault="00000000" w:rsidRPr="00000000" w14:paraId="000006E1">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Succession</w:t>
      </w:r>
    </w:p>
    <w:p w:rsidR="00000000" w:rsidDel="00000000" w:rsidP="00000000" w:rsidRDefault="00000000" w:rsidRPr="00000000" w14:paraId="000006E2">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Constraints</w:t>
      </w:r>
    </w:p>
    <w:p w:rsidR="00000000" w:rsidDel="00000000" w:rsidP="00000000" w:rsidRDefault="00000000" w:rsidRPr="00000000" w14:paraId="000006E3">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Transition</w:t>
      </w:r>
    </w:p>
    <w:p w:rsidR="00000000" w:rsidDel="00000000" w:rsidP="00000000" w:rsidRDefault="00000000" w:rsidRPr="00000000" w14:paraId="000006E4">
      <w:pPr>
        <w:widowControl w:val="0"/>
        <w:numPr>
          <w:ilvl w:val="0"/>
          <w:numId w:val="17"/>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Triggering Change</w:t>
      </w:r>
    </w:p>
    <w:p w:rsidR="00000000" w:rsidDel="00000000" w:rsidP="00000000" w:rsidRDefault="00000000" w:rsidRPr="00000000" w14:paraId="000006E5">
      <w:pPr>
        <w:spacing w:after="160" w:line="259"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2"/>
        <w:ind w:left="720" w:hanging="360"/>
        <w:rPr/>
      </w:pPr>
      <w:bookmarkStart w:colFirst="0" w:colLast="0" w:name="_heading=h.yz49lk8obxb0" w:id="128"/>
      <w:bookmarkEnd w:id="128"/>
      <w:r w:rsidDel="00000000" w:rsidR="00000000" w:rsidRPr="00000000">
        <w:rPr>
          <w:rtl w:val="0"/>
        </w:rPr>
        <w:t xml:space="preserve">APPENDIX 6 </w:t>
      </w:r>
    </w:p>
    <w:p w:rsidR="00000000" w:rsidDel="00000000" w:rsidP="00000000" w:rsidRDefault="00000000" w:rsidRPr="00000000" w14:paraId="000006E7">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Protocols for Pilot and Non-Pilot Farmers </w:t>
      </w:r>
    </w:p>
    <w:p w:rsidR="00000000" w:rsidDel="00000000" w:rsidP="00000000" w:rsidRDefault="00000000" w:rsidRPr="00000000" w14:paraId="000006E8">
      <w:pPr>
        <w:spacing w:after="160"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9">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would you describe your farm?</w:t>
      </w:r>
    </w:p>
    <w:p w:rsidR="00000000" w:rsidDel="00000000" w:rsidP="00000000" w:rsidRDefault="00000000" w:rsidRPr="00000000" w14:paraId="000006EA">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your opinion, how would you compare your farm to your farming peers? </w:t>
      </w:r>
    </w:p>
    <w:p w:rsidR="00000000" w:rsidDel="00000000" w:rsidP="00000000" w:rsidRDefault="00000000" w:rsidRPr="00000000" w14:paraId="000006EB">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do you look to find more information about the different policy options available to you? </w:t>
      </w:r>
    </w:p>
    <w:p w:rsidR="00000000" w:rsidDel="00000000" w:rsidP="00000000" w:rsidRDefault="00000000" w:rsidRPr="00000000" w14:paraId="000006EC">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has been a challenge for you, when it comes to learning about the new agricultural policies?</w:t>
      </w:r>
    </w:p>
    <w:p w:rsidR="00000000" w:rsidDel="00000000" w:rsidP="00000000" w:rsidRDefault="00000000" w:rsidRPr="00000000" w14:paraId="000006ED">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usually helps you to better understand what certain policies mean if you are having trouble understanding? </w:t>
      </w:r>
    </w:p>
    <w:p w:rsidR="00000000" w:rsidDel="00000000" w:rsidP="00000000" w:rsidRDefault="00000000" w:rsidRPr="00000000" w14:paraId="000006EE">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decided to participate in any new pilot programmes? Why or why not? </w:t>
      </w:r>
    </w:p>
    <w:p w:rsidR="00000000" w:rsidDel="00000000" w:rsidP="00000000" w:rsidRDefault="00000000" w:rsidRPr="00000000" w14:paraId="000006EF">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type of considerations do you need to make when deciding if you are going to consider participating in an agri-environmental scheme? </w:t>
      </w:r>
    </w:p>
    <w:p w:rsidR="00000000" w:rsidDel="00000000" w:rsidP="00000000" w:rsidRDefault="00000000" w:rsidRPr="00000000" w14:paraId="000006F0">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your thoughts on the changes of the post-Brexit transition period? </w:t>
      </w:r>
    </w:p>
    <w:p w:rsidR="00000000" w:rsidDel="00000000" w:rsidP="00000000" w:rsidRDefault="00000000" w:rsidRPr="00000000" w14:paraId="000006F1">
      <w:pPr>
        <w:numPr>
          <w:ilvl w:val="0"/>
          <w:numId w:val="16"/>
        </w:numPr>
        <w:spacing w:after="20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of the challenges you see for farmers navigating the changes of the post-Brexit transition? </w:t>
      </w:r>
    </w:p>
    <w:p w:rsidR="00000000" w:rsidDel="00000000" w:rsidP="00000000" w:rsidRDefault="00000000" w:rsidRPr="00000000" w14:paraId="000006F2">
      <w:pPr>
        <w:spacing w:after="20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3">
      <w:pPr>
        <w:shd w:fill="ffffff" w:val="clear"/>
        <w:spacing w:after="240" w:befor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pStyle w:val="Title"/>
        <w:rPr/>
      </w:pPr>
      <w:bookmarkStart w:colFirst="0" w:colLast="0" w:name="_heading=h.y2rqebolbfl4" w:id="129"/>
      <w:bookmarkEnd w:id="129"/>
      <w:r w:rsidDel="00000000" w:rsidR="00000000" w:rsidRPr="00000000">
        <w:br w:type="page"/>
      </w:r>
      <w:r w:rsidDel="00000000" w:rsidR="00000000" w:rsidRPr="00000000">
        <w:rPr>
          <w:rtl w:val="0"/>
        </w:rPr>
      </w:r>
    </w:p>
    <w:p w:rsidR="00000000" w:rsidDel="00000000" w:rsidP="00000000" w:rsidRDefault="00000000" w:rsidRPr="00000000" w14:paraId="000006F6">
      <w:pPr>
        <w:pStyle w:val="Heading2"/>
        <w:rPr/>
      </w:pPr>
      <w:bookmarkStart w:colFirst="0" w:colLast="0" w:name="_heading=h.5ycbak7fmie" w:id="130"/>
      <w:bookmarkEnd w:id="130"/>
      <w:r w:rsidDel="00000000" w:rsidR="00000000" w:rsidRPr="00000000">
        <w:rPr>
          <w:rtl w:val="0"/>
        </w:rPr>
        <w:t xml:space="preserve">APPENDIX 7</w:t>
      </w:r>
    </w:p>
    <w:p w:rsidR="00000000" w:rsidDel="00000000" w:rsidP="00000000" w:rsidRDefault="00000000" w:rsidRPr="00000000" w14:paraId="000006F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First Iteration of the List of Codes</w:t>
      </w:r>
    </w:p>
    <w:p w:rsidR="00000000" w:rsidDel="00000000" w:rsidP="00000000" w:rsidRDefault="00000000" w:rsidRPr="00000000" w14:paraId="000006F8">
      <w:pPr>
        <w:rPr>
          <w:rFonts w:ascii="Calibri" w:cs="Calibri" w:eastAsia="Calibri" w:hAnsi="Calibri"/>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F9">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Brexit </w:t>
      </w:r>
    </w:p>
    <w:p w:rsidR="00000000" w:rsidDel="00000000" w:rsidP="00000000" w:rsidRDefault="00000000" w:rsidRPr="00000000" w14:paraId="000006FA">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Farmer Sentiment </w:t>
      </w:r>
    </w:p>
    <w:p w:rsidR="00000000" w:rsidDel="00000000" w:rsidP="00000000" w:rsidRDefault="00000000" w:rsidRPr="00000000" w14:paraId="000006FB">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Confidence </w:t>
      </w:r>
    </w:p>
    <w:p w:rsidR="00000000" w:rsidDel="00000000" w:rsidP="00000000" w:rsidRDefault="00000000" w:rsidRPr="00000000" w14:paraId="000006FC">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Fear </w:t>
      </w:r>
    </w:p>
    <w:p w:rsidR="00000000" w:rsidDel="00000000" w:rsidP="00000000" w:rsidRDefault="00000000" w:rsidRPr="00000000" w14:paraId="000006FD">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Optimism </w:t>
      </w:r>
    </w:p>
    <w:p w:rsidR="00000000" w:rsidDel="00000000" w:rsidP="00000000" w:rsidRDefault="00000000" w:rsidRPr="00000000" w14:paraId="000006FE">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Confusion</w:t>
      </w:r>
    </w:p>
    <w:p w:rsidR="00000000" w:rsidDel="00000000" w:rsidP="00000000" w:rsidRDefault="00000000" w:rsidRPr="00000000" w14:paraId="000006FF">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Risks</w:t>
      </w:r>
    </w:p>
    <w:p w:rsidR="00000000" w:rsidDel="00000000" w:rsidP="00000000" w:rsidRDefault="00000000" w:rsidRPr="00000000" w14:paraId="00000700">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Time Constraints</w:t>
      </w:r>
    </w:p>
    <w:p w:rsidR="00000000" w:rsidDel="00000000" w:rsidP="00000000" w:rsidRDefault="00000000" w:rsidRPr="00000000" w14:paraId="00000701">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Trust in Government </w:t>
      </w:r>
    </w:p>
    <w:p w:rsidR="00000000" w:rsidDel="00000000" w:rsidP="00000000" w:rsidRDefault="00000000" w:rsidRPr="00000000" w14:paraId="00000702">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Motivations</w:t>
      </w:r>
    </w:p>
    <w:p w:rsidR="00000000" w:rsidDel="00000000" w:rsidP="00000000" w:rsidRDefault="00000000" w:rsidRPr="00000000" w14:paraId="00000703">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Flexibility </w:t>
      </w:r>
    </w:p>
    <w:p w:rsidR="00000000" w:rsidDel="00000000" w:rsidP="00000000" w:rsidRDefault="00000000" w:rsidRPr="00000000" w14:paraId="00000704">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Frustration </w:t>
      </w:r>
    </w:p>
    <w:p w:rsidR="00000000" w:rsidDel="00000000" w:rsidP="00000000" w:rsidRDefault="00000000" w:rsidRPr="00000000" w14:paraId="00000705">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Inter-Farmer Dynamics </w:t>
      </w:r>
    </w:p>
    <w:p w:rsidR="00000000" w:rsidDel="00000000" w:rsidP="00000000" w:rsidRDefault="00000000" w:rsidRPr="00000000" w14:paraId="00000706">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Environmental/Green Farmer</w:t>
      </w:r>
    </w:p>
    <w:p w:rsidR="00000000" w:rsidDel="00000000" w:rsidP="00000000" w:rsidRDefault="00000000" w:rsidRPr="00000000" w14:paraId="00000707">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‘Good Farmer’ </w:t>
      </w:r>
    </w:p>
    <w:p w:rsidR="00000000" w:rsidDel="00000000" w:rsidP="00000000" w:rsidRDefault="00000000" w:rsidRPr="00000000" w14:paraId="00000708">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Succession </w:t>
      </w:r>
    </w:p>
    <w:p w:rsidR="00000000" w:rsidDel="00000000" w:rsidP="00000000" w:rsidRDefault="00000000" w:rsidRPr="00000000" w14:paraId="00000709">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New approaches to farming </w:t>
      </w:r>
    </w:p>
    <w:p w:rsidR="00000000" w:rsidDel="00000000" w:rsidP="00000000" w:rsidRDefault="00000000" w:rsidRPr="00000000" w14:paraId="0000070A">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Tenant farming</w:t>
      </w:r>
    </w:p>
    <w:p w:rsidR="00000000" w:rsidDel="00000000" w:rsidP="00000000" w:rsidRDefault="00000000" w:rsidRPr="00000000" w14:paraId="0000070B">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Family Farming/Multi-Generational </w:t>
      </w:r>
    </w:p>
    <w:p w:rsidR="00000000" w:rsidDel="00000000" w:rsidP="00000000" w:rsidRDefault="00000000" w:rsidRPr="00000000" w14:paraId="0000070C">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Left-Behind Farmer</w:t>
      </w:r>
    </w:p>
    <w:p w:rsidR="00000000" w:rsidDel="00000000" w:rsidP="00000000" w:rsidRDefault="00000000" w:rsidRPr="00000000" w14:paraId="0000070D">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Hobby/Small Farmer</w:t>
      </w:r>
    </w:p>
    <w:p w:rsidR="00000000" w:rsidDel="00000000" w:rsidP="00000000" w:rsidRDefault="00000000" w:rsidRPr="00000000" w14:paraId="0000070E">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Interacting with other SFI Farmer</w:t>
      </w:r>
    </w:p>
    <w:p w:rsidR="00000000" w:rsidDel="00000000" w:rsidP="00000000" w:rsidRDefault="00000000" w:rsidRPr="00000000" w14:paraId="0000070F">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Local/Regionality</w:t>
      </w:r>
    </w:p>
    <w:p w:rsidR="00000000" w:rsidDel="00000000" w:rsidP="00000000" w:rsidRDefault="00000000" w:rsidRPr="00000000" w14:paraId="00000710">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Regional Disparities</w:t>
      </w:r>
    </w:p>
    <w:p w:rsidR="00000000" w:rsidDel="00000000" w:rsidP="00000000" w:rsidRDefault="00000000" w:rsidRPr="00000000" w14:paraId="00000711">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Financial Variables </w:t>
      </w:r>
    </w:p>
    <w:p w:rsidR="00000000" w:rsidDel="00000000" w:rsidP="00000000" w:rsidRDefault="00000000" w:rsidRPr="00000000" w14:paraId="00000712">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Costs</w:t>
      </w:r>
    </w:p>
    <w:p w:rsidR="00000000" w:rsidDel="00000000" w:rsidP="00000000" w:rsidRDefault="00000000" w:rsidRPr="00000000" w14:paraId="00000713">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Payment Rates</w:t>
      </w:r>
    </w:p>
    <w:p w:rsidR="00000000" w:rsidDel="00000000" w:rsidP="00000000" w:rsidRDefault="00000000" w:rsidRPr="00000000" w14:paraId="00000714">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BPS </w:t>
      </w:r>
    </w:p>
    <w:p w:rsidR="00000000" w:rsidDel="00000000" w:rsidP="00000000" w:rsidRDefault="00000000" w:rsidRPr="00000000" w14:paraId="00000715">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Farm Income </w:t>
      </w:r>
    </w:p>
    <w:p w:rsidR="00000000" w:rsidDel="00000000" w:rsidP="00000000" w:rsidRDefault="00000000" w:rsidRPr="00000000" w14:paraId="00000716">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Defra</w:t>
      </w:r>
    </w:p>
    <w:p w:rsidR="00000000" w:rsidDel="00000000" w:rsidP="00000000" w:rsidRDefault="00000000" w:rsidRPr="00000000" w14:paraId="00000717">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Lack of trust in Defra</w:t>
      </w:r>
    </w:p>
    <w:p w:rsidR="00000000" w:rsidDel="00000000" w:rsidP="00000000" w:rsidRDefault="00000000" w:rsidRPr="00000000" w14:paraId="00000718">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Defra not listening to farmers </w:t>
      </w:r>
    </w:p>
    <w:p w:rsidR="00000000" w:rsidDel="00000000" w:rsidP="00000000" w:rsidRDefault="00000000" w:rsidRPr="00000000" w14:paraId="00000719">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Defra not understanding farmers</w:t>
      </w:r>
    </w:p>
    <w:p w:rsidR="00000000" w:rsidDel="00000000" w:rsidP="00000000" w:rsidRDefault="00000000" w:rsidRPr="00000000" w14:paraId="0000071A">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Lack of competency of Defra</w:t>
      </w:r>
    </w:p>
    <w:p w:rsidR="00000000" w:rsidDel="00000000" w:rsidP="00000000" w:rsidRDefault="00000000" w:rsidRPr="00000000" w14:paraId="0000071B">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Environmental Agency </w:t>
      </w:r>
    </w:p>
    <w:p w:rsidR="00000000" w:rsidDel="00000000" w:rsidP="00000000" w:rsidRDefault="00000000" w:rsidRPr="00000000" w14:paraId="0000071C">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ELM </w:t>
      </w:r>
    </w:p>
    <w:p w:rsidR="00000000" w:rsidDel="00000000" w:rsidP="00000000" w:rsidRDefault="00000000" w:rsidRPr="00000000" w14:paraId="0000071D">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Countryside Stewardship </w:t>
      </w:r>
    </w:p>
    <w:p w:rsidR="00000000" w:rsidDel="00000000" w:rsidP="00000000" w:rsidRDefault="00000000" w:rsidRPr="00000000" w14:paraId="0000071E">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Application Process</w:t>
      </w:r>
    </w:p>
    <w:p w:rsidR="00000000" w:rsidDel="00000000" w:rsidP="00000000" w:rsidRDefault="00000000" w:rsidRPr="00000000" w14:paraId="0000071F">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Policy Changes</w:t>
      </w:r>
    </w:p>
    <w:p w:rsidR="00000000" w:rsidDel="00000000" w:rsidP="00000000" w:rsidRDefault="00000000" w:rsidRPr="00000000" w14:paraId="00000720">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Future of ELM </w:t>
      </w:r>
    </w:p>
    <w:p w:rsidR="00000000" w:rsidDel="00000000" w:rsidP="00000000" w:rsidRDefault="00000000" w:rsidRPr="00000000" w14:paraId="00000721">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Negative view of ELM </w:t>
      </w:r>
    </w:p>
    <w:p w:rsidR="00000000" w:rsidDel="00000000" w:rsidP="00000000" w:rsidRDefault="00000000" w:rsidRPr="00000000" w14:paraId="00000722">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Positive View of ELM </w:t>
      </w:r>
    </w:p>
    <w:p w:rsidR="00000000" w:rsidDel="00000000" w:rsidP="00000000" w:rsidRDefault="00000000" w:rsidRPr="00000000" w14:paraId="00000723">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Public Goods </w:t>
      </w:r>
    </w:p>
    <w:p w:rsidR="00000000" w:rsidDel="00000000" w:rsidP="00000000" w:rsidRDefault="00000000" w:rsidRPr="00000000" w14:paraId="00000724">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Environmental Outcome (positive)</w:t>
      </w:r>
    </w:p>
    <w:p w:rsidR="00000000" w:rsidDel="00000000" w:rsidP="00000000" w:rsidRDefault="00000000" w:rsidRPr="00000000" w14:paraId="00000725">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Environmental Outcome (negative) </w:t>
      </w:r>
    </w:p>
    <w:p w:rsidR="00000000" w:rsidDel="00000000" w:rsidP="00000000" w:rsidRDefault="00000000" w:rsidRPr="00000000" w14:paraId="00000726">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Scheme Uptake</w:t>
      </w:r>
    </w:p>
    <w:p w:rsidR="00000000" w:rsidDel="00000000" w:rsidP="00000000" w:rsidRDefault="00000000" w:rsidRPr="00000000" w14:paraId="00000727">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SFI (Full Rollout)</w:t>
      </w:r>
    </w:p>
    <w:p w:rsidR="00000000" w:rsidDel="00000000" w:rsidP="00000000" w:rsidRDefault="00000000" w:rsidRPr="00000000" w14:paraId="00000728">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SFI Pilot</w:t>
      </w:r>
    </w:p>
    <w:p w:rsidR="00000000" w:rsidDel="00000000" w:rsidP="00000000" w:rsidRDefault="00000000" w:rsidRPr="00000000" w14:paraId="00000729">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Application Process</w:t>
      </w:r>
    </w:p>
    <w:p w:rsidR="00000000" w:rsidDel="00000000" w:rsidP="00000000" w:rsidRDefault="00000000" w:rsidRPr="00000000" w14:paraId="0000072A">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Measuring Outcomes </w:t>
      </w:r>
    </w:p>
    <w:p w:rsidR="00000000" w:rsidDel="00000000" w:rsidP="00000000" w:rsidRDefault="00000000" w:rsidRPr="00000000" w14:paraId="0000072B">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Whole Farm Approach </w:t>
      </w:r>
    </w:p>
    <w:p w:rsidR="00000000" w:rsidDel="00000000" w:rsidP="00000000" w:rsidRDefault="00000000" w:rsidRPr="00000000" w14:paraId="0000072C">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Co-design</w:t>
      </w:r>
    </w:p>
    <w:p w:rsidR="00000000" w:rsidDel="00000000" w:rsidP="00000000" w:rsidRDefault="00000000" w:rsidRPr="00000000" w14:paraId="0000072D">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Lack of Farmer Support </w:t>
      </w:r>
    </w:p>
    <w:p w:rsidR="00000000" w:rsidDel="00000000" w:rsidP="00000000" w:rsidRDefault="00000000" w:rsidRPr="00000000" w14:paraId="0000072E">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One size fits all </w:t>
      </w:r>
    </w:p>
    <w:p w:rsidR="00000000" w:rsidDel="00000000" w:rsidP="00000000" w:rsidRDefault="00000000" w:rsidRPr="00000000" w14:paraId="0000072F">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Working with Government </w:t>
      </w:r>
    </w:p>
    <w:p w:rsidR="00000000" w:rsidDel="00000000" w:rsidP="00000000" w:rsidRDefault="00000000" w:rsidRPr="00000000" w14:paraId="00000730">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Threat to ELMs</w:t>
      </w:r>
    </w:p>
    <w:p w:rsidR="00000000" w:rsidDel="00000000" w:rsidP="00000000" w:rsidRDefault="00000000" w:rsidRPr="00000000" w14:paraId="00000731">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Climate Change/Extreme Weather</w:t>
      </w:r>
    </w:p>
    <w:p w:rsidR="00000000" w:rsidDel="00000000" w:rsidP="00000000" w:rsidRDefault="00000000" w:rsidRPr="00000000" w14:paraId="00000732">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Lack of Competency </w:t>
      </w:r>
    </w:p>
    <w:p w:rsidR="00000000" w:rsidDel="00000000" w:rsidP="00000000" w:rsidRDefault="00000000" w:rsidRPr="00000000" w14:paraId="00000733">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Diversification</w:t>
      </w:r>
    </w:p>
    <w:p w:rsidR="00000000" w:rsidDel="00000000" w:rsidP="00000000" w:rsidRDefault="00000000" w:rsidRPr="00000000" w14:paraId="00000734">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Leaving the Pilot</w:t>
      </w:r>
    </w:p>
    <w:p w:rsidR="00000000" w:rsidDel="00000000" w:rsidP="00000000" w:rsidRDefault="00000000" w:rsidRPr="00000000" w14:paraId="00000735">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Carbon Offsetting </w:t>
      </w:r>
    </w:p>
    <w:p w:rsidR="00000000" w:rsidDel="00000000" w:rsidP="00000000" w:rsidRDefault="00000000" w:rsidRPr="00000000" w14:paraId="00000736">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Intensification</w:t>
      </w:r>
    </w:p>
    <w:p w:rsidR="00000000" w:rsidDel="00000000" w:rsidP="00000000" w:rsidRDefault="00000000" w:rsidRPr="00000000" w14:paraId="00000737">
      <w:pPr>
        <w:numPr>
          <w:ilvl w:val="2"/>
          <w:numId w:val="15"/>
        </w:numPr>
        <w:ind w:left="2160" w:hanging="360"/>
        <w:rPr>
          <w:rFonts w:ascii="Calibri" w:cs="Calibri" w:eastAsia="Calibri" w:hAnsi="Calibri"/>
        </w:rPr>
      </w:pPr>
      <w:r w:rsidDel="00000000" w:rsidR="00000000" w:rsidRPr="00000000">
        <w:rPr>
          <w:rFonts w:ascii="Calibri" w:cs="Calibri" w:eastAsia="Calibri" w:hAnsi="Calibri"/>
          <w:rtl w:val="0"/>
        </w:rPr>
        <w:t xml:space="preserve">Role of Private Institutions </w:t>
      </w:r>
    </w:p>
    <w:p w:rsidR="00000000" w:rsidDel="00000000" w:rsidP="00000000" w:rsidRDefault="00000000" w:rsidRPr="00000000" w14:paraId="000007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1"/>
          <w:szCs w:val="21"/>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-1242694</wp:posOffset>
            </wp:positionH>
            <wp:positionV relativeFrom="paragraph">
              <wp:posOffset>612775</wp:posOffset>
            </wp:positionV>
            <wp:extent cx="8404225" cy="7179310"/>
            <wp:effectExtent b="0" l="0" r="0" t="0"/>
            <wp:wrapSquare wrapText="bothSides" distB="0" distT="0" distL="114300" distR="114300"/>
            <wp:docPr descr="A diagram of a company&#10;&#10;AI-generated content may be incorrect." id="1297365368" name="image12.png"/>
            <a:graphic>
              <a:graphicData uri="http://schemas.openxmlformats.org/drawingml/2006/picture">
                <pic:pic>
                  <pic:nvPicPr>
                    <pic:cNvPr descr="A diagram of a company&#10;&#10;AI-generated content may be incorrect." id="0" name="image12.png"/>
                    <pic:cNvPicPr preferRelativeResize="0"/>
                  </pic:nvPicPr>
                  <pic:blipFill>
                    <a:blip r:embed="rId50"/>
                    <a:srcRect b="0" l="11813" r="11216" t="0"/>
                    <a:stretch>
                      <a:fillRect/>
                    </a:stretch>
                  </pic:blipFill>
                  <pic:spPr>
                    <a:xfrm rot="5400000">
                      <a:off x="0" y="0"/>
                      <a:ext cx="8404225" cy="7179310"/>
                    </a:xfrm>
                    <a:prstGeom prst="rect"/>
                    <a:ln/>
                  </pic:spPr>
                </pic:pic>
              </a:graphicData>
            </a:graphic>
          </wp:anchor>
        </w:drawing>
      </w:r>
    </w:p>
    <w:p w:rsidR="00000000" w:rsidDel="00000000" w:rsidP="00000000" w:rsidRDefault="00000000" w:rsidRPr="00000000" w14:paraId="00000739">
      <w:pPr>
        <w:pStyle w:val="Heading2"/>
        <w:rPr/>
      </w:pPr>
      <w:bookmarkStart w:colFirst="0" w:colLast="0" w:name="_heading=h.ixtrmybnafyk" w:id="131"/>
      <w:bookmarkEnd w:id="131"/>
      <w:r w:rsidDel="00000000" w:rsidR="00000000" w:rsidRPr="00000000">
        <w:rPr>
          <w:rtl w:val="0"/>
        </w:rPr>
        <w:t xml:space="preserve">APPENDIX 8</w:t>
      </w:r>
    </w:p>
    <w:p w:rsidR="00000000" w:rsidDel="00000000" w:rsidP="00000000" w:rsidRDefault="00000000" w:rsidRPr="00000000" w14:paraId="0000073A">
      <w:pPr>
        <w:rPr>
          <w:rFonts w:ascii="Calibri" w:cs="Calibri" w:eastAsia="Calibri" w:hAnsi="Calibri"/>
          <w:b w:val="1"/>
        </w:rPr>
      </w:pPr>
      <w:r w:rsidDel="00000000" w:rsidR="00000000" w:rsidRPr="00000000">
        <w:rPr>
          <w:rFonts w:ascii="Calibri" w:cs="Calibri" w:eastAsia="Calibri" w:hAnsi="Calibri"/>
          <w:b w:val="1"/>
          <w:rtl w:val="0"/>
        </w:rPr>
        <w:t xml:space="preserve">Final Organisation of Codes Leading to Theme Formation</w:t>
      </w:r>
    </w:p>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rtl w:val="0"/>
        </w:rPr>
        <w:t xml:space="preserve">(sub-nodes are not include for purposes of clarity and space in the diagrams)</w:t>
      </w:r>
    </w:p>
    <w:p w:rsidR="00000000" w:rsidDel="00000000" w:rsidP="00000000" w:rsidRDefault="00000000" w:rsidRPr="00000000" w14:paraId="0000073C">
      <w:pPr>
        <w:rPr>
          <w:rFonts w:ascii="Calibri" w:cs="Calibri" w:eastAsia="Calibri" w:hAnsi="Calibri"/>
        </w:rPr>
      </w:pPr>
      <w:r w:rsidDel="00000000" w:rsidR="00000000" w:rsidRPr="00000000">
        <w:rPr>
          <w:rtl w:val="0"/>
        </w:rPr>
      </w:r>
    </w:p>
    <w:p w:rsidR="00000000" w:rsidDel="00000000" w:rsidP="00000000" w:rsidRDefault="00000000" w:rsidRPr="00000000" w14:paraId="0000073D">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7240614" cy="6174690"/>
            <wp:effectExtent b="0" l="0" r="0" t="0"/>
            <wp:docPr descr="A diagram of a company&#10;&#10;AI-generated content may be incorrect." id="1297365370" name="image10.png"/>
            <a:graphic>
              <a:graphicData uri="http://schemas.openxmlformats.org/drawingml/2006/picture">
                <pic:pic>
                  <pic:nvPicPr>
                    <pic:cNvPr descr="A diagram of a company&#10;&#10;AI-generated content may be incorrect." id="0" name="image10.png"/>
                    <pic:cNvPicPr preferRelativeResize="0"/>
                  </pic:nvPicPr>
                  <pic:blipFill>
                    <a:blip r:embed="rId51"/>
                    <a:srcRect b="0" l="0" r="0" t="0"/>
                    <a:stretch>
                      <a:fillRect/>
                    </a:stretch>
                  </pic:blipFill>
                  <pic:spPr>
                    <a:xfrm rot="5400000">
                      <a:off x="0" y="0"/>
                      <a:ext cx="7240614" cy="6174690"/>
                    </a:xfrm>
                    <a:prstGeom prst="rect"/>
                    <a:ln/>
                  </pic:spPr>
                </pic:pic>
              </a:graphicData>
            </a:graphic>
          </wp:inline>
        </w:drawing>
      </w:r>
      <w:r w:rsidDel="00000000" w:rsidR="00000000" w:rsidRPr="00000000">
        <w:rPr>
          <w:rtl w:val="0"/>
        </w:rPr>
      </w:r>
    </w:p>
    <w:p w:rsidR="00000000" w:rsidDel="00000000" w:rsidP="00000000" w:rsidRDefault="00000000" w:rsidRPr="00000000" w14:paraId="0000073E">
      <w:pPr>
        <w:rPr>
          <w:b w:val="1"/>
        </w:rPr>
      </w:pPr>
      <w:r w:rsidDel="00000000" w:rsidR="00000000" w:rsidRPr="00000000">
        <w:rPr>
          <w:rtl w:val="0"/>
        </w:rPr>
      </w:r>
    </w:p>
    <w:p w:rsidR="00000000" w:rsidDel="00000000" w:rsidP="00000000" w:rsidRDefault="00000000" w:rsidRPr="00000000" w14:paraId="0000073F">
      <w:pPr>
        <w:pStyle w:val="Heading2"/>
        <w:rPr/>
      </w:pPr>
      <w:bookmarkStart w:colFirst="0" w:colLast="0" w:name="_heading=h.wix7b3ql8k2p" w:id="132"/>
      <w:bookmarkEnd w:id="132"/>
      <w:r w:rsidDel="00000000" w:rsidR="00000000" w:rsidRPr="00000000">
        <w:rPr>
          <w:rtl w:val="0"/>
        </w:rPr>
        <w:t xml:space="preserve">APPENDIX 9</w:t>
      </w:r>
    </w:p>
    <w:p w:rsidR="00000000" w:rsidDel="00000000" w:rsidP="00000000" w:rsidRDefault="00000000" w:rsidRPr="00000000" w14:paraId="00000740">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Farmer Events Attended and Recruitment Efforts Undertaken</w:t>
      </w:r>
    </w:p>
    <w:p w:rsidR="00000000" w:rsidDel="00000000" w:rsidP="00000000" w:rsidRDefault="00000000" w:rsidRPr="00000000" w14:paraId="000007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DEFRA-led SFI Pilot Regional Events</w:t>
      </w:r>
    </w:p>
    <w:p w:rsidR="00000000" w:rsidDel="00000000" w:rsidP="00000000" w:rsidRDefault="00000000" w:rsidRPr="00000000" w14:paraId="0000074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Participation in official regional events organised by Defra to promote and discuss the Sustainable Farming Incentive Pilot.</w:t>
      </w:r>
    </w:p>
    <w:p w:rsidR="00000000" w:rsidDel="00000000" w:rsidP="00000000" w:rsidRDefault="00000000" w:rsidRPr="00000000" w14:paraId="000007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University of Sheffield-led In-Person Engagements</w:t>
      </w:r>
    </w:p>
    <w:p w:rsidR="00000000" w:rsidDel="00000000" w:rsidP="00000000" w:rsidRDefault="00000000" w:rsidRPr="00000000" w14:paraId="0000074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 series of academic and practical outreach activities coordinated by the University of Sheffield, including:</w:t>
      </w:r>
    </w:p>
    <w:p w:rsidR="00000000" w:rsidDel="00000000" w:rsidP="00000000" w:rsidRDefault="00000000" w:rsidRPr="00000000" w14:paraId="0000074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On-Farm Workshops: Hands-on sessions held directly on farms to engage with farmers and demonstrate sustainable practices.</w:t>
      </w:r>
    </w:p>
    <w:p w:rsidR="00000000" w:rsidDel="00000000" w:rsidP="00000000" w:rsidRDefault="00000000" w:rsidRPr="00000000" w14:paraId="0000074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SFI Pilot Cost Workshops: In-depth discussions focused on the financial aspects and viability of the SFI Pilot scheme.</w:t>
      </w:r>
    </w:p>
    <w:p w:rsidR="00000000" w:rsidDel="00000000" w:rsidP="00000000" w:rsidRDefault="00000000" w:rsidRPr="00000000" w14:paraId="000007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Auction Mart Events at Junction 36</w:t>
      </w:r>
    </w:p>
    <w:p w:rsidR="00000000" w:rsidDel="00000000" w:rsidP="00000000" w:rsidRDefault="00000000" w:rsidRPr="00000000" w14:paraId="0000074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Engagement with farmers at livestock auction markets to broaden network of farmers.</w:t>
      </w:r>
    </w:p>
    <w:p w:rsidR="00000000" w:rsidDel="00000000" w:rsidP="00000000" w:rsidRDefault="00000000" w:rsidRPr="00000000" w14:paraId="000007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Farmer Cluster Group Meetings</w:t>
      </w:r>
    </w:p>
    <w:p w:rsidR="00000000" w:rsidDel="00000000" w:rsidP="00000000" w:rsidRDefault="00000000" w:rsidRPr="00000000" w14:paraId="0000074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Recruitment and networking efforts at meetings with local farmer-led groups, including Dorset Farmer Cluster Group.</w:t>
      </w:r>
    </w:p>
    <w:p w:rsidR="00000000" w:rsidDel="00000000" w:rsidP="00000000" w:rsidRDefault="00000000" w:rsidRPr="00000000" w14:paraId="000007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Groundswell (2023)</w:t>
      </w:r>
    </w:p>
    <w:p w:rsidR="00000000" w:rsidDel="00000000" w:rsidP="00000000" w:rsidRDefault="00000000" w:rsidRPr="00000000" w14:paraId="0000074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Attendance at the Groundswell regenerative agriculture festival to connect with farmers and stakeholders in sustainable farming.</w:t>
      </w:r>
    </w:p>
    <w:p w:rsidR="00000000" w:rsidDel="00000000" w:rsidP="00000000" w:rsidRDefault="00000000" w:rsidRPr="00000000" w14:paraId="000007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Oxford Real Farming Conference (2023)</w:t>
      </w:r>
    </w:p>
    <w:p w:rsidR="00000000" w:rsidDel="00000000" w:rsidP="00000000" w:rsidRDefault="00000000" w:rsidRPr="00000000" w14:paraId="0000074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Participation in this leading conference to engage with farmers, policy-makers and researchers in the agroecology and sustainable farming sector.</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4">
    <w:pPr>
      <w:jc w:val="center"/>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According to the Food and Agriculture Organization (FAO) of the United Nations, emissions from the agriculture sector and related land use account for approximately 17 per cent of global greenhouse gas emissions (FAO, 2018). In countries where intensive farming is commonplace, the sector faces mounting pressure to adapt in ways that both mitigate its environmental footprint and enhance resilience to climatic shocks.</w:t>
      </w:r>
      <w:r w:rsidDel="00000000" w:rsidR="00000000" w:rsidRPr="00000000">
        <w:rPr>
          <w:rFonts w:ascii="Calibri" w:cs="Calibri" w:eastAsia="Calibri" w:hAnsi="Calibri"/>
          <w:sz w:val="24"/>
          <w:szCs w:val="24"/>
          <w:rtl w:val="0"/>
        </w:rPr>
        <w:t xml:space="preserve"> </w:t>
      </w:r>
      <w:r w:rsidDel="00000000" w:rsidR="00000000" w:rsidRPr="00000000">
        <w:rPr>
          <w:rtl w:val="0"/>
        </w:rPr>
      </w:r>
    </w:p>
  </w:footnote>
  <w:footnote w:id="1">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This thesis uses the terminology of EU to reference the EU, unless it is important to specify.</w:t>
      </w:r>
    </w:p>
  </w:footnote>
  <w:footnote w:id="2">
    <w:p w:rsidR="00000000" w:rsidDel="00000000" w:rsidP="00000000" w:rsidRDefault="00000000" w:rsidRPr="00000000" w14:paraId="00000751">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The EU stands for the European Union, while the EEC refers to the European Economic Community. When the UK joined the EU, these were considered separate entities. In 1993, the EEC was redefined as the European Community (EC) and became part of the broader European Union framework. By 2009, the term 'European Union' officially replaced 'European Community' in legal usage.</w:t>
      </w:r>
    </w:p>
  </w:footnote>
  <w:footnote w:id="3">
    <w:p w:rsidR="00000000" w:rsidDel="00000000" w:rsidP="00000000" w:rsidRDefault="00000000" w:rsidRPr="00000000" w14:paraId="00000752">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More context on Pillar One and Pillar Two of CAP are included in the following section.</w:t>
      </w:r>
    </w:p>
  </w:footnote>
  <w:footnote w:id="4">
    <w:p w:rsidR="00000000" w:rsidDel="00000000" w:rsidP="00000000" w:rsidRDefault="00000000" w:rsidRPr="00000000" w14:paraId="00000753">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The EU’s planned enlargement from 2004 to 2007 was to encompass ten states including Poland, Slovakia, and the Czech Republic which were states with large agricultural sectors. </w:t>
      </w:r>
    </w:p>
  </w:footnote>
  <w:footnote w:id="5">
    <w:p w:rsidR="00000000" w:rsidDel="00000000" w:rsidP="00000000" w:rsidRDefault="00000000" w:rsidRPr="00000000" w14:paraId="0000075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Despite the Brexit referendum taking place in 2016, the CAP payments made from the 2019 payment period were consistent with those established from the CAP 2014-20 payment period (pre-Brexit). </w:t>
      </w:r>
    </w:p>
  </w:footnote>
  <w:footnote w:id="6">
    <w:p w:rsidR="00000000" w:rsidDel="00000000" w:rsidP="00000000" w:rsidRDefault="00000000" w:rsidRPr="00000000" w14:paraId="00000755">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Under this system each UK administration had their own developed schemes. </w:t>
      </w:r>
    </w:p>
  </w:footnote>
  <w:footnote w:id="7">
    <w:p w:rsidR="00000000" w:rsidDel="00000000" w:rsidP="00000000" w:rsidRDefault="00000000" w:rsidRPr="00000000" w14:paraId="00000756">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Included in the appendix of this thesis is a chart which compares the rural development scheme programmes across the UK for the 2014-2020 CAP period. </w:t>
      </w:r>
    </w:p>
  </w:footnote>
  <w:footnote w:id="8">
    <w:p w:rsidR="00000000" w:rsidDel="00000000" w:rsidP="00000000" w:rsidRDefault="00000000" w:rsidRPr="00000000" w14:paraId="00000757">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When the next round of CAP reforms occurred in the early 2000s, the CSS agreements were still honoured and continued until the end of their completion.</w:t>
      </w:r>
    </w:p>
  </w:footnote>
  <w:footnote w:id="9">
    <w:p w:rsidR="00000000" w:rsidDel="00000000" w:rsidP="00000000" w:rsidRDefault="00000000" w:rsidRPr="00000000" w14:paraId="00000758">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CS was the final AES introduced pre-Brexit, and due to the nature of the five-year agreement length and applications for the last round of CS closing in 2023, there was still a significant number of farmers participating in CS throughout the post-Brexit transition period.</w:t>
      </w:r>
      <w:r w:rsidDel="00000000" w:rsidR="00000000" w:rsidRPr="00000000">
        <w:rPr>
          <w:rtl w:val="0"/>
        </w:rPr>
      </w:r>
    </w:p>
  </w:footnote>
  <w:footnote w:id="10">
    <w:p w:rsidR="00000000" w:rsidDel="00000000" w:rsidP="00000000" w:rsidRDefault="00000000" w:rsidRPr="00000000" w14:paraId="00000759">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More information on this process is included in the methodology chapter. </w:t>
      </w:r>
    </w:p>
  </w:footnote>
  <w:footnote w:id="11">
    <w:p w:rsidR="00000000" w:rsidDel="00000000" w:rsidP="00000000" w:rsidRDefault="00000000" w:rsidRPr="00000000" w14:paraId="0000075A">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More information on the phasing out of direct payments are included in the subsequent sections of this chapter. </w:t>
      </w:r>
    </w:p>
  </w:footnote>
  <w:footnote w:id="12">
    <w:p w:rsidR="00000000" w:rsidDel="00000000" w:rsidP="00000000" w:rsidRDefault="00000000" w:rsidRPr="00000000" w14:paraId="0000075B">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description of public goods included in the table are the definitions taken from the 2020 Agriculture Act. These definitions were used for clarity reasons and because they are more descriptive and provide more context on the definition of public goods than the preceding UK government documents </w:t>
      </w:r>
    </w:p>
  </w:footnote>
  <w:footnote w:id="13">
    <w:p w:rsidR="00000000" w:rsidDel="00000000" w:rsidP="00000000" w:rsidRDefault="00000000" w:rsidRPr="00000000" w14:paraId="0000075C">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16"/>
          <w:szCs w:val="16"/>
          <w:rtl w:val="0"/>
        </w:rPr>
        <w:t xml:space="preserve">The UK government’s ambition to reach Net Zero by 2050 was agreed in 2019 and incorporated in the development of ELM schemes. </w:t>
      </w:r>
    </w:p>
  </w:footnote>
  <w:footnote w:id="14">
    <w:p w:rsidR="00000000" w:rsidDel="00000000" w:rsidP="00000000" w:rsidRDefault="00000000" w:rsidRPr="00000000" w14:paraId="0000075D">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The table included in the appendix provides more information on the different actions required from each standard in the SFI pilot, broken down by level of ambition.  </w:t>
      </w:r>
    </w:p>
  </w:footnote>
  <w:footnote w:id="15">
    <w:p w:rsidR="00000000" w:rsidDel="00000000" w:rsidP="00000000" w:rsidRDefault="00000000" w:rsidRPr="00000000" w14:paraId="0000075E">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This percentage is consistent with the 2014 estimate reported in the House of Lords 2017 Report Brexit: Agriculture. </w:t>
      </w:r>
    </w:p>
  </w:footnote>
  <w:footnote w:id="16">
    <w:p w:rsidR="00000000" w:rsidDel="00000000" w:rsidP="00000000" w:rsidRDefault="00000000" w:rsidRPr="00000000" w14:paraId="0000075F">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Calibri" w:cs="Calibri" w:eastAsia="Calibri" w:hAnsi="Calibri"/>
          <w:sz w:val="18"/>
          <w:szCs w:val="18"/>
          <w:rtl w:val="0"/>
        </w:rPr>
        <w:t xml:space="preserve"> For example, as noted earlier, the EU's Common Agricultural Policy (CAP) consisted of two parts: Pillar One (Direct Payments) and Pillar Two (Rural Development). In addition to the lump sum payments farmers received under Pillar One, they also had the option to participate in various agri-environmental schemes funded by Pillar Two. The design of CAP allowed farmers to receive payments for the land they owned, with the opportunity to maximise their payments through additional participation in Pillar Two schemes.</w:t>
      </w:r>
    </w:p>
    <w:p w:rsidR="00000000" w:rsidDel="00000000" w:rsidP="00000000" w:rsidRDefault="00000000" w:rsidRPr="00000000" w14:paraId="00000760">
      <w:pPr>
        <w:spacing w:line="240" w:lineRule="auto"/>
        <w:rPr>
          <w:sz w:val="20"/>
          <w:szCs w:val="20"/>
        </w:rPr>
      </w:pPr>
      <w:r w:rsidDel="00000000" w:rsidR="00000000" w:rsidRPr="00000000">
        <w:rPr>
          <w:rtl w:val="0"/>
        </w:rPr>
      </w:r>
    </w:p>
  </w:footnote>
  <w:footnote w:id="17">
    <w:p w:rsidR="00000000" w:rsidDel="00000000" w:rsidP="00000000" w:rsidRDefault="00000000" w:rsidRPr="00000000" w14:paraId="00000761">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ADAS has been a private entity since 1997 but was originally established by the UK government in the 1940s as the National Agricultural Advisory Service (NAAS) under the Ministry of Agriculture, Fisheries, and Food. According to the ADAS website the organisation was designed with the intention to improve food security by offering independent, profitable solutions for the rural community; the organisation has since expanded to providing more commercial and environmental advice for the agriculture sector (ADAS, 2025). </w:t>
      </w:r>
    </w:p>
    <w:p w:rsidR="00000000" w:rsidDel="00000000" w:rsidP="00000000" w:rsidRDefault="00000000" w:rsidRPr="00000000" w14:paraId="00000762">
      <w:pPr>
        <w:spacing w:line="240" w:lineRule="auto"/>
        <w:rPr>
          <w:rFonts w:ascii="Calibri" w:cs="Calibri" w:eastAsia="Calibri" w:hAnsi="Calibri"/>
          <w:sz w:val="18"/>
          <w:szCs w:val="18"/>
        </w:rPr>
      </w:pPr>
      <w:r w:rsidDel="00000000" w:rsidR="00000000" w:rsidRPr="00000000">
        <w:rPr>
          <w:rtl w:val="0"/>
        </w:rPr>
      </w:r>
    </w:p>
  </w:footnote>
  <w:footnote w:id="18">
    <w:p w:rsidR="00000000" w:rsidDel="00000000" w:rsidP="00000000" w:rsidRDefault="00000000" w:rsidRPr="00000000" w14:paraId="00000763">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role of the farmer in relation to the evolution of productivism is further expanded on in the ‘good farmer’ section below. </w:t>
      </w:r>
    </w:p>
  </w:footnote>
  <w:footnote w:id="19">
    <w:p w:rsidR="00000000" w:rsidDel="00000000" w:rsidP="00000000" w:rsidRDefault="00000000" w:rsidRPr="00000000" w14:paraId="00000764">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As defined by Hejnowicz, et al, (2016), advisors in this study refer to the consultants contracted by farmers</w:t>
      </w:r>
    </w:p>
    <w:p w:rsidR="00000000" w:rsidDel="00000000" w:rsidP="00000000" w:rsidRDefault="00000000" w:rsidRPr="00000000" w14:paraId="0000076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and land managers to advise-on AES participation and agro-economic queries.  </w:t>
      </w:r>
    </w:p>
    <w:p w:rsidR="00000000" w:rsidDel="00000000" w:rsidP="00000000" w:rsidRDefault="00000000" w:rsidRPr="00000000" w14:paraId="00000766">
      <w:pPr>
        <w:spacing w:line="240" w:lineRule="auto"/>
        <w:rPr>
          <w:sz w:val="20"/>
          <w:szCs w:val="20"/>
        </w:rPr>
      </w:pPr>
      <w:r w:rsidDel="00000000" w:rsidR="00000000" w:rsidRPr="00000000">
        <w:rPr>
          <w:rtl w:val="0"/>
        </w:rPr>
      </w:r>
    </w:p>
  </w:footnote>
  <w:footnote w:id="20">
    <w:p w:rsidR="00000000" w:rsidDel="00000000" w:rsidP="00000000" w:rsidRDefault="00000000" w:rsidRPr="00000000" w14:paraId="00000767">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The author added the bold emphasis on this quote to illustrate the points of significance which are discussed throughout this section. </w:t>
      </w:r>
    </w:p>
  </w:footnote>
  <w:footnote w:id="21">
    <w:p w:rsidR="00000000" w:rsidDel="00000000" w:rsidP="00000000" w:rsidRDefault="00000000" w:rsidRPr="00000000" w14:paraId="00000768">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Note: NAO 2021 report that without BPS only 1 in 3 farmers would make a net profit off their businesses. </w:t>
      </w:r>
    </w:p>
  </w:footnote>
  <w:footnote w:id="22">
    <w:p w:rsidR="00000000" w:rsidDel="00000000" w:rsidP="00000000" w:rsidRDefault="00000000" w:rsidRPr="00000000" w14:paraId="00000769">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With Sutherland being a co-author, the same Sutherland from the conceptualisation of the Triggering Change Cycle (Sutherland, et al., 2012).</w:t>
      </w:r>
    </w:p>
  </w:footnote>
  <w:footnote w:id="23">
    <w:p w:rsidR="00000000" w:rsidDel="00000000" w:rsidP="00000000" w:rsidRDefault="00000000" w:rsidRPr="00000000" w14:paraId="000007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 The author added the bold emphasis on this quote to illustrate the points of significance which are discussed throughout this section. </w:t>
      </w:r>
      <w:r w:rsidDel="00000000" w:rsidR="00000000" w:rsidRPr="00000000">
        <w:rPr>
          <w:rtl w:val="0"/>
        </w:rPr>
      </w:r>
    </w:p>
  </w:footnote>
  <w:footnote w:id="24">
    <w:p w:rsidR="00000000" w:rsidDel="00000000" w:rsidP="00000000" w:rsidRDefault="00000000" w:rsidRPr="00000000" w14:paraId="0000076B">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This software was likewise recommended by Corbin and Strauss (2008) in their application of qualitative methods in line with a grounded theory approach. </w:t>
      </w:r>
      <w:r w:rsidDel="00000000" w:rsidR="00000000" w:rsidRPr="00000000">
        <w:rPr>
          <w:rtl w:val="0"/>
        </w:rPr>
      </w:r>
    </w:p>
  </w:footnote>
  <w:footnote w:id="25">
    <w:p w:rsidR="00000000" w:rsidDel="00000000" w:rsidP="00000000" w:rsidRDefault="00000000" w:rsidRPr="00000000" w14:paraId="0000076C">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The complete list of codes (and the evolution of codes) used in this research is included in the appendix.</w:t>
      </w:r>
    </w:p>
  </w:footnote>
  <w:footnote w:id="26">
    <w:p w:rsidR="00000000" w:rsidDel="00000000" w:rsidP="00000000" w:rsidRDefault="00000000" w:rsidRPr="00000000" w14:paraId="0000076D">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sections below provide more insight to how the research role at Defra impacted the data collection of this thesis, specifically how access to different Defra events and workshops provided greater context and insight to the development of ELM schemes policy than was publicly accessible at the time this thesis was written.</w:t>
      </w:r>
    </w:p>
  </w:footnote>
  <w:footnote w:id="27">
    <w:p w:rsidR="00000000" w:rsidDel="00000000" w:rsidP="00000000" w:rsidRDefault="00000000" w:rsidRPr="00000000" w14:paraId="0000076E">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20"/>
          <w:szCs w:val="20"/>
          <w:rtl w:val="0"/>
        </w:rPr>
        <w:t xml:space="preserve">Please reference the appendix for excerpts of the policy guidance which is referenced in this section.</w:t>
      </w:r>
    </w:p>
  </w:footnote>
  <w:footnote w:id="28">
    <w:p w:rsidR="00000000" w:rsidDel="00000000" w:rsidP="00000000" w:rsidRDefault="00000000" w:rsidRPr="00000000" w14:paraId="0000076F">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Farmers in legacy Countryside Stewardship Agreements were restricted to place the land which was already being recognised under CS into the SFI Pilot to avoid double-counting (e.g. farmers being compensated for the same action under both CS and SFI). Farmers did have the option though to enter the SFI Pilot into actions which complement their pre-existing legacy CS agreement. In addition, farmers were given the opportunity to terminate their CS agreements early (without any penalties) in order to join the SFI Pilot and enter all of their land into the pilot without restrictions (Defra, </w:t>
      </w:r>
      <w:hyperlink r:id="rId1">
        <w:r w:rsidDel="00000000" w:rsidR="00000000" w:rsidRPr="00000000">
          <w:rPr>
            <w:rFonts w:ascii="Calibri" w:cs="Calibri" w:eastAsia="Calibri" w:hAnsi="Calibri"/>
            <w:color w:val="1155cc"/>
            <w:sz w:val="20"/>
            <w:szCs w:val="20"/>
            <w:u w:val="single"/>
            <w:rtl w:val="0"/>
          </w:rPr>
          <w:t xml:space="preserve">2020</w:t>
        </w:r>
      </w:hyperlink>
      <w:r w:rsidDel="00000000" w:rsidR="00000000" w:rsidRPr="00000000">
        <w:rPr>
          <w:rFonts w:ascii="Calibri" w:cs="Calibri" w:eastAsia="Calibri" w:hAnsi="Calibri"/>
          <w:sz w:val="20"/>
          <w:szCs w:val="20"/>
          <w:rtl w:val="0"/>
        </w:rPr>
        <w:t xml:space="preserve">).</w:t>
      </w:r>
    </w:p>
  </w:footnote>
  <w:footnote w:id="29">
    <w:p w:rsidR="00000000" w:rsidDel="00000000" w:rsidP="00000000" w:rsidRDefault="00000000" w:rsidRPr="00000000" w14:paraId="00000770">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These numbers were provided by Defra SFI Pilot Team in October 2024 at a public event and therefore should be the most up to date and accurate in comparison to the earlier numbers of applicants enrolled earlier in the section. </w:t>
      </w:r>
    </w:p>
  </w:footnote>
  <w:footnote w:id="30">
    <w:p w:rsidR="00000000" w:rsidDel="00000000" w:rsidP="00000000" w:rsidRDefault="00000000" w:rsidRPr="00000000" w14:paraId="00000771">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8"/>
          <w:szCs w:val="18"/>
          <w:rtl w:val="0"/>
        </w:rPr>
        <w:t xml:space="preserve"> 10 per cent of farms received half of the total amount of funding for 2016; 33 per cent of farms received less than £5000 each (Defra, 2018). </w:t>
      </w:r>
      <w:r w:rsidDel="00000000" w:rsidR="00000000" w:rsidRPr="00000000">
        <w:rPr>
          <w:rtl w:val="0"/>
        </w:rPr>
      </w:r>
    </w:p>
  </w:footnote>
  <w:footnote w:id="31">
    <w:p w:rsidR="00000000" w:rsidDel="00000000" w:rsidP="00000000" w:rsidRDefault="00000000" w:rsidRPr="00000000" w14:paraId="00000772">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There were no explicit land minimum requirements to join the scheme, pilot participants just needed to be BPS eligible and be able to have their land meet the standard actions.</w:t>
      </w:r>
    </w:p>
  </w:footnote>
  <w:footnote w:id="32">
    <w:p w:rsidR="00000000" w:rsidDel="00000000" w:rsidP="00000000" w:rsidRDefault="00000000" w:rsidRPr="00000000" w14:paraId="00000773">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One follow up interview was completed in February 2024 with Interviewee 14.</w:t>
      </w:r>
    </w:p>
  </w:footnote>
  <w:footnote w:id="33">
    <w:p w:rsidR="00000000" w:rsidDel="00000000" w:rsidP="00000000" w:rsidRDefault="00000000" w:rsidRPr="00000000" w14:paraId="00000774">
      <w:pPr>
        <w:spacing w:line="240" w:lineRule="auto"/>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16"/>
          <w:szCs w:val="16"/>
          <w:rtl w:val="0"/>
        </w:rPr>
        <w:t xml:space="preserve">Three interviews took place when SFI 2023 was made available, but these interviewees were all SFI Pilot members who had decided that they were going to stay in their pilot agreements until they terminated in 2025. This is important to note because farmers were not allowed to join a live SFI full rollout scheme without exiting their pilot agreement, so despite the fact that SFI 2023 was available to them, it was not an active decision-making factor they were considering of joining compared to some non-pilot farmers which were actively considering applying for SFI 2022 and were not involved in the pilot. </w:t>
      </w:r>
    </w:p>
  </w:footnote>
  <w:footnote w:id="34">
    <w:p w:rsidR="00000000" w:rsidDel="00000000" w:rsidP="00000000" w:rsidRDefault="00000000" w:rsidRPr="00000000" w14:paraId="00000775">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Please see section 8 below which addresses the positionality and research ethics of this external research role and how it relates to the development of this thesis. </w:t>
      </w:r>
    </w:p>
  </w:footnote>
  <w:footnote w:id="35">
    <w:p w:rsidR="00000000" w:rsidDel="00000000" w:rsidP="00000000" w:rsidRDefault="00000000" w:rsidRPr="00000000" w14:paraId="00000776">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Eight farmers from random sampling, one from snowball sampling, and six from convenience sampling. </w:t>
      </w:r>
    </w:p>
  </w:footnote>
  <w:footnote w:id="36">
    <w:p w:rsidR="00000000" w:rsidDel="00000000" w:rsidP="00000000" w:rsidRDefault="00000000" w:rsidRPr="00000000" w14:paraId="00000777">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Calibri" w:cs="Calibri" w:eastAsia="Calibri" w:hAnsi="Calibri"/>
          <w:sz w:val="18"/>
          <w:szCs w:val="18"/>
          <w:rtl w:val="0"/>
        </w:rPr>
        <w:t xml:space="preserve">The role I served as a consultant provided me with access to SFI Pilot Farmers and relevant stakeholders. Outside of this role, though, data on SFI Pilot farmer opinions and experience on the pilot was limited to whatever was published on UK.gov (in farmer opinion tracker surveys and blog posts) and NAO reports. </w:t>
      </w:r>
    </w:p>
  </w:footnote>
  <w:footnote w:id="37">
    <w:p w:rsidR="00000000" w:rsidDel="00000000" w:rsidP="00000000" w:rsidRDefault="00000000" w:rsidRPr="00000000" w14:paraId="00000778">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specific sources of data used include British Farmer and Grower Magazine (NFU-owned), Farmers Weekly Online and E-mail Newsletter, NFU Website and Email Newsletter, Defra’s Farmer Opinion Tracker, Defra Future of Farming Blog, Twitter searches with the hashtags for “SFI Pilot” “Defra” and “ELM”, and policies posted by Defra on the Gov.UK website (SFI Pilot Guidance, SFI 2022, SFI 2023, Future Farming and Countryside Programme annual report, etc.).</w:t>
      </w:r>
    </w:p>
  </w:footnote>
  <w:footnote w:id="38">
    <w:p w:rsidR="00000000" w:rsidDel="00000000" w:rsidP="00000000" w:rsidRDefault="00000000" w:rsidRPr="00000000" w14:paraId="00000779">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The codebook for this thesis can be found in the appendix. </w:t>
      </w:r>
    </w:p>
  </w:footnote>
  <w:footnote w:id="39">
    <w:p w:rsidR="00000000" w:rsidDel="00000000" w:rsidP="00000000" w:rsidRDefault="00000000" w:rsidRPr="00000000" w14:paraId="000007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4"/>
          <w:szCs w:val="24"/>
          <w:rtl w:val="0"/>
        </w:rPr>
        <w:t xml:space="preserve">Numbers taken from the pilot participation chart introduced in Chapter Four.</w:t>
      </w:r>
      <w:r w:rsidDel="00000000" w:rsidR="00000000" w:rsidRPr="00000000">
        <w:rPr>
          <w:rtl w:val="0"/>
        </w:rPr>
      </w:r>
    </w:p>
  </w:footnote>
  <w:footnote w:id="40">
    <w:p w:rsidR="00000000" w:rsidDel="00000000" w:rsidP="00000000" w:rsidRDefault="00000000" w:rsidRPr="00000000" w14:paraId="0000077B">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Interview numbers are introduced in the order in which interviews took place. </w:t>
      </w:r>
    </w:p>
  </w:footnote>
  <w:footnote w:id="41">
    <w:p w:rsidR="00000000" w:rsidDel="00000000" w:rsidP="00000000" w:rsidRDefault="00000000" w:rsidRPr="00000000" w14:paraId="0000077C">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An NFU 2024 survey found that just over half (51 per cent) of members felt like they had ‘acceptable’ mobile signal, with only 24 per cent of farmers being able to receive/make a call across their whole farm (NFU, 2024).</w:t>
      </w:r>
    </w:p>
    <w:p w:rsidR="00000000" w:rsidDel="00000000" w:rsidP="00000000" w:rsidRDefault="00000000" w:rsidRPr="00000000" w14:paraId="0000077D">
      <w:pP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77E">
      <w:pPr>
        <w:spacing w:line="240" w:lineRule="auto"/>
        <w:rPr>
          <w:sz w:val="20"/>
          <w:szCs w:val="20"/>
        </w:rPr>
      </w:pPr>
      <w:r w:rsidDel="00000000" w:rsidR="00000000" w:rsidRPr="00000000">
        <w:rPr>
          <w:rtl w:val="0"/>
        </w:rPr>
      </w:r>
    </w:p>
  </w:footnote>
  <w:footnote w:id="42">
    <w:p w:rsidR="00000000" w:rsidDel="00000000" w:rsidP="00000000" w:rsidRDefault="00000000" w:rsidRPr="00000000" w14:paraId="0000077F">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In order to maintain anonymity of the interviewees, the interviewees will not be attributed to each example shared. </w:t>
      </w:r>
    </w:p>
  </w:footnote>
  <w:footnote w:id="43">
    <w:p w:rsidR="00000000" w:rsidDel="00000000" w:rsidP="00000000" w:rsidRDefault="00000000" w:rsidRPr="00000000" w14:paraId="00000780">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Examples which were provided during conversations and interviews to provide the basis for describing farmers as a ‘hobby’ or ‘hippy’. </w:t>
      </w:r>
    </w:p>
  </w:footnote>
  <w:footnote w:id="44">
    <w:p w:rsidR="00000000" w:rsidDel="00000000" w:rsidP="00000000" w:rsidRDefault="00000000" w:rsidRPr="00000000" w14:paraId="00000781">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This research did not include any mention or conceptualisation of the ‘good farmer’ but looked at farmer adoption of schemes and how this can be better understood. </w:t>
      </w:r>
    </w:p>
  </w:footnote>
  <w:footnote w:id="45">
    <w:p w:rsidR="00000000" w:rsidDel="00000000" w:rsidP="00000000" w:rsidRDefault="00000000" w:rsidRPr="00000000" w14:paraId="00000782">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18"/>
          <w:szCs w:val="18"/>
          <w:rtl w:val="0"/>
        </w:rPr>
        <w:t xml:space="preserve">These farmers are not a part of the SFI Pilot and therefore the co-design process. </w:t>
      </w:r>
    </w:p>
  </w:footnote>
  <w:footnote w:id="46">
    <w:p w:rsidR="00000000" w:rsidDel="00000000" w:rsidP="00000000" w:rsidRDefault="00000000" w:rsidRPr="00000000" w14:paraId="00000783">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18"/>
          <w:szCs w:val="18"/>
          <w:rtl w:val="0"/>
        </w:rPr>
        <w:t xml:space="preserve">Please see the interview guide in the appendix which demonstrates the interview questions addressing farmers’ perceptions of the new ELM schemes, their involvement in previous schemes, their attitudes towards farming in environmentally friendly manner, their attitudes towards the direction agricultural policy are evolving towards.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00" w:line="360" w:lineRule="auto"/>
      <w:jc w:val="center"/>
    </w:pPr>
    <w:rPr>
      <w:rFonts w:ascii="Calibri" w:cs="Calibri" w:eastAsia="Calibri" w:hAnsi="Calibri"/>
      <w:b w:val="1"/>
      <w:sz w:val="24"/>
      <w:szCs w:val="24"/>
    </w:rPr>
  </w:style>
  <w:style w:type="paragraph" w:styleId="Heading2">
    <w:name w:val="heading 2"/>
    <w:basedOn w:val="Normal"/>
    <w:next w:val="Normal"/>
    <w:pPr>
      <w:spacing w:after="200" w:line="360" w:lineRule="auto"/>
      <w:ind w:left="720" w:hanging="360"/>
      <w:jc w:val="left"/>
    </w:pPr>
    <w:rPr>
      <w:rFonts w:ascii="Calibri" w:cs="Calibri" w:eastAsia="Calibri" w:hAnsi="Calibri"/>
      <w:b w:val="0"/>
      <w:sz w:val="24"/>
      <w:szCs w:val="24"/>
    </w:rPr>
  </w:style>
  <w:style w:type="paragraph" w:styleId="Heading3">
    <w:name w:val="heading 3"/>
    <w:basedOn w:val="Normal"/>
    <w:next w:val="Normal"/>
    <w:pPr>
      <w:spacing w:after="200" w:line="360" w:lineRule="auto"/>
      <w:ind w:left="792" w:hanging="432"/>
      <w:jc w:val="left"/>
    </w:pPr>
    <w:rPr>
      <w:rFonts w:ascii="Calibri" w:cs="Calibri" w:eastAsia="Calibri" w:hAnsi="Calibri"/>
      <w:b w:val="0"/>
      <w:sz w:val="24"/>
      <w:szCs w:val="24"/>
    </w:rPr>
  </w:style>
  <w:style w:type="paragraph" w:styleId="Heading4">
    <w:name w:val="heading 4"/>
    <w:basedOn w:val="Normal"/>
    <w:next w:val="Normal"/>
    <w:pPr>
      <w:spacing w:after="200" w:line="360" w:lineRule="auto"/>
      <w:ind w:left="792" w:hanging="432"/>
      <w:jc w:val="left"/>
    </w:pPr>
    <w:rPr>
      <w:rFonts w:ascii="Calibri" w:cs="Calibri" w:eastAsia="Calibri" w:hAnsi="Calibri"/>
      <w:b w:val="0"/>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200" w:before="240" w:line="360" w:lineRule="auto"/>
      <w:jc w:val="center"/>
    </w:pPr>
    <w:rPr>
      <w:rFonts w:ascii="Calibri" w:cs="Calibri" w:eastAsia="Calibri" w:hAnsi="Calibri"/>
      <w:b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left w:w="115.0" w:type="dxa"/>
        <w:right w:w="115.0" w:type="dxa"/>
      </w:tblCellMar>
    </w:tblPr>
    <w:tcPr>
      <w:shd w:color="auto" w:fill="ffffff" w:val="clear"/>
    </w:tcPr>
  </w:style>
  <w:style w:type="table" w:styleId="a1" w:customStyle="1">
    <w:basedOn w:val="TableNormal"/>
    <w:tblPr>
      <w:tblStyleRowBandSize w:val="1"/>
      <w:tblStyleColBandSize w:val="1"/>
      <w:tblCellMar>
        <w:left w:w="115.0" w:type="dxa"/>
        <w:right w:w="115.0" w:type="dxa"/>
      </w:tblCellMar>
    </w:tblPr>
    <w:tcPr>
      <w:shd w:color="auto" w:fill="ffffff" w:val="clear"/>
    </w:tcPr>
  </w:style>
  <w:style w:type="table" w:styleId="a2" w:customStyle="1">
    <w:basedOn w:val="TableNormal"/>
    <w:tblPr>
      <w:tblStyleRowBandSize w:val="1"/>
      <w:tblStyleColBandSize w:val="1"/>
      <w:tblCellMar>
        <w:left w:w="115.0" w:type="dxa"/>
        <w:right w:w="115.0" w:type="dxa"/>
      </w:tblCellMar>
    </w:tblPr>
    <w:tcPr>
      <w:shd w:color="auto" w:fill="ffffff" w:val="clear"/>
    </w:tcPr>
  </w:style>
  <w:style w:type="table" w:styleId="a3" w:customStyle="1">
    <w:basedOn w:val="TableNormal"/>
    <w:tblPr>
      <w:tblStyleRowBandSize w:val="1"/>
      <w:tblStyleColBandSize w:val="1"/>
      <w:tblCellMar>
        <w:left w:w="115.0" w:type="dxa"/>
        <w:right w:w="115.0" w:type="dxa"/>
      </w:tblCellMar>
    </w:tblPr>
    <w:tcPr>
      <w:shd w:color="auto" w:fill="ffffff" w:val="clear"/>
    </w:tcPr>
  </w:style>
  <w:style w:type="table" w:styleId="a4" w:customStyle="1">
    <w:basedOn w:val="TableNormal"/>
    <w:tblPr>
      <w:tblStyleRowBandSize w:val="1"/>
      <w:tblStyleColBandSize w:val="1"/>
      <w:tblCellMar>
        <w:left w:w="115.0" w:type="dxa"/>
        <w:right w:w="115.0" w:type="dxa"/>
      </w:tblCellMar>
    </w:tblPr>
    <w:tcPr>
      <w:shd w:color="auto" w:fill="ffffff" w:val="clear"/>
    </w:tcPr>
  </w:style>
  <w:style w:type="table" w:styleId="a5" w:customStyle="1">
    <w:basedOn w:val="TableNormal"/>
    <w:tblPr>
      <w:tblStyleRowBandSize w:val="1"/>
      <w:tblStyleColBandSize w:val="1"/>
      <w:tblCellMar>
        <w:left w:w="115.0" w:type="dxa"/>
        <w:right w:w="115.0" w:type="dxa"/>
      </w:tblCellMar>
    </w:tblPr>
    <w:tcPr>
      <w:shd w:color="auto" w:fill="ffffff" w:val="clear"/>
    </w:tcPr>
  </w:style>
  <w:style w:type="table" w:styleId="a6" w:customStyle="1">
    <w:basedOn w:val="TableNormal"/>
    <w:tblPr>
      <w:tblStyleRowBandSize w:val="1"/>
      <w:tblStyleColBandSize w:val="1"/>
      <w:tblCellMar>
        <w:left w:w="115.0" w:type="dxa"/>
        <w:right w:w="115.0" w:type="dxa"/>
      </w:tblCellMar>
    </w:tblPr>
    <w:tcPr>
      <w:shd w:color="auto" w:fill="ffffff" w:val="clear"/>
    </w:tc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left w:w="115.0" w:type="dxa"/>
        <w:right w:w="115.0" w:type="dxa"/>
      </w:tblCellMar>
    </w:tblPr>
    <w:tcPr>
      <w:shd w:color="auto" w:fill="ffffff" w:val="clear"/>
    </w:tc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tcPr>
      <w:shd w:color="auto" w:fill="ffffff" w:val="clear"/>
    </w:tcPr>
  </w:style>
  <w:style w:type="table" w:styleId="ac"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ad"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ae"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Heading">
    <w:name w:val="TOC Heading"/>
    <w:basedOn w:val="Heading1"/>
    <w:next w:val="Normal"/>
    <w:uiPriority w:val="39"/>
    <w:unhideWhenUsed w:val="1"/>
    <w:qFormat w:val="1"/>
    <w:rsid w:val="00124EC0"/>
    <w:pPr>
      <w:spacing w:after="0" w:before="480" w:line="276" w:lineRule="auto"/>
      <w:outlineLvl w:val="9"/>
    </w:pPr>
    <w:rPr>
      <w:rFonts w:asciiTheme="majorHAnsi" w:cstheme="majorBidi" w:eastAsiaTheme="majorEastAsia" w:hAnsiTheme="majorHAnsi"/>
      <w:b w:val="0"/>
      <w:bCs w:val="1"/>
      <w:color w:val="365f91" w:themeColor="accent1" w:themeShade="0000BF"/>
      <w:sz w:val="28"/>
      <w:szCs w:val="28"/>
      <w:lang w:eastAsia="en-US" w:val="en-US"/>
    </w:rPr>
  </w:style>
  <w:style w:type="paragraph" w:styleId="TOC1">
    <w:name w:val="toc 1"/>
    <w:basedOn w:val="Normal"/>
    <w:next w:val="Normal"/>
    <w:autoRedefine w:val="1"/>
    <w:uiPriority w:val="39"/>
    <w:unhideWhenUsed w:val="1"/>
    <w:rsid w:val="00124EC0"/>
    <w:pPr>
      <w:spacing w:after="120" w:before="120"/>
    </w:pPr>
    <w:rPr>
      <w:rFonts w:asciiTheme="minorHAnsi" w:hAnsiTheme="minorHAnsi"/>
      <w:b w:val="1"/>
      <w:bCs w:val="1"/>
      <w:caps w:val="1"/>
      <w:sz w:val="20"/>
      <w:szCs w:val="20"/>
    </w:rPr>
  </w:style>
  <w:style w:type="paragraph" w:styleId="TOC2">
    <w:name w:val="toc 2"/>
    <w:basedOn w:val="Normal"/>
    <w:next w:val="Normal"/>
    <w:autoRedefine w:val="1"/>
    <w:uiPriority w:val="39"/>
    <w:unhideWhenUsed w:val="1"/>
    <w:rsid w:val="00124EC0"/>
    <w:pPr>
      <w:ind w:left="220"/>
    </w:pPr>
    <w:rPr>
      <w:rFonts w:asciiTheme="minorHAnsi" w:hAnsiTheme="minorHAnsi"/>
      <w:smallCaps w:val="1"/>
      <w:sz w:val="20"/>
      <w:szCs w:val="20"/>
    </w:rPr>
  </w:style>
  <w:style w:type="paragraph" w:styleId="TOC3">
    <w:name w:val="toc 3"/>
    <w:basedOn w:val="Normal"/>
    <w:next w:val="Normal"/>
    <w:autoRedefine w:val="1"/>
    <w:uiPriority w:val="39"/>
    <w:unhideWhenUsed w:val="1"/>
    <w:rsid w:val="00124EC0"/>
    <w:pPr>
      <w:ind w:left="440"/>
    </w:pPr>
    <w:rPr>
      <w:rFonts w:asciiTheme="minorHAnsi" w:hAnsiTheme="minorHAnsi"/>
      <w:i w:val="1"/>
      <w:iCs w:val="1"/>
      <w:sz w:val="20"/>
      <w:szCs w:val="20"/>
    </w:rPr>
  </w:style>
  <w:style w:type="character" w:styleId="Hyperlink">
    <w:name w:val="Hyperlink"/>
    <w:basedOn w:val="DefaultParagraphFont"/>
    <w:uiPriority w:val="99"/>
    <w:unhideWhenUsed w:val="1"/>
    <w:rsid w:val="00124EC0"/>
    <w:rPr>
      <w:color w:val="0000ff" w:themeColor="hyperlink"/>
      <w:u w:val="single"/>
    </w:rPr>
  </w:style>
  <w:style w:type="paragraph" w:styleId="TOC4">
    <w:name w:val="toc 4"/>
    <w:basedOn w:val="Normal"/>
    <w:next w:val="Normal"/>
    <w:autoRedefine w:val="1"/>
    <w:uiPriority w:val="39"/>
    <w:unhideWhenUsed w:val="1"/>
    <w:rsid w:val="00124EC0"/>
    <w:pPr>
      <w:ind w:left="660"/>
    </w:pPr>
    <w:rPr>
      <w:rFonts w:asciiTheme="minorHAnsi" w:hAnsiTheme="minorHAnsi"/>
      <w:sz w:val="18"/>
      <w:szCs w:val="18"/>
    </w:rPr>
  </w:style>
  <w:style w:type="paragraph" w:styleId="TOC5">
    <w:name w:val="toc 5"/>
    <w:basedOn w:val="Normal"/>
    <w:next w:val="Normal"/>
    <w:autoRedefine w:val="1"/>
    <w:uiPriority w:val="39"/>
    <w:unhideWhenUsed w:val="1"/>
    <w:rsid w:val="00124EC0"/>
    <w:pPr>
      <w:ind w:left="880"/>
    </w:pPr>
    <w:rPr>
      <w:rFonts w:asciiTheme="minorHAnsi" w:hAnsiTheme="minorHAnsi"/>
      <w:sz w:val="18"/>
      <w:szCs w:val="18"/>
    </w:rPr>
  </w:style>
  <w:style w:type="paragraph" w:styleId="TOC6">
    <w:name w:val="toc 6"/>
    <w:basedOn w:val="Normal"/>
    <w:next w:val="Normal"/>
    <w:autoRedefine w:val="1"/>
    <w:uiPriority w:val="39"/>
    <w:unhideWhenUsed w:val="1"/>
    <w:rsid w:val="00124EC0"/>
    <w:pPr>
      <w:ind w:left="1100"/>
    </w:pPr>
    <w:rPr>
      <w:rFonts w:asciiTheme="minorHAnsi" w:hAnsiTheme="minorHAnsi"/>
      <w:sz w:val="18"/>
      <w:szCs w:val="18"/>
    </w:rPr>
  </w:style>
  <w:style w:type="paragraph" w:styleId="TOC7">
    <w:name w:val="toc 7"/>
    <w:basedOn w:val="Normal"/>
    <w:next w:val="Normal"/>
    <w:autoRedefine w:val="1"/>
    <w:uiPriority w:val="39"/>
    <w:unhideWhenUsed w:val="1"/>
    <w:rsid w:val="00124EC0"/>
    <w:pPr>
      <w:ind w:left="1320"/>
    </w:pPr>
    <w:rPr>
      <w:rFonts w:asciiTheme="minorHAnsi" w:hAnsiTheme="minorHAnsi"/>
      <w:sz w:val="18"/>
      <w:szCs w:val="18"/>
    </w:rPr>
  </w:style>
  <w:style w:type="paragraph" w:styleId="TOC8">
    <w:name w:val="toc 8"/>
    <w:basedOn w:val="Normal"/>
    <w:next w:val="Normal"/>
    <w:autoRedefine w:val="1"/>
    <w:uiPriority w:val="39"/>
    <w:unhideWhenUsed w:val="1"/>
    <w:rsid w:val="00124EC0"/>
    <w:pPr>
      <w:ind w:left="1540"/>
    </w:pPr>
    <w:rPr>
      <w:rFonts w:asciiTheme="minorHAnsi" w:hAnsiTheme="minorHAnsi"/>
      <w:sz w:val="18"/>
      <w:szCs w:val="18"/>
    </w:rPr>
  </w:style>
  <w:style w:type="paragraph" w:styleId="TOC9">
    <w:name w:val="toc 9"/>
    <w:basedOn w:val="Normal"/>
    <w:next w:val="Normal"/>
    <w:autoRedefine w:val="1"/>
    <w:uiPriority w:val="39"/>
    <w:unhideWhenUsed w:val="1"/>
    <w:rsid w:val="00124EC0"/>
    <w:pPr>
      <w:ind w:left="1760"/>
    </w:pPr>
    <w:rPr>
      <w:rFonts w:asciiTheme="minorHAnsi" w:hAnsiTheme="minorHAnsi"/>
      <w:sz w:val="18"/>
      <w:szCs w:val="18"/>
    </w:rPr>
  </w:style>
  <w:style w:type="paragraph" w:styleId="TableofFigures">
    <w:name w:val="table of figures"/>
    <w:basedOn w:val="Normal"/>
    <w:next w:val="Normal"/>
    <w:uiPriority w:val="99"/>
    <w:unhideWhenUsed w:val="1"/>
    <w:rsid w:val="00124EC0"/>
    <w:pPr>
      <w:ind w:left="440" w:hanging="440"/>
    </w:pPr>
    <w:rPr>
      <w:rFonts w:asciiTheme="minorHAnsi" w:hAnsiTheme="minorHAnsi"/>
      <w:caps w:val="1"/>
      <w:sz w:val="20"/>
      <w:szCs w:val="20"/>
    </w:rPr>
  </w:style>
  <w:style w:type="paragraph" w:styleId="Caption">
    <w:name w:val="caption"/>
    <w:basedOn w:val="Normal"/>
    <w:next w:val="Normal"/>
    <w:uiPriority w:val="35"/>
    <w:unhideWhenUsed w:val="1"/>
    <w:qFormat w:val="1"/>
    <w:rsid w:val="00124EC0"/>
    <w:pPr>
      <w:spacing w:after="200" w:line="240" w:lineRule="auto"/>
    </w:pPr>
    <w:rPr>
      <w:i w:val="1"/>
      <w:iCs w:val="1"/>
      <w:color w:val="1f497d" w:themeColor="text2"/>
      <w:sz w:val="18"/>
      <w:szCs w:val="18"/>
    </w:rPr>
  </w:style>
  <w:style w:type="paragraph" w:styleId="Header">
    <w:name w:val="header"/>
    <w:basedOn w:val="Normal"/>
    <w:link w:val="HeaderChar"/>
    <w:uiPriority w:val="99"/>
    <w:unhideWhenUsed w:val="1"/>
    <w:rsid w:val="00C479CA"/>
    <w:pPr>
      <w:tabs>
        <w:tab w:val="center" w:pos="4513"/>
        <w:tab w:val="right" w:pos="9026"/>
      </w:tabs>
      <w:spacing w:line="240" w:lineRule="auto"/>
    </w:pPr>
  </w:style>
  <w:style w:type="character" w:styleId="HeaderChar" w:customStyle="1">
    <w:name w:val="Header Char"/>
    <w:basedOn w:val="DefaultParagraphFont"/>
    <w:link w:val="Header"/>
    <w:uiPriority w:val="99"/>
    <w:rsid w:val="00C479CA"/>
  </w:style>
  <w:style w:type="paragraph" w:styleId="Footer">
    <w:name w:val="footer"/>
    <w:basedOn w:val="Normal"/>
    <w:link w:val="FooterChar"/>
    <w:uiPriority w:val="99"/>
    <w:unhideWhenUsed w:val="1"/>
    <w:rsid w:val="00C479CA"/>
    <w:pPr>
      <w:tabs>
        <w:tab w:val="center" w:pos="4513"/>
        <w:tab w:val="right" w:pos="9026"/>
      </w:tabs>
      <w:spacing w:line="240" w:lineRule="auto"/>
    </w:pPr>
  </w:style>
  <w:style w:type="character" w:styleId="FooterChar" w:customStyle="1">
    <w:name w:val="Footer Char"/>
    <w:basedOn w:val="DefaultParagraphFont"/>
    <w:link w:val="Footer"/>
    <w:uiPriority w:val="99"/>
    <w:rsid w:val="00C479CA"/>
  </w:style>
  <w:style w:type="paragraph" w:styleId="ListParagraph">
    <w:name w:val="List Paragraph"/>
    <w:basedOn w:val="Normal"/>
    <w:uiPriority w:val="34"/>
    <w:qFormat w:val="1"/>
    <w:rsid w:val="005F39EE"/>
    <w:pPr>
      <w:ind w:left="720"/>
      <w:contextualSpacing w:val="1"/>
    </w:pPr>
  </w:style>
  <w:style w:type="character" w:styleId="UnresolvedMention">
    <w:name w:val="Unresolved Mention"/>
    <w:basedOn w:val="DefaultParagraphFont"/>
    <w:uiPriority w:val="99"/>
    <w:semiHidden w:val="1"/>
    <w:unhideWhenUsed w:val="1"/>
    <w:rsid w:val="00F51823"/>
    <w:rPr>
      <w:color w:val="605e5c"/>
      <w:shd w:color="auto" w:fill="e1dfdd" w:val="clear"/>
    </w:rPr>
  </w:style>
  <w:style w:type="paragraph" w:styleId="CommentSubject">
    <w:name w:val="annotation subject"/>
    <w:basedOn w:val="CommentText"/>
    <w:next w:val="CommentText"/>
    <w:link w:val="CommentSubjectChar"/>
    <w:uiPriority w:val="99"/>
    <w:semiHidden w:val="1"/>
    <w:unhideWhenUsed w:val="1"/>
    <w:rsid w:val="007879FB"/>
    <w:rPr>
      <w:b w:val="1"/>
      <w:bCs w:val="1"/>
    </w:rPr>
  </w:style>
  <w:style w:type="character" w:styleId="CommentSubjectChar" w:customStyle="1">
    <w:name w:val="Comment Subject Char"/>
    <w:basedOn w:val="CommentTextChar"/>
    <w:link w:val="CommentSubject"/>
    <w:uiPriority w:val="99"/>
    <w:semiHidden w:val="1"/>
    <w:rsid w:val="007879FB"/>
    <w:rPr>
      <w:b w:val="1"/>
      <w:bCs w:val="1"/>
      <w:sz w:val="20"/>
      <w:szCs w:val="20"/>
    </w:rPr>
  </w:style>
  <w:style w:type="paragraph" w:styleId="Revision">
    <w:name w:val="Revision"/>
    <w:hidden w:val="1"/>
    <w:uiPriority w:val="99"/>
    <w:semiHidden w:val="1"/>
    <w:rsid w:val="002C3BC4"/>
    <w:pPr>
      <w:spacing w:line="240" w:lineRule="auto"/>
    </w:pPr>
  </w:style>
  <w:style w:type="paragraph" w:styleId="FootnoteText">
    <w:name w:val="footnote text"/>
    <w:basedOn w:val="Normal"/>
    <w:link w:val="FootnoteTextChar"/>
    <w:uiPriority w:val="99"/>
    <w:semiHidden w:val="1"/>
    <w:unhideWhenUsed w:val="1"/>
    <w:rsid w:val="00384A3F"/>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384A3F"/>
    <w:rPr>
      <w:sz w:val="20"/>
      <w:szCs w:val="20"/>
    </w:rPr>
  </w:style>
  <w:style w:type="character" w:styleId="FootnoteReference">
    <w:name w:val="footnote reference"/>
    <w:basedOn w:val="DefaultParagraphFont"/>
    <w:uiPriority w:val="99"/>
    <w:semiHidden w:val="1"/>
    <w:unhideWhenUsed w:val="1"/>
    <w:rsid w:val="00384A3F"/>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6">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www.daera-ni.gov.uk/articles/2014-2020-rural-development-programme" TargetMode="External"/><Relationship Id="rId42" Type="http://schemas.openxmlformats.org/officeDocument/2006/relationships/hyperlink" Target="https://www.gov.wales/closed-2014-2020-rural-development-plan-schemes" TargetMode="External"/><Relationship Id="rId41" Type="http://schemas.openxmlformats.org/officeDocument/2006/relationships/hyperlink" Target="https://www.gov.scot/policies/agriculture-payments/scottish-rural-development-programme-srdp/#:~:text=2%20of%203-,Scottish%20Rural%20Development%20Programme%20(SRDP),help%20achieve%20sustainable%20economic%20growth" TargetMode="External"/><Relationship Id="rId44" Type="http://schemas.openxmlformats.org/officeDocument/2006/relationships/image" Target="media/image16.png"/><Relationship Id="rId43" Type="http://schemas.openxmlformats.org/officeDocument/2006/relationships/image" Target="media/image19.png"/><Relationship Id="rId46" Type="http://schemas.openxmlformats.org/officeDocument/2006/relationships/image" Target="media/image22.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48" Type="http://schemas.openxmlformats.org/officeDocument/2006/relationships/hyperlink" Target="mailto:rlasko1@sheffield.ac.uk" TargetMode="External"/><Relationship Id="rId47" Type="http://schemas.openxmlformats.org/officeDocument/2006/relationships/hyperlink" Target="https://www.sheffield.ac.uk/govern/data-protection/privacy/general" TargetMode="External"/><Relationship Id="rId49" Type="http://schemas.openxmlformats.org/officeDocument/2006/relationships/hyperlink" Target="mailto:charlotte.burns@sheffield.ac.u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 Id="rId31" Type="http://schemas.openxmlformats.org/officeDocument/2006/relationships/hyperlink" Target="https://doi.org/10.1016/j.jenvman.2013.12.005" TargetMode="External"/><Relationship Id="rId30" Type="http://schemas.openxmlformats.org/officeDocument/2006/relationships/hyperlink" Target="https://doi.org/10.2307/249204" TargetMode="External"/><Relationship Id="rId33" Type="http://schemas.openxmlformats.org/officeDocument/2006/relationships/hyperlink" Target="https://doi.org/10.1016/0269-7475(87)90102-4" TargetMode="External"/><Relationship Id="rId32" Type="http://schemas.openxmlformats.org/officeDocument/2006/relationships/hyperlink" Target="https://doi.org/10.1002/cpp.596" TargetMode="External"/><Relationship Id="rId35" Type="http://schemas.openxmlformats.org/officeDocument/2006/relationships/hyperlink" Target="https://assets.publishing.service.gov.uk/Media/641073c8e90e076cd09acda9/Fbs-Uk-Farmclassification-2014-14mar23.Pdf" TargetMode="External"/><Relationship Id="rId34" Type="http://schemas.openxmlformats.org/officeDocument/2006/relationships/hyperlink" Target="https://doi.org/10.1007/s00267-009-9395-0" TargetMode="External"/><Relationship Id="rId37" Type="http://schemas.openxmlformats.org/officeDocument/2006/relationships/hyperlink" Target="https://doi.org/10.1097/FCH.0b013e31822dda9e" TargetMode="External"/><Relationship Id="rId36" Type="http://schemas.openxmlformats.org/officeDocument/2006/relationships/hyperlink" Target="https://doi.org/10.1111/j.1477-9552.2002.tb00070.x" TargetMode="External"/><Relationship Id="rId39" Type="http://schemas.openxmlformats.org/officeDocument/2006/relationships/hyperlink" Target="https://assets.publishing.service.gov.uk/media/5a8155f4e5274a2e87dbd11c/CAPLF005v10_WEB.pdf" TargetMode="External"/><Relationship Id="rId38" Type="http://schemas.openxmlformats.org/officeDocument/2006/relationships/hyperlink" Target="https://doi.org/10.1007/s00267-010-9482-2" TargetMode="External"/><Relationship Id="rId20" Type="http://schemas.openxmlformats.org/officeDocument/2006/relationships/hyperlink" Target="https://defrafarming.blog.gov.uk/sustainable-farming-incentive-pilot/" TargetMode="External"/><Relationship Id="rId22" Type="http://schemas.openxmlformats.org/officeDocument/2006/relationships/image" Target="media/image23.png"/><Relationship Id="rId21" Type="http://schemas.openxmlformats.org/officeDocument/2006/relationships/image" Target="media/image20.png"/><Relationship Id="rId24" Type="http://schemas.openxmlformats.org/officeDocument/2006/relationships/hyperlink" Target="https://defrafarming.blog.gov.uk/2024/03/25/why-were-putting-area-limits-on-some-sfi-actions/" TargetMode="External"/><Relationship Id="rId23" Type="http://schemas.openxmlformats.org/officeDocument/2006/relationships/image" Target="media/image2.png"/><Relationship Id="rId26" Type="http://schemas.openxmlformats.org/officeDocument/2006/relationships/image" Target="media/image3.jpg"/><Relationship Id="rId25" Type="http://schemas.openxmlformats.org/officeDocument/2006/relationships/image" Target="media/image14.jpg"/><Relationship Id="rId28" Type="http://schemas.openxmlformats.org/officeDocument/2006/relationships/image" Target="media/image15.jpg"/><Relationship Id="rId27" Type="http://schemas.openxmlformats.org/officeDocument/2006/relationships/image" Target="media/image18.jpg"/><Relationship Id="rId29" Type="http://schemas.openxmlformats.org/officeDocument/2006/relationships/hyperlink" Target="https://www.legislation.gov.uk/ukpga/1986/49/contents" TargetMode="External"/><Relationship Id="rId51" Type="http://schemas.openxmlformats.org/officeDocument/2006/relationships/image" Target="media/image10.png"/><Relationship Id="rId50" Type="http://schemas.openxmlformats.org/officeDocument/2006/relationships/image" Target="media/image12.png"/><Relationship Id="rId11" Type="http://schemas.openxmlformats.org/officeDocument/2006/relationships/image" Target="media/image6.png"/><Relationship Id="rId10" Type="http://schemas.openxmlformats.org/officeDocument/2006/relationships/image" Target="media/image21.jpg"/><Relationship Id="rId13" Type="http://schemas.openxmlformats.org/officeDocument/2006/relationships/image" Target="media/image13.png"/><Relationship Id="rId12" Type="http://schemas.openxmlformats.org/officeDocument/2006/relationships/hyperlink" Target="https://publications.parliament.uk/pa/cm5801/cmpublic/Agriculture/memo/AB36.pdf" TargetMode="External"/><Relationship Id="rId15" Type="http://schemas.openxmlformats.org/officeDocument/2006/relationships/image" Target="media/image11.jpg"/><Relationship Id="rId14" Type="http://schemas.openxmlformats.org/officeDocument/2006/relationships/image" Target="media/image8.png"/><Relationship Id="rId17" Type="http://schemas.openxmlformats.org/officeDocument/2006/relationships/image" Target="media/image24.png"/><Relationship Id="rId16" Type="http://schemas.openxmlformats.org/officeDocument/2006/relationships/image" Target="media/image4.png"/><Relationship Id="rId19" Type="http://schemas.openxmlformats.org/officeDocument/2006/relationships/image" Target="media/image7.jp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media/5fc76ff7e90e0762a0d7134a/atp-adviser-pac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S+zhqhacqDECVgLgUNKfG4N8w==">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2025-06-19T15:48:00Z</dcterms:created>
</cp:coreProperties>
</file>